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FE3D3">
      <w:pPr>
        <w:pageBreakBefore w:val="0"/>
        <w:widowControl/>
        <w:tabs>
          <w:tab w:val="left" w:pos="6360"/>
        </w:tabs>
        <w:kinsoku/>
        <w:overflowPunct/>
        <w:bidi w:val="0"/>
        <w:spacing w:line="500" w:lineRule="exact"/>
        <w:rPr>
          <w:rFonts w:hint="eastAsia" w:ascii="Times New Roman" w:hAnsi="Times New Roman" w:cs="Times New Roman" w:eastAsiaTheme="minorEastAsia"/>
          <w:color w:val="auto"/>
          <w:sz w:val="24"/>
          <w:szCs w:val="24"/>
          <w:highlight w:val="none"/>
          <w:lang w:eastAsia="zh-CN"/>
        </w:rPr>
      </w:pPr>
      <w:bookmarkStart w:id="0" w:name="_Toc275330202"/>
      <w:bookmarkStart w:id="1" w:name="_Toc276118335"/>
    </w:p>
    <w:p w14:paraId="1DAF3AEC">
      <w:pPr>
        <w:pageBreakBefore w:val="0"/>
        <w:widowControl/>
        <w:tabs>
          <w:tab w:val="left" w:pos="6360"/>
        </w:tabs>
        <w:kinsoku/>
        <w:wordWrap w:val="0"/>
        <w:overflowPunct/>
        <w:bidi w:val="0"/>
        <w:spacing w:line="500" w:lineRule="exact"/>
        <w:ind w:firstLine="482"/>
        <w:jc w:val="right"/>
        <w:rPr>
          <w:rFonts w:hint="default" w:ascii="Times New Roman" w:hAnsi="Times New Roman" w:cs="Times New Roman" w:eastAsiaTheme="minorEastAsia"/>
          <w:b/>
          <w:color w:val="auto"/>
          <w:sz w:val="28"/>
          <w:szCs w:val="28"/>
          <w:highlight w:val="none"/>
          <w:lang w:val="en-US"/>
        </w:rPr>
      </w:pPr>
      <w:r>
        <w:rPr>
          <w:rFonts w:hint="default" w:ascii="Times New Roman" w:hAnsi="Times New Roman" w:cs="Times New Roman" w:eastAsiaTheme="minorEastAsia"/>
          <w:b/>
          <w:color w:val="auto"/>
          <w:sz w:val="24"/>
          <w:szCs w:val="24"/>
          <w:highlight w:val="none"/>
        </w:rPr>
        <w:t xml:space="preserve">    </w:t>
      </w:r>
      <w:r>
        <w:rPr>
          <w:rFonts w:hint="default" w:ascii="Times New Roman" w:hAnsi="Times New Roman" w:cs="Times New Roman" w:eastAsiaTheme="minorEastAsia"/>
          <w:b/>
          <w:color w:val="auto"/>
          <w:sz w:val="28"/>
          <w:szCs w:val="28"/>
          <w:highlight w:val="none"/>
        </w:rPr>
        <w:t xml:space="preserve">       应急预案编号：</w:t>
      </w:r>
      <w:r>
        <w:rPr>
          <w:rFonts w:hint="eastAsia" w:ascii="Times New Roman" w:hAnsi="Times New Roman" w:cs="Times New Roman" w:eastAsiaTheme="minorEastAsia"/>
          <w:b/>
          <w:color w:val="auto"/>
          <w:sz w:val="28"/>
          <w:szCs w:val="28"/>
          <w:highlight w:val="none"/>
          <w:lang w:val="en-US" w:eastAsia="zh-CN"/>
        </w:rPr>
        <w:t>ATJC</w:t>
      </w:r>
      <w:r>
        <w:rPr>
          <w:rFonts w:hint="eastAsia" w:ascii="Times New Roman" w:hAnsi="Times New Roman" w:eastAsia="宋体" w:cs="Times New Roman"/>
          <w:b/>
          <w:bCs/>
          <w:color w:val="auto"/>
          <w:sz w:val="28"/>
          <w:szCs w:val="28"/>
          <w:highlight w:val="none"/>
          <w:lang w:val="en-US" w:eastAsia="zh-CN"/>
        </w:rPr>
        <w:t>-YJYA</w:t>
      </w:r>
    </w:p>
    <w:p w14:paraId="0C428825">
      <w:pPr>
        <w:pageBreakBefore w:val="0"/>
        <w:widowControl/>
        <w:tabs>
          <w:tab w:val="left" w:pos="6360"/>
        </w:tabs>
        <w:kinsoku/>
        <w:wordWrap w:val="0"/>
        <w:overflowPunct/>
        <w:bidi w:val="0"/>
        <w:spacing w:line="500" w:lineRule="exact"/>
        <w:ind w:firstLine="482"/>
        <w:jc w:val="right"/>
        <w:rPr>
          <w:rFonts w:hint="eastAsia" w:ascii="Times New Roman" w:hAnsi="Times New Roman" w:eastAsia="宋体" w:cs="Times New Roman"/>
          <w:b/>
          <w:color w:val="auto"/>
          <w:sz w:val="28"/>
          <w:szCs w:val="28"/>
          <w:highlight w:val="none"/>
          <w:lang w:val="en-US" w:eastAsia="zh-CN"/>
        </w:rPr>
      </w:pPr>
      <w:r>
        <w:rPr>
          <w:rFonts w:hint="default" w:ascii="Times New Roman" w:hAnsi="Times New Roman" w:cs="Times New Roman" w:eastAsiaTheme="minorEastAsia"/>
          <w:b/>
          <w:color w:val="auto"/>
          <w:sz w:val="28"/>
          <w:szCs w:val="28"/>
          <w:highlight w:val="none"/>
        </w:rPr>
        <w:t xml:space="preserve">    应急预案版本号：</w:t>
      </w:r>
      <w:r>
        <w:rPr>
          <w:rFonts w:hint="eastAsia" w:ascii="Times New Roman" w:hAnsi="Times New Roman" w:eastAsia="宋体" w:cs="Times New Roman"/>
          <w:b/>
          <w:bCs/>
          <w:color w:val="auto"/>
          <w:sz w:val="28"/>
          <w:szCs w:val="28"/>
          <w:highlight w:val="none"/>
          <w:lang w:eastAsia="zh-CN"/>
        </w:rPr>
        <w:t>2025</w:t>
      </w:r>
      <w:r>
        <w:rPr>
          <w:rFonts w:hint="default" w:ascii="Times New Roman" w:hAnsi="Times New Roman" w:eastAsia="宋体" w:cs="Times New Roman"/>
          <w:b/>
          <w:bCs/>
          <w:color w:val="auto"/>
          <w:sz w:val="28"/>
          <w:szCs w:val="28"/>
          <w:highlight w:val="none"/>
        </w:rPr>
        <w:t>年</w:t>
      </w:r>
    </w:p>
    <w:p w14:paraId="5A7CF888">
      <w:pPr>
        <w:keepNext w:val="0"/>
        <w:keepLines w:val="0"/>
        <w:pageBreakBefore w:val="0"/>
        <w:widowControl/>
        <w:tabs>
          <w:tab w:val="left" w:pos="6360"/>
        </w:tabs>
        <w:kinsoku/>
        <w:wordWrap/>
        <w:overflowPunct/>
        <w:topLinePunct w:val="0"/>
        <w:autoSpaceDE/>
        <w:autoSpaceDN/>
        <w:bidi w:val="0"/>
        <w:adjustRightInd w:val="0"/>
        <w:snapToGrid w:val="0"/>
        <w:spacing w:line="500" w:lineRule="exact"/>
        <w:jc w:val="left"/>
        <w:textAlignment w:val="auto"/>
        <w:rPr>
          <w:rFonts w:hint="default" w:ascii="Times New Roman" w:hAnsi="Times New Roman" w:cs="Times New Roman" w:eastAsiaTheme="minorEastAsia"/>
          <w:color w:val="auto"/>
          <w:sz w:val="24"/>
          <w:szCs w:val="24"/>
          <w:highlight w:val="none"/>
        </w:rPr>
      </w:pPr>
    </w:p>
    <w:p w14:paraId="32465FDC">
      <w:pPr>
        <w:keepNext w:val="0"/>
        <w:keepLines w:val="0"/>
        <w:pageBreakBefore w:val="0"/>
        <w:widowControl/>
        <w:tabs>
          <w:tab w:val="left" w:pos="6360"/>
        </w:tabs>
        <w:kinsoku/>
        <w:wordWrap/>
        <w:overflowPunct/>
        <w:topLinePunct w:val="0"/>
        <w:autoSpaceDE/>
        <w:autoSpaceDN/>
        <w:bidi w:val="0"/>
        <w:adjustRightInd w:val="0"/>
        <w:snapToGrid w:val="0"/>
        <w:spacing w:line="500" w:lineRule="exact"/>
        <w:jc w:val="left"/>
        <w:textAlignment w:val="auto"/>
        <w:rPr>
          <w:rFonts w:hint="default" w:ascii="Times New Roman" w:hAnsi="Times New Roman" w:cs="Times New Roman" w:eastAsiaTheme="minorEastAsia"/>
          <w:b/>
          <w:bCs/>
          <w:color w:val="auto"/>
          <w:sz w:val="24"/>
          <w:szCs w:val="24"/>
          <w:highlight w:val="none"/>
        </w:rPr>
      </w:pPr>
    </w:p>
    <w:p w14:paraId="5EE61B1F">
      <w:pPr>
        <w:keepNext w:val="0"/>
        <w:keepLines w:val="0"/>
        <w:pageBreakBefore w:val="0"/>
        <w:widowControl/>
        <w:tabs>
          <w:tab w:val="left" w:pos="6360"/>
        </w:tabs>
        <w:kinsoku/>
        <w:wordWrap/>
        <w:overflowPunct/>
        <w:topLinePunct w:val="0"/>
        <w:autoSpaceDE/>
        <w:autoSpaceDN/>
        <w:bidi w:val="0"/>
        <w:adjustRightInd w:val="0"/>
        <w:snapToGrid w:val="0"/>
        <w:spacing w:line="500" w:lineRule="exact"/>
        <w:jc w:val="left"/>
        <w:textAlignment w:val="auto"/>
        <w:rPr>
          <w:rFonts w:hint="default" w:ascii="Times New Roman" w:hAnsi="Times New Roman" w:cs="Times New Roman" w:eastAsiaTheme="minorEastAsia"/>
          <w:b/>
          <w:bCs/>
          <w:color w:val="auto"/>
          <w:sz w:val="24"/>
          <w:szCs w:val="24"/>
          <w:highlight w:val="none"/>
        </w:rPr>
      </w:pPr>
    </w:p>
    <w:p w14:paraId="275D8B95">
      <w:pPr>
        <w:pStyle w:val="13"/>
        <w:keepNext w:val="0"/>
        <w:keepLines w:val="0"/>
        <w:pageBreakBefore w:val="0"/>
        <w:kinsoku/>
        <w:wordWrap/>
        <w:overflowPunct/>
        <w:topLinePunct w:val="0"/>
        <w:autoSpaceDE/>
        <w:autoSpaceDN/>
        <w:bidi w:val="0"/>
        <w:adjustRightInd w:val="0"/>
        <w:snapToGrid w:val="0"/>
        <w:spacing w:line="500" w:lineRule="exact"/>
        <w:ind w:left="0" w:leftChars="0" w:firstLine="0" w:firstLineChars="0"/>
        <w:jc w:val="left"/>
        <w:textAlignment w:val="auto"/>
        <w:rPr>
          <w:rFonts w:hint="default" w:ascii="Times New Roman" w:hAnsi="Times New Roman" w:cs="Times New Roman" w:eastAsiaTheme="minorEastAsia"/>
          <w:color w:val="auto"/>
          <w:sz w:val="24"/>
          <w:szCs w:val="24"/>
          <w:highlight w:val="none"/>
        </w:rPr>
      </w:pPr>
    </w:p>
    <w:p w14:paraId="5DD005D4">
      <w:pPr>
        <w:keepNext w:val="0"/>
        <w:keepLines w:val="0"/>
        <w:pageBreakBefore w:val="0"/>
        <w:widowControl/>
        <w:tabs>
          <w:tab w:val="left" w:pos="6360"/>
        </w:tabs>
        <w:kinsoku/>
        <w:wordWrap/>
        <w:overflowPunct/>
        <w:topLinePunct w:val="0"/>
        <w:autoSpaceDE/>
        <w:autoSpaceDN/>
        <w:bidi w:val="0"/>
        <w:adjustRightInd w:val="0"/>
        <w:snapToGrid w:val="0"/>
        <w:spacing w:after="382" w:afterLines="100" w:line="360" w:lineRule="auto"/>
        <w:jc w:val="center"/>
        <w:textAlignment w:val="auto"/>
        <w:rPr>
          <w:rFonts w:hint="eastAsia" w:ascii="Times New Roman" w:hAnsi="Times New Roman" w:cs="Times New Roman" w:eastAsiaTheme="minorEastAsia"/>
          <w:b/>
          <w:color w:val="auto"/>
          <w:sz w:val="52"/>
          <w:szCs w:val="52"/>
          <w:highlight w:val="none"/>
          <w:lang w:eastAsia="zh-CN"/>
        </w:rPr>
      </w:pPr>
      <w:r>
        <w:rPr>
          <w:rFonts w:hint="default" w:ascii="Times New Roman" w:hAnsi="Times New Roman" w:cs="Times New Roman" w:eastAsiaTheme="minorEastAsia"/>
          <w:b/>
          <w:color w:val="auto"/>
          <w:sz w:val="52"/>
          <w:szCs w:val="52"/>
          <w:highlight w:val="none"/>
        </w:rPr>
        <w:fldChar w:fldCharType="begin"/>
      </w:r>
      <w:r>
        <w:rPr>
          <w:rFonts w:hint="default" w:ascii="Times New Roman" w:hAnsi="Times New Roman" w:cs="Times New Roman" w:eastAsiaTheme="minorEastAsia"/>
          <w:b/>
          <w:color w:val="auto"/>
          <w:sz w:val="52"/>
          <w:szCs w:val="52"/>
          <w:highlight w:val="none"/>
        </w:rPr>
        <w:instrText xml:space="preserve"> HYPERLINK "javascript:zxtb('XZXKTYPE_A','%E6%9A%82%E5%AD%98','card1','fc5c1215140948f896b26e64c489f794','readonly')" </w:instrText>
      </w:r>
      <w:r>
        <w:rPr>
          <w:rFonts w:hint="default" w:ascii="Times New Roman" w:hAnsi="Times New Roman" w:cs="Times New Roman" w:eastAsiaTheme="minorEastAsia"/>
          <w:b/>
          <w:color w:val="auto"/>
          <w:sz w:val="52"/>
          <w:szCs w:val="52"/>
          <w:highlight w:val="none"/>
        </w:rPr>
        <w:fldChar w:fldCharType="separate"/>
      </w:r>
      <w:r>
        <w:rPr>
          <w:rFonts w:hint="eastAsia" w:ascii="Times New Roman" w:hAnsi="Times New Roman" w:cs="Times New Roman" w:eastAsiaTheme="minorEastAsia"/>
          <w:b/>
          <w:color w:val="auto"/>
          <w:sz w:val="52"/>
          <w:szCs w:val="52"/>
          <w:highlight w:val="none"/>
          <w:lang w:eastAsia="zh-CN"/>
        </w:rPr>
        <w:t>南通奥庭建材有限公司</w:t>
      </w:r>
      <w:r>
        <w:rPr>
          <w:rFonts w:hint="eastAsia" w:ascii="Times New Roman" w:hAnsi="Times New Roman" w:cs="Times New Roman" w:eastAsiaTheme="minorEastAsia"/>
          <w:b/>
          <w:color w:val="auto"/>
          <w:sz w:val="52"/>
          <w:szCs w:val="52"/>
          <w:highlight w:val="none"/>
        </w:rPr>
        <w:fldChar w:fldCharType="end"/>
      </w:r>
    </w:p>
    <w:p w14:paraId="323DBA98">
      <w:pPr>
        <w:keepNext w:val="0"/>
        <w:keepLines w:val="0"/>
        <w:pageBreakBefore w:val="0"/>
        <w:widowControl/>
        <w:tabs>
          <w:tab w:val="left" w:pos="6360"/>
        </w:tabs>
        <w:kinsoku/>
        <w:wordWrap/>
        <w:overflowPunct/>
        <w:topLinePunct w:val="0"/>
        <w:autoSpaceDE/>
        <w:autoSpaceDN/>
        <w:bidi w:val="0"/>
        <w:adjustRightInd w:val="0"/>
        <w:snapToGrid w:val="0"/>
        <w:spacing w:after="382" w:afterLines="100" w:line="360" w:lineRule="auto"/>
        <w:jc w:val="center"/>
        <w:textAlignment w:val="auto"/>
        <w:rPr>
          <w:rFonts w:hint="default" w:ascii="Times New Roman" w:hAnsi="Times New Roman" w:cs="Times New Roman" w:eastAsiaTheme="minorEastAsia"/>
          <w:b/>
          <w:color w:val="auto"/>
          <w:sz w:val="44"/>
          <w:szCs w:val="44"/>
          <w:highlight w:val="none"/>
        </w:rPr>
      </w:pPr>
      <w:r>
        <w:rPr>
          <w:rFonts w:hint="default" w:ascii="Times New Roman" w:hAnsi="Times New Roman" w:cs="Times New Roman" w:eastAsiaTheme="minorEastAsia"/>
          <w:b/>
          <w:color w:val="auto"/>
          <w:sz w:val="52"/>
          <w:szCs w:val="52"/>
          <w:highlight w:val="none"/>
        </w:rPr>
        <w:t>突发性环境事件应急预案</w:t>
      </w:r>
    </w:p>
    <w:p w14:paraId="508981F2">
      <w:pPr>
        <w:pageBreakBefore w:val="0"/>
        <w:widowControl/>
        <w:tabs>
          <w:tab w:val="left" w:pos="6360"/>
        </w:tabs>
        <w:kinsoku/>
        <w:overflowPunct/>
        <w:bidi w:val="0"/>
        <w:spacing w:line="500" w:lineRule="exact"/>
        <w:jc w:val="left"/>
        <w:rPr>
          <w:rFonts w:hint="default" w:ascii="Times New Roman" w:hAnsi="Times New Roman" w:cs="Times New Roman" w:eastAsiaTheme="minorEastAsia"/>
          <w:color w:val="auto"/>
          <w:sz w:val="24"/>
          <w:szCs w:val="24"/>
          <w:highlight w:val="none"/>
          <w:u w:val="single"/>
        </w:rPr>
      </w:pPr>
    </w:p>
    <w:p w14:paraId="2B0543AD">
      <w:pPr>
        <w:pageBreakBefore w:val="0"/>
        <w:widowControl/>
        <w:kinsoku/>
        <w:overflowPunct/>
        <w:bidi w:val="0"/>
        <w:spacing w:line="500" w:lineRule="exact"/>
        <w:jc w:val="left"/>
        <w:outlineLvl w:val="0"/>
        <w:rPr>
          <w:rFonts w:hint="default" w:ascii="Times New Roman" w:hAnsi="Times New Roman" w:cs="Times New Roman" w:eastAsiaTheme="minorEastAsia"/>
          <w:b/>
          <w:bCs/>
          <w:color w:val="auto"/>
          <w:sz w:val="24"/>
          <w:szCs w:val="24"/>
          <w:highlight w:val="none"/>
        </w:rPr>
      </w:pPr>
    </w:p>
    <w:p w14:paraId="12DAB28B">
      <w:pPr>
        <w:pageBreakBefore w:val="0"/>
        <w:widowControl/>
        <w:kinsoku/>
        <w:overflowPunct/>
        <w:bidi w:val="0"/>
        <w:spacing w:line="500" w:lineRule="exact"/>
        <w:jc w:val="left"/>
        <w:rPr>
          <w:rFonts w:hint="default" w:ascii="Times New Roman" w:hAnsi="Times New Roman" w:cs="Times New Roman" w:eastAsiaTheme="minorEastAsia"/>
          <w:color w:val="auto"/>
          <w:sz w:val="24"/>
          <w:szCs w:val="24"/>
          <w:highlight w:val="none"/>
        </w:rPr>
      </w:pPr>
    </w:p>
    <w:p w14:paraId="22C46394">
      <w:pPr>
        <w:pageBreakBefore w:val="0"/>
        <w:widowControl/>
        <w:kinsoku/>
        <w:overflowPunct/>
        <w:bidi w:val="0"/>
        <w:spacing w:line="500" w:lineRule="exact"/>
        <w:jc w:val="left"/>
        <w:rPr>
          <w:rFonts w:hint="default" w:ascii="Times New Roman" w:hAnsi="Times New Roman" w:cs="Times New Roman" w:eastAsiaTheme="minorEastAsia"/>
          <w:color w:val="auto"/>
          <w:sz w:val="24"/>
          <w:szCs w:val="24"/>
          <w:highlight w:val="none"/>
        </w:rPr>
      </w:pPr>
    </w:p>
    <w:p w14:paraId="56E62330">
      <w:pPr>
        <w:pageBreakBefore w:val="0"/>
        <w:widowControl/>
        <w:kinsoku/>
        <w:overflowPunct/>
        <w:bidi w:val="0"/>
        <w:spacing w:line="500" w:lineRule="exact"/>
        <w:jc w:val="left"/>
        <w:rPr>
          <w:rFonts w:hint="default" w:ascii="Times New Roman" w:hAnsi="Times New Roman" w:cs="Times New Roman" w:eastAsiaTheme="minorEastAsia"/>
          <w:b/>
          <w:color w:val="auto"/>
          <w:sz w:val="24"/>
          <w:szCs w:val="24"/>
          <w:highlight w:val="none"/>
        </w:rPr>
      </w:pPr>
    </w:p>
    <w:p w14:paraId="11A87CCC">
      <w:pPr>
        <w:pageBreakBefore w:val="0"/>
        <w:widowControl/>
        <w:kinsoku/>
        <w:overflowPunct/>
        <w:bidi w:val="0"/>
        <w:spacing w:line="500" w:lineRule="exact"/>
        <w:jc w:val="left"/>
        <w:rPr>
          <w:rFonts w:hint="default" w:ascii="Times New Roman" w:hAnsi="Times New Roman" w:cs="Times New Roman" w:eastAsiaTheme="minorEastAsia"/>
          <w:b/>
          <w:color w:val="auto"/>
          <w:sz w:val="24"/>
          <w:szCs w:val="24"/>
          <w:highlight w:val="none"/>
        </w:rPr>
      </w:pPr>
    </w:p>
    <w:p w14:paraId="26A0EB52">
      <w:pPr>
        <w:pageBreakBefore w:val="0"/>
        <w:widowControl/>
        <w:kinsoku/>
        <w:overflowPunct/>
        <w:bidi w:val="0"/>
        <w:spacing w:line="500" w:lineRule="exact"/>
        <w:jc w:val="left"/>
        <w:rPr>
          <w:rFonts w:hint="default" w:ascii="Times New Roman" w:hAnsi="Times New Roman" w:cs="Times New Roman" w:eastAsiaTheme="minorEastAsia"/>
          <w:b/>
          <w:color w:val="auto"/>
          <w:sz w:val="24"/>
          <w:szCs w:val="24"/>
          <w:highlight w:val="none"/>
        </w:rPr>
      </w:pPr>
    </w:p>
    <w:p w14:paraId="70095E0F">
      <w:pPr>
        <w:pStyle w:val="13"/>
        <w:pageBreakBefore w:val="0"/>
        <w:kinsoku/>
        <w:overflowPunct/>
        <w:bidi w:val="0"/>
        <w:spacing w:line="500" w:lineRule="exact"/>
        <w:ind w:left="0" w:leftChars="0" w:firstLine="0" w:firstLineChars="0"/>
        <w:jc w:val="left"/>
        <w:rPr>
          <w:rFonts w:hint="default" w:ascii="Times New Roman" w:hAnsi="Times New Roman" w:cs="Times New Roman" w:eastAsiaTheme="minorEastAsia"/>
          <w:b/>
          <w:color w:val="auto"/>
          <w:sz w:val="24"/>
          <w:szCs w:val="24"/>
          <w:highlight w:val="none"/>
        </w:rPr>
      </w:pPr>
    </w:p>
    <w:p w14:paraId="2876DA5D">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default" w:ascii="Times New Roman" w:hAnsi="Times New Roman" w:cs="Times New Roman" w:eastAsiaTheme="minorEastAsia"/>
          <w:b/>
          <w:color w:val="auto"/>
          <w:sz w:val="28"/>
          <w:szCs w:val="28"/>
          <w:highlight w:val="none"/>
        </w:rPr>
      </w:pPr>
    </w:p>
    <w:p w14:paraId="285E04DB">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Times New Roman" w:hAnsi="Times New Roman" w:cs="Times New Roman" w:eastAsiaTheme="minorEastAsia"/>
          <w:b/>
          <w:bCs/>
          <w:kern w:val="2"/>
          <w:sz w:val="32"/>
          <w:szCs w:val="32"/>
          <w:lang w:val="en-US" w:eastAsia="zh-CN" w:bidi="ar-SA"/>
        </w:rPr>
      </w:pPr>
      <w:r>
        <w:rPr>
          <w:rFonts w:hint="eastAsia" w:ascii="宋体" w:eastAsia="宋体" w:cs="宋体"/>
          <w:b/>
          <w:bCs/>
          <w:sz w:val="32"/>
          <w:lang w:val="en-US" w:eastAsia="zh-CN"/>
        </w:rPr>
        <w:t>编制</w:t>
      </w:r>
      <w:r>
        <w:rPr>
          <w:rFonts w:hint="eastAsia" w:ascii="宋体" w:hAnsi="宋体" w:eastAsia="宋体" w:cs="宋体"/>
          <w:b/>
          <w:bCs/>
          <w:sz w:val="32"/>
          <w:lang w:val="en-US" w:eastAsia="zh-CN"/>
        </w:rPr>
        <w:t>单位：</w:t>
      </w:r>
      <w:r>
        <w:rPr>
          <w:rFonts w:hint="default" w:ascii="Times New Roman" w:hAnsi="Times New Roman" w:cs="Times New Roman" w:eastAsiaTheme="minorEastAsia"/>
          <w:b/>
          <w:bCs/>
          <w:kern w:val="2"/>
          <w:sz w:val="32"/>
          <w:szCs w:val="32"/>
          <w:lang w:val="en-US" w:eastAsia="zh-CN" w:bidi="ar-SA"/>
        </w:rPr>
        <w:fldChar w:fldCharType="begin"/>
      </w:r>
      <w:r>
        <w:rPr>
          <w:rFonts w:hint="default" w:ascii="Times New Roman" w:hAnsi="Times New Roman" w:cs="Times New Roman" w:eastAsiaTheme="minorEastAsia"/>
          <w:b/>
          <w:bCs/>
          <w:kern w:val="2"/>
          <w:sz w:val="32"/>
          <w:szCs w:val="32"/>
          <w:lang w:val="en-US" w:eastAsia="zh-CN" w:bidi="ar-SA"/>
        </w:rPr>
        <w:instrText xml:space="preserve"> HYPERLINK "javascript:zxtb('XZXKTYPE_A','%E6%9A%82%E5%AD%98','card1','fc5c1215140948f896b26e64c489f794','readonly')" </w:instrText>
      </w:r>
      <w:r>
        <w:rPr>
          <w:rFonts w:hint="default" w:ascii="Times New Roman" w:hAnsi="Times New Roman" w:cs="Times New Roman" w:eastAsiaTheme="minorEastAsia"/>
          <w:b/>
          <w:bCs/>
          <w:kern w:val="2"/>
          <w:sz w:val="32"/>
          <w:szCs w:val="32"/>
          <w:lang w:val="en-US" w:eastAsia="zh-CN" w:bidi="ar-SA"/>
        </w:rPr>
        <w:fldChar w:fldCharType="separate"/>
      </w:r>
      <w:r>
        <w:rPr>
          <w:rFonts w:hint="eastAsia" w:ascii="Times New Roman" w:hAnsi="Times New Roman" w:cs="Times New Roman" w:eastAsiaTheme="minorEastAsia"/>
          <w:b/>
          <w:bCs/>
          <w:kern w:val="2"/>
          <w:sz w:val="32"/>
          <w:szCs w:val="32"/>
          <w:lang w:val="en-US" w:eastAsia="zh-CN" w:bidi="ar-SA"/>
        </w:rPr>
        <w:t>南通奥庭建材有限公司</w:t>
      </w:r>
      <w:r>
        <w:rPr>
          <w:rFonts w:hint="eastAsia" w:ascii="Times New Roman" w:hAnsi="Times New Roman" w:cs="Times New Roman" w:eastAsiaTheme="minorEastAsia"/>
          <w:b/>
          <w:bCs/>
          <w:kern w:val="2"/>
          <w:sz w:val="32"/>
          <w:szCs w:val="32"/>
          <w:lang w:val="en-US" w:eastAsia="zh-CN" w:bidi="ar-SA"/>
        </w:rPr>
        <w:fldChar w:fldCharType="end"/>
      </w:r>
    </w:p>
    <w:p w14:paraId="157906DA">
      <w:pPr>
        <w:pStyle w:val="13"/>
        <w:keepNext w:val="0"/>
        <w:keepLines w:val="0"/>
        <w:pageBreakBefore w:val="0"/>
        <w:widowControl w:val="0"/>
        <w:kinsoku/>
        <w:wordWrap/>
        <w:overflowPunct/>
        <w:topLinePunct w:val="0"/>
        <w:autoSpaceDE w:val="0"/>
        <w:autoSpaceDN w:val="0"/>
        <w:bidi w:val="0"/>
        <w:adjustRightInd/>
        <w:snapToGrid/>
        <w:spacing w:before="11" w:line="360" w:lineRule="auto"/>
        <w:ind w:left="0" w:leftChars="0" w:firstLine="0" w:firstLineChars="0"/>
        <w:jc w:val="center"/>
        <w:textAlignment w:val="auto"/>
        <w:rPr>
          <w:rFonts w:hint="default" w:ascii="宋体" w:hAnsi="宋体" w:eastAsia="宋体" w:cs="宋体"/>
          <w:b/>
          <w:bCs/>
          <w:sz w:val="32"/>
          <w:szCs w:val="22"/>
          <w:lang w:val="en-US" w:eastAsia="zh-CN" w:bidi="zh-CN"/>
        </w:rPr>
      </w:pPr>
      <w:r>
        <w:rPr>
          <w:rFonts w:hint="eastAsia" w:ascii="宋体" w:hAnsi="宋体" w:eastAsia="宋体" w:cs="宋体"/>
          <w:b/>
          <w:bCs/>
          <w:sz w:val="32"/>
          <w:szCs w:val="22"/>
          <w:lang w:val="en-US" w:eastAsia="zh-CN" w:bidi="zh-CN"/>
        </w:rPr>
        <w:t>技术协助单位：</w:t>
      </w:r>
      <w:r>
        <w:rPr>
          <w:rFonts w:hint="eastAsia" w:cs="Times New Roman"/>
          <w:b/>
          <w:bCs/>
          <w:sz w:val="32"/>
          <w:szCs w:val="32"/>
          <w:lang w:val="en-US" w:eastAsia="zh-CN"/>
        </w:rPr>
        <w:t>南通久蓝环保科技有限公司</w:t>
      </w:r>
    </w:p>
    <w:p w14:paraId="01E11BDE">
      <w:pPr>
        <w:spacing w:before="0"/>
        <w:ind w:left="835" w:right="995" w:firstLine="0"/>
        <w:jc w:val="center"/>
        <w:rPr>
          <w:rFonts w:hint="eastAsia" w:ascii="宋体" w:hAnsi="宋体" w:eastAsia="宋体" w:cs="宋体"/>
          <w:b/>
          <w:bCs/>
          <w:sz w:val="32"/>
        </w:rPr>
      </w:pPr>
      <w:r>
        <w:rPr>
          <w:rFonts w:hint="eastAsia" w:ascii="Times New Roman" w:hAnsi="Times New Roman" w:eastAsia="宋体" w:cs="Times New Roman"/>
          <w:b/>
          <w:bCs/>
          <w:sz w:val="32"/>
          <w:szCs w:val="22"/>
          <w:lang w:val="zh-CN" w:eastAsia="zh-CN" w:bidi="zh-CN"/>
        </w:rPr>
        <w:t>2025</w:t>
      </w:r>
      <w:r>
        <w:rPr>
          <w:rFonts w:hint="default" w:ascii="Times New Roman" w:hAnsi="Times New Roman" w:eastAsia="宋体" w:cs="Times New Roman"/>
          <w:b/>
          <w:bCs/>
          <w:sz w:val="32"/>
          <w:szCs w:val="22"/>
          <w:lang w:val="zh-CN" w:eastAsia="zh-CN" w:bidi="zh-CN"/>
        </w:rPr>
        <w:t>年</w:t>
      </w:r>
      <w:r>
        <w:rPr>
          <w:rFonts w:hint="eastAsia" w:ascii="Times New Roman" w:hAnsi="Times New Roman" w:eastAsia="宋体" w:cs="Times New Roman"/>
          <w:b/>
          <w:bCs/>
          <w:sz w:val="32"/>
          <w:szCs w:val="22"/>
          <w:lang w:val="en-US" w:eastAsia="zh-CN" w:bidi="zh-CN"/>
        </w:rPr>
        <w:t>4</w:t>
      </w:r>
      <w:r>
        <w:rPr>
          <w:rFonts w:hint="default" w:ascii="Times New Roman" w:hAnsi="Times New Roman" w:eastAsia="宋体" w:cs="Times New Roman"/>
          <w:b/>
          <w:bCs/>
          <w:sz w:val="32"/>
          <w:szCs w:val="22"/>
          <w:lang w:val="zh-CN" w:eastAsia="zh-CN" w:bidi="zh-CN"/>
        </w:rPr>
        <w:t>月</w:t>
      </w:r>
    </w:p>
    <w:p w14:paraId="24FB1BD4">
      <w:pPr>
        <w:pStyle w:val="13"/>
        <w:rPr>
          <w:rFonts w:hint="default"/>
          <w:color w:val="auto"/>
          <w:highlight w:val="none"/>
        </w:rPr>
      </w:pPr>
    </w:p>
    <w:p w14:paraId="1546C313">
      <w:pPr>
        <w:pageBreakBefore w:val="0"/>
        <w:widowControl/>
        <w:kinsoku/>
        <w:overflowPunct/>
        <w:bidi w:val="0"/>
        <w:adjustRightInd/>
        <w:snapToGrid/>
        <w:spacing w:line="500" w:lineRule="exact"/>
        <w:ind w:firstLine="482"/>
        <w:rPr>
          <w:rFonts w:hint="default" w:ascii="Times New Roman" w:hAnsi="Times New Roman" w:cs="Times New Roman" w:eastAsiaTheme="minorEastAsia"/>
          <w:b/>
          <w:color w:val="auto"/>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74" w:right="1417" w:bottom="1474" w:left="1417" w:header="851" w:footer="992" w:gutter="0"/>
          <w:pgBorders>
            <w:top w:val="none" w:sz="0" w:space="0"/>
            <w:left w:val="none" w:sz="0" w:space="0"/>
            <w:bottom w:val="none" w:sz="0" w:space="0"/>
            <w:right w:val="none" w:sz="0" w:space="0"/>
          </w:pgBorders>
          <w:pgNumType w:start="1"/>
          <w:cols w:space="425" w:num="1"/>
          <w:docGrid w:linePitch="381" w:charSpace="0"/>
        </w:sectPr>
      </w:pPr>
    </w:p>
    <w:p w14:paraId="5595FA60">
      <w:pPr>
        <w:pageBreakBefore w:val="0"/>
        <w:kinsoku/>
        <w:overflowPunct/>
        <w:bidi w:val="0"/>
        <w:spacing w:line="500" w:lineRule="exact"/>
        <w:jc w:val="both"/>
        <w:rPr>
          <w:rFonts w:hint="default" w:ascii="Times New Roman" w:hAnsi="Times New Roman" w:cs="Times New Roman" w:eastAsiaTheme="minorEastAsia"/>
          <w:color w:val="auto"/>
          <w:sz w:val="24"/>
          <w:szCs w:val="24"/>
          <w:highlight w:val="none"/>
        </w:rPr>
      </w:pPr>
    </w:p>
    <w:p w14:paraId="533BB71E">
      <w:pPr>
        <w:pageBreakBefore w:val="0"/>
        <w:kinsoku/>
        <w:overflowPunct/>
        <w:bidi w:val="0"/>
        <w:spacing w:line="500" w:lineRule="exact"/>
        <w:jc w:val="center"/>
        <w:rPr>
          <w:rFonts w:hint="default" w:ascii="Times New Roman" w:hAnsi="Times New Roman" w:cs="Times New Roman" w:eastAsiaTheme="minorEastAsia"/>
          <w:color w:val="auto"/>
          <w:sz w:val="32"/>
          <w:szCs w:val="32"/>
          <w:highlight w:val="none"/>
        </w:rPr>
      </w:pPr>
      <w:r>
        <w:rPr>
          <w:rFonts w:hint="default" w:ascii="Times New Roman" w:hAnsi="Times New Roman" w:cs="Times New Roman" w:eastAsiaTheme="minorEastAsia"/>
          <w:b/>
          <w:bCs/>
          <w:color w:val="auto"/>
          <w:sz w:val="32"/>
          <w:szCs w:val="32"/>
          <w:highlight w:val="none"/>
        </w:rPr>
        <w:t>颁 布 令</w:t>
      </w:r>
    </w:p>
    <w:p w14:paraId="19FEF1EA">
      <w:pPr>
        <w:pStyle w:val="13"/>
        <w:pageBreakBefore w:val="0"/>
        <w:kinsoku/>
        <w:overflowPunct/>
        <w:bidi w:val="0"/>
        <w:spacing w:line="500" w:lineRule="exact"/>
        <w:ind w:left="0" w:leftChars="0" w:firstLine="0" w:firstLineChars="0"/>
        <w:rPr>
          <w:rFonts w:hint="default" w:ascii="Times New Roman" w:hAnsi="Times New Roman" w:cs="Times New Roman" w:eastAsiaTheme="minorEastAsia"/>
          <w:color w:val="auto"/>
          <w:sz w:val="24"/>
          <w:szCs w:val="24"/>
          <w:highlight w:val="none"/>
        </w:rPr>
      </w:pPr>
    </w:p>
    <w:p w14:paraId="621B856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HYPERLINK "javascript:zxtb('XZXKTYPE_A','%E6%9A%82%E5%AD%98','card1','fc5c1215140948f896b26e64c489f794','readonly')" </w:instrText>
      </w:r>
      <w:r>
        <w:rPr>
          <w:rFonts w:hint="default" w:ascii="Times New Roman" w:hAnsi="Times New Roman" w:cs="Times New Roman" w:eastAsiaTheme="minorEastAsia"/>
          <w:color w:val="auto"/>
          <w:kern w:val="0"/>
          <w:sz w:val="24"/>
          <w:szCs w:val="24"/>
          <w:highlight w:val="none"/>
        </w:rPr>
        <w:fldChar w:fldCharType="separate"/>
      </w:r>
      <w:r>
        <w:rPr>
          <w:rFonts w:hint="eastAsia" w:ascii="Times New Roman" w:hAnsi="Times New Roman" w:cs="Times New Roman" w:eastAsiaTheme="minorEastAsia"/>
          <w:color w:val="auto"/>
          <w:kern w:val="0"/>
          <w:sz w:val="24"/>
          <w:szCs w:val="24"/>
          <w:highlight w:val="none"/>
          <w:lang w:eastAsia="zh-CN"/>
        </w:rPr>
        <w:t>南通奥庭建材有限公司</w:t>
      </w:r>
      <w:r>
        <w:rPr>
          <w:rFonts w:hint="eastAsia" w:ascii="Times New Roman" w:hAnsi="Times New Roman" w:cs="Times New Roman" w:eastAsiaTheme="minorEastAsia"/>
          <w:color w:val="auto"/>
          <w:kern w:val="0"/>
          <w:sz w:val="24"/>
          <w:szCs w:val="24"/>
          <w:highlight w:val="none"/>
        </w:rPr>
        <w:fldChar w:fldCharType="end"/>
      </w:r>
      <w:r>
        <w:rPr>
          <w:rFonts w:hint="default" w:ascii="Times New Roman" w:hAnsi="Times New Roman" w:cs="Times New Roman" w:eastAsiaTheme="minorEastAsia"/>
          <w:color w:val="auto"/>
          <w:kern w:val="0"/>
          <w:sz w:val="24"/>
          <w:szCs w:val="24"/>
          <w:highlight w:val="none"/>
        </w:rPr>
        <w:t>突发环境事件应急预案》</w:t>
      </w:r>
      <w:r>
        <w:rPr>
          <w:rFonts w:hint="default" w:ascii="Times New Roman" w:hAnsi="Times New Roman" w:cs="Times New Roman" w:eastAsiaTheme="minorEastAsia"/>
          <w:color w:val="auto"/>
          <w:kern w:val="0"/>
          <w:sz w:val="24"/>
          <w:szCs w:val="24"/>
          <w:highlight w:val="none"/>
          <w:lang w:val="en-US" w:eastAsia="zh-CN"/>
        </w:rPr>
        <w:t>已编制完成</w:t>
      </w:r>
      <w:r>
        <w:rPr>
          <w:rFonts w:hint="default" w:ascii="Times New Roman" w:hAnsi="Times New Roman" w:cs="Times New Roman" w:eastAsiaTheme="minorEastAsia"/>
          <w:color w:val="auto"/>
          <w:kern w:val="0"/>
          <w:sz w:val="24"/>
          <w:szCs w:val="24"/>
          <w:highlight w:val="none"/>
        </w:rPr>
        <w:t>，</w:t>
      </w:r>
      <w:r>
        <w:rPr>
          <w:rFonts w:hint="default" w:ascii="Times New Roman" w:hAnsi="Times New Roman" w:cs="Times New Roman" w:eastAsiaTheme="minorEastAsia"/>
          <w:color w:val="auto"/>
          <w:kern w:val="0"/>
          <w:sz w:val="24"/>
          <w:szCs w:val="24"/>
          <w:highlight w:val="none"/>
          <w:lang w:val="en-US" w:eastAsia="zh-CN"/>
        </w:rPr>
        <w:t>经专家评审通过后上报环保部门备案。本预案是根据公司实际环境风险源情况及可能发生环境事件的严重性所采取的应急行动而制定的指导性文件和行动纲领，是</w:t>
      </w:r>
      <w:r>
        <w:rPr>
          <w:rFonts w:hint="eastAsia" w:ascii="Times New Roman" w:hAnsi="Times New Roman" w:cs="Times New Roman" w:eastAsiaTheme="minorEastAsia"/>
          <w:color w:val="auto"/>
          <w:kern w:val="0"/>
          <w:sz w:val="24"/>
          <w:szCs w:val="24"/>
          <w:highlight w:val="none"/>
          <w:lang w:val="en-US" w:eastAsia="zh-CN"/>
        </w:rPr>
        <w:t>公司</w:t>
      </w:r>
      <w:r>
        <w:rPr>
          <w:rFonts w:hint="default" w:ascii="Times New Roman" w:hAnsi="Times New Roman" w:cs="Times New Roman" w:eastAsiaTheme="minorEastAsia"/>
          <w:color w:val="auto"/>
          <w:kern w:val="0"/>
          <w:sz w:val="24"/>
          <w:szCs w:val="24"/>
          <w:highlight w:val="none"/>
          <w:lang w:val="en-US" w:eastAsia="zh-CN"/>
        </w:rPr>
        <w:t>环境管理的重要文件，也是突发环境事件应急响应的指导性文件。</w:t>
      </w:r>
    </w:p>
    <w:p w14:paraId="5D1E192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
          <w:bCs/>
          <w:color w:val="auto"/>
          <w:kern w:val="0"/>
          <w:sz w:val="24"/>
          <w:szCs w:val="24"/>
          <w:highlight w:val="none"/>
          <w:lang w:bidi="en-US"/>
        </w:rPr>
      </w:pPr>
      <w:r>
        <w:rPr>
          <w:rFonts w:hint="default" w:ascii="Times New Roman" w:hAnsi="Times New Roman" w:cs="Times New Roman" w:eastAsiaTheme="minorEastAsia"/>
          <w:color w:val="auto"/>
          <w:kern w:val="0"/>
          <w:sz w:val="24"/>
          <w:szCs w:val="24"/>
          <w:highlight w:val="none"/>
          <w:lang w:val="en-US" w:eastAsia="zh-CN"/>
        </w:rPr>
        <w:t>本预案自签署之日起发布并生效</w:t>
      </w:r>
      <w:r>
        <w:rPr>
          <w:rFonts w:hint="default" w:ascii="Times New Roman" w:hAnsi="Times New Roman" w:cs="Times New Roman" w:eastAsiaTheme="minorEastAsia"/>
          <w:color w:val="auto"/>
          <w:kern w:val="0"/>
          <w:sz w:val="24"/>
          <w:szCs w:val="24"/>
          <w:highlight w:val="none"/>
        </w:rPr>
        <w:t>，公司全体员工必须认真学习，深入领会，切实贯彻执行。</w:t>
      </w:r>
    </w:p>
    <w:p w14:paraId="0B7DDBF7">
      <w:pPr>
        <w:keepNext w:val="0"/>
        <w:keepLines w:val="0"/>
        <w:pageBreakBefore w:val="0"/>
        <w:widowControl/>
        <w:tabs>
          <w:tab w:val="left" w:pos="6360"/>
        </w:tabs>
        <w:kinsoku/>
        <w:wordWrap/>
        <w:overflowPunct/>
        <w:topLinePunct w:val="0"/>
        <w:autoSpaceDE/>
        <w:autoSpaceDN/>
        <w:bidi w:val="0"/>
        <w:adjustRightInd w:val="0"/>
        <w:snapToGrid w:val="0"/>
        <w:spacing w:line="500" w:lineRule="exact"/>
        <w:ind w:firstLine="0"/>
        <w:jc w:val="left"/>
        <w:textAlignment w:val="auto"/>
        <w:rPr>
          <w:rFonts w:hint="default" w:ascii="Times New Roman" w:hAnsi="Times New Roman" w:cs="Times New Roman" w:eastAsiaTheme="minorEastAsia"/>
          <w:b/>
          <w:bCs/>
          <w:color w:val="auto"/>
          <w:sz w:val="24"/>
          <w:szCs w:val="24"/>
          <w:highlight w:val="none"/>
        </w:rPr>
      </w:pPr>
    </w:p>
    <w:p w14:paraId="6B084477">
      <w:pPr>
        <w:keepNext w:val="0"/>
        <w:keepLines w:val="0"/>
        <w:pageBreakBefore w:val="0"/>
        <w:widowControl/>
        <w:tabs>
          <w:tab w:val="left" w:pos="6360"/>
        </w:tabs>
        <w:kinsoku/>
        <w:wordWrap/>
        <w:overflowPunct/>
        <w:topLinePunct w:val="0"/>
        <w:autoSpaceDE/>
        <w:autoSpaceDN/>
        <w:bidi w:val="0"/>
        <w:adjustRightInd w:val="0"/>
        <w:snapToGrid w:val="0"/>
        <w:spacing w:line="500" w:lineRule="exact"/>
        <w:ind w:firstLine="0"/>
        <w:jc w:val="left"/>
        <w:textAlignment w:val="auto"/>
        <w:rPr>
          <w:rFonts w:hint="default" w:ascii="Times New Roman" w:hAnsi="Times New Roman" w:cs="Times New Roman" w:eastAsiaTheme="minorEastAsia"/>
          <w:b/>
          <w:bCs/>
          <w:color w:val="auto"/>
          <w:sz w:val="24"/>
          <w:szCs w:val="24"/>
          <w:highlight w:val="none"/>
        </w:rPr>
      </w:pPr>
    </w:p>
    <w:p w14:paraId="4CD23D46">
      <w:pPr>
        <w:keepNext w:val="0"/>
        <w:keepLines w:val="0"/>
        <w:pageBreakBefore w:val="0"/>
        <w:widowControl/>
        <w:tabs>
          <w:tab w:val="left" w:pos="6360"/>
        </w:tabs>
        <w:kinsoku/>
        <w:wordWrap/>
        <w:overflowPunct/>
        <w:topLinePunct w:val="0"/>
        <w:autoSpaceDE/>
        <w:autoSpaceDN/>
        <w:bidi w:val="0"/>
        <w:adjustRightInd w:val="0"/>
        <w:snapToGrid w:val="0"/>
        <w:spacing w:line="500" w:lineRule="exact"/>
        <w:ind w:firstLine="0"/>
        <w:jc w:val="left"/>
        <w:textAlignment w:val="auto"/>
        <w:rPr>
          <w:rFonts w:hint="default" w:ascii="Times New Roman" w:hAnsi="Times New Roman" w:cs="Times New Roman" w:eastAsiaTheme="minorEastAsia"/>
          <w:b/>
          <w:bCs/>
          <w:color w:val="auto"/>
          <w:sz w:val="24"/>
          <w:szCs w:val="24"/>
          <w:highlight w:val="none"/>
        </w:rPr>
      </w:pPr>
    </w:p>
    <w:p w14:paraId="76193AFC">
      <w:pPr>
        <w:keepNext w:val="0"/>
        <w:keepLines w:val="0"/>
        <w:pageBreakBefore w:val="0"/>
        <w:widowControl w:val="0"/>
        <w:kinsoku/>
        <w:wordWrap/>
        <w:overflowPunct/>
        <w:topLinePunct w:val="0"/>
        <w:autoSpaceDE w:val="0"/>
        <w:autoSpaceDN w:val="0"/>
        <w:bidi w:val="0"/>
        <w:adjustRightInd w:val="0"/>
        <w:snapToGrid/>
        <w:spacing w:before="382" w:beforeLines="100" w:after="382" w:afterLines="100" w:line="500" w:lineRule="exact"/>
        <w:ind w:firstLine="0" w:firstLineChars="0"/>
        <w:jc w:val="righ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HYPERLINK "javascript:zxtb('XZXKTYPE_A','%E6%9A%82%E5%AD%98','card1','fc5c1215140948f896b26e64c489f794','readonly')" </w:instrText>
      </w:r>
      <w:r>
        <w:rPr>
          <w:rFonts w:hint="default" w:ascii="Times New Roman" w:hAnsi="Times New Roman" w:cs="Times New Roman" w:eastAsiaTheme="minorEastAsia"/>
          <w:color w:val="auto"/>
          <w:kern w:val="0"/>
          <w:sz w:val="24"/>
          <w:szCs w:val="24"/>
          <w:highlight w:val="none"/>
        </w:rPr>
        <w:fldChar w:fldCharType="separate"/>
      </w:r>
      <w:r>
        <w:rPr>
          <w:rFonts w:hint="eastAsia" w:ascii="Times New Roman" w:hAnsi="Times New Roman" w:cs="Times New Roman" w:eastAsiaTheme="minorEastAsia"/>
          <w:color w:val="auto"/>
          <w:kern w:val="0"/>
          <w:sz w:val="24"/>
          <w:szCs w:val="24"/>
          <w:highlight w:val="none"/>
          <w:lang w:eastAsia="zh-CN"/>
        </w:rPr>
        <w:t>南通奥庭建材有限公司</w:t>
      </w:r>
      <w:r>
        <w:rPr>
          <w:rFonts w:hint="eastAsia" w:ascii="Times New Roman" w:hAnsi="Times New Roman" w:cs="Times New Roman" w:eastAsiaTheme="minorEastAsia"/>
          <w:color w:val="auto"/>
          <w:kern w:val="0"/>
          <w:sz w:val="24"/>
          <w:szCs w:val="24"/>
          <w:highlight w:val="none"/>
        </w:rPr>
        <w:fldChar w:fldCharType="end"/>
      </w:r>
      <w:r>
        <w:rPr>
          <w:rFonts w:hint="eastAsia" w:ascii="Times New Roman" w:hAnsi="Times New Roman" w:cs="Times New Roman" w:eastAsiaTheme="minorEastAsia"/>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lang w:val="en-US" w:eastAsia="zh-CN"/>
        </w:rPr>
        <w:t>盖章</w:t>
      </w:r>
      <w:r>
        <w:rPr>
          <w:rFonts w:hint="eastAsia" w:ascii="Times New Roman" w:hAnsi="Times New Roman" w:cs="Times New Roman" w:eastAsiaTheme="minorEastAsia"/>
          <w:color w:val="auto"/>
          <w:kern w:val="0"/>
          <w:sz w:val="24"/>
          <w:szCs w:val="24"/>
          <w:highlight w:val="none"/>
          <w:lang w:eastAsia="zh-CN"/>
        </w:rPr>
        <w:t>）</w:t>
      </w:r>
    </w:p>
    <w:p w14:paraId="73200C3D">
      <w:pPr>
        <w:keepNext w:val="0"/>
        <w:keepLines w:val="0"/>
        <w:pageBreakBefore w:val="0"/>
        <w:widowControl w:val="0"/>
        <w:kinsoku/>
        <w:wordWrap/>
        <w:overflowPunct/>
        <w:topLinePunct w:val="0"/>
        <w:autoSpaceDE w:val="0"/>
        <w:autoSpaceDN w:val="0"/>
        <w:bidi w:val="0"/>
        <w:adjustRightInd w:val="0"/>
        <w:snapToGrid/>
        <w:spacing w:before="382" w:beforeLines="100" w:after="382" w:afterLines="100" w:line="500" w:lineRule="exact"/>
        <w:ind w:firstLine="6000" w:firstLineChars="25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批准签发：</w:t>
      </w:r>
    </w:p>
    <w:p w14:paraId="7D1E3886">
      <w:pPr>
        <w:keepNext w:val="0"/>
        <w:keepLines w:val="0"/>
        <w:pageBreakBefore w:val="0"/>
        <w:widowControl w:val="0"/>
        <w:kinsoku/>
        <w:wordWrap/>
        <w:overflowPunct/>
        <w:topLinePunct w:val="0"/>
        <w:autoSpaceDE w:val="0"/>
        <w:autoSpaceDN w:val="0"/>
        <w:bidi w:val="0"/>
        <w:adjustRightInd w:val="0"/>
        <w:snapToGrid/>
        <w:spacing w:before="382" w:beforeLines="100" w:after="382" w:afterLines="100" w:line="500" w:lineRule="exact"/>
        <w:ind w:firstLine="6960" w:firstLineChars="2900"/>
        <w:jc w:val="both"/>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 xml:space="preserve">年     月     日  </w:t>
      </w:r>
    </w:p>
    <w:p w14:paraId="3AA603A9">
      <w:pPr>
        <w:pageBreakBefore w:val="0"/>
        <w:widowControl/>
        <w:kinsoku/>
        <w:overflowPunct/>
        <w:bidi w:val="0"/>
        <w:adjustRightInd/>
        <w:snapToGrid/>
        <w:spacing w:line="500" w:lineRule="exact"/>
        <w:ind w:firstLine="560"/>
        <w:rPr>
          <w:rFonts w:hint="default" w:ascii="Times New Roman" w:hAnsi="Times New Roman" w:cs="Times New Roman" w:eastAsiaTheme="minorEastAsia"/>
          <w:color w:val="auto"/>
          <w:kern w:val="0"/>
          <w:sz w:val="24"/>
          <w:szCs w:val="24"/>
          <w:highlight w:val="none"/>
        </w:rPr>
      </w:pPr>
    </w:p>
    <w:p w14:paraId="7E46D282">
      <w:pPr>
        <w:pStyle w:val="13"/>
        <w:ind w:left="0" w:leftChars="0" w:firstLine="0" w:firstLineChars="0"/>
        <w:rPr>
          <w:rFonts w:hint="default" w:eastAsiaTheme="minorEastAsia"/>
          <w:color w:val="auto"/>
          <w:highlight w:val="none"/>
          <w:lang w:val="en-US" w:eastAsia="zh-CN"/>
        </w:rPr>
        <w:sectPr>
          <w:footerReference r:id="rId9" w:type="default"/>
          <w:pgSz w:w="11906" w:h="16838"/>
          <w:pgMar w:top="1474" w:right="1417" w:bottom="1474" w:left="1417" w:header="851" w:footer="992" w:gutter="0"/>
          <w:pgBorders>
            <w:top w:val="none" w:sz="0" w:space="0"/>
            <w:left w:val="none" w:sz="0" w:space="0"/>
            <w:bottom w:val="none" w:sz="0" w:space="0"/>
            <w:right w:val="none" w:sz="0" w:space="0"/>
          </w:pgBorders>
          <w:pgNumType w:start="1"/>
          <w:cols w:space="425" w:num="1"/>
          <w:docGrid w:linePitch="381" w:charSpace="0"/>
        </w:sectPr>
      </w:pPr>
      <w:r>
        <w:rPr>
          <w:rFonts w:hint="eastAsia"/>
          <w:color w:val="auto"/>
          <w:highlight w:val="none"/>
          <w:lang w:val="en-US" w:eastAsia="zh-CN"/>
        </w:rPr>
        <w:t xml:space="preserve">                                                                                                                                                                                                                                                                                                                                                                                                                                                                                                                                                                                                                                                                                                                                                                                                                                                                                                                                                                                                                                                                                                                                                                                                                                                                                                                                                                                                                                                                                                                                                                                                                                                                                                                                                                                                                                                                                                                                                                                                                                                                                                                                                                                                                                                                                                                                                                                                                                                                                                                                                                                                                                                                                                                                                                                                                                                                                                                                                                                                                                                                                                                                                                                                                                                                                                                                                                                                                                                                                                                                                                                                                                                                                                                                                                                                                                                                                                                                                                                                                                                                                                                                                                                                                </w:t>
      </w:r>
      <w:r>
        <w:rPr>
          <w:rFonts w:hint="eastAsia"/>
          <w:color w:val="auto"/>
          <w:highlight w:val="none"/>
          <w:lang w:val="en-US" w:eastAsia="zh-CN"/>
        </w:rPr>
        <w:t xml:space="preserve">                                                                                                                                                                                                                                                                                                                                          </w:t>
      </w:r>
    </w:p>
    <w:p w14:paraId="4E384BEB">
      <w:pPr>
        <w:pageBreakBefore w:val="0"/>
        <w:widowControl/>
        <w:kinsoku/>
        <w:overflowPunct/>
        <w:bidi w:val="0"/>
        <w:adjustRightInd/>
        <w:snapToGrid/>
        <w:spacing w:line="500" w:lineRule="exact"/>
        <w:jc w:val="center"/>
        <w:rPr>
          <w:rFonts w:hint="default" w:ascii="Times New Roman" w:hAnsi="Times New Roman" w:cs="Times New Roman" w:eastAsiaTheme="minorEastAsia"/>
          <w:b/>
          <w:color w:val="auto"/>
          <w:sz w:val="32"/>
          <w:szCs w:val="32"/>
          <w:highlight w:val="none"/>
        </w:rPr>
      </w:pPr>
      <w:r>
        <w:rPr>
          <w:rFonts w:hint="default" w:ascii="Times New Roman" w:hAnsi="Times New Roman" w:cs="Times New Roman" w:eastAsiaTheme="minorEastAsia"/>
          <w:b/>
          <w:color w:val="auto"/>
          <w:sz w:val="32"/>
          <w:szCs w:val="32"/>
          <w:highlight w:val="none"/>
        </w:rPr>
        <w:t>目  录</w:t>
      </w:r>
    </w:p>
    <w:p w14:paraId="59808F6F">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TOC \o "1-4" \h \z \u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_Toc8923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 总则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_Toc8923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50DF0BA">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_Toc2683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1.1 编制目的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_Toc2683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F03ED9F">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_Toc24021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1.2 编制依据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_Toc24021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25A5E4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_Toc20934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1.2.1 有关法律法规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_Toc20934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EAC05D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_Toc17897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1.2.2 技术</w:t>
      </w:r>
      <w:r>
        <w:rPr>
          <w:rFonts w:hint="default" w:ascii="Times New Roman" w:hAnsi="Times New Roman" w:eastAsia="宋体" w:cs="Times New Roman"/>
          <w:sz w:val="24"/>
          <w:szCs w:val="24"/>
          <w:highlight w:val="none"/>
          <w:lang w:val="en-US" w:eastAsia="zh-CN"/>
        </w:rPr>
        <w:t>规范</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标准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_Toc17897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64B827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_Toc27594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1.2.3 基础资料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_Toc27594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7C0BEB5">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_Toc23732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1.3 适用范围</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_Toc23732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E0A6051">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_Toc26111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1.3.1 适用范围</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_Toc26111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F0658CF">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_Toc27382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1.3.2 突发环境事件类型、级别</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_Toc27382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E0C6C76">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_Toc6844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1.4 应急预案体系</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_Toc6844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E82123D">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_Toc11223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5工作原则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_Toc11223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63F79AB">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_Toc16886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 组织机构及职责</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_Toc16886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14F4E36">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_Toc25403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2.1 </w:t>
      </w:r>
      <w:r>
        <w:rPr>
          <w:rFonts w:hint="default" w:ascii="Times New Roman" w:hAnsi="Times New Roman" w:eastAsia="宋体" w:cs="Times New Roman"/>
          <w:sz w:val="24"/>
          <w:szCs w:val="24"/>
          <w:highlight w:val="none"/>
          <w:lang w:eastAsia="zh-CN"/>
        </w:rPr>
        <w:t>应急小组</w:t>
      </w:r>
      <w:r>
        <w:rPr>
          <w:rFonts w:hint="default" w:ascii="Times New Roman" w:hAnsi="Times New Roman" w:eastAsia="宋体" w:cs="Times New Roman"/>
          <w:sz w:val="24"/>
          <w:szCs w:val="24"/>
          <w:highlight w:val="none"/>
        </w:rPr>
        <w:t>织指挥体系</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_Toc25403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6AAE3E2">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_Toc21684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z w:val="24"/>
          <w:szCs w:val="24"/>
          <w:highlight w:val="none"/>
          <w:lang w:eastAsia="zh-CN"/>
        </w:rPr>
        <w:t>应急救援指挥组</w:t>
      </w:r>
      <w:r>
        <w:rPr>
          <w:rFonts w:hint="default" w:ascii="Times New Roman" w:hAnsi="Times New Roman" w:eastAsia="宋体" w:cs="Times New Roman"/>
          <w:sz w:val="24"/>
          <w:szCs w:val="24"/>
          <w:highlight w:val="none"/>
        </w:rPr>
        <w:t>成员及主要职责</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_Toc21684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F41009A">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_Toc16348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 xml:space="preserve">.1 </w:t>
      </w:r>
      <w:r>
        <w:rPr>
          <w:rFonts w:hint="default" w:ascii="Times New Roman" w:hAnsi="Times New Roman" w:eastAsia="宋体" w:cs="Times New Roman"/>
          <w:sz w:val="24"/>
          <w:szCs w:val="24"/>
          <w:highlight w:val="none"/>
          <w:lang w:eastAsia="zh-CN"/>
        </w:rPr>
        <w:t>应急救援指挥组</w:t>
      </w:r>
      <w:r>
        <w:rPr>
          <w:rFonts w:hint="default" w:ascii="Times New Roman" w:hAnsi="Times New Roman" w:eastAsia="宋体" w:cs="Times New Roman"/>
          <w:sz w:val="24"/>
          <w:szCs w:val="24"/>
          <w:highlight w:val="none"/>
        </w:rPr>
        <w:t>成员</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_Toc16348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2BC1B63">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_Toc16727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.2 指挥机构的主要职责</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_Toc16727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651221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_Toc12033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.3 各</w:t>
      </w:r>
      <w:r>
        <w:rPr>
          <w:rFonts w:hint="default" w:ascii="Times New Roman" w:hAnsi="Times New Roman" w:eastAsia="宋体" w:cs="Times New Roman"/>
          <w:sz w:val="24"/>
          <w:szCs w:val="24"/>
          <w:highlight w:val="none"/>
          <w:lang w:eastAsia="zh-CN"/>
        </w:rPr>
        <w:t>应急救援指挥组</w:t>
      </w:r>
      <w:r>
        <w:rPr>
          <w:rFonts w:hint="default" w:ascii="Times New Roman" w:hAnsi="Times New Roman" w:eastAsia="宋体" w:cs="Times New Roman"/>
          <w:sz w:val="24"/>
          <w:szCs w:val="24"/>
          <w:highlight w:val="none"/>
        </w:rPr>
        <w:t>主要职责</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_Toc12033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88A7711">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_Toc7909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 xml:space="preserve"> 应急指挥、协调和决策程序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_Toc7909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DF51BE7">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_Toc14082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lang w:val="en-US" w:eastAsia="zh-CN"/>
        </w:rPr>
        <w:t>2.3.1</w:t>
      </w:r>
      <w:r>
        <w:rPr>
          <w:rFonts w:hint="default" w:ascii="Times New Roman" w:hAnsi="Times New Roman" w:eastAsia="宋体" w:cs="Times New Roman"/>
          <w:sz w:val="24"/>
          <w:szCs w:val="24"/>
          <w:lang w:val="zh-CN"/>
        </w:rPr>
        <w:t>政府层面组织指挥机构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_Toc14082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62EEFA6">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_Toc16382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lang w:val="en-US" w:eastAsia="zh-CN"/>
        </w:rPr>
        <w:t>2.3.2</w:t>
      </w:r>
      <w:r>
        <w:rPr>
          <w:rFonts w:hint="default" w:ascii="Times New Roman" w:hAnsi="Times New Roman" w:eastAsia="宋体" w:cs="Times New Roman"/>
          <w:sz w:val="24"/>
          <w:szCs w:val="24"/>
          <w:lang w:val="zh-CN"/>
        </w:rPr>
        <w:t>公司层面组织指挥机构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_Toc16382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16FFAB6">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_Toc22280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lang w:val="en-US" w:eastAsia="zh-CN"/>
        </w:rPr>
        <w:t>2.3.3</w:t>
      </w:r>
      <w:r>
        <w:rPr>
          <w:rFonts w:hint="default" w:ascii="Times New Roman" w:hAnsi="Times New Roman" w:eastAsia="宋体" w:cs="Times New Roman"/>
          <w:sz w:val="24"/>
          <w:szCs w:val="24"/>
        </w:rPr>
        <w:t>车间层面组织指挥机构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_Toc22280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7124A2D">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_Toc18976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外部应急/救援力量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_Toc18976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C00552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_Toc7587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.1 与政府及其有关部门指挥权衔接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_Toc7587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965FCC7">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_Toc23655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rPr>
        <w:t xml:space="preserve"> 专家组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_Toc23655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485F27F">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_Toc29992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 监控预警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C58B05E">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_Toc26858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3.1 监控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_Toc26858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46280A7">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_Toc23550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3.1.1 环境风险源监控措施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_Toc23550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E729113">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_Toc15973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3.1.2 预防措施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_Toc15973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38BA6D6">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_Toc12345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3.2 预警</w:t>
      </w:r>
      <w:r>
        <w:rPr>
          <w:rFonts w:hint="default" w:ascii="Times New Roman" w:hAnsi="Times New Roman" w:eastAsia="宋体" w:cs="Times New Roman"/>
          <w:sz w:val="24"/>
          <w:szCs w:val="24"/>
          <w:highlight w:val="none"/>
          <w:lang w:val="en-US" w:eastAsia="zh-CN"/>
        </w:rPr>
        <w:t>行动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_Toc12345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4E37241">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_Toc27602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3.2.1 预警级别</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_Toc27602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844A594">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_Toc12602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3.2.2 预警发布与解除</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_Toc12602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A6C1256">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_Toc13847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3.2.3 预警措施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_Toc13847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BCA7294">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_Toc12081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3.2.3 极端天气预警响应措施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_Toc12081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CD933E8">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_Toc22530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南通市海安生态环境局发布红色预警期间，企业减排70%，响应措施由应急总指挥（</w:t>
      </w:r>
      <w:r>
        <w:rPr>
          <w:rFonts w:hint="eastAsia" w:eastAsia="宋体" w:cs="Times New Roman"/>
          <w:sz w:val="24"/>
          <w:szCs w:val="24"/>
          <w:highlight w:val="none"/>
          <w:lang w:eastAsia="zh-CN"/>
        </w:rPr>
        <w:t>邹志文</w:t>
      </w:r>
      <w:r>
        <w:rPr>
          <w:rFonts w:hint="default" w:ascii="Times New Roman" w:hAnsi="Times New Roman" w:eastAsia="宋体" w:cs="Times New Roman"/>
          <w:sz w:val="24"/>
          <w:szCs w:val="24"/>
          <w:highlight w:val="none"/>
        </w:rPr>
        <w:t>，</w:t>
      </w:r>
      <w:r>
        <w:rPr>
          <w:rFonts w:hint="eastAsia" w:eastAsia="宋体" w:cs="Times New Roman"/>
          <w:sz w:val="24"/>
          <w:szCs w:val="24"/>
          <w:highlight w:val="none"/>
          <w:lang w:eastAsia="zh-CN"/>
        </w:rPr>
        <w:t>13913779608</w:t>
      </w:r>
      <w:r>
        <w:rPr>
          <w:rFonts w:hint="default" w:ascii="Times New Roman" w:hAnsi="Times New Roman" w:eastAsia="宋体" w:cs="Times New Roman"/>
          <w:sz w:val="24"/>
          <w:szCs w:val="24"/>
          <w:highlight w:val="none"/>
        </w:rPr>
        <w:t>）发布。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_Toc22530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0B1C815">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_Toc24488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报警、通讯联络方式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_Toc24488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EDCB40C">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_Toc18200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3.3.1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24小时有效报警装置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_Toc18200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5450455">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_Toc18316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3.3.2  24小时有效内部、外部通讯联络手段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_Toc18316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5B052B8">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_Toc19475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3.3.3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运输危险</w:t>
      </w:r>
      <w:r>
        <w:rPr>
          <w:rFonts w:hint="default" w:ascii="Times New Roman" w:hAnsi="Times New Roman" w:eastAsia="宋体" w:cs="Times New Roman"/>
          <w:sz w:val="24"/>
          <w:szCs w:val="24"/>
          <w:highlight w:val="none"/>
          <w:lang w:val="en-US" w:eastAsia="zh-CN"/>
        </w:rPr>
        <w:t>化学物质</w:t>
      </w:r>
      <w:r>
        <w:rPr>
          <w:rFonts w:hint="default" w:ascii="Times New Roman" w:hAnsi="Times New Roman" w:eastAsia="宋体" w:cs="Times New Roman"/>
          <w:sz w:val="24"/>
          <w:szCs w:val="24"/>
          <w:highlight w:val="none"/>
        </w:rPr>
        <w:t>、危险废物的驾驶员、押运员报警及与本单位、生产车间、托运方联系的方式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_Toc19475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8B9DAB8">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_Toc28233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 信息报告</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_Toc28233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85F3606">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_Toc29687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4.1信息报告程序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_Toc29687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084F7E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_Toc27377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4.1.1 内部报告</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_Toc27377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EFBF3F0">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_Toc18214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4.1.2 信息上报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_Toc18214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EEF362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_Toc9104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4.1.3 信息通报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_Toc9104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EF4F87A">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_Toc24039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4.2 事件报告内容及方式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_Toc24039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1FB1C42">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_Toc6162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4.3 </w:t>
      </w:r>
      <w:r>
        <w:rPr>
          <w:rFonts w:hint="default" w:ascii="Times New Roman" w:hAnsi="Times New Roman" w:eastAsia="宋体" w:cs="Times New Roman"/>
          <w:sz w:val="24"/>
          <w:szCs w:val="24"/>
          <w:highlight w:val="none"/>
          <w:lang w:eastAsia="zh-CN"/>
        </w:rPr>
        <w:t>公司</w:t>
      </w:r>
      <w:r>
        <w:rPr>
          <w:rFonts w:hint="default" w:ascii="Times New Roman" w:hAnsi="Times New Roman" w:eastAsia="宋体" w:cs="Times New Roman"/>
          <w:sz w:val="24"/>
          <w:szCs w:val="24"/>
          <w:highlight w:val="none"/>
        </w:rPr>
        <w:t>与周边</w:t>
      </w:r>
      <w:r>
        <w:rPr>
          <w:rFonts w:hint="default" w:ascii="Times New Roman" w:hAnsi="Times New Roman" w:eastAsia="宋体" w:cs="Times New Roman"/>
          <w:sz w:val="24"/>
          <w:szCs w:val="24"/>
          <w:highlight w:val="none"/>
          <w:lang w:eastAsia="zh-CN"/>
        </w:rPr>
        <w:t>公司</w:t>
      </w:r>
      <w:r>
        <w:rPr>
          <w:rFonts w:hint="default" w:ascii="Times New Roman" w:hAnsi="Times New Roman" w:eastAsia="宋体" w:cs="Times New Roman"/>
          <w:sz w:val="24"/>
          <w:szCs w:val="24"/>
          <w:highlight w:val="none"/>
        </w:rPr>
        <w:t>应急响应的关系</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_Toc6162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C4BB36D">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_Toc26160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4.4 政府部门介入移交权责及内部调整</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_Toc26160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5E709F3">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_Toc7528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5 环境应急监测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_Toc7528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97F298A">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_Toc3255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5.1 应急监测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CED14A1">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_Toc21204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zh-CN"/>
        </w:rPr>
        <w:t>5.1.1 应急监测</w:t>
      </w:r>
      <w:r>
        <w:rPr>
          <w:rFonts w:hint="default" w:ascii="Times New Roman" w:hAnsi="Times New Roman" w:eastAsia="宋体" w:cs="Times New Roman"/>
          <w:sz w:val="24"/>
          <w:szCs w:val="24"/>
          <w:highlight w:val="none"/>
        </w:rPr>
        <w:t>方案总则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_Toc21204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71ADE0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_Toc2965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zh-CN"/>
        </w:rPr>
        <w:t>5.1.</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lang w:val="zh-CN"/>
        </w:rPr>
        <w:t xml:space="preserve"> 水环境应急监测方案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_Toc2965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36B5AC6">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_Toc10873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zh-CN"/>
        </w:rPr>
        <w:t>5.1.</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lang w:val="zh-CN"/>
        </w:rPr>
        <w:t xml:space="preserve"> 大气应急监测方案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_Toc10873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A494EF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_Toc29444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zh-CN"/>
        </w:rPr>
        <w:t>5.1.</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lang w:val="zh-CN"/>
        </w:rPr>
        <w:t xml:space="preserve"> </w:t>
      </w:r>
      <w:r>
        <w:rPr>
          <w:rFonts w:hint="default" w:ascii="Times New Roman" w:hAnsi="Times New Roman" w:eastAsia="宋体" w:cs="Times New Roman"/>
          <w:sz w:val="24"/>
          <w:szCs w:val="24"/>
          <w:highlight w:val="none"/>
          <w:lang w:val="en-US" w:eastAsia="zh-CN"/>
        </w:rPr>
        <w:t>土壤</w:t>
      </w:r>
      <w:r>
        <w:rPr>
          <w:rFonts w:hint="default" w:ascii="Times New Roman" w:hAnsi="Times New Roman" w:eastAsia="宋体" w:cs="Times New Roman"/>
          <w:sz w:val="24"/>
          <w:szCs w:val="24"/>
          <w:highlight w:val="none"/>
          <w:lang w:val="zh-CN"/>
        </w:rPr>
        <w:t>应急监测方案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_Toc29444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B3103BF">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_Toc26544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zh-CN"/>
        </w:rPr>
        <w:t>5.1.</w:t>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lang w:val="zh-CN"/>
        </w:rPr>
        <w:t xml:space="preserve"> </w:t>
      </w:r>
      <w:r>
        <w:rPr>
          <w:rFonts w:hint="default" w:ascii="Times New Roman" w:hAnsi="Times New Roman" w:eastAsia="宋体" w:cs="Times New Roman"/>
          <w:sz w:val="24"/>
          <w:szCs w:val="24"/>
          <w:highlight w:val="none"/>
          <w:lang w:val="en-US" w:eastAsia="zh-CN"/>
        </w:rPr>
        <w:t>地下水</w:t>
      </w:r>
      <w:r>
        <w:rPr>
          <w:rFonts w:hint="default" w:ascii="Times New Roman" w:hAnsi="Times New Roman" w:eastAsia="宋体" w:cs="Times New Roman"/>
          <w:sz w:val="24"/>
          <w:szCs w:val="24"/>
          <w:highlight w:val="none"/>
          <w:lang w:val="zh-CN"/>
        </w:rPr>
        <w:t>应急监测方案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_Toc26544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3C4DC8A">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_Toc9465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5.2 监测、抢险、救护人员防护、监护措施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_Toc9465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E955F8A">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_Toc18599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 应急响应与措施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_Toc18599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E506FEF">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_Toc685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6.1 响应程序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_Toc685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DB16F07">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_Toc32344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6.2 分级响应</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_Toc32344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00A97D1">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_Toc850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kern w:val="0"/>
          <w:sz w:val="24"/>
          <w:szCs w:val="24"/>
          <w:highlight w:val="none"/>
        </w:rPr>
        <w:t>6.2.1 分级响应机制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_Toc850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8155075">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_Toc27868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6.2.2 </w:t>
      </w:r>
      <w:r>
        <w:rPr>
          <w:rFonts w:hint="default" w:ascii="Times New Roman" w:hAnsi="Times New Roman" w:eastAsia="宋体" w:cs="Times New Roman"/>
          <w:sz w:val="24"/>
          <w:szCs w:val="24"/>
          <w:highlight w:val="none"/>
          <w:lang w:eastAsia="zh-CN"/>
        </w:rPr>
        <w:t>公司</w:t>
      </w:r>
      <w:r>
        <w:rPr>
          <w:rFonts w:hint="default" w:ascii="Times New Roman" w:hAnsi="Times New Roman" w:eastAsia="宋体" w:cs="Times New Roman"/>
          <w:sz w:val="24"/>
          <w:szCs w:val="24"/>
          <w:highlight w:val="none"/>
        </w:rPr>
        <w:t>Ⅲ级响应程序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_Toc27868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14EF31C">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_Toc25991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6.2.3 </w:t>
      </w:r>
      <w:r>
        <w:rPr>
          <w:rFonts w:hint="default" w:ascii="Times New Roman" w:hAnsi="Times New Roman" w:eastAsia="宋体" w:cs="Times New Roman"/>
          <w:sz w:val="24"/>
          <w:szCs w:val="24"/>
          <w:highlight w:val="none"/>
          <w:lang w:eastAsia="zh-CN"/>
        </w:rPr>
        <w:t>公司</w:t>
      </w:r>
      <w:r>
        <w:rPr>
          <w:rFonts w:hint="default" w:ascii="Times New Roman" w:hAnsi="Times New Roman" w:eastAsia="宋体" w:cs="Times New Roman"/>
          <w:sz w:val="24"/>
          <w:szCs w:val="24"/>
          <w:highlight w:val="none"/>
        </w:rPr>
        <w:t>Ⅱ级响应程序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_Toc25991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38490F4">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_Toc16286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6.2.4 </w:t>
      </w:r>
      <w:r>
        <w:rPr>
          <w:rFonts w:hint="default" w:ascii="Times New Roman" w:hAnsi="Times New Roman" w:eastAsia="宋体" w:cs="Times New Roman"/>
          <w:sz w:val="24"/>
          <w:szCs w:val="24"/>
          <w:highlight w:val="none"/>
          <w:lang w:eastAsia="zh-CN"/>
        </w:rPr>
        <w:t>公司</w:t>
      </w:r>
      <w:r>
        <w:rPr>
          <w:rFonts w:hint="default" w:ascii="Times New Roman" w:hAnsi="Times New Roman" w:eastAsia="宋体" w:cs="Times New Roman"/>
          <w:sz w:val="24"/>
          <w:szCs w:val="24"/>
          <w:highlight w:val="none"/>
        </w:rPr>
        <w:t>Ⅰ级及响应程序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_Toc16286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874CF6B">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_Toc31042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6.2.5 指挥与协调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_Toc31042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EE76387">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_Toc30728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6.3 应急处置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_Toc30728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51D1BC6">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_Toc11858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6.3.1 处置原则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_Toc11858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6FB3A04">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_Toc4754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6.3.2 人员紧急疏散、撤离措施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_Toc4754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1B0D83F">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_Toc13221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6.3.3 危险区的隔离措施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_Toc13221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30922F2">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_Toc32102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6.3.4 污染事件保护目标的应急措施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_Toc32102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E71BBA1">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_Toc5612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zh-CN"/>
        </w:rPr>
        <w:t>6.3.4.1</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zh-CN"/>
        </w:rPr>
        <w:t>火灾</w:t>
      </w:r>
      <w:r>
        <w:rPr>
          <w:rFonts w:hint="default" w:ascii="Times New Roman" w:hAnsi="Times New Roman" w:eastAsia="宋体" w:cs="Times New Roman"/>
          <w:sz w:val="24"/>
          <w:szCs w:val="24"/>
          <w:highlight w:val="none"/>
          <w:lang w:val="en-US" w:eastAsia="zh-CN"/>
        </w:rPr>
        <w:t>事故的</w:t>
      </w:r>
      <w:r>
        <w:rPr>
          <w:rFonts w:hint="default" w:ascii="Times New Roman" w:hAnsi="Times New Roman" w:eastAsia="宋体" w:cs="Times New Roman"/>
          <w:sz w:val="24"/>
          <w:szCs w:val="24"/>
          <w:highlight w:val="none"/>
          <w:lang w:val="zh-CN"/>
        </w:rPr>
        <w:t>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_Toc5612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0B9A3DA">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_Toc13547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 xml:space="preserve">6.3.4.2 </w:t>
      </w:r>
      <w:r>
        <w:rPr>
          <w:rFonts w:hint="default" w:ascii="Times New Roman" w:hAnsi="Times New Roman" w:eastAsia="宋体" w:cs="Times New Roman"/>
          <w:sz w:val="24"/>
          <w:szCs w:val="24"/>
          <w:highlight w:val="none"/>
          <w:lang w:val="zh-CN"/>
        </w:rPr>
        <w:t>大气污染事件保护目标的应急措施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_Toc13547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89CE006">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_Toc102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6.3.4.3 水</w:t>
      </w:r>
      <w:r>
        <w:rPr>
          <w:rFonts w:hint="default" w:ascii="Times New Roman" w:hAnsi="Times New Roman" w:eastAsia="宋体" w:cs="Times New Roman"/>
          <w:sz w:val="24"/>
          <w:szCs w:val="24"/>
          <w:highlight w:val="none"/>
          <w:lang w:val="zh-CN"/>
        </w:rPr>
        <w:t>污染事件保护目标的应急措施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504D8AD">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_Toc15872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6.3.4.4 土壤、地下水污染事件保护目标</w:t>
      </w:r>
      <w:r>
        <w:rPr>
          <w:rFonts w:hint="default" w:ascii="Times New Roman" w:hAnsi="Times New Roman" w:eastAsia="宋体" w:cs="Times New Roman"/>
          <w:sz w:val="24"/>
          <w:szCs w:val="24"/>
          <w:highlight w:val="none"/>
          <w:lang w:val="zh-CN"/>
        </w:rPr>
        <w:t>的应急措施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_Toc15872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83DDF33">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_Toc6341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6.3.4.5 化学物质泄漏</w:t>
      </w:r>
      <w:r>
        <w:rPr>
          <w:rFonts w:hint="default" w:ascii="Times New Roman" w:hAnsi="Times New Roman" w:eastAsia="宋体" w:cs="Times New Roman"/>
          <w:sz w:val="24"/>
          <w:szCs w:val="24"/>
          <w:highlight w:val="none"/>
          <w:lang w:val="zh-CN"/>
        </w:rPr>
        <w:t>的应急措施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_Toc6341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DB5E686">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_Toc12969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6.3.4.6 危废泄漏、流失、扩散等</w:t>
      </w:r>
      <w:r>
        <w:rPr>
          <w:rFonts w:hint="default" w:ascii="Times New Roman" w:hAnsi="Times New Roman" w:eastAsia="宋体" w:cs="Times New Roman"/>
          <w:sz w:val="24"/>
          <w:szCs w:val="24"/>
          <w:highlight w:val="none"/>
          <w:lang w:val="zh-CN"/>
        </w:rPr>
        <w:t>的应急措施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_Toc12969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1AC15A3">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_Toc30614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6.3.4.7 废气处理设施异常</w:t>
      </w:r>
      <w:r>
        <w:rPr>
          <w:rFonts w:hint="default" w:ascii="Times New Roman" w:hAnsi="Times New Roman" w:eastAsia="宋体" w:cs="Times New Roman"/>
          <w:sz w:val="24"/>
          <w:szCs w:val="24"/>
          <w:highlight w:val="none"/>
          <w:lang w:val="zh-CN"/>
        </w:rPr>
        <w:t>的应急措施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_Toc30614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A05BA96">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_Toc32117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6.3.5 </w:t>
      </w:r>
      <w:r>
        <w:rPr>
          <w:rFonts w:hint="default" w:ascii="Times New Roman" w:hAnsi="Times New Roman" w:eastAsia="宋体" w:cs="Times New Roman"/>
          <w:kern w:val="0"/>
          <w:sz w:val="24"/>
          <w:szCs w:val="24"/>
          <w:highlight w:val="none"/>
        </w:rPr>
        <w:t>受伤人员现场救护、救治与医院救治措施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_Toc32117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53866C6">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_Toc2195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6.3.6 事故可能扩大后的应急措施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_Toc2195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553C38D">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6.4 应急终止</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D250447">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_Toc15039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6.4.1 应急终止的条件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_Toc15039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793544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_Toc5114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6.4.2 应急终止的程序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_Toc5114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2E89230">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_Toc26183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6.4.3 应急终止的行动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_Toc26183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29E692F">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_Toc16470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6.5 现场保护与现场洗消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_Toc16470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2555B45">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_Toc15989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6.5.1 事故废水、废液、废渣的安全处置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_Toc15989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B6F164D">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_Toc24991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6.6 事故现场保护</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_Toc24991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EFD3FCD">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_Toc6207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6.7 与其他应急预案的衔接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_Toc6207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496390E">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_Toc27128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6.8 </w:t>
      </w:r>
      <w:r>
        <w:rPr>
          <w:rFonts w:hint="default" w:ascii="Times New Roman" w:hAnsi="Times New Roman" w:eastAsia="宋体" w:cs="Times New Roman"/>
          <w:sz w:val="24"/>
          <w:szCs w:val="24"/>
          <w:highlight w:val="none"/>
          <w:lang w:eastAsia="zh-CN"/>
        </w:rPr>
        <w:t>公司</w:t>
      </w:r>
      <w:r>
        <w:rPr>
          <w:rFonts w:hint="default" w:ascii="Times New Roman" w:hAnsi="Times New Roman" w:eastAsia="宋体" w:cs="Times New Roman"/>
          <w:sz w:val="24"/>
          <w:szCs w:val="24"/>
          <w:highlight w:val="none"/>
        </w:rPr>
        <w:t>目前应急能力评估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_Toc27128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72DACF7">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_Toc21039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7 事后恢复</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_Toc21039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8998FDC">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_Toc1748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7.1 善后处理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_Toc1748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0F4B9E2">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_Toc20669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7.2 调查与评估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_Toc20669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143A696">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_Toc27754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7.3 保险理赔</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_Toc27754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E787052">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_Toc23125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7.4 恢复重建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_Toc23125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5A41B8A">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_Toc1579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8保障措施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615F109">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_Toc31607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8.1 人力资源保障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_Toc31607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FCB369D">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_Toc28826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8.2 财力保障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_Toc28826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390B98B">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_Toc13151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8.3 物质保障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_Toc13151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853A2B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_Toc12849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8.3.1 应急设施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_Toc12849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8D28183">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_Toc5960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8.4 报警与照明保障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_Toc5960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E400990">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_Toc24204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8.5 医疗卫生保障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_Toc24204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6E293D3">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_Toc5014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8.6 交通运输保障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_Toc5014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2884D6F">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_Toc18601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8.7 治安维护</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_Toc18601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FAA1AE5">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_Toc3792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8.8 通信保障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_Toc3792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D2CE3BE">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_Toc9833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8.9 外部救援体系周边</w:t>
      </w:r>
      <w:r>
        <w:rPr>
          <w:rFonts w:hint="default" w:ascii="Times New Roman" w:hAnsi="Times New Roman" w:eastAsia="宋体" w:cs="Times New Roman"/>
          <w:sz w:val="24"/>
          <w:szCs w:val="24"/>
          <w:highlight w:val="none"/>
          <w:lang w:eastAsia="zh-CN"/>
        </w:rPr>
        <w:t>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_Toc9833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7191EBE">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_Toc4835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8.10 科技支撑</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_Toc4835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D372A1C">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_Toc8017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8.11 环境应急能力评估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_Toc8017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9C5874D">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_Toc359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kern w:val="0"/>
          <w:sz w:val="24"/>
          <w:szCs w:val="24"/>
          <w:highlight w:val="none"/>
        </w:rPr>
        <w:t>9 预案管理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_Toc359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0ED9A4F">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_Toc3637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9.1培训</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0BBBC98C">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_Toc13071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9.1.1 应急救援指挥组成员的培训</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_Toc13071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0F2A3B4">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_Toc30050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9.1.2 员工的培训</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_Toc30050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3E67970F">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_Toc9140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9.1.3 外部公众的培训</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_Toc9140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B48D46F">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_Toc24841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9.2</w:t>
      </w:r>
      <w:r>
        <w:rPr>
          <w:rFonts w:hint="default" w:ascii="Times New Roman" w:hAnsi="Times New Roman" w:eastAsia="宋体" w:cs="Times New Roman"/>
          <w:sz w:val="24"/>
          <w:szCs w:val="24"/>
          <w:highlight w:val="none"/>
          <w:lang w:val="en-US" w:eastAsia="zh-CN"/>
        </w:rPr>
        <w:t>应急</w:t>
      </w:r>
      <w:r>
        <w:rPr>
          <w:rFonts w:hint="default" w:ascii="Times New Roman" w:hAnsi="Times New Roman" w:eastAsia="宋体" w:cs="Times New Roman"/>
          <w:sz w:val="24"/>
          <w:szCs w:val="24"/>
          <w:highlight w:val="none"/>
        </w:rPr>
        <w:t>演练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_Toc24841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DA51807">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_Toc6041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9.2.1 演练准备内容</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_Toc6041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2BAD3F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_Toc4591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9.2.2 演练方式、范围与频次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_Toc4591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70A1D83">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_Toc19409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9.2.3 演练组织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_Toc19409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2DAC52E1">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_Toc23214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9.2.4 应急演练的评价、总结与追踪</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_Toc23214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F8EAB06">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_Toc4859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9.3 预案的评审、备案、发布和更新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_Toc4859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40210E0">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_Toc11287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9.3.1 内部评审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_Toc11287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12F79065">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_Toc2218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9.3.2 外部评审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_Toc2218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74ABA03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_Toc29035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9.3.3 备案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_Toc29035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4A0CEA2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_Toc6447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9.3.4 更新计划与及时备案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_Toc6447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0198B19">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_Toc9087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9.4 预案的实施和生效日期</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_Toc9087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5761A61B">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360" w:lineRule="exact"/>
        <w:textAlignment w:val="auto"/>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_Toc18598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kern w:val="0"/>
          <w:sz w:val="24"/>
          <w:szCs w:val="24"/>
          <w:highlight w:val="none"/>
        </w:rPr>
        <w:t xml:space="preserve">10 </w:t>
      </w:r>
      <w:r>
        <w:rPr>
          <w:rFonts w:hint="default" w:ascii="Times New Roman" w:hAnsi="Times New Roman" w:eastAsia="宋体" w:cs="Times New Roman"/>
          <w:kern w:val="0"/>
          <w:sz w:val="24"/>
          <w:szCs w:val="24"/>
          <w:highlight w:val="none"/>
          <w:lang w:val="en-US" w:eastAsia="zh-CN"/>
        </w:rPr>
        <w:t>附图、</w:t>
      </w:r>
      <w:r>
        <w:rPr>
          <w:rFonts w:hint="default" w:ascii="Times New Roman" w:hAnsi="Times New Roman" w:eastAsia="宋体" w:cs="Times New Roman"/>
          <w:kern w:val="0"/>
          <w:sz w:val="24"/>
          <w:szCs w:val="24"/>
          <w:highlight w:val="none"/>
        </w:rPr>
        <w:t>附件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_Toc18598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14:paraId="65F8926F">
      <w:pPr>
        <w:pStyle w:val="23"/>
        <w:keepNext w:val="0"/>
        <w:keepLines w:val="0"/>
        <w:pageBreakBefore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eastAsia="宋体" w:cs="Times New Roman"/>
          <w:color w:val="auto"/>
          <w:szCs w:val="24"/>
          <w:highlight w:val="none"/>
        </w:rPr>
        <w:fldChar w:fldCharType="end"/>
      </w:r>
    </w:p>
    <w:p w14:paraId="1ECEF20E">
      <w:pPr>
        <w:pageBreakBefore w:val="0"/>
        <w:kinsoku/>
        <w:overflowPunct/>
        <w:bidi w:val="0"/>
        <w:spacing w:line="500" w:lineRule="exact"/>
        <w:ind w:firstLine="480"/>
        <w:rPr>
          <w:rFonts w:hint="default" w:ascii="Times New Roman" w:hAnsi="Times New Roman" w:cs="Times New Roman" w:eastAsiaTheme="minorEastAsia"/>
          <w:color w:val="auto"/>
          <w:kern w:val="0"/>
          <w:sz w:val="24"/>
          <w:szCs w:val="24"/>
          <w:highlight w:val="none"/>
        </w:rPr>
        <w:sectPr>
          <w:footerReference r:id="rId10" w:type="default"/>
          <w:pgSz w:w="11906" w:h="16838"/>
          <w:pgMar w:top="1474" w:right="1417" w:bottom="1474" w:left="1417" w:header="851" w:footer="992" w:gutter="0"/>
          <w:pgBorders>
            <w:top w:val="none" w:sz="0" w:space="0"/>
            <w:left w:val="none" w:sz="0" w:space="0"/>
            <w:bottom w:val="none" w:sz="0" w:space="0"/>
            <w:right w:val="none" w:sz="0" w:space="0"/>
          </w:pgBorders>
          <w:pgNumType w:start="1"/>
          <w:cols w:space="425" w:num="1"/>
          <w:docGrid w:linePitch="381" w:charSpace="0"/>
        </w:sectPr>
      </w:pPr>
    </w:p>
    <w:bookmarkEnd w:id="0"/>
    <w:bookmarkEnd w:id="1"/>
    <w:p w14:paraId="08E8DA03">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b/>
          <w:bCs/>
          <w:color w:val="auto"/>
          <w:kern w:val="2"/>
          <w:sz w:val="24"/>
          <w:szCs w:val="24"/>
          <w:highlight w:val="none"/>
          <w:lang w:val="en-US" w:eastAsia="zh-CN" w:bidi="ar-SA"/>
        </w:rPr>
      </w:pPr>
      <w:bookmarkStart w:id="2" w:name="_Toc25538"/>
      <w:bookmarkStart w:id="3" w:name="_Toc287102285"/>
      <w:bookmarkStart w:id="4" w:name="_Toc275938102"/>
      <w:bookmarkStart w:id="5" w:name="_Toc21974"/>
      <w:bookmarkStart w:id="6" w:name="_Toc19909"/>
      <w:bookmarkStart w:id="7" w:name="_Toc15629"/>
      <w:bookmarkStart w:id="8" w:name="_Toc1408"/>
      <w:bookmarkStart w:id="9" w:name="_Toc8923"/>
      <w:r>
        <w:rPr>
          <w:rFonts w:hint="default" w:ascii="Times New Roman" w:hAnsi="Times New Roman" w:cs="Times New Roman" w:eastAsiaTheme="minorEastAsia"/>
          <w:color w:val="auto"/>
          <w:sz w:val="24"/>
          <w:szCs w:val="24"/>
          <w:highlight w:val="none"/>
        </w:rPr>
        <w:t>1 总则</w:t>
      </w:r>
      <w:bookmarkEnd w:id="2"/>
      <w:bookmarkEnd w:id="3"/>
      <w:bookmarkEnd w:id="4"/>
      <w:bookmarkEnd w:id="5"/>
      <w:bookmarkEnd w:id="6"/>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TOC \o "1-4" \h \z \u </w:instrText>
      </w:r>
      <w:r>
        <w:rPr>
          <w:rFonts w:hint="default" w:ascii="Times New Roman" w:hAnsi="Times New Roman" w:cs="Times New Roman" w:eastAsiaTheme="minorEastAsia"/>
          <w:color w:val="auto"/>
          <w:sz w:val="24"/>
          <w:szCs w:val="24"/>
          <w:highlight w:val="none"/>
        </w:rPr>
        <w:fldChar w:fldCharType="separate"/>
      </w:r>
      <w:bookmarkEnd w:id="7"/>
      <w:bookmarkEnd w:id="8"/>
      <w:bookmarkEnd w:id="9"/>
      <w:bookmarkStart w:id="10" w:name="_Toc4118"/>
      <w:bookmarkStart w:id="11" w:name="_Toc2683"/>
      <w:bookmarkStart w:id="12" w:name="_Toc22069"/>
    </w:p>
    <w:p w14:paraId="78BED26F">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_Toc19909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 总则</w:t>
      </w:r>
      <w:r>
        <w:tab/>
      </w:r>
      <w:r>
        <w:fldChar w:fldCharType="begin"/>
      </w:r>
      <w:r>
        <w:instrText xml:space="preserve"> PAGEREF _Toc19909 \h </w:instrText>
      </w:r>
      <w:r>
        <w:fldChar w:fldCharType="separate"/>
      </w:r>
      <w:r>
        <w:t>1</w:t>
      </w:r>
      <w:r>
        <w:fldChar w:fldCharType="end"/>
      </w:r>
      <w:r>
        <w:rPr>
          <w:rFonts w:hint="default" w:ascii="Times New Roman" w:hAnsi="Times New Roman" w:cs="Times New Roman" w:eastAsiaTheme="minorEastAsia"/>
          <w:color w:val="auto"/>
          <w:szCs w:val="24"/>
          <w:highlight w:val="none"/>
        </w:rPr>
        <w:fldChar w:fldCharType="end"/>
      </w:r>
    </w:p>
    <w:p w14:paraId="14D1FB85">
      <w:pPr>
        <w:pStyle w:val="23"/>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_Toc14019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1.1 编制目的</w:t>
      </w:r>
      <w:r>
        <w:tab/>
      </w:r>
      <w:r>
        <w:fldChar w:fldCharType="begin"/>
      </w:r>
      <w:r>
        <w:instrText xml:space="preserve"> PAGEREF _Toc14019 \h </w:instrText>
      </w:r>
      <w:r>
        <w:fldChar w:fldCharType="separate"/>
      </w:r>
      <w:r>
        <w:t>4</w:t>
      </w:r>
      <w:r>
        <w:fldChar w:fldCharType="end"/>
      </w:r>
      <w:r>
        <w:rPr>
          <w:rFonts w:hint="default" w:ascii="Times New Roman" w:hAnsi="Times New Roman" w:cs="Times New Roman" w:eastAsiaTheme="minorEastAsia"/>
          <w:color w:val="auto"/>
          <w:szCs w:val="24"/>
          <w:highlight w:val="none"/>
        </w:rPr>
        <w:fldChar w:fldCharType="end"/>
      </w:r>
    </w:p>
    <w:p w14:paraId="6FCEEB7E">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_Toc13741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1.2 编制依据</w:t>
      </w:r>
      <w:r>
        <w:tab/>
      </w:r>
      <w:r>
        <w:fldChar w:fldCharType="begin"/>
      </w:r>
      <w:r>
        <w:instrText xml:space="preserve"> PAGEREF _Toc13741 \h </w:instrText>
      </w:r>
      <w:r>
        <w:fldChar w:fldCharType="separate"/>
      </w:r>
      <w:r>
        <w:t>4</w:t>
      </w:r>
      <w:r>
        <w:fldChar w:fldCharType="end"/>
      </w:r>
      <w:r>
        <w:rPr>
          <w:rFonts w:hint="default" w:ascii="Times New Roman" w:hAnsi="Times New Roman" w:cs="Times New Roman" w:eastAsiaTheme="minorEastAsia"/>
          <w:color w:val="auto"/>
          <w:szCs w:val="24"/>
          <w:highlight w:val="none"/>
        </w:rPr>
        <w:fldChar w:fldCharType="end"/>
      </w:r>
    </w:p>
    <w:p w14:paraId="31D7C94B">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_Toc2292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1.2.1 有关法律法规</w:t>
      </w:r>
      <w:r>
        <w:tab/>
      </w:r>
      <w:r>
        <w:fldChar w:fldCharType="begin"/>
      </w:r>
      <w:r>
        <w:instrText xml:space="preserve"> PAGEREF _Toc2292 \h </w:instrText>
      </w:r>
      <w:r>
        <w:fldChar w:fldCharType="separate"/>
      </w:r>
      <w:r>
        <w:t>4</w:t>
      </w:r>
      <w:r>
        <w:fldChar w:fldCharType="end"/>
      </w:r>
      <w:r>
        <w:rPr>
          <w:rFonts w:hint="default" w:ascii="Times New Roman" w:hAnsi="Times New Roman" w:cs="Times New Roman" w:eastAsiaTheme="minorEastAsia"/>
          <w:color w:val="auto"/>
          <w:szCs w:val="24"/>
          <w:highlight w:val="none"/>
        </w:rPr>
        <w:fldChar w:fldCharType="end"/>
      </w:r>
    </w:p>
    <w:p w14:paraId="0AA577A4">
      <w:pPr>
        <w:pStyle w:val="15"/>
        <w:tabs>
          <w:tab w:val="right" w:leader="dot" w:pos="8788"/>
          <w:tab w:val="clear" w:pos="8296"/>
        </w:tabs>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_Toc13674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1.2.2 技术</w:t>
      </w:r>
      <w:r>
        <w:rPr>
          <w:rFonts w:hint="default" w:ascii="Times New Roman" w:hAnsi="Times New Roman" w:cs="Times New Roman" w:eastAsiaTheme="minorEastAsia"/>
          <w:szCs w:val="24"/>
          <w:highlight w:val="none"/>
          <w:lang w:val="en-US" w:eastAsia="zh-CN"/>
        </w:rPr>
        <w:t>规范</w:t>
      </w:r>
      <w:r>
        <w:rPr>
          <w:rFonts w:hint="default" w:ascii="Times New Roman" w:hAnsi="Times New Roman" w:cs="Times New Roman" w:eastAsiaTheme="minorEastAsia"/>
          <w:szCs w:val="24"/>
          <w:highlight w:val="none"/>
        </w:rPr>
        <w:t>、</w:t>
      </w:r>
      <w:r>
        <w:rPr>
          <w:rFonts w:hint="default" w:ascii="Times New Roman" w:hAnsi="Times New Roman" w:cs="Times New Roman" w:eastAsiaTheme="minorEastAsia"/>
          <w:szCs w:val="24"/>
          <w:highlight w:val="none"/>
          <w:lang w:val="en-US" w:eastAsia="zh-CN"/>
        </w:rPr>
        <w:t>标准</w:t>
      </w:r>
      <w:r>
        <w:rPr>
          <w:rFonts w:hint="default" w:ascii="Times New Roman" w:hAnsi="Times New Roman" w:cs="Times New Roman" w:eastAsiaTheme="minorEastAsia"/>
          <w:szCs w:val="24"/>
          <w:highlight w:val="none"/>
        </w:rPr>
        <w:tab/>
      </w: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PAGEREF _Toc13674 \h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w:t>
      </w:r>
      <w:r>
        <w:rPr>
          <w:rFonts w:hint="default" w:ascii="Times New Roman" w:hAnsi="Times New Roman" w:cs="Times New Roman" w:eastAsiaTheme="minorEastAsia"/>
          <w:szCs w:val="24"/>
          <w:highlight w:val="none"/>
        </w:rPr>
        <w:fldChar w:fldCharType="end"/>
      </w:r>
      <w:r>
        <w:rPr>
          <w:rFonts w:hint="default" w:ascii="Times New Roman" w:hAnsi="Times New Roman" w:cs="Times New Roman" w:eastAsiaTheme="minorEastAsia"/>
          <w:szCs w:val="24"/>
          <w:highlight w:val="none"/>
        </w:rPr>
        <w:fldChar w:fldCharType="end"/>
      </w:r>
    </w:p>
    <w:p w14:paraId="2DAEA319">
      <w:pPr>
        <w:pStyle w:val="15"/>
        <w:tabs>
          <w:tab w:val="right" w:leader="dot" w:pos="8788"/>
          <w:tab w:val="clear" w:pos="8296"/>
        </w:tabs>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_Toc4594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1.2.3 基础资料</w:t>
      </w:r>
      <w:r>
        <w:rPr>
          <w:rFonts w:hint="default" w:ascii="Times New Roman" w:hAnsi="Times New Roman" w:cs="Times New Roman" w:eastAsiaTheme="minorEastAsia"/>
          <w:szCs w:val="24"/>
          <w:highlight w:val="none"/>
        </w:rPr>
        <w:tab/>
      </w: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PAGEREF _Toc4594 \h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7</w:t>
      </w:r>
      <w:r>
        <w:rPr>
          <w:rFonts w:hint="default" w:ascii="Times New Roman" w:hAnsi="Times New Roman" w:cs="Times New Roman" w:eastAsiaTheme="minorEastAsia"/>
          <w:szCs w:val="24"/>
          <w:highlight w:val="none"/>
        </w:rPr>
        <w:fldChar w:fldCharType="end"/>
      </w:r>
      <w:r>
        <w:rPr>
          <w:rFonts w:hint="default" w:ascii="Times New Roman" w:hAnsi="Times New Roman" w:cs="Times New Roman" w:eastAsiaTheme="minorEastAsia"/>
          <w:szCs w:val="24"/>
          <w:highlight w:val="none"/>
        </w:rPr>
        <w:fldChar w:fldCharType="end"/>
      </w:r>
    </w:p>
    <w:p w14:paraId="3E5BE811">
      <w:pPr>
        <w:pStyle w:val="15"/>
        <w:tabs>
          <w:tab w:val="right" w:leader="dot" w:pos="8788"/>
          <w:tab w:val="clear" w:pos="8296"/>
        </w:tabs>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_Toc24752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1.3 适用范围</w:t>
      </w:r>
      <w:r>
        <w:rPr>
          <w:rFonts w:hint="default" w:ascii="Times New Roman" w:hAnsi="Times New Roman" w:cs="Times New Roman" w:eastAsiaTheme="minorEastAsia"/>
          <w:szCs w:val="24"/>
          <w:highlight w:val="none"/>
        </w:rPr>
        <w:tab/>
      </w: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PAGEREF _Toc24752 \h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7</w:t>
      </w:r>
      <w:r>
        <w:rPr>
          <w:rFonts w:hint="default" w:ascii="Times New Roman" w:hAnsi="Times New Roman" w:cs="Times New Roman" w:eastAsiaTheme="minorEastAsia"/>
          <w:szCs w:val="24"/>
          <w:highlight w:val="none"/>
        </w:rPr>
        <w:fldChar w:fldCharType="end"/>
      </w:r>
      <w:r>
        <w:rPr>
          <w:rFonts w:hint="default" w:ascii="Times New Roman" w:hAnsi="Times New Roman" w:cs="Times New Roman" w:eastAsiaTheme="minorEastAsia"/>
          <w:szCs w:val="24"/>
          <w:highlight w:val="none"/>
        </w:rPr>
        <w:fldChar w:fldCharType="end"/>
      </w:r>
    </w:p>
    <w:p w14:paraId="439FA2EA">
      <w:pPr>
        <w:pStyle w:val="15"/>
        <w:tabs>
          <w:tab w:val="right" w:leader="dot" w:pos="8788"/>
          <w:tab w:val="clear" w:pos="8296"/>
        </w:tabs>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_Toc14698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1.3.1 适用范围</w:t>
      </w:r>
      <w:r>
        <w:rPr>
          <w:rFonts w:hint="default" w:ascii="Times New Roman" w:hAnsi="Times New Roman" w:cs="Times New Roman" w:eastAsiaTheme="minorEastAsia"/>
          <w:szCs w:val="24"/>
          <w:highlight w:val="none"/>
        </w:rPr>
        <w:tab/>
      </w: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PAGEREF _Toc14698 \h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7</w:t>
      </w:r>
      <w:r>
        <w:rPr>
          <w:rFonts w:hint="default" w:ascii="Times New Roman" w:hAnsi="Times New Roman" w:cs="Times New Roman" w:eastAsiaTheme="minorEastAsia"/>
          <w:szCs w:val="24"/>
          <w:highlight w:val="none"/>
        </w:rPr>
        <w:fldChar w:fldCharType="end"/>
      </w:r>
      <w:r>
        <w:rPr>
          <w:rFonts w:hint="default" w:ascii="Times New Roman" w:hAnsi="Times New Roman" w:cs="Times New Roman" w:eastAsiaTheme="minorEastAsia"/>
          <w:szCs w:val="24"/>
          <w:highlight w:val="none"/>
        </w:rPr>
        <w:fldChar w:fldCharType="end"/>
      </w:r>
    </w:p>
    <w:p w14:paraId="6902B958">
      <w:pPr>
        <w:pStyle w:val="15"/>
        <w:tabs>
          <w:tab w:val="right" w:leader="dot" w:pos="8788"/>
          <w:tab w:val="clear" w:pos="8296"/>
        </w:tabs>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_Toc19085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1.3.2 突发环境事件类型、级别</w:t>
      </w:r>
      <w:r>
        <w:rPr>
          <w:rFonts w:hint="default" w:ascii="Times New Roman" w:hAnsi="Times New Roman" w:cs="Times New Roman" w:eastAsiaTheme="minorEastAsia"/>
          <w:szCs w:val="24"/>
          <w:highlight w:val="none"/>
        </w:rPr>
        <w:tab/>
      </w: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PAGEREF _Toc19085 \h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w:t>
      </w:r>
      <w:r>
        <w:rPr>
          <w:rFonts w:hint="default" w:ascii="Times New Roman" w:hAnsi="Times New Roman" w:cs="Times New Roman" w:eastAsiaTheme="minorEastAsia"/>
          <w:szCs w:val="24"/>
          <w:highlight w:val="none"/>
        </w:rPr>
        <w:fldChar w:fldCharType="end"/>
      </w:r>
      <w:r>
        <w:rPr>
          <w:rFonts w:hint="default" w:ascii="Times New Roman" w:hAnsi="Times New Roman" w:cs="Times New Roman" w:eastAsiaTheme="minorEastAsia"/>
          <w:szCs w:val="24"/>
          <w:highlight w:val="none"/>
        </w:rPr>
        <w:fldChar w:fldCharType="end"/>
      </w:r>
    </w:p>
    <w:p w14:paraId="653C3329">
      <w:pPr>
        <w:pStyle w:val="15"/>
        <w:tabs>
          <w:tab w:val="right" w:leader="dot" w:pos="8788"/>
          <w:tab w:val="clear" w:pos="8296"/>
        </w:tabs>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_Toc18078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1.4 应急预案体系</w:t>
      </w:r>
      <w:r>
        <w:rPr>
          <w:rFonts w:hint="default" w:ascii="Times New Roman" w:hAnsi="Times New Roman" w:cs="Times New Roman" w:eastAsiaTheme="minorEastAsia"/>
          <w:szCs w:val="24"/>
          <w:highlight w:val="none"/>
        </w:rPr>
        <w:tab/>
      </w: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PAGEREF _Toc18078 \h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14</w:t>
      </w:r>
      <w:r>
        <w:rPr>
          <w:rFonts w:hint="default" w:ascii="Times New Roman" w:hAnsi="Times New Roman" w:cs="Times New Roman" w:eastAsiaTheme="minorEastAsia"/>
          <w:szCs w:val="24"/>
          <w:highlight w:val="none"/>
        </w:rPr>
        <w:fldChar w:fldCharType="end"/>
      </w:r>
      <w:r>
        <w:rPr>
          <w:rFonts w:hint="default" w:ascii="Times New Roman" w:hAnsi="Times New Roman" w:cs="Times New Roman" w:eastAsiaTheme="minorEastAsia"/>
          <w:szCs w:val="24"/>
          <w:highlight w:val="none"/>
        </w:rPr>
        <w:fldChar w:fldCharType="end"/>
      </w:r>
    </w:p>
    <w:p w14:paraId="093C10C7">
      <w:pPr>
        <w:pStyle w:val="15"/>
        <w:tabs>
          <w:tab w:val="right" w:leader="dot" w:pos="8788"/>
          <w:tab w:val="clear" w:pos="8296"/>
        </w:tabs>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_Toc32682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lang w:val="en-US" w:eastAsia="zh-CN"/>
        </w:rPr>
        <w:t>1.</w:t>
      </w:r>
      <w:r>
        <w:rPr>
          <w:rFonts w:hint="default" w:ascii="Times New Roman" w:hAnsi="Times New Roman" w:cs="Times New Roman" w:eastAsiaTheme="minorEastAsia"/>
          <w:szCs w:val="24"/>
          <w:highlight w:val="none"/>
        </w:rPr>
        <w:t>5工作原则</w:t>
      </w:r>
      <w:r>
        <w:rPr>
          <w:rFonts w:hint="default" w:ascii="Times New Roman" w:hAnsi="Times New Roman" w:cs="Times New Roman" w:eastAsiaTheme="minorEastAsia"/>
          <w:szCs w:val="24"/>
          <w:highlight w:val="none"/>
        </w:rPr>
        <w:tab/>
      </w: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PAGEREF _Toc32682 \h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16</w:t>
      </w:r>
      <w:r>
        <w:rPr>
          <w:rFonts w:hint="default" w:ascii="Times New Roman" w:hAnsi="Times New Roman" w:cs="Times New Roman" w:eastAsiaTheme="minorEastAsia"/>
          <w:szCs w:val="24"/>
          <w:highlight w:val="none"/>
        </w:rPr>
        <w:fldChar w:fldCharType="end"/>
      </w:r>
      <w:r>
        <w:rPr>
          <w:rFonts w:hint="default" w:ascii="Times New Roman" w:hAnsi="Times New Roman" w:cs="Times New Roman" w:eastAsiaTheme="minorEastAsia"/>
          <w:szCs w:val="24"/>
          <w:highlight w:val="none"/>
        </w:rPr>
        <w:fldChar w:fldCharType="end"/>
      </w:r>
    </w:p>
    <w:p w14:paraId="52598B73">
      <w:pPr>
        <w:pStyle w:val="15"/>
        <w:tabs>
          <w:tab w:val="right" w:leader="dot" w:pos="8788"/>
          <w:tab w:val="clear" w:pos="8296"/>
        </w:tabs>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_Toc22971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2 组织机构及职责</w:t>
      </w:r>
      <w:r>
        <w:rPr>
          <w:rFonts w:hint="default" w:ascii="Times New Roman" w:hAnsi="Times New Roman" w:cs="Times New Roman" w:eastAsiaTheme="minorEastAsia"/>
          <w:szCs w:val="24"/>
          <w:highlight w:val="none"/>
        </w:rPr>
        <w:tab/>
      </w: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PAGEREF _Toc22971 \h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18</w:t>
      </w:r>
      <w:r>
        <w:rPr>
          <w:rFonts w:hint="default" w:ascii="Times New Roman" w:hAnsi="Times New Roman" w:cs="Times New Roman" w:eastAsiaTheme="minorEastAsia"/>
          <w:szCs w:val="24"/>
          <w:highlight w:val="none"/>
        </w:rPr>
        <w:fldChar w:fldCharType="end"/>
      </w:r>
      <w:r>
        <w:rPr>
          <w:rFonts w:hint="default" w:ascii="Times New Roman" w:hAnsi="Times New Roman" w:cs="Times New Roman" w:eastAsiaTheme="minorEastAsia"/>
          <w:szCs w:val="24"/>
          <w:highlight w:val="none"/>
        </w:rPr>
        <w:fldChar w:fldCharType="end"/>
      </w:r>
    </w:p>
    <w:p w14:paraId="1605B328">
      <w:pPr>
        <w:pStyle w:val="15"/>
        <w:tabs>
          <w:tab w:val="right" w:leader="dot" w:pos="8788"/>
          <w:tab w:val="clear" w:pos="8296"/>
        </w:tabs>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_Toc21786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 xml:space="preserve">2.1 </w:t>
      </w:r>
      <w:r>
        <w:rPr>
          <w:rFonts w:hint="eastAsia" w:ascii="Times New Roman" w:hAnsi="Times New Roman" w:cs="Times New Roman" w:eastAsiaTheme="minorEastAsia"/>
          <w:szCs w:val="24"/>
          <w:highlight w:val="none"/>
          <w:lang w:eastAsia="zh-CN"/>
        </w:rPr>
        <w:t>应急小组</w:t>
      </w:r>
      <w:r>
        <w:rPr>
          <w:rFonts w:hint="default" w:ascii="Times New Roman" w:hAnsi="Times New Roman" w:cs="Times New Roman" w:eastAsiaTheme="minorEastAsia"/>
          <w:szCs w:val="24"/>
          <w:highlight w:val="none"/>
        </w:rPr>
        <w:t>织指挥体系</w:t>
      </w:r>
      <w:r>
        <w:rPr>
          <w:rFonts w:hint="default" w:ascii="Times New Roman" w:hAnsi="Times New Roman" w:cs="Times New Roman" w:eastAsiaTheme="minorEastAsia"/>
          <w:szCs w:val="24"/>
          <w:highlight w:val="none"/>
        </w:rPr>
        <w:tab/>
      </w: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PAGEREF _Toc21786 \h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18</w:t>
      </w:r>
      <w:r>
        <w:rPr>
          <w:rFonts w:hint="default" w:ascii="Times New Roman" w:hAnsi="Times New Roman" w:cs="Times New Roman" w:eastAsiaTheme="minorEastAsia"/>
          <w:szCs w:val="24"/>
          <w:highlight w:val="none"/>
        </w:rPr>
        <w:fldChar w:fldCharType="end"/>
      </w:r>
      <w:r>
        <w:rPr>
          <w:rFonts w:hint="default" w:ascii="Times New Roman" w:hAnsi="Times New Roman" w:cs="Times New Roman" w:eastAsiaTheme="minorEastAsia"/>
          <w:szCs w:val="24"/>
          <w:highlight w:val="none"/>
        </w:rPr>
        <w:fldChar w:fldCharType="end"/>
      </w:r>
    </w:p>
    <w:p w14:paraId="68C6FE56">
      <w:pPr>
        <w:pStyle w:val="15"/>
        <w:tabs>
          <w:tab w:val="right" w:leader="dot" w:pos="8788"/>
          <w:tab w:val="clear" w:pos="8296"/>
        </w:tabs>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_Toc15030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2.</w:t>
      </w:r>
      <w:r>
        <w:rPr>
          <w:rFonts w:hint="eastAsia" w:ascii="Times New Roman" w:hAnsi="Times New Roman" w:cs="Times New Roman" w:eastAsiaTheme="minorEastAsia"/>
          <w:szCs w:val="24"/>
          <w:highlight w:val="none"/>
          <w:lang w:val="en-US" w:eastAsia="zh-CN"/>
        </w:rPr>
        <w:t>2</w:t>
      </w:r>
      <w:r>
        <w:rPr>
          <w:rFonts w:hint="default" w:ascii="Times New Roman" w:hAnsi="Times New Roman" w:cs="Times New Roman" w:eastAsiaTheme="minorEastAsia"/>
          <w:szCs w:val="24"/>
          <w:highlight w:val="none"/>
        </w:rPr>
        <w:t xml:space="preserve"> </w:t>
      </w:r>
      <w:r>
        <w:rPr>
          <w:rFonts w:hint="eastAsia" w:ascii="Times New Roman" w:hAnsi="Times New Roman" w:cs="Times New Roman" w:eastAsiaTheme="minorEastAsia"/>
          <w:szCs w:val="24"/>
          <w:highlight w:val="none"/>
          <w:lang w:eastAsia="zh-CN"/>
        </w:rPr>
        <w:t>应急救援指挥组</w:t>
      </w:r>
      <w:r>
        <w:rPr>
          <w:rFonts w:hint="default" w:ascii="Times New Roman" w:hAnsi="Times New Roman" w:cs="Times New Roman" w:eastAsiaTheme="minorEastAsia"/>
          <w:szCs w:val="24"/>
          <w:highlight w:val="none"/>
        </w:rPr>
        <w:t>成员及主要职责</w:t>
      </w:r>
      <w:r>
        <w:rPr>
          <w:rFonts w:hint="default" w:ascii="Times New Roman" w:hAnsi="Times New Roman" w:cs="Times New Roman" w:eastAsiaTheme="minorEastAsia"/>
          <w:szCs w:val="24"/>
          <w:highlight w:val="none"/>
        </w:rPr>
        <w:tab/>
      </w: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PAGEREF _Toc15030 \h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19</w:t>
      </w:r>
      <w:r>
        <w:rPr>
          <w:rFonts w:hint="default" w:ascii="Times New Roman" w:hAnsi="Times New Roman" w:cs="Times New Roman" w:eastAsiaTheme="minorEastAsia"/>
          <w:szCs w:val="24"/>
          <w:highlight w:val="none"/>
        </w:rPr>
        <w:fldChar w:fldCharType="end"/>
      </w:r>
      <w:r>
        <w:rPr>
          <w:rFonts w:hint="default" w:ascii="Times New Roman" w:hAnsi="Times New Roman" w:cs="Times New Roman" w:eastAsiaTheme="minorEastAsia"/>
          <w:szCs w:val="24"/>
          <w:highlight w:val="none"/>
        </w:rPr>
        <w:fldChar w:fldCharType="end"/>
      </w:r>
    </w:p>
    <w:p w14:paraId="1F720F31">
      <w:pPr>
        <w:pStyle w:val="15"/>
        <w:tabs>
          <w:tab w:val="right" w:leader="dot" w:pos="8788"/>
          <w:tab w:val="clear" w:pos="8296"/>
        </w:tabs>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_Toc25959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2.</w:t>
      </w:r>
      <w:r>
        <w:rPr>
          <w:rFonts w:hint="eastAsia" w:ascii="Times New Roman" w:hAnsi="Times New Roman" w:cs="Times New Roman" w:eastAsiaTheme="minorEastAsia"/>
          <w:szCs w:val="24"/>
          <w:highlight w:val="none"/>
          <w:lang w:val="en-US" w:eastAsia="zh-CN"/>
        </w:rPr>
        <w:t>2</w:t>
      </w:r>
      <w:r>
        <w:rPr>
          <w:rFonts w:hint="default" w:ascii="Times New Roman" w:hAnsi="Times New Roman" w:cs="Times New Roman" w:eastAsiaTheme="minorEastAsia"/>
          <w:szCs w:val="24"/>
          <w:highlight w:val="none"/>
        </w:rPr>
        <w:t xml:space="preserve">.1 </w:t>
      </w:r>
      <w:r>
        <w:rPr>
          <w:rFonts w:hint="eastAsia" w:ascii="Times New Roman" w:hAnsi="Times New Roman" w:cs="Times New Roman" w:eastAsiaTheme="minorEastAsia"/>
          <w:szCs w:val="24"/>
          <w:highlight w:val="none"/>
          <w:lang w:eastAsia="zh-CN"/>
        </w:rPr>
        <w:t>应急救援指挥组</w:t>
      </w:r>
      <w:r>
        <w:rPr>
          <w:rFonts w:hint="default" w:ascii="Times New Roman" w:hAnsi="Times New Roman" w:cs="Times New Roman" w:eastAsiaTheme="minorEastAsia"/>
          <w:szCs w:val="24"/>
          <w:highlight w:val="none"/>
        </w:rPr>
        <w:t>成员</w:t>
      </w:r>
      <w:r>
        <w:rPr>
          <w:rFonts w:hint="default" w:ascii="Times New Roman" w:hAnsi="Times New Roman" w:cs="Times New Roman" w:eastAsiaTheme="minorEastAsia"/>
          <w:szCs w:val="24"/>
          <w:highlight w:val="none"/>
        </w:rPr>
        <w:tab/>
      </w: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PAGEREF _Toc25959 \h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19</w:t>
      </w:r>
      <w:r>
        <w:rPr>
          <w:rFonts w:hint="default" w:ascii="Times New Roman" w:hAnsi="Times New Roman" w:cs="Times New Roman" w:eastAsiaTheme="minorEastAsia"/>
          <w:szCs w:val="24"/>
          <w:highlight w:val="none"/>
        </w:rPr>
        <w:fldChar w:fldCharType="end"/>
      </w:r>
      <w:r>
        <w:rPr>
          <w:rFonts w:hint="default" w:ascii="Times New Roman" w:hAnsi="Times New Roman" w:cs="Times New Roman" w:eastAsiaTheme="minorEastAsia"/>
          <w:szCs w:val="24"/>
          <w:highlight w:val="none"/>
        </w:rPr>
        <w:fldChar w:fldCharType="end"/>
      </w:r>
    </w:p>
    <w:p w14:paraId="2E1A60F8">
      <w:pPr>
        <w:pStyle w:val="15"/>
        <w:tabs>
          <w:tab w:val="right" w:leader="dot" w:pos="8788"/>
          <w:tab w:val="clear" w:pos="8296"/>
        </w:tabs>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_Toc27318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2.</w:t>
      </w:r>
      <w:r>
        <w:rPr>
          <w:rFonts w:hint="eastAsia" w:ascii="Times New Roman" w:hAnsi="Times New Roman" w:cs="Times New Roman" w:eastAsiaTheme="minorEastAsia"/>
          <w:szCs w:val="24"/>
          <w:highlight w:val="none"/>
          <w:lang w:val="en-US" w:eastAsia="zh-CN"/>
        </w:rPr>
        <w:t>2</w:t>
      </w:r>
      <w:r>
        <w:rPr>
          <w:rFonts w:hint="default" w:ascii="Times New Roman" w:hAnsi="Times New Roman" w:cs="Times New Roman" w:eastAsiaTheme="minorEastAsia"/>
          <w:szCs w:val="24"/>
          <w:highlight w:val="none"/>
        </w:rPr>
        <w:t>.2 指挥机构的主要职责</w:t>
      </w:r>
      <w:r>
        <w:rPr>
          <w:rFonts w:hint="default" w:ascii="Times New Roman" w:hAnsi="Times New Roman" w:cs="Times New Roman" w:eastAsiaTheme="minorEastAsia"/>
          <w:szCs w:val="24"/>
          <w:highlight w:val="none"/>
        </w:rPr>
        <w:tab/>
      </w: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PAGEREF _Toc27318 \h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19</w:t>
      </w:r>
      <w:r>
        <w:rPr>
          <w:rFonts w:hint="default" w:ascii="Times New Roman" w:hAnsi="Times New Roman" w:cs="Times New Roman" w:eastAsiaTheme="minorEastAsia"/>
          <w:szCs w:val="24"/>
          <w:highlight w:val="none"/>
        </w:rPr>
        <w:fldChar w:fldCharType="end"/>
      </w:r>
      <w:r>
        <w:rPr>
          <w:rFonts w:hint="default" w:ascii="Times New Roman" w:hAnsi="Times New Roman" w:cs="Times New Roman" w:eastAsiaTheme="minorEastAsia"/>
          <w:szCs w:val="24"/>
          <w:highlight w:val="none"/>
        </w:rPr>
        <w:fldChar w:fldCharType="end"/>
      </w:r>
    </w:p>
    <w:p w14:paraId="0B57BE90">
      <w:pPr>
        <w:pStyle w:val="15"/>
        <w:tabs>
          <w:tab w:val="right" w:leader="dot" w:pos="8788"/>
          <w:tab w:val="clear" w:pos="8296"/>
        </w:tabs>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_Toc17112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2.</w:t>
      </w:r>
      <w:r>
        <w:rPr>
          <w:rFonts w:hint="eastAsia" w:ascii="Times New Roman" w:hAnsi="Times New Roman" w:cs="Times New Roman" w:eastAsiaTheme="minorEastAsia"/>
          <w:szCs w:val="24"/>
          <w:highlight w:val="none"/>
          <w:lang w:val="en-US" w:eastAsia="zh-CN"/>
        </w:rPr>
        <w:t>2</w:t>
      </w:r>
      <w:r>
        <w:rPr>
          <w:rFonts w:hint="default" w:ascii="Times New Roman" w:hAnsi="Times New Roman" w:cs="Times New Roman" w:eastAsiaTheme="minorEastAsia"/>
          <w:szCs w:val="24"/>
          <w:highlight w:val="none"/>
        </w:rPr>
        <w:t>.3 各</w:t>
      </w:r>
      <w:r>
        <w:rPr>
          <w:rFonts w:hint="eastAsia" w:ascii="Times New Roman" w:hAnsi="Times New Roman" w:cs="Times New Roman" w:eastAsiaTheme="minorEastAsia"/>
          <w:szCs w:val="24"/>
          <w:highlight w:val="none"/>
          <w:lang w:eastAsia="zh-CN"/>
        </w:rPr>
        <w:t>应急救援指挥组</w:t>
      </w:r>
      <w:r>
        <w:rPr>
          <w:rFonts w:hint="default" w:ascii="Times New Roman" w:hAnsi="Times New Roman" w:cs="Times New Roman" w:eastAsiaTheme="minorEastAsia"/>
          <w:szCs w:val="24"/>
          <w:highlight w:val="none"/>
        </w:rPr>
        <w:t>主要职责</w:t>
      </w:r>
      <w:r>
        <w:rPr>
          <w:rFonts w:hint="default" w:ascii="Times New Roman" w:hAnsi="Times New Roman" w:cs="Times New Roman" w:eastAsiaTheme="minorEastAsia"/>
          <w:szCs w:val="24"/>
          <w:highlight w:val="none"/>
        </w:rPr>
        <w:tab/>
      </w: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PAGEREF _Toc17112 \h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20</w:t>
      </w:r>
      <w:r>
        <w:rPr>
          <w:rFonts w:hint="default" w:ascii="Times New Roman" w:hAnsi="Times New Roman" w:cs="Times New Roman" w:eastAsiaTheme="minorEastAsia"/>
          <w:szCs w:val="24"/>
          <w:highlight w:val="none"/>
        </w:rPr>
        <w:fldChar w:fldCharType="end"/>
      </w:r>
      <w:r>
        <w:rPr>
          <w:rFonts w:hint="default" w:ascii="Times New Roman" w:hAnsi="Times New Roman" w:cs="Times New Roman" w:eastAsiaTheme="minorEastAsia"/>
          <w:szCs w:val="24"/>
          <w:highlight w:val="none"/>
        </w:rPr>
        <w:fldChar w:fldCharType="end"/>
      </w:r>
    </w:p>
    <w:p w14:paraId="7E3BF702">
      <w:pPr>
        <w:pStyle w:val="15"/>
        <w:tabs>
          <w:tab w:val="right" w:leader="dot" w:pos="8788"/>
          <w:tab w:val="clear" w:pos="8296"/>
        </w:tabs>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_Toc22965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2.</w:t>
      </w:r>
      <w:r>
        <w:rPr>
          <w:rFonts w:hint="eastAsia" w:ascii="Times New Roman" w:hAnsi="Times New Roman" w:cs="Times New Roman" w:eastAsiaTheme="minorEastAsia"/>
          <w:szCs w:val="24"/>
          <w:highlight w:val="none"/>
          <w:lang w:val="en-US" w:eastAsia="zh-CN"/>
        </w:rPr>
        <w:t>3</w:t>
      </w:r>
      <w:r>
        <w:rPr>
          <w:rFonts w:hint="default" w:ascii="Times New Roman" w:hAnsi="Times New Roman" w:cs="Times New Roman" w:eastAsiaTheme="minorEastAsia"/>
          <w:szCs w:val="24"/>
          <w:highlight w:val="none"/>
        </w:rPr>
        <w:t xml:space="preserve"> 应急指挥、协调和决策程序</w:t>
      </w:r>
      <w:r>
        <w:rPr>
          <w:rFonts w:hint="default" w:ascii="Times New Roman" w:hAnsi="Times New Roman" w:cs="Times New Roman" w:eastAsiaTheme="minorEastAsia"/>
          <w:szCs w:val="24"/>
          <w:highlight w:val="none"/>
        </w:rPr>
        <w:tab/>
      </w: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PAGEREF _Toc22965 \h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25</w:t>
      </w:r>
      <w:r>
        <w:rPr>
          <w:rFonts w:hint="default" w:ascii="Times New Roman" w:hAnsi="Times New Roman" w:cs="Times New Roman" w:eastAsiaTheme="minorEastAsia"/>
          <w:szCs w:val="24"/>
          <w:highlight w:val="none"/>
        </w:rPr>
        <w:fldChar w:fldCharType="end"/>
      </w:r>
      <w:r>
        <w:rPr>
          <w:rFonts w:hint="default" w:ascii="Times New Roman" w:hAnsi="Times New Roman" w:cs="Times New Roman" w:eastAsiaTheme="minorEastAsia"/>
          <w:szCs w:val="24"/>
          <w:highlight w:val="none"/>
        </w:rPr>
        <w:fldChar w:fldCharType="end"/>
      </w:r>
    </w:p>
    <w:p w14:paraId="68E81145">
      <w:pPr>
        <w:pStyle w:val="15"/>
        <w:tabs>
          <w:tab w:val="right" w:leader="dot" w:pos="8788"/>
          <w:tab w:val="clear" w:pos="8296"/>
        </w:tabs>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_Toc28933 </w:instrText>
      </w:r>
      <w:r>
        <w:rPr>
          <w:rFonts w:hint="default" w:ascii="Times New Roman" w:hAnsi="Times New Roman" w:cs="Times New Roman" w:eastAsiaTheme="minorEastAsia"/>
          <w:szCs w:val="24"/>
          <w:highlight w:val="none"/>
        </w:rPr>
        <w:fldChar w:fldCharType="separate"/>
      </w:r>
      <w:r>
        <w:rPr>
          <w:rFonts w:hint="eastAsia" w:ascii="Times New Roman" w:hAnsi="Times New Roman" w:cs="Times New Roman" w:eastAsiaTheme="minorEastAsia"/>
          <w:szCs w:val="24"/>
          <w:highlight w:val="none"/>
          <w:lang w:val="en-US" w:eastAsia="zh-CN"/>
        </w:rPr>
        <w:t>2.3.1</w:t>
      </w:r>
      <w:r>
        <w:rPr>
          <w:rFonts w:hint="eastAsia" w:ascii="Times New Roman" w:hAnsi="Times New Roman" w:cs="Times New Roman" w:eastAsiaTheme="minorEastAsia"/>
          <w:szCs w:val="24"/>
          <w:highlight w:val="none"/>
          <w:lang w:val="zh-CN"/>
        </w:rPr>
        <w:t>政府层面组织指挥机构</w:t>
      </w:r>
      <w:r>
        <w:rPr>
          <w:rFonts w:hint="default" w:ascii="Times New Roman" w:hAnsi="Times New Roman" w:cs="Times New Roman" w:eastAsiaTheme="minorEastAsia"/>
          <w:szCs w:val="24"/>
          <w:highlight w:val="none"/>
        </w:rPr>
        <w:tab/>
      </w: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PAGEREF _Toc28933 \h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25</w:t>
      </w:r>
      <w:r>
        <w:rPr>
          <w:rFonts w:hint="default" w:ascii="Times New Roman" w:hAnsi="Times New Roman" w:cs="Times New Roman" w:eastAsiaTheme="minorEastAsia"/>
          <w:szCs w:val="24"/>
          <w:highlight w:val="none"/>
        </w:rPr>
        <w:fldChar w:fldCharType="end"/>
      </w:r>
      <w:r>
        <w:rPr>
          <w:rFonts w:hint="default" w:ascii="Times New Roman" w:hAnsi="Times New Roman" w:cs="Times New Roman" w:eastAsiaTheme="minorEastAsia"/>
          <w:szCs w:val="24"/>
          <w:highlight w:val="none"/>
        </w:rPr>
        <w:fldChar w:fldCharType="end"/>
      </w:r>
    </w:p>
    <w:p w14:paraId="5AEADB5D">
      <w:pPr>
        <w:pStyle w:val="15"/>
        <w:tabs>
          <w:tab w:val="right" w:leader="dot" w:pos="8788"/>
          <w:tab w:val="clear" w:pos="8296"/>
        </w:tabs>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_Toc10830 </w:instrText>
      </w:r>
      <w:r>
        <w:rPr>
          <w:rFonts w:hint="default" w:ascii="Times New Roman" w:hAnsi="Times New Roman" w:cs="Times New Roman" w:eastAsiaTheme="minorEastAsia"/>
          <w:szCs w:val="24"/>
          <w:highlight w:val="none"/>
        </w:rPr>
        <w:fldChar w:fldCharType="separate"/>
      </w:r>
      <w:r>
        <w:rPr>
          <w:rFonts w:hint="eastAsia" w:ascii="Times New Roman" w:hAnsi="Times New Roman" w:cs="Times New Roman" w:eastAsiaTheme="minorEastAsia"/>
          <w:szCs w:val="24"/>
          <w:highlight w:val="none"/>
          <w:lang w:val="en-US" w:eastAsia="zh-CN"/>
        </w:rPr>
        <w:t>2.3.2</w:t>
      </w:r>
      <w:r>
        <w:rPr>
          <w:rFonts w:hint="eastAsia" w:ascii="Times New Roman" w:hAnsi="Times New Roman" w:cs="Times New Roman" w:eastAsiaTheme="minorEastAsia"/>
          <w:szCs w:val="24"/>
          <w:highlight w:val="none"/>
          <w:lang w:val="zh-CN"/>
        </w:rPr>
        <w:t>公司层面组织指挥机构</w:t>
      </w:r>
      <w:r>
        <w:rPr>
          <w:rFonts w:hint="default" w:ascii="Times New Roman" w:hAnsi="Times New Roman" w:cs="Times New Roman" w:eastAsiaTheme="minorEastAsia"/>
          <w:szCs w:val="24"/>
          <w:highlight w:val="none"/>
        </w:rPr>
        <w:tab/>
      </w: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PAGEREF _Toc10830 \h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26</w:t>
      </w:r>
      <w:r>
        <w:rPr>
          <w:rFonts w:hint="default" w:ascii="Times New Roman" w:hAnsi="Times New Roman" w:cs="Times New Roman" w:eastAsiaTheme="minorEastAsia"/>
          <w:szCs w:val="24"/>
          <w:highlight w:val="none"/>
        </w:rPr>
        <w:fldChar w:fldCharType="end"/>
      </w:r>
      <w:r>
        <w:rPr>
          <w:rFonts w:hint="default" w:ascii="Times New Roman" w:hAnsi="Times New Roman" w:cs="Times New Roman" w:eastAsiaTheme="minorEastAsia"/>
          <w:szCs w:val="24"/>
          <w:highlight w:val="none"/>
        </w:rPr>
        <w:fldChar w:fldCharType="end"/>
      </w:r>
    </w:p>
    <w:p w14:paraId="53A4E009">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_Toc2041 </w:instrText>
      </w:r>
      <w:r>
        <w:rPr>
          <w:rFonts w:hint="default" w:ascii="Times New Roman" w:hAnsi="Times New Roman" w:cs="Times New Roman" w:eastAsiaTheme="minorEastAsia"/>
          <w:szCs w:val="24"/>
          <w:highlight w:val="none"/>
        </w:rPr>
        <w:fldChar w:fldCharType="separate"/>
      </w:r>
      <w:r>
        <w:rPr>
          <w:rFonts w:hint="eastAsia" w:ascii="Times New Roman" w:hAnsi="Times New Roman" w:eastAsia="宋体" w:cs="Times New Roman"/>
          <w:szCs w:val="28"/>
          <w:lang w:val="en-US" w:eastAsia="zh-CN"/>
        </w:rPr>
        <w:t>2.3.3</w:t>
      </w:r>
      <w:r>
        <w:rPr>
          <w:rFonts w:hint="default" w:ascii="Times New Roman" w:hAnsi="Times New Roman" w:eastAsia="宋体" w:cs="Times New Roman"/>
          <w:szCs w:val="28"/>
        </w:rPr>
        <w:t>车间层面组织指挥机构</w:t>
      </w:r>
      <w:r>
        <w:tab/>
      </w:r>
      <w:r>
        <w:fldChar w:fldCharType="begin"/>
      </w:r>
      <w:r>
        <w:instrText xml:space="preserve"> PAGEREF _Toc2041 \h </w:instrText>
      </w:r>
      <w:r>
        <w:fldChar w:fldCharType="separate"/>
      </w:r>
      <w:r>
        <w:t>26</w:t>
      </w:r>
      <w:r>
        <w:fldChar w:fldCharType="end"/>
      </w:r>
      <w:r>
        <w:rPr>
          <w:rFonts w:hint="default" w:ascii="Times New Roman" w:hAnsi="Times New Roman" w:cs="Times New Roman" w:eastAsiaTheme="minorEastAsia"/>
          <w:color w:val="auto"/>
          <w:szCs w:val="24"/>
          <w:highlight w:val="none"/>
        </w:rPr>
        <w:fldChar w:fldCharType="end"/>
      </w:r>
    </w:p>
    <w:p w14:paraId="33F80565">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_Toc31953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2.</w:t>
      </w:r>
      <w:r>
        <w:rPr>
          <w:rFonts w:hint="eastAsia" w:cs="Times New Roman"/>
          <w:szCs w:val="24"/>
          <w:highlight w:val="none"/>
          <w:lang w:val="en-US" w:eastAsia="zh-CN"/>
        </w:rPr>
        <w:t>4</w:t>
      </w:r>
      <w:r>
        <w:rPr>
          <w:rFonts w:hint="default" w:ascii="Times New Roman" w:hAnsi="Times New Roman" w:cs="Times New Roman" w:eastAsiaTheme="minorEastAsia"/>
          <w:szCs w:val="24"/>
          <w:highlight w:val="none"/>
        </w:rPr>
        <w:t>外部应急/救援力量</w:t>
      </w:r>
      <w:r>
        <w:tab/>
      </w:r>
      <w:r>
        <w:fldChar w:fldCharType="begin"/>
      </w:r>
      <w:r>
        <w:instrText xml:space="preserve"> PAGEREF _Toc31953 \h </w:instrText>
      </w:r>
      <w:r>
        <w:fldChar w:fldCharType="separate"/>
      </w:r>
      <w:r>
        <w:t>27</w:t>
      </w:r>
      <w:r>
        <w:fldChar w:fldCharType="end"/>
      </w:r>
      <w:r>
        <w:rPr>
          <w:rFonts w:hint="default" w:ascii="Times New Roman" w:hAnsi="Times New Roman" w:cs="Times New Roman" w:eastAsiaTheme="minorEastAsia"/>
          <w:color w:val="auto"/>
          <w:szCs w:val="24"/>
          <w:highlight w:val="none"/>
        </w:rPr>
        <w:fldChar w:fldCharType="end"/>
      </w:r>
    </w:p>
    <w:p w14:paraId="7E5DA010">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_Toc13680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2.</w:t>
      </w:r>
      <w:r>
        <w:rPr>
          <w:rFonts w:hint="eastAsia" w:cs="Times New Roman"/>
          <w:szCs w:val="24"/>
          <w:highlight w:val="none"/>
          <w:lang w:val="en-US" w:eastAsia="zh-CN"/>
        </w:rPr>
        <w:t>4</w:t>
      </w:r>
      <w:r>
        <w:rPr>
          <w:rFonts w:hint="default" w:ascii="Times New Roman" w:hAnsi="Times New Roman" w:cs="Times New Roman" w:eastAsiaTheme="minorEastAsia"/>
          <w:szCs w:val="24"/>
          <w:highlight w:val="none"/>
        </w:rPr>
        <w:t>.1 与政府及其有关部门指挥权衔接</w:t>
      </w:r>
      <w:r>
        <w:tab/>
      </w:r>
      <w:r>
        <w:fldChar w:fldCharType="begin"/>
      </w:r>
      <w:r>
        <w:instrText xml:space="preserve"> PAGEREF _Toc13680 \h </w:instrText>
      </w:r>
      <w:r>
        <w:fldChar w:fldCharType="separate"/>
      </w:r>
      <w:r>
        <w:t>27</w:t>
      </w:r>
      <w:r>
        <w:fldChar w:fldCharType="end"/>
      </w:r>
      <w:r>
        <w:rPr>
          <w:rFonts w:hint="default" w:ascii="Times New Roman" w:hAnsi="Times New Roman" w:cs="Times New Roman" w:eastAsiaTheme="minorEastAsia"/>
          <w:color w:val="auto"/>
          <w:szCs w:val="24"/>
          <w:highlight w:val="none"/>
        </w:rPr>
        <w:fldChar w:fldCharType="end"/>
      </w:r>
    </w:p>
    <w:p w14:paraId="75C7AC14">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_Toc17422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2.</w:t>
      </w:r>
      <w:r>
        <w:rPr>
          <w:rFonts w:hint="eastAsia" w:cs="Times New Roman"/>
          <w:szCs w:val="24"/>
          <w:highlight w:val="none"/>
          <w:lang w:val="en-US" w:eastAsia="zh-CN"/>
        </w:rPr>
        <w:t>5</w:t>
      </w:r>
      <w:r>
        <w:rPr>
          <w:rFonts w:hint="default" w:ascii="Times New Roman" w:hAnsi="Times New Roman" w:cs="Times New Roman" w:eastAsiaTheme="minorEastAsia"/>
          <w:szCs w:val="24"/>
          <w:highlight w:val="none"/>
        </w:rPr>
        <w:t xml:space="preserve"> 专家组</w:t>
      </w:r>
      <w:r>
        <w:tab/>
      </w:r>
      <w:r>
        <w:fldChar w:fldCharType="begin"/>
      </w:r>
      <w:r>
        <w:instrText xml:space="preserve"> PAGEREF _Toc17422 \h </w:instrText>
      </w:r>
      <w:r>
        <w:fldChar w:fldCharType="separate"/>
      </w:r>
      <w:r>
        <w:t>28</w:t>
      </w:r>
      <w:r>
        <w:fldChar w:fldCharType="end"/>
      </w:r>
      <w:r>
        <w:rPr>
          <w:rFonts w:hint="default" w:ascii="Times New Roman" w:hAnsi="Times New Roman" w:cs="Times New Roman" w:eastAsiaTheme="minorEastAsia"/>
          <w:color w:val="auto"/>
          <w:szCs w:val="24"/>
          <w:highlight w:val="none"/>
        </w:rPr>
        <w:fldChar w:fldCharType="end"/>
      </w:r>
    </w:p>
    <w:p w14:paraId="584471B0">
      <w:pPr>
        <w:pStyle w:val="23"/>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_Toc13554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8"/>
          <w:highlight w:val="none"/>
        </w:rPr>
        <w:t>3 监控预警</w:t>
      </w:r>
      <w:r>
        <w:tab/>
      </w:r>
      <w:r>
        <w:fldChar w:fldCharType="begin"/>
      </w:r>
      <w:r>
        <w:instrText xml:space="preserve"> PAGEREF _Toc13554 \h </w:instrText>
      </w:r>
      <w:r>
        <w:fldChar w:fldCharType="separate"/>
      </w:r>
      <w:r>
        <w:t>29</w:t>
      </w:r>
      <w:r>
        <w:fldChar w:fldCharType="end"/>
      </w:r>
      <w:r>
        <w:rPr>
          <w:rFonts w:hint="default" w:ascii="Times New Roman" w:hAnsi="Times New Roman" w:cs="Times New Roman" w:eastAsiaTheme="minorEastAsia"/>
          <w:color w:val="auto"/>
          <w:szCs w:val="24"/>
          <w:highlight w:val="none"/>
        </w:rPr>
        <w:fldChar w:fldCharType="end"/>
      </w:r>
    </w:p>
    <w:p w14:paraId="4AB92108">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_Toc31103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3.1 监控</w:t>
      </w:r>
      <w:r>
        <w:tab/>
      </w:r>
      <w:r>
        <w:fldChar w:fldCharType="begin"/>
      </w:r>
      <w:r>
        <w:instrText xml:space="preserve"> PAGEREF _Toc31103 \h </w:instrText>
      </w:r>
      <w:r>
        <w:fldChar w:fldCharType="separate"/>
      </w:r>
      <w:r>
        <w:t>29</w:t>
      </w:r>
      <w:r>
        <w:fldChar w:fldCharType="end"/>
      </w:r>
      <w:r>
        <w:rPr>
          <w:rFonts w:hint="default" w:ascii="Times New Roman" w:hAnsi="Times New Roman" w:cs="Times New Roman" w:eastAsiaTheme="minorEastAsia"/>
          <w:color w:val="auto"/>
          <w:szCs w:val="24"/>
          <w:highlight w:val="none"/>
        </w:rPr>
        <w:fldChar w:fldCharType="end"/>
      </w:r>
    </w:p>
    <w:p w14:paraId="38E4BE0F">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_Toc24025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3.1.1 环境风险源监控措施</w:t>
      </w:r>
      <w:r>
        <w:tab/>
      </w:r>
      <w:r>
        <w:fldChar w:fldCharType="begin"/>
      </w:r>
      <w:r>
        <w:instrText xml:space="preserve"> PAGEREF _Toc24025 \h </w:instrText>
      </w:r>
      <w:r>
        <w:fldChar w:fldCharType="separate"/>
      </w:r>
      <w:r>
        <w:t>29</w:t>
      </w:r>
      <w:r>
        <w:fldChar w:fldCharType="end"/>
      </w:r>
      <w:r>
        <w:rPr>
          <w:rFonts w:hint="default" w:ascii="Times New Roman" w:hAnsi="Times New Roman" w:cs="Times New Roman" w:eastAsiaTheme="minorEastAsia"/>
          <w:color w:val="auto"/>
          <w:szCs w:val="24"/>
          <w:highlight w:val="none"/>
        </w:rPr>
        <w:fldChar w:fldCharType="end"/>
      </w:r>
    </w:p>
    <w:p w14:paraId="17FE90AF">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_Toc29623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3.1.2 预防措施</w:t>
      </w:r>
      <w:r>
        <w:tab/>
      </w:r>
      <w:r>
        <w:fldChar w:fldCharType="begin"/>
      </w:r>
      <w:r>
        <w:instrText xml:space="preserve"> PAGEREF _Toc29623 \h </w:instrText>
      </w:r>
      <w:r>
        <w:fldChar w:fldCharType="separate"/>
      </w:r>
      <w:r>
        <w:t>30</w:t>
      </w:r>
      <w:r>
        <w:fldChar w:fldCharType="end"/>
      </w:r>
      <w:r>
        <w:rPr>
          <w:rFonts w:hint="default" w:ascii="Times New Roman" w:hAnsi="Times New Roman" w:cs="Times New Roman" w:eastAsiaTheme="minorEastAsia"/>
          <w:color w:val="auto"/>
          <w:szCs w:val="24"/>
          <w:highlight w:val="none"/>
        </w:rPr>
        <w:fldChar w:fldCharType="end"/>
      </w:r>
    </w:p>
    <w:p w14:paraId="787E375D">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_Toc7818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3.2 预警</w:t>
      </w:r>
      <w:r>
        <w:rPr>
          <w:rFonts w:hint="eastAsia" w:ascii="Times New Roman" w:hAnsi="Times New Roman" w:cs="Times New Roman"/>
          <w:szCs w:val="24"/>
          <w:highlight w:val="none"/>
          <w:lang w:val="en-US" w:eastAsia="zh-CN"/>
        </w:rPr>
        <w:t>行动</w:t>
      </w:r>
      <w:r>
        <w:tab/>
      </w:r>
      <w:r>
        <w:fldChar w:fldCharType="begin"/>
      </w:r>
      <w:r>
        <w:instrText xml:space="preserve"> PAGEREF _Toc7818 \h </w:instrText>
      </w:r>
      <w:r>
        <w:fldChar w:fldCharType="separate"/>
      </w:r>
      <w:r>
        <w:t>33</w:t>
      </w:r>
      <w:r>
        <w:fldChar w:fldCharType="end"/>
      </w:r>
      <w:r>
        <w:rPr>
          <w:rFonts w:hint="default" w:ascii="Times New Roman" w:hAnsi="Times New Roman" w:cs="Times New Roman" w:eastAsiaTheme="minorEastAsia"/>
          <w:color w:val="auto"/>
          <w:szCs w:val="24"/>
          <w:highlight w:val="none"/>
        </w:rPr>
        <w:fldChar w:fldCharType="end"/>
      </w:r>
    </w:p>
    <w:p w14:paraId="27580D32">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_Toc31033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3.2.1 预警级别</w:t>
      </w:r>
      <w:r>
        <w:tab/>
      </w:r>
      <w:r>
        <w:fldChar w:fldCharType="begin"/>
      </w:r>
      <w:r>
        <w:instrText xml:space="preserve"> PAGEREF _Toc31033 \h </w:instrText>
      </w:r>
      <w:r>
        <w:fldChar w:fldCharType="separate"/>
      </w:r>
      <w:r>
        <w:t>33</w:t>
      </w:r>
      <w:r>
        <w:fldChar w:fldCharType="end"/>
      </w:r>
      <w:r>
        <w:rPr>
          <w:rFonts w:hint="default" w:ascii="Times New Roman" w:hAnsi="Times New Roman" w:cs="Times New Roman" w:eastAsiaTheme="minorEastAsia"/>
          <w:color w:val="auto"/>
          <w:szCs w:val="24"/>
          <w:highlight w:val="none"/>
        </w:rPr>
        <w:fldChar w:fldCharType="end"/>
      </w:r>
    </w:p>
    <w:p w14:paraId="4B094F62">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_Toc13924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3.2.2 预警发布与解除</w:t>
      </w:r>
      <w:r>
        <w:tab/>
      </w:r>
      <w:r>
        <w:fldChar w:fldCharType="begin"/>
      </w:r>
      <w:r>
        <w:instrText xml:space="preserve"> PAGEREF _Toc13924 \h </w:instrText>
      </w:r>
      <w:r>
        <w:fldChar w:fldCharType="separate"/>
      </w:r>
      <w:r>
        <w:t>34</w:t>
      </w:r>
      <w:r>
        <w:fldChar w:fldCharType="end"/>
      </w:r>
      <w:r>
        <w:rPr>
          <w:rFonts w:hint="default" w:ascii="Times New Roman" w:hAnsi="Times New Roman" w:cs="Times New Roman" w:eastAsiaTheme="minorEastAsia"/>
          <w:color w:val="auto"/>
          <w:szCs w:val="24"/>
          <w:highlight w:val="none"/>
        </w:rPr>
        <w:fldChar w:fldCharType="end"/>
      </w:r>
    </w:p>
    <w:p w14:paraId="251CE9F7">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_Toc15147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3.2.3 预警措施</w:t>
      </w:r>
      <w:r>
        <w:tab/>
      </w:r>
      <w:r>
        <w:fldChar w:fldCharType="begin"/>
      </w:r>
      <w:r>
        <w:instrText xml:space="preserve"> PAGEREF _Toc15147 \h </w:instrText>
      </w:r>
      <w:r>
        <w:fldChar w:fldCharType="separate"/>
      </w:r>
      <w:r>
        <w:t>36</w:t>
      </w:r>
      <w:r>
        <w:fldChar w:fldCharType="end"/>
      </w:r>
      <w:r>
        <w:rPr>
          <w:rFonts w:hint="default" w:ascii="Times New Roman" w:hAnsi="Times New Roman" w:cs="Times New Roman" w:eastAsiaTheme="minorEastAsia"/>
          <w:color w:val="auto"/>
          <w:szCs w:val="24"/>
          <w:highlight w:val="none"/>
        </w:rPr>
        <w:fldChar w:fldCharType="end"/>
      </w:r>
    </w:p>
    <w:p w14:paraId="5421F946">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_Toc32383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3.2.3 极端天气预警响应措施</w:t>
      </w:r>
      <w:r>
        <w:tab/>
      </w:r>
      <w:r>
        <w:fldChar w:fldCharType="begin"/>
      </w:r>
      <w:r>
        <w:instrText xml:space="preserve"> PAGEREF _Toc32383 \h </w:instrText>
      </w:r>
      <w:r>
        <w:fldChar w:fldCharType="separate"/>
      </w:r>
      <w:r>
        <w:t>37</w:t>
      </w:r>
      <w:r>
        <w:fldChar w:fldCharType="end"/>
      </w:r>
      <w:r>
        <w:rPr>
          <w:rFonts w:hint="default" w:ascii="Times New Roman" w:hAnsi="Times New Roman" w:cs="Times New Roman" w:eastAsiaTheme="minorEastAsia"/>
          <w:color w:val="auto"/>
          <w:szCs w:val="24"/>
          <w:highlight w:val="none"/>
        </w:rPr>
        <w:fldChar w:fldCharType="end"/>
      </w:r>
    </w:p>
    <w:p w14:paraId="13CE8289">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_Toc12169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南通市海安生态环境局发布红色预警期间，企业减排</w:t>
      </w:r>
      <w:r>
        <w:rPr>
          <w:rFonts w:ascii="Times New Roman" w:hAnsi="Times New Roman" w:cs="Times New Roman" w:eastAsiaTheme="minorEastAsia"/>
          <w:szCs w:val="24"/>
          <w:highlight w:val="none"/>
        </w:rPr>
        <w:t>70%</w:t>
      </w:r>
      <w:r>
        <w:rPr>
          <w:rFonts w:hint="default" w:ascii="Times New Roman" w:hAnsi="Times New Roman" w:cs="Times New Roman" w:eastAsiaTheme="minorEastAsia"/>
          <w:szCs w:val="24"/>
          <w:highlight w:val="none"/>
        </w:rPr>
        <w:t>，响应措施由应急总指挥（</w:t>
      </w:r>
      <w:r>
        <w:rPr>
          <w:rFonts w:hint="eastAsia" w:eastAsia="宋体" w:cs="Times New Roman"/>
          <w:szCs w:val="21"/>
          <w:lang w:val="en-US" w:eastAsia="zh-CN"/>
        </w:rPr>
        <w:t>邹志文</w:t>
      </w:r>
      <w:r>
        <w:rPr>
          <w:rFonts w:hint="default" w:ascii="Times New Roman" w:hAnsi="Times New Roman" w:cs="Times New Roman" w:eastAsiaTheme="minorEastAsia"/>
          <w:szCs w:val="24"/>
          <w:highlight w:val="none"/>
        </w:rPr>
        <w:t>，</w:t>
      </w:r>
      <w:r>
        <w:rPr>
          <w:rFonts w:hint="eastAsia" w:cs="Times New Roman"/>
          <w:szCs w:val="24"/>
          <w:highlight w:val="none"/>
          <w:lang w:eastAsia="zh-CN"/>
        </w:rPr>
        <w:t>13913779608</w:t>
      </w:r>
      <w:r>
        <w:rPr>
          <w:rFonts w:hint="default" w:ascii="Times New Roman" w:hAnsi="Times New Roman" w:cs="Times New Roman" w:eastAsiaTheme="minorEastAsia"/>
          <w:szCs w:val="24"/>
          <w:highlight w:val="none"/>
        </w:rPr>
        <w:t>）发布。</w:t>
      </w:r>
      <w:r>
        <w:tab/>
      </w:r>
      <w:r>
        <w:fldChar w:fldCharType="begin"/>
      </w:r>
      <w:r>
        <w:instrText xml:space="preserve"> PAGEREF _Toc12169 \h </w:instrText>
      </w:r>
      <w:r>
        <w:fldChar w:fldCharType="separate"/>
      </w:r>
      <w:r>
        <w:t>37</w:t>
      </w:r>
      <w:r>
        <w:fldChar w:fldCharType="end"/>
      </w:r>
      <w:r>
        <w:rPr>
          <w:rFonts w:hint="default" w:ascii="Times New Roman" w:hAnsi="Times New Roman" w:cs="Times New Roman" w:eastAsiaTheme="minorEastAsia"/>
          <w:color w:val="auto"/>
          <w:szCs w:val="24"/>
          <w:highlight w:val="none"/>
        </w:rPr>
        <w:fldChar w:fldCharType="end"/>
      </w:r>
    </w:p>
    <w:p w14:paraId="6AED6469">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_Toc8340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eastAsia="宋体" w:cs="Times New Roman"/>
          <w:szCs w:val="24"/>
          <w:highlight w:val="none"/>
        </w:rPr>
        <w:t>3.</w:t>
      </w:r>
      <w:r>
        <w:rPr>
          <w:rFonts w:hint="default" w:ascii="Times New Roman" w:hAnsi="Times New Roman" w:eastAsia="宋体" w:cs="Times New Roman"/>
          <w:szCs w:val="24"/>
          <w:highlight w:val="none"/>
          <w:lang w:val="en-US" w:eastAsia="zh-CN"/>
        </w:rPr>
        <w:t>3</w:t>
      </w:r>
      <w:r>
        <w:rPr>
          <w:rFonts w:hint="default" w:ascii="Times New Roman" w:hAnsi="Times New Roman" w:eastAsia="宋体" w:cs="Times New Roman"/>
          <w:szCs w:val="24"/>
          <w:highlight w:val="none"/>
        </w:rPr>
        <w:t>报警、通讯联络方式</w:t>
      </w:r>
      <w:r>
        <w:tab/>
      </w:r>
      <w:r>
        <w:fldChar w:fldCharType="begin"/>
      </w:r>
      <w:r>
        <w:instrText xml:space="preserve"> PAGEREF _Toc8340 \h </w:instrText>
      </w:r>
      <w:r>
        <w:fldChar w:fldCharType="separate"/>
      </w:r>
      <w:r>
        <w:t>37</w:t>
      </w:r>
      <w:r>
        <w:fldChar w:fldCharType="end"/>
      </w:r>
      <w:r>
        <w:rPr>
          <w:rFonts w:hint="default" w:ascii="Times New Roman" w:hAnsi="Times New Roman" w:cs="Times New Roman" w:eastAsiaTheme="minorEastAsia"/>
          <w:color w:val="auto"/>
          <w:szCs w:val="24"/>
          <w:highlight w:val="none"/>
        </w:rPr>
        <w:fldChar w:fldCharType="end"/>
      </w:r>
    </w:p>
    <w:p w14:paraId="49701591">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_Toc15132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eastAsia="宋体" w:cs="Times New Roman"/>
          <w:szCs w:val="24"/>
          <w:highlight w:val="none"/>
        </w:rPr>
        <w:t xml:space="preserve">3.3.1 </w:t>
      </w:r>
      <w:r>
        <w:rPr>
          <w:rFonts w:hint="eastAsia" w:ascii="Times New Roman" w:hAnsi="Times New Roman" w:eastAsia="宋体" w:cs="Times New Roman"/>
          <w:szCs w:val="24"/>
          <w:highlight w:val="none"/>
          <w:lang w:val="en-US" w:eastAsia="zh-CN"/>
        </w:rPr>
        <w:t xml:space="preserve"> </w:t>
      </w:r>
      <w:r>
        <w:rPr>
          <w:rFonts w:hint="default" w:ascii="Times New Roman" w:hAnsi="Times New Roman" w:eastAsia="宋体" w:cs="Times New Roman"/>
          <w:szCs w:val="24"/>
          <w:highlight w:val="none"/>
        </w:rPr>
        <w:t>24小时有效报警装置</w:t>
      </w:r>
      <w:r>
        <w:tab/>
      </w:r>
      <w:r>
        <w:fldChar w:fldCharType="begin"/>
      </w:r>
      <w:r>
        <w:instrText xml:space="preserve"> PAGEREF _Toc15132 \h </w:instrText>
      </w:r>
      <w:r>
        <w:fldChar w:fldCharType="separate"/>
      </w:r>
      <w:r>
        <w:t>37</w:t>
      </w:r>
      <w:r>
        <w:fldChar w:fldCharType="end"/>
      </w:r>
      <w:r>
        <w:rPr>
          <w:rFonts w:hint="default" w:ascii="Times New Roman" w:hAnsi="Times New Roman" w:cs="Times New Roman" w:eastAsiaTheme="minorEastAsia"/>
          <w:color w:val="auto"/>
          <w:szCs w:val="24"/>
          <w:highlight w:val="none"/>
        </w:rPr>
        <w:fldChar w:fldCharType="end"/>
      </w:r>
    </w:p>
    <w:p w14:paraId="2DBCB5F3">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_Toc24382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eastAsia="宋体" w:cs="Times New Roman"/>
          <w:szCs w:val="24"/>
          <w:highlight w:val="none"/>
        </w:rPr>
        <w:t>3.3.2  24小时有效内部、外部通讯联络手段</w:t>
      </w:r>
      <w:r>
        <w:tab/>
      </w:r>
      <w:r>
        <w:fldChar w:fldCharType="begin"/>
      </w:r>
      <w:r>
        <w:instrText xml:space="preserve"> PAGEREF _Toc24382 \h </w:instrText>
      </w:r>
      <w:r>
        <w:fldChar w:fldCharType="separate"/>
      </w:r>
      <w:r>
        <w:t>38</w:t>
      </w:r>
      <w:r>
        <w:fldChar w:fldCharType="end"/>
      </w:r>
      <w:r>
        <w:rPr>
          <w:rFonts w:hint="default" w:ascii="Times New Roman" w:hAnsi="Times New Roman" w:cs="Times New Roman" w:eastAsiaTheme="minorEastAsia"/>
          <w:color w:val="auto"/>
          <w:szCs w:val="24"/>
          <w:highlight w:val="none"/>
        </w:rPr>
        <w:fldChar w:fldCharType="end"/>
      </w:r>
    </w:p>
    <w:p w14:paraId="12A93C3A">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_Toc8602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eastAsia="宋体" w:cs="Times New Roman"/>
          <w:szCs w:val="24"/>
          <w:highlight w:val="none"/>
        </w:rPr>
        <w:t xml:space="preserve">3.3.3 </w:t>
      </w:r>
      <w:r>
        <w:rPr>
          <w:rFonts w:hint="eastAsia" w:ascii="Times New Roman" w:hAnsi="Times New Roman" w:eastAsia="宋体" w:cs="Times New Roman"/>
          <w:szCs w:val="24"/>
          <w:highlight w:val="none"/>
          <w:lang w:val="en-US" w:eastAsia="zh-CN"/>
        </w:rPr>
        <w:t xml:space="preserve"> </w:t>
      </w:r>
      <w:r>
        <w:rPr>
          <w:rFonts w:hint="default" w:ascii="Times New Roman" w:hAnsi="Times New Roman" w:eastAsia="宋体" w:cs="Times New Roman"/>
          <w:szCs w:val="24"/>
          <w:highlight w:val="none"/>
        </w:rPr>
        <w:t>运输危险</w:t>
      </w:r>
      <w:r>
        <w:rPr>
          <w:rFonts w:hint="eastAsia" w:ascii="Times New Roman" w:hAnsi="Times New Roman" w:eastAsia="宋体" w:cs="Times New Roman"/>
          <w:szCs w:val="24"/>
          <w:highlight w:val="none"/>
          <w:lang w:val="en-US" w:eastAsia="zh-CN"/>
        </w:rPr>
        <w:t>化学物质</w:t>
      </w:r>
      <w:r>
        <w:rPr>
          <w:rFonts w:hint="default" w:ascii="Times New Roman" w:hAnsi="Times New Roman" w:eastAsia="宋体" w:cs="Times New Roman"/>
          <w:szCs w:val="24"/>
          <w:highlight w:val="none"/>
        </w:rPr>
        <w:t>、危险废物的驾驶员、押运员报警及与本单位、生产车间、托运方联系的方式</w:t>
      </w:r>
      <w:r>
        <w:tab/>
      </w:r>
      <w:r>
        <w:fldChar w:fldCharType="begin"/>
      </w:r>
      <w:r>
        <w:instrText xml:space="preserve"> PAGEREF _Toc8602 \h </w:instrText>
      </w:r>
      <w:r>
        <w:fldChar w:fldCharType="separate"/>
      </w:r>
      <w:r>
        <w:t>38</w:t>
      </w:r>
      <w:r>
        <w:fldChar w:fldCharType="end"/>
      </w:r>
      <w:r>
        <w:rPr>
          <w:rFonts w:hint="default" w:ascii="Times New Roman" w:hAnsi="Times New Roman" w:cs="Times New Roman" w:eastAsiaTheme="minorEastAsia"/>
          <w:color w:val="auto"/>
          <w:szCs w:val="24"/>
          <w:highlight w:val="none"/>
        </w:rPr>
        <w:fldChar w:fldCharType="end"/>
      </w:r>
    </w:p>
    <w:p w14:paraId="3353B15F">
      <w:pPr>
        <w:pStyle w:val="23"/>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_Toc28782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8"/>
          <w:highlight w:val="none"/>
        </w:rPr>
        <w:t>4 信息报告</w:t>
      </w:r>
      <w:r>
        <w:tab/>
      </w:r>
      <w:r>
        <w:fldChar w:fldCharType="begin"/>
      </w:r>
      <w:r>
        <w:instrText xml:space="preserve"> PAGEREF _Toc28782 \h </w:instrText>
      </w:r>
      <w:r>
        <w:fldChar w:fldCharType="separate"/>
      </w:r>
      <w:r>
        <w:t>39</w:t>
      </w:r>
      <w:r>
        <w:fldChar w:fldCharType="end"/>
      </w:r>
      <w:r>
        <w:rPr>
          <w:rFonts w:hint="default" w:ascii="Times New Roman" w:hAnsi="Times New Roman" w:cs="Times New Roman" w:eastAsiaTheme="minorEastAsia"/>
          <w:color w:val="auto"/>
          <w:szCs w:val="24"/>
          <w:highlight w:val="none"/>
        </w:rPr>
        <w:fldChar w:fldCharType="end"/>
      </w:r>
    </w:p>
    <w:p w14:paraId="27F794FA">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_Toc7082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4.1信息报告程序</w:t>
      </w:r>
      <w:r>
        <w:tab/>
      </w:r>
      <w:r>
        <w:fldChar w:fldCharType="begin"/>
      </w:r>
      <w:r>
        <w:instrText xml:space="preserve"> PAGEREF _Toc7082 \h </w:instrText>
      </w:r>
      <w:r>
        <w:fldChar w:fldCharType="separate"/>
      </w:r>
      <w:r>
        <w:t>39</w:t>
      </w:r>
      <w:r>
        <w:fldChar w:fldCharType="end"/>
      </w:r>
      <w:r>
        <w:rPr>
          <w:rFonts w:hint="default" w:ascii="Times New Roman" w:hAnsi="Times New Roman" w:cs="Times New Roman" w:eastAsiaTheme="minorEastAsia"/>
          <w:color w:val="auto"/>
          <w:szCs w:val="24"/>
          <w:highlight w:val="none"/>
        </w:rPr>
        <w:fldChar w:fldCharType="end"/>
      </w:r>
    </w:p>
    <w:p w14:paraId="40B7272F">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_Toc1659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4.1.1 内部报告</w:t>
      </w:r>
      <w:r>
        <w:tab/>
      </w:r>
      <w:r>
        <w:fldChar w:fldCharType="begin"/>
      </w:r>
      <w:r>
        <w:instrText xml:space="preserve"> PAGEREF _Toc1659 \h </w:instrText>
      </w:r>
      <w:r>
        <w:fldChar w:fldCharType="separate"/>
      </w:r>
      <w:r>
        <w:t>39</w:t>
      </w:r>
      <w:r>
        <w:fldChar w:fldCharType="end"/>
      </w:r>
      <w:r>
        <w:rPr>
          <w:rFonts w:hint="default" w:ascii="Times New Roman" w:hAnsi="Times New Roman" w:cs="Times New Roman" w:eastAsiaTheme="minorEastAsia"/>
          <w:color w:val="auto"/>
          <w:szCs w:val="24"/>
          <w:highlight w:val="none"/>
        </w:rPr>
        <w:fldChar w:fldCharType="end"/>
      </w:r>
    </w:p>
    <w:p w14:paraId="77C0FA0C">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_Toc9580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4.1.2 信息上报</w:t>
      </w:r>
      <w:r>
        <w:tab/>
      </w:r>
      <w:r>
        <w:fldChar w:fldCharType="begin"/>
      </w:r>
      <w:r>
        <w:instrText xml:space="preserve"> PAGEREF _Toc9580 \h </w:instrText>
      </w:r>
      <w:r>
        <w:fldChar w:fldCharType="separate"/>
      </w:r>
      <w:r>
        <w:t>40</w:t>
      </w:r>
      <w:r>
        <w:fldChar w:fldCharType="end"/>
      </w:r>
      <w:r>
        <w:rPr>
          <w:rFonts w:hint="default" w:ascii="Times New Roman" w:hAnsi="Times New Roman" w:cs="Times New Roman" w:eastAsiaTheme="minorEastAsia"/>
          <w:color w:val="auto"/>
          <w:szCs w:val="24"/>
          <w:highlight w:val="none"/>
        </w:rPr>
        <w:fldChar w:fldCharType="end"/>
      </w:r>
    </w:p>
    <w:p w14:paraId="559AA143">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_Toc31649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4.1.3 信息通报</w:t>
      </w:r>
      <w:r>
        <w:tab/>
      </w:r>
      <w:r>
        <w:fldChar w:fldCharType="begin"/>
      </w:r>
      <w:r>
        <w:instrText xml:space="preserve"> PAGEREF _Toc31649 \h </w:instrText>
      </w:r>
      <w:r>
        <w:fldChar w:fldCharType="separate"/>
      </w:r>
      <w:r>
        <w:t>41</w:t>
      </w:r>
      <w:r>
        <w:fldChar w:fldCharType="end"/>
      </w:r>
      <w:r>
        <w:rPr>
          <w:rFonts w:hint="default" w:ascii="Times New Roman" w:hAnsi="Times New Roman" w:cs="Times New Roman" w:eastAsiaTheme="minorEastAsia"/>
          <w:color w:val="auto"/>
          <w:szCs w:val="24"/>
          <w:highlight w:val="none"/>
        </w:rPr>
        <w:fldChar w:fldCharType="end"/>
      </w:r>
    </w:p>
    <w:p w14:paraId="5909CB43">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_Toc11352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4.2 事件报告内容及方式</w:t>
      </w:r>
      <w:r>
        <w:tab/>
      </w:r>
      <w:r>
        <w:fldChar w:fldCharType="begin"/>
      </w:r>
      <w:r>
        <w:instrText xml:space="preserve"> PAGEREF _Toc11352 \h </w:instrText>
      </w:r>
      <w:r>
        <w:fldChar w:fldCharType="separate"/>
      </w:r>
      <w:r>
        <w:t>42</w:t>
      </w:r>
      <w:r>
        <w:fldChar w:fldCharType="end"/>
      </w:r>
      <w:r>
        <w:rPr>
          <w:rFonts w:hint="default" w:ascii="Times New Roman" w:hAnsi="Times New Roman" w:cs="Times New Roman" w:eastAsiaTheme="minorEastAsia"/>
          <w:color w:val="auto"/>
          <w:szCs w:val="24"/>
          <w:highlight w:val="none"/>
        </w:rPr>
        <w:fldChar w:fldCharType="end"/>
      </w:r>
    </w:p>
    <w:p w14:paraId="23002774">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_Toc23261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 xml:space="preserve">4.3 </w:t>
      </w:r>
      <w:r>
        <w:rPr>
          <w:rFonts w:hint="eastAsia" w:cs="Times New Roman"/>
          <w:szCs w:val="24"/>
          <w:highlight w:val="none"/>
          <w:lang w:eastAsia="zh-CN"/>
        </w:rPr>
        <w:t>公司</w:t>
      </w:r>
      <w:r>
        <w:rPr>
          <w:rFonts w:hint="default" w:ascii="Times New Roman" w:hAnsi="Times New Roman" w:cs="Times New Roman" w:eastAsiaTheme="minorEastAsia"/>
          <w:szCs w:val="24"/>
          <w:highlight w:val="none"/>
        </w:rPr>
        <w:t>与周边</w:t>
      </w:r>
      <w:r>
        <w:rPr>
          <w:rFonts w:hint="eastAsia" w:cs="Times New Roman"/>
          <w:szCs w:val="24"/>
          <w:highlight w:val="none"/>
          <w:lang w:eastAsia="zh-CN"/>
        </w:rPr>
        <w:t>公司</w:t>
      </w:r>
      <w:r>
        <w:rPr>
          <w:rFonts w:hint="default" w:ascii="Times New Roman" w:hAnsi="Times New Roman" w:cs="Times New Roman" w:eastAsiaTheme="minorEastAsia"/>
          <w:szCs w:val="24"/>
          <w:highlight w:val="none"/>
        </w:rPr>
        <w:t>应急响应的关系</w:t>
      </w:r>
      <w:r>
        <w:tab/>
      </w:r>
      <w:r>
        <w:fldChar w:fldCharType="begin"/>
      </w:r>
      <w:r>
        <w:instrText xml:space="preserve"> PAGEREF _Toc23261 \h </w:instrText>
      </w:r>
      <w:r>
        <w:fldChar w:fldCharType="separate"/>
      </w:r>
      <w:r>
        <w:t>44</w:t>
      </w:r>
      <w:r>
        <w:fldChar w:fldCharType="end"/>
      </w:r>
      <w:r>
        <w:rPr>
          <w:rFonts w:hint="default" w:ascii="Times New Roman" w:hAnsi="Times New Roman" w:cs="Times New Roman" w:eastAsiaTheme="minorEastAsia"/>
          <w:color w:val="auto"/>
          <w:szCs w:val="24"/>
          <w:highlight w:val="none"/>
        </w:rPr>
        <w:fldChar w:fldCharType="end"/>
      </w:r>
    </w:p>
    <w:p w14:paraId="43DA4CA7">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_Toc15676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4.4 政府部门介入移交权责及内部调整</w:t>
      </w:r>
      <w:r>
        <w:tab/>
      </w:r>
      <w:r>
        <w:fldChar w:fldCharType="begin"/>
      </w:r>
      <w:r>
        <w:instrText xml:space="preserve"> PAGEREF _Toc15676 \h </w:instrText>
      </w:r>
      <w:r>
        <w:fldChar w:fldCharType="separate"/>
      </w:r>
      <w:r>
        <w:t>45</w:t>
      </w:r>
      <w:r>
        <w:fldChar w:fldCharType="end"/>
      </w:r>
      <w:r>
        <w:rPr>
          <w:rFonts w:hint="default" w:ascii="Times New Roman" w:hAnsi="Times New Roman" w:cs="Times New Roman" w:eastAsiaTheme="minorEastAsia"/>
          <w:color w:val="auto"/>
          <w:szCs w:val="24"/>
          <w:highlight w:val="none"/>
        </w:rPr>
        <w:fldChar w:fldCharType="end"/>
      </w:r>
    </w:p>
    <w:p w14:paraId="26C2BADA">
      <w:pPr>
        <w:pStyle w:val="23"/>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_Toc31877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8"/>
          <w:highlight w:val="none"/>
        </w:rPr>
        <w:t>5 环境应急监测</w:t>
      </w:r>
      <w:r>
        <w:tab/>
      </w:r>
      <w:r>
        <w:fldChar w:fldCharType="begin"/>
      </w:r>
      <w:r>
        <w:instrText xml:space="preserve"> PAGEREF _Toc31877 \h </w:instrText>
      </w:r>
      <w:r>
        <w:fldChar w:fldCharType="separate"/>
      </w:r>
      <w:r>
        <w:t>46</w:t>
      </w:r>
      <w:r>
        <w:fldChar w:fldCharType="end"/>
      </w:r>
      <w:r>
        <w:rPr>
          <w:rFonts w:hint="default" w:ascii="Times New Roman" w:hAnsi="Times New Roman" w:cs="Times New Roman" w:eastAsiaTheme="minorEastAsia"/>
          <w:color w:val="auto"/>
          <w:szCs w:val="24"/>
          <w:highlight w:val="none"/>
        </w:rPr>
        <w:fldChar w:fldCharType="end"/>
      </w:r>
    </w:p>
    <w:p w14:paraId="76AEBFF4">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_Toc15083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5.1 应急监测</w:t>
      </w:r>
      <w:r>
        <w:tab/>
      </w:r>
      <w:r>
        <w:fldChar w:fldCharType="begin"/>
      </w:r>
      <w:r>
        <w:instrText xml:space="preserve"> PAGEREF _Toc15083 \h </w:instrText>
      </w:r>
      <w:r>
        <w:fldChar w:fldCharType="separate"/>
      </w:r>
      <w:r>
        <w:t>46</w:t>
      </w:r>
      <w:r>
        <w:fldChar w:fldCharType="end"/>
      </w:r>
      <w:r>
        <w:rPr>
          <w:rFonts w:hint="default" w:ascii="Times New Roman" w:hAnsi="Times New Roman" w:cs="Times New Roman" w:eastAsiaTheme="minorEastAsia"/>
          <w:color w:val="auto"/>
          <w:szCs w:val="24"/>
          <w:highlight w:val="none"/>
        </w:rPr>
        <w:fldChar w:fldCharType="end"/>
      </w:r>
    </w:p>
    <w:p w14:paraId="5A161C2D">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_Toc15527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lang w:val="zh-CN"/>
        </w:rPr>
        <w:t>5.1.1 应急监测</w:t>
      </w:r>
      <w:r>
        <w:rPr>
          <w:rFonts w:hint="default" w:ascii="Times New Roman" w:hAnsi="Times New Roman" w:cs="Times New Roman" w:eastAsiaTheme="minorEastAsia"/>
          <w:szCs w:val="24"/>
          <w:highlight w:val="none"/>
        </w:rPr>
        <w:t>方案总则</w:t>
      </w:r>
      <w:r>
        <w:tab/>
      </w:r>
      <w:r>
        <w:fldChar w:fldCharType="begin"/>
      </w:r>
      <w:r>
        <w:instrText xml:space="preserve"> PAGEREF _Toc15527 \h </w:instrText>
      </w:r>
      <w:r>
        <w:fldChar w:fldCharType="separate"/>
      </w:r>
      <w:r>
        <w:t>46</w:t>
      </w:r>
      <w:r>
        <w:fldChar w:fldCharType="end"/>
      </w:r>
      <w:r>
        <w:rPr>
          <w:rFonts w:hint="default" w:ascii="Times New Roman" w:hAnsi="Times New Roman" w:cs="Times New Roman" w:eastAsiaTheme="minorEastAsia"/>
          <w:color w:val="auto"/>
          <w:szCs w:val="24"/>
          <w:highlight w:val="none"/>
        </w:rPr>
        <w:fldChar w:fldCharType="end"/>
      </w:r>
    </w:p>
    <w:p w14:paraId="66D8ED44">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_Toc11161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lang w:val="zh-CN"/>
        </w:rPr>
        <w:t>5.1.</w:t>
      </w:r>
      <w:r>
        <w:rPr>
          <w:rFonts w:hint="eastAsia" w:ascii="Times New Roman" w:hAnsi="Times New Roman" w:cs="Times New Roman"/>
          <w:szCs w:val="24"/>
          <w:highlight w:val="none"/>
          <w:lang w:val="en-US" w:eastAsia="zh-CN"/>
        </w:rPr>
        <w:t>2</w:t>
      </w:r>
      <w:r>
        <w:rPr>
          <w:rFonts w:hint="default" w:ascii="Times New Roman" w:hAnsi="Times New Roman" w:cs="Times New Roman" w:eastAsiaTheme="minorEastAsia"/>
          <w:szCs w:val="24"/>
          <w:highlight w:val="none"/>
          <w:lang w:val="zh-CN"/>
        </w:rPr>
        <w:t xml:space="preserve"> 水环境应急监测方案</w:t>
      </w:r>
      <w:r>
        <w:tab/>
      </w:r>
      <w:r>
        <w:fldChar w:fldCharType="begin"/>
      </w:r>
      <w:r>
        <w:instrText xml:space="preserve"> PAGEREF _Toc11161 \h </w:instrText>
      </w:r>
      <w:r>
        <w:fldChar w:fldCharType="separate"/>
      </w:r>
      <w:r>
        <w:t>48</w:t>
      </w:r>
      <w:r>
        <w:fldChar w:fldCharType="end"/>
      </w:r>
      <w:r>
        <w:rPr>
          <w:rFonts w:hint="default" w:ascii="Times New Roman" w:hAnsi="Times New Roman" w:cs="Times New Roman" w:eastAsiaTheme="minorEastAsia"/>
          <w:color w:val="auto"/>
          <w:szCs w:val="24"/>
          <w:highlight w:val="none"/>
        </w:rPr>
        <w:fldChar w:fldCharType="end"/>
      </w:r>
    </w:p>
    <w:p w14:paraId="3C010EFD">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_Toc23043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lang w:val="zh-CN"/>
        </w:rPr>
        <w:t>5.1.</w:t>
      </w:r>
      <w:r>
        <w:rPr>
          <w:rFonts w:hint="eastAsia" w:cs="Times New Roman"/>
          <w:szCs w:val="24"/>
          <w:highlight w:val="none"/>
          <w:lang w:val="en-US" w:eastAsia="zh-CN"/>
        </w:rPr>
        <w:t>3</w:t>
      </w:r>
      <w:r>
        <w:rPr>
          <w:rFonts w:hint="default" w:ascii="Times New Roman" w:hAnsi="Times New Roman" w:cs="Times New Roman" w:eastAsiaTheme="minorEastAsia"/>
          <w:szCs w:val="24"/>
          <w:highlight w:val="none"/>
          <w:lang w:val="zh-CN"/>
        </w:rPr>
        <w:t xml:space="preserve"> 大气应急监测方案</w:t>
      </w:r>
      <w:r>
        <w:tab/>
      </w:r>
      <w:r>
        <w:fldChar w:fldCharType="begin"/>
      </w:r>
      <w:r>
        <w:instrText xml:space="preserve"> PAGEREF _Toc23043 \h </w:instrText>
      </w:r>
      <w:r>
        <w:fldChar w:fldCharType="separate"/>
      </w:r>
      <w:r>
        <w:t>49</w:t>
      </w:r>
      <w:r>
        <w:fldChar w:fldCharType="end"/>
      </w:r>
      <w:r>
        <w:rPr>
          <w:rFonts w:hint="default" w:ascii="Times New Roman" w:hAnsi="Times New Roman" w:cs="Times New Roman" w:eastAsiaTheme="minorEastAsia"/>
          <w:color w:val="auto"/>
          <w:szCs w:val="24"/>
          <w:highlight w:val="none"/>
        </w:rPr>
        <w:fldChar w:fldCharType="end"/>
      </w:r>
    </w:p>
    <w:p w14:paraId="39912D17">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_Toc14982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lang w:val="zh-CN"/>
        </w:rPr>
        <w:t>5.1.</w:t>
      </w:r>
      <w:r>
        <w:rPr>
          <w:rFonts w:hint="eastAsia" w:cs="Times New Roman"/>
          <w:szCs w:val="24"/>
          <w:highlight w:val="none"/>
          <w:lang w:val="en-US" w:eastAsia="zh-CN"/>
        </w:rPr>
        <w:t>4</w:t>
      </w:r>
      <w:r>
        <w:rPr>
          <w:rFonts w:hint="default" w:ascii="Times New Roman" w:hAnsi="Times New Roman" w:cs="Times New Roman" w:eastAsiaTheme="minorEastAsia"/>
          <w:szCs w:val="24"/>
          <w:highlight w:val="none"/>
          <w:lang w:val="zh-CN"/>
        </w:rPr>
        <w:t xml:space="preserve"> </w:t>
      </w:r>
      <w:r>
        <w:rPr>
          <w:rFonts w:hint="eastAsia" w:ascii="Times New Roman" w:hAnsi="Times New Roman" w:cs="Times New Roman"/>
          <w:szCs w:val="24"/>
          <w:highlight w:val="none"/>
          <w:lang w:val="en-US" w:eastAsia="zh-CN"/>
        </w:rPr>
        <w:t>土壤</w:t>
      </w:r>
      <w:r>
        <w:rPr>
          <w:rFonts w:hint="default" w:ascii="Times New Roman" w:hAnsi="Times New Roman" w:cs="Times New Roman" w:eastAsiaTheme="minorEastAsia"/>
          <w:szCs w:val="24"/>
          <w:highlight w:val="none"/>
          <w:lang w:val="zh-CN"/>
        </w:rPr>
        <w:t>应急监测方案</w:t>
      </w:r>
      <w:r>
        <w:tab/>
      </w:r>
      <w:r>
        <w:fldChar w:fldCharType="begin"/>
      </w:r>
      <w:r>
        <w:instrText xml:space="preserve"> PAGEREF _Toc14982 \h </w:instrText>
      </w:r>
      <w:r>
        <w:fldChar w:fldCharType="separate"/>
      </w:r>
      <w:r>
        <w:t>51</w:t>
      </w:r>
      <w:r>
        <w:fldChar w:fldCharType="end"/>
      </w:r>
      <w:r>
        <w:rPr>
          <w:rFonts w:hint="default" w:ascii="Times New Roman" w:hAnsi="Times New Roman" w:cs="Times New Roman" w:eastAsiaTheme="minorEastAsia"/>
          <w:color w:val="auto"/>
          <w:szCs w:val="24"/>
          <w:highlight w:val="none"/>
        </w:rPr>
        <w:fldChar w:fldCharType="end"/>
      </w:r>
    </w:p>
    <w:p w14:paraId="132FC00C">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_Toc12487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lang w:val="zh-CN"/>
        </w:rPr>
        <w:t>5.1.</w:t>
      </w:r>
      <w:r>
        <w:rPr>
          <w:rFonts w:hint="eastAsia" w:cs="Times New Roman"/>
          <w:szCs w:val="24"/>
          <w:highlight w:val="none"/>
          <w:lang w:val="en-US" w:eastAsia="zh-CN"/>
        </w:rPr>
        <w:t>5</w:t>
      </w:r>
      <w:r>
        <w:rPr>
          <w:rFonts w:hint="default" w:ascii="Times New Roman" w:hAnsi="Times New Roman" w:cs="Times New Roman" w:eastAsiaTheme="minorEastAsia"/>
          <w:szCs w:val="24"/>
          <w:highlight w:val="none"/>
          <w:lang w:val="zh-CN"/>
        </w:rPr>
        <w:t xml:space="preserve"> </w:t>
      </w:r>
      <w:r>
        <w:rPr>
          <w:rFonts w:hint="eastAsia" w:ascii="Times New Roman" w:hAnsi="Times New Roman" w:cs="Times New Roman"/>
          <w:szCs w:val="24"/>
          <w:highlight w:val="none"/>
          <w:lang w:val="en-US" w:eastAsia="zh-CN"/>
        </w:rPr>
        <w:t>地下水</w:t>
      </w:r>
      <w:r>
        <w:rPr>
          <w:rFonts w:hint="default" w:ascii="Times New Roman" w:hAnsi="Times New Roman" w:cs="Times New Roman" w:eastAsiaTheme="minorEastAsia"/>
          <w:szCs w:val="24"/>
          <w:highlight w:val="none"/>
          <w:lang w:val="zh-CN"/>
        </w:rPr>
        <w:t>应急监测方案</w:t>
      </w:r>
      <w:r>
        <w:tab/>
      </w:r>
      <w:r>
        <w:fldChar w:fldCharType="begin"/>
      </w:r>
      <w:r>
        <w:instrText xml:space="preserve"> PAGEREF _Toc12487 \h </w:instrText>
      </w:r>
      <w:r>
        <w:fldChar w:fldCharType="separate"/>
      </w:r>
      <w:r>
        <w:t>51</w:t>
      </w:r>
      <w:r>
        <w:fldChar w:fldCharType="end"/>
      </w:r>
      <w:r>
        <w:rPr>
          <w:rFonts w:hint="default" w:ascii="Times New Roman" w:hAnsi="Times New Roman" w:cs="Times New Roman" w:eastAsiaTheme="minorEastAsia"/>
          <w:color w:val="auto"/>
          <w:szCs w:val="24"/>
          <w:highlight w:val="none"/>
        </w:rPr>
        <w:fldChar w:fldCharType="end"/>
      </w:r>
    </w:p>
    <w:p w14:paraId="2F51C5FE">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_Toc1239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5.2 监测、抢险、救护人员防护、监护措施</w:t>
      </w:r>
      <w:r>
        <w:tab/>
      </w:r>
      <w:r>
        <w:fldChar w:fldCharType="begin"/>
      </w:r>
      <w:r>
        <w:instrText xml:space="preserve"> PAGEREF _Toc1239 \h </w:instrText>
      </w:r>
      <w:r>
        <w:fldChar w:fldCharType="separate"/>
      </w:r>
      <w:r>
        <w:t>51</w:t>
      </w:r>
      <w:r>
        <w:fldChar w:fldCharType="end"/>
      </w:r>
      <w:r>
        <w:rPr>
          <w:rFonts w:hint="default" w:ascii="Times New Roman" w:hAnsi="Times New Roman" w:cs="Times New Roman" w:eastAsiaTheme="minorEastAsia"/>
          <w:color w:val="auto"/>
          <w:szCs w:val="24"/>
          <w:highlight w:val="none"/>
        </w:rPr>
        <w:fldChar w:fldCharType="end"/>
      </w:r>
    </w:p>
    <w:p w14:paraId="691F404D">
      <w:pPr>
        <w:pStyle w:val="23"/>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_Toc10656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8"/>
          <w:highlight w:val="none"/>
        </w:rPr>
        <w:t>6 应急响应与措施</w:t>
      </w:r>
      <w:r>
        <w:tab/>
      </w:r>
      <w:r>
        <w:fldChar w:fldCharType="begin"/>
      </w:r>
      <w:r>
        <w:instrText xml:space="preserve"> PAGEREF _Toc10656 \h </w:instrText>
      </w:r>
      <w:r>
        <w:fldChar w:fldCharType="separate"/>
      </w:r>
      <w:r>
        <w:t>53</w:t>
      </w:r>
      <w:r>
        <w:fldChar w:fldCharType="end"/>
      </w:r>
      <w:r>
        <w:rPr>
          <w:rFonts w:hint="default" w:ascii="Times New Roman" w:hAnsi="Times New Roman" w:cs="Times New Roman" w:eastAsiaTheme="minorEastAsia"/>
          <w:color w:val="auto"/>
          <w:szCs w:val="24"/>
          <w:highlight w:val="none"/>
        </w:rPr>
        <w:fldChar w:fldCharType="end"/>
      </w:r>
    </w:p>
    <w:p w14:paraId="602A9201">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_Toc18444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6.1 响应程序</w:t>
      </w:r>
      <w:r>
        <w:tab/>
      </w:r>
      <w:r>
        <w:fldChar w:fldCharType="begin"/>
      </w:r>
      <w:r>
        <w:instrText xml:space="preserve"> PAGEREF _Toc18444 \h </w:instrText>
      </w:r>
      <w:r>
        <w:fldChar w:fldCharType="separate"/>
      </w:r>
      <w:r>
        <w:t>53</w:t>
      </w:r>
      <w:r>
        <w:fldChar w:fldCharType="end"/>
      </w:r>
      <w:r>
        <w:rPr>
          <w:rFonts w:hint="default" w:ascii="Times New Roman" w:hAnsi="Times New Roman" w:cs="Times New Roman" w:eastAsiaTheme="minorEastAsia"/>
          <w:color w:val="auto"/>
          <w:szCs w:val="24"/>
          <w:highlight w:val="none"/>
        </w:rPr>
        <w:fldChar w:fldCharType="end"/>
      </w:r>
    </w:p>
    <w:p w14:paraId="12A859EC">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_Toc14178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6.2 分级响应</w:t>
      </w:r>
      <w:r>
        <w:tab/>
      </w:r>
      <w:r>
        <w:fldChar w:fldCharType="begin"/>
      </w:r>
      <w:r>
        <w:instrText xml:space="preserve"> PAGEREF _Toc14178 \h </w:instrText>
      </w:r>
      <w:r>
        <w:fldChar w:fldCharType="separate"/>
      </w:r>
      <w:r>
        <w:t>54</w:t>
      </w:r>
      <w:r>
        <w:fldChar w:fldCharType="end"/>
      </w:r>
      <w:r>
        <w:rPr>
          <w:rFonts w:hint="default" w:ascii="Times New Roman" w:hAnsi="Times New Roman" w:cs="Times New Roman" w:eastAsiaTheme="minorEastAsia"/>
          <w:color w:val="auto"/>
          <w:szCs w:val="24"/>
          <w:highlight w:val="none"/>
        </w:rPr>
        <w:fldChar w:fldCharType="end"/>
      </w:r>
    </w:p>
    <w:p w14:paraId="0CCD3DAA">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_Toc30403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kern w:val="0"/>
          <w:szCs w:val="24"/>
          <w:highlight w:val="none"/>
        </w:rPr>
        <w:t>6.2.1 分级响应机制</w:t>
      </w:r>
      <w:r>
        <w:tab/>
      </w:r>
      <w:r>
        <w:fldChar w:fldCharType="begin"/>
      </w:r>
      <w:r>
        <w:instrText xml:space="preserve"> PAGEREF _Toc30403 \h </w:instrText>
      </w:r>
      <w:r>
        <w:fldChar w:fldCharType="separate"/>
      </w:r>
      <w:r>
        <w:t>54</w:t>
      </w:r>
      <w:r>
        <w:fldChar w:fldCharType="end"/>
      </w:r>
      <w:r>
        <w:rPr>
          <w:rFonts w:hint="default" w:ascii="Times New Roman" w:hAnsi="Times New Roman" w:cs="Times New Roman" w:eastAsiaTheme="minorEastAsia"/>
          <w:color w:val="auto"/>
          <w:szCs w:val="24"/>
          <w:highlight w:val="none"/>
        </w:rPr>
        <w:fldChar w:fldCharType="end"/>
      </w:r>
    </w:p>
    <w:p w14:paraId="082ABB14">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_Toc2276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 xml:space="preserve">6.2.2 </w:t>
      </w:r>
      <w:r>
        <w:rPr>
          <w:rFonts w:hint="eastAsia" w:cs="Times New Roman"/>
          <w:szCs w:val="24"/>
          <w:highlight w:val="none"/>
          <w:lang w:eastAsia="zh-CN"/>
        </w:rPr>
        <w:t>公司</w:t>
      </w:r>
      <w:r>
        <w:rPr>
          <w:rFonts w:hint="default" w:ascii="Times New Roman" w:hAnsi="Times New Roman" w:cs="Times New Roman" w:eastAsiaTheme="minorEastAsia"/>
          <w:szCs w:val="24"/>
          <w:highlight w:val="none"/>
        </w:rPr>
        <w:t>Ⅲ级响应程序</w:t>
      </w:r>
      <w:r>
        <w:tab/>
      </w:r>
      <w:r>
        <w:fldChar w:fldCharType="begin"/>
      </w:r>
      <w:r>
        <w:instrText xml:space="preserve"> PAGEREF _Toc2276 \h </w:instrText>
      </w:r>
      <w:r>
        <w:fldChar w:fldCharType="separate"/>
      </w:r>
      <w:r>
        <w:t>55</w:t>
      </w:r>
      <w:r>
        <w:fldChar w:fldCharType="end"/>
      </w:r>
      <w:r>
        <w:rPr>
          <w:rFonts w:hint="default" w:ascii="Times New Roman" w:hAnsi="Times New Roman" w:cs="Times New Roman" w:eastAsiaTheme="minorEastAsia"/>
          <w:color w:val="auto"/>
          <w:szCs w:val="24"/>
          <w:highlight w:val="none"/>
        </w:rPr>
        <w:fldChar w:fldCharType="end"/>
      </w:r>
    </w:p>
    <w:p w14:paraId="79EE6655">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_Toc14431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 xml:space="preserve">6.2.3 </w:t>
      </w:r>
      <w:r>
        <w:rPr>
          <w:rFonts w:hint="eastAsia" w:cs="Times New Roman"/>
          <w:szCs w:val="24"/>
          <w:highlight w:val="none"/>
          <w:lang w:eastAsia="zh-CN"/>
        </w:rPr>
        <w:t>公司</w:t>
      </w:r>
      <w:r>
        <w:rPr>
          <w:rFonts w:hint="default" w:ascii="Times New Roman" w:hAnsi="Times New Roman" w:cs="Times New Roman" w:eastAsiaTheme="minorEastAsia"/>
          <w:szCs w:val="24"/>
          <w:highlight w:val="none"/>
        </w:rPr>
        <w:t>Ⅱ级响应程序</w:t>
      </w:r>
      <w:r>
        <w:tab/>
      </w:r>
      <w:r>
        <w:fldChar w:fldCharType="begin"/>
      </w:r>
      <w:r>
        <w:instrText xml:space="preserve"> PAGEREF _Toc14431 \h </w:instrText>
      </w:r>
      <w:r>
        <w:fldChar w:fldCharType="separate"/>
      </w:r>
      <w:r>
        <w:t>56</w:t>
      </w:r>
      <w:r>
        <w:fldChar w:fldCharType="end"/>
      </w:r>
      <w:r>
        <w:rPr>
          <w:rFonts w:hint="default" w:ascii="Times New Roman" w:hAnsi="Times New Roman" w:cs="Times New Roman" w:eastAsiaTheme="minorEastAsia"/>
          <w:color w:val="auto"/>
          <w:szCs w:val="24"/>
          <w:highlight w:val="none"/>
        </w:rPr>
        <w:fldChar w:fldCharType="end"/>
      </w:r>
    </w:p>
    <w:p w14:paraId="0B4E3F75">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_Toc13379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 xml:space="preserve">6.2.4 </w:t>
      </w:r>
      <w:r>
        <w:rPr>
          <w:rFonts w:hint="eastAsia" w:cs="Times New Roman"/>
          <w:szCs w:val="24"/>
          <w:highlight w:val="none"/>
          <w:lang w:eastAsia="zh-CN"/>
        </w:rPr>
        <w:t>公司</w:t>
      </w:r>
      <w:r>
        <w:rPr>
          <w:rFonts w:hint="default" w:ascii="Times New Roman" w:hAnsi="Times New Roman" w:cs="Times New Roman" w:eastAsiaTheme="minorEastAsia"/>
          <w:szCs w:val="24"/>
          <w:highlight w:val="none"/>
        </w:rPr>
        <w:t>Ⅰ级及响应程序</w:t>
      </w:r>
      <w:r>
        <w:tab/>
      </w:r>
      <w:r>
        <w:fldChar w:fldCharType="begin"/>
      </w:r>
      <w:r>
        <w:instrText xml:space="preserve"> PAGEREF _Toc13379 \h </w:instrText>
      </w:r>
      <w:r>
        <w:fldChar w:fldCharType="separate"/>
      </w:r>
      <w:r>
        <w:t>58</w:t>
      </w:r>
      <w:r>
        <w:fldChar w:fldCharType="end"/>
      </w:r>
      <w:r>
        <w:rPr>
          <w:rFonts w:hint="default" w:ascii="Times New Roman" w:hAnsi="Times New Roman" w:cs="Times New Roman" w:eastAsiaTheme="minorEastAsia"/>
          <w:color w:val="auto"/>
          <w:szCs w:val="24"/>
          <w:highlight w:val="none"/>
        </w:rPr>
        <w:fldChar w:fldCharType="end"/>
      </w:r>
    </w:p>
    <w:p w14:paraId="29A18DC0">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_Toc11720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6.2.5 指挥与协调</w:t>
      </w:r>
      <w:r>
        <w:tab/>
      </w:r>
      <w:r>
        <w:fldChar w:fldCharType="begin"/>
      </w:r>
      <w:r>
        <w:instrText xml:space="preserve"> PAGEREF _Toc11720 \h </w:instrText>
      </w:r>
      <w:r>
        <w:fldChar w:fldCharType="separate"/>
      </w:r>
      <w:r>
        <w:t>59</w:t>
      </w:r>
      <w:r>
        <w:fldChar w:fldCharType="end"/>
      </w:r>
      <w:r>
        <w:rPr>
          <w:rFonts w:hint="default" w:ascii="Times New Roman" w:hAnsi="Times New Roman" w:cs="Times New Roman" w:eastAsiaTheme="minorEastAsia"/>
          <w:color w:val="auto"/>
          <w:szCs w:val="24"/>
          <w:highlight w:val="none"/>
        </w:rPr>
        <w:fldChar w:fldCharType="end"/>
      </w:r>
    </w:p>
    <w:p w14:paraId="7D6E231E">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_Toc5403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6.3 应急处置</w:t>
      </w:r>
      <w:r>
        <w:tab/>
      </w:r>
      <w:r>
        <w:fldChar w:fldCharType="begin"/>
      </w:r>
      <w:r>
        <w:instrText xml:space="preserve"> PAGEREF _Toc5403 \h </w:instrText>
      </w:r>
      <w:r>
        <w:fldChar w:fldCharType="separate"/>
      </w:r>
      <w:r>
        <w:t>60</w:t>
      </w:r>
      <w:r>
        <w:fldChar w:fldCharType="end"/>
      </w:r>
      <w:r>
        <w:rPr>
          <w:rFonts w:hint="default" w:ascii="Times New Roman" w:hAnsi="Times New Roman" w:cs="Times New Roman" w:eastAsiaTheme="minorEastAsia"/>
          <w:color w:val="auto"/>
          <w:szCs w:val="24"/>
          <w:highlight w:val="none"/>
        </w:rPr>
        <w:fldChar w:fldCharType="end"/>
      </w:r>
    </w:p>
    <w:p w14:paraId="5FE777DE">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_Toc20787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6.3.1 处置原则</w:t>
      </w:r>
      <w:r>
        <w:tab/>
      </w:r>
      <w:r>
        <w:fldChar w:fldCharType="begin"/>
      </w:r>
      <w:r>
        <w:instrText xml:space="preserve"> PAGEREF _Toc20787 \h </w:instrText>
      </w:r>
      <w:r>
        <w:fldChar w:fldCharType="separate"/>
      </w:r>
      <w:r>
        <w:t>60</w:t>
      </w:r>
      <w:r>
        <w:fldChar w:fldCharType="end"/>
      </w:r>
      <w:r>
        <w:rPr>
          <w:rFonts w:hint="default" w:ascii="Times New Roman" w:hAnsi="Times New Roman" w:cs="Times New Roman" w:eastAsiaTheme="minorEastAsia"/>
          <w:color w:val="auto"/>
          <w:szCs w:val="24"/>
          <w:highlight w:val="none"/>
        </w:rPr>
        <w:fldChar w:fldCharType="end"/>
      </w:r>
    </w:p>
    <w:p w14:paraId="3D6C3D21">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_Toc28994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6.3.2 人员紧急疏散、撤离措施</w:t>
      </w:r>
      <w:r>
        <w:tab/>
      </w:r>
      <w:r>
        <w:fldChar w:fldCharType="begin"/>
      </w:r>
      <w:r>
        <w:instrText xml:space="preserve"> PAGEREF _Toc28994 \h </w:instrText>
      </w:r>
      <w:r>
        <w:fldChar w:fldCharType="separate"/>
      </w:r>
      <w:r>
        <w:t>61</w:t>
      </w:r>
      <w:r>
        <w:fldChar w:fldCharType="end"/>
      </w:r>
      <w:r>
        <w:rPr>
          <w:rFonts w:hint="default" w:ascii="Times New Roman" w:hAnsi="Times New Roman" w:cs="Times New Roman" w:eastAsiaTheme="minorEastAsia"/>
          <w:color w:val="auto"/>
          <w:szCs w:val="24"/>
          <w:highlight w:val="none"/>
        </w:rPr>
        <w:fldChar w:fldCharType="end"/>
      </w:r>
    </w:p>
    <w:p w14:paraId="7781A121">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_Toc6648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6.3.3 危险区的隔离措施</w:t>
      </w:r>
      <w:r>
        <w:tab/>
      </w:r>
      <w:r>
        <w:fldChar w:fldCharType="begin"/>
      </w:r>
      <w:r>
        <w:instrText xml:space="preserve"> PAGEREF _Toc6648 \h </w:instrText>
      </w:r>
      <w:r>
        <w:fldChar w:fldCharType="separate"/>
      </w:r>
      <w:r>
        <w:t>62</w:t>
      </w:r>
      <w:r>
        <w:fldChar w:fldCharType="end"/>
      </w:r>
      <w:r>
        <w:rPr>
          <w:rFonts w:hint="default" w:ascii="Times New Roman" w:hAnsi="Times New Roman" w:cs="Times New Roman" w:eastAsiaTheme="minorEastAsia"/>
          <w:color w:val="auto"/>
          <w:szCs w:val="24"/>
          <w:highlight w:val="none"/>
        </w:rPr>
        <w:fldChar w:fldCharType="end"/>
      </w:r>
    </w:p>
    <w:p w14:paraId="25E4955D">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_Toc2549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6.3.4 污染事件保护目标的应急措施</w:t>
      </w:r>
      <w:r>
        <w:tab/>
      </w:r>
      <w:r>
        <w:fldChar w:fldCharType="begin"/>
      </w:r>
      <w:r>
        <w:instrText xml:space="preserve"> PAGEREF _Toc2549 \h </w:instrText>
      </w:r>
      <w:r>
        <w:fldChar w:fldCharType="separate"/>
      </w:r>
      <w:r>
        <w:t>63</w:t>
      </w:r>
      <w:r>
        <w:fldChar w:fldCharType="end"/>
      </w:r>
      <w:r>
        <w:rPr>
          <w:rFonts w:hint="default" w:ascii="Times New Roman" w:hAnsi="Times New Roman" w:cs="Times New Roman" w:eastAsiaTheme="minorEastAsia"/>
          <w:color w:val="auto"/>
          <w:szCs w:val="24"/>
          <w:highlight w:val="none"/>
        </w:rPr>
        <w:fldChar w:fldCharType="end"/>
      </w:r>
    </w:p>
    <w:p w14:paraId="4B4881B5">
      <w:pPr>
        <w:pStyle w:val="15"/>
        <w:tabs>
          <w:tab w:val="right" w:leader="dot" w:pos="8788"/>
          <w:tab w:val="clear" w:pos="8296"/>
        </w:tabs>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_Toc7566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lang w:val="zh-CN"/>
        </w:rPr>
        <w:t>6.3.4.1</w:t>
      </w:r>
      <w:r>
        <w:rPr>
          <w:rFonts w:hint="eastAsia" w:ascii="Times New Roman" w:hAnsi="Times New Roman" w:cs="Times New Roman" w:eastAsiaTheme="minorEastAsia"/>
          <w:szCs w:val="24"/>
          <w:highlight w:val="none"/>
          <w:lang w:val="en-US" w:eastAsia="zh-CN"/>
        </w:rPr>
        <w:t xml:space="preserve"> </w:t>
      </w:r>
      <w:r>
        <w:rPr>
          <w:rFonts w:hint="default" w:ascii="Times New Roman" w:hAnsi="Times New Roman" w:cs="Times New Roman" w:eastAsiaTheme="minorEastAsia"/>
          <w:szCs w:val="24"/>
          <w:highlight w:val="none"/>
          <w:lang w:val="zh-CN"/>
        </w:rPr>
        <w:t>火灾</w:t>
      </w:r>
      <w:r>
        <w:rPr>
          <w:rFonts w:hint="eastAsia" w:ascii="Times New Roman" w:hAnsi="Times New Roman" w:cs="Times New Roman" w:eastAsiaTheme="minorEastAsia"/>
          <w:szCs w:val="24"/>
          <w:highlight w:val="none"/>
          <w:lang w:val="en-US" w:eastAsia="zh-CN"/>
        </w:rPr>
        <w:t>事故的</w:t>
      </w:r>
      <w:r>
        <w:rPr>
          <w:rFonts w:hint="default" w:ascii="Times New Roman" w:hAnsi="Times New Roman" w:cs="Times New Roman" w:eastAsiaTheme="minorEastAsia"/>
          <w:szCs w:val="24"/>
          <w:highlight w:val="none"/>
          <w:lang w:val="zh-CN"/>
        </w:rPr>
        <w:t>应急措施</w:t>
      </w:r>
      <w:r>
        <w:rPr>
          <w:rFonts w:hint="default" w:ascii="Times New Roman" w:hAnsi="Times New Roman" w:cs="Times New Roman" w:eastAsiaTheme="minorEastAsia"/>
          <w:szCs w:val="24"/>
          <w:highlight w:val="none"/>
        </w:rPr>
        <w:tab/>
      </w: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PAGEREF _Toc7566 \h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63</w:t>
      </w:r>
      <w:r>
        <w:rPr>
          <w:rFonts w:hint="default" w:ascii="Times New Roman" w:hAnsi="Times New Roman" w:cs="Times New Roman" w:eastAsiaTheme="minorEastAsia"/>
          <w:szCs w:val="24"/>
          <w:highlight w:val="none"/>
        </w:rPr>
        <w:fldChar w:fldCharType="end"/>
      </w:r>
      <w:r>
        <w:rPr>
          <w:rFonts w:hint="default" w:ascii="Times New Roman" w:hAnsi="Times New Roman" w:cs="Times New Roman" w:eastAsiaTheme="minorEastAsia"/>
          <w:szCs w:val="24"/>
          <w:highlight w:val="none"/>
        </w:rPr>
        <w:fldChar w:fldCharType="end"/>
      </w:r>
    </w:p>
    <w:p w14:paraId="1B77EECF">
      <w:pPr>
        <w:pStyle w:val="15"/>
        <w:tabs>
          <w:tab w:val="right" w:leader="dot" w:pos="8788"/>
          <w:tab w:val="clear" w:pos="8296"/>
        </w:tabs>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_Toc4673 </w:instrText>
      </w:r>
      <w:r>
        <w:rPr>
          <w:rFonts w:hint="default" w:ascii="Times New Roman" w:hAnsi="Times New Roman" w:cs="Times New Roman" w:eastAsiaTheme="minorEastAsia"/>
          <w:szCs w:val="24"/>
          <w:highlight w:val="none"/>
        </w:rPr>
        <w:fldChar w:fldCharType="separate"/>
      </w:r>
      <w:r>
        <w:rPr>
          <w:rFonts w:hint="eastAsia" w:ascii="Times New Roman" w:hAnsi="Times New Roman" w:cs="Times New Roman" w:eastAsiaTheme="minorEastAsia"/>
          <w:szCs w:val="24"/>
          <w:highlight w:val="none"/>
          <w:lang w:val="en-US" w:eastAsia="zh-CN"/>
        </w:rPr>
        <w:t xml:space="preserve">6.3.4.2 </w:t>
      </w:r>
      <w:r>
        <w:rPr>
          <w:rFonts w:hint="default" w:ascii="Times New Roman" w:hAnsi="Times New Roman" w:cs="Times New Roman" w:eastAsiaTheme="minorEastAsia"/>
          <w:szCs w:val="24"/>
          <w:highlight w:val="none"/>
          <w:lang w:val="zh-CN"/>
        </w:rPr>
        <w:t>大气污染事件保护目标的应急措施</w:t>
      </w:r>
      <w:r>
        <w:rPr>
          <w:rFonts w:hint="default" w:ascii="Times New Roman" w:hAnsi="Times New Roman" w:cs="Times New Roman" w:eastAsiaTheme="minorEastAsia"/>
          <w:szCs w:val="24"/>
          <w:highlight w:val="none"/>
        </w:rPr>
        <w:tab/>
      </w: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PAGEREF _Toc4673 \h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64</w:t>
      </w:r>
      <w:r>
        <w:rPr>
          <w:rFonts w:hint="default" w:ascii="Times New Roman" w:hAnsi="Times New Roman" w:cs="Times New Roman" w:eastAsiaTheme="minorEastAsia"/>
          <w:szCs w:val="24"/>
          <w:highlight w:val="none"/>
        </w:rPr>
        <w:fldChar w:fldCharType="end"/>
      </w:r>
      <w:r>
        <w:rPr>
          <w:rFonts w:hint="default" w:ascii="Times New Roman" w:hAnsi="Times New Roman" w:cs="Times New Roman" w:eastAsiaTheme="minorEastAsia"/>
          <w:szCs w:val="24"/>
          <w:highlight w:val="none"/>
        </w:rPr>
        <w:fldChar w:fldCharType="end"/>
      </w:r>
    </w:p>
    <w:p w14:paraId="3CC6D6E9">
      <w:pPr>
        <w:pStyle w:val="15"/>
        <w:tabs>
          <w:tab w:val="right" w:leader="dot" w:pos="8788"/>
          <w:tab w:val="clear" w:pos="8296"/>
        </w:tabs>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_Toc22305 </w:instrText>
      </w:r>
      <w:r>
        <w:rPr>
          <w:rFonts w:hint="default" w:ascii="Times New Roman" w:hAnsi="Times New Roman" w:cs="Times New Roman" w:eastAsiaTheme="minorEastAsia"/>
          <w:szCs w:val="24"/>
          <w:highlight w:val="none"/>
        </w:rPr>
        <w:fldChar w:fldCharType="separate"/>
      </w:r>
      <w:r>
        <w:rPr>
          <w:rFonts w:hint="eastAsia" w:ascii="Times New Roman" w:hAnsi="Times New Roman" w:cs="Times New Roman" w:eastAsiaTheme="minorEastAsia"/>
          <w:szCs w:val="24"/>
          <w:highlight w:val="none"/>
          <w:lang w:val="en-US" w:eastAsia="zh-CN"/>
        </w:rPr>
        <w:t>6.3.4.3 水</w:t>
      </w:r>
      <w:r>
        <w:rPr>
          <w:rFonts w:hint="default" w:ascii="Times New Roman" w:hAnsi="Times New Roman" w:cs="Times New Roman" w:eastAsiaTheme="minorEastAsia"/>
          <w:szCs w:val="24"/>
          <w:highlight w:val="none"/>
          <w:lang w:val="zh-CN"/>
        </w:rPr>
        <w:t>污染事件保护目标的应急措施</w:t>
      </w:r>
      <w:r>
        <w:rPr>
          <w:rFonts w:hint="default" w:ascii="Times New Roman" w:hAnsi="Times New Roman" w:cs="Times New Roman" w:eastAsiaTheme="minorEastAsia"/>
          <w:szCs w:val="24"/>
          <w:highlight w:val="none"/>
        </w:rPr>
        <w:tab/>
      </w: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PAGEREF _Toc22305 \h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65</w:t>
      </w:r>
      <w:r>
        <w:rPr>
          <w:rFonts w:hint="default" w:ascii="Times New Roman" w:hAnsi="Times New Roman" w:cs="Times New Roman" w:eastAsiaTheme="minorEastAsia"/>
          <w:szCs w:val="24"/>
          <w:highlight w:val="none"/>
        </w:rPr>
        <w:fldChar w:fldCharType="end"/>
      </w:r>
      <w:r>
        <w:rPr>
          <w:rFonts w:hint="default" w:ascii="Times New Roman" w:hAnsi="Times New Roman" w:cs="Times New Roman" w:eastAsiaTheme="minorEastAsia"/>
          <w:szCs w:val="24"/>
          <w:highlight w:val="none"/>
        </w:rPr>
        <w:fldChar w:fldCharType="end"/>
      </w:r>
    </w:p>
    <w:p w14:paraId="78F44875">
      <w:pPr>
        <w:pStyle w:val="15"/>
        <w:tabs>
          <w:tab w:val="right" w:leader="dot" w:pos="8788"/>
          <w:tab w:val="clear" w:pos="8296"/>
        </w:tabs>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_Toc19273 </w:instrText>
      </w:r>
      <w:r>
        <w:rPr>
          <w:rFonts w:hint="default" w:ascii="Times New Roman" w:hAnsi="Times New Roman" w:cs="Times New Roman" w:eastAsiaTheme="minorEastAsia"/>
          <w:szCs w:val="24"/>
          <w:highlight w:val="none"/>
        </w:rPr>
        <w:fldChar w:fldCharType="separate"/>
      </w:r>
      <w:r>
        <w:rPr>
          <w:rFonts w:hint="eastAsia" w:ascii="Times New Roman" w:hAnsi="Times New Roman" w:cs="Times New Roman" w:eastAsiaTheme="minorEastAsia"/>
          <w:szCs w:val="24"/>
          <w:highlight w:val="none"/>
          <w:lang w:val="en-US" w:eastAsia="zh-CN"/>
        </w:rPr>
        <w:t>6.3.4.4 土壤、地下水污染事件保护目标</w:t>
      </w:r>
      <w:r>
        <w:rPr>
          <w:rFonts w:hint="default" w:ascii="Times New Roman" w:hAnsi="Times New Roman" w:cs="Times New Roman" w:eastAsiaTheme="minorEastAsia"/>
          <w:szCs w:val="24"/>
          <w:highlight w:val="none"/>
          <w:lang w:val="zh-CN"/>
        </w:rPr>
        <w:t>的应急措施</w:t>
      </w:r>
      <w:r>
        <w:rPr>
          <w:rFonts w:hint="default" w:ascii="Times New Roman" w:hAnsi="Times New Roman" w:cs="Times New Roman" w:eastAsiaTheme="minorEastAsia"/>
          <w:szCs w:val="24"/>
          <w:highlight w:val="none"/>
        </w:rPr>
        <w:tab/>
      </w: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PAGEREF _Toc19273 \h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65</w:t>
      </w:r>
      <w:r>
        <w:rPr>
          <w:rFonts w:hint="default" w:ascii="Times New Roman" w:hAnsi="Times New Roman" w:cs="Times New Roman" w:eastAsiaTheme="minorEastAsia"/>
          <w:szCs w:val="24"/>
          <w:highlight w:val="none"/>
        </w:rPr>
        <w:fldChar w:fldCharType="end"/>
      </w:r>
      <w:r>
        <w:rPr>
          <w:rFonts w:hint="default" w:ascii="Times New Roman" w:hAnsi="Times New Roman" w:cs="Times New Roman" w:eastAsiaTheme="minorEastAsia"/>
          <w:szCs w:val="24"/>
          <w:highlight w:val="none"/>
        </w:rPr>
        <w:fldChar w:fldCharType="end"/>
      </w:r>
    </w:p>
    <w:p w14:paraId="0F366D4C">
      <w:pPr>
        <w:pStyle w:val="15"/>
        <w:tabs>
          <w:tab w:val="right" w:leader="dot" w:pos="8788"/>
          <w:tab w:val="clear" w:pos="8296"/>
        </w:tabs>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_Toc25442 </w:instrText>
      </w:r>
      <w:r>
        <w:rPr>
          <w:rFonts w:hint="default" w:ascii="Times New Roman" w:hAnsi="Times New Roman" w:cs="Times New Roman" w:eastAsiaTheme="minorEastAsia"/>
          <w:szCs w:val="24"/>
          <w:highlight w:val="none"/>
        </w:rPr>
        <w:fldChar w:fldCharType="separate"/>
      </w:r>
      <w:r>
        <w:rPr>
          <w:rFonts w:hint="eastAsia" w:ascii="Times New Roman" w:hAnsi="Times New Roman" w:cs="Times New Roman" w:eastAsiaTheme="minorEastAsia"/>
          <w:szCs w:val="24"/>
          <w:highlight w:val="none"/>
          <w:lang w:val="en-US" w:eastAsia="zh-CN"/>
        </w:rPr>
        <w:t>6.3.4.5 化学物质泄漏</w:t>
      </w:r>
      <w:r>
        <w:rPr>
          <w:rFonts w:hint="default" w:ascii="Times New Roman" w:hAnsi="Times New Roman" w:cs="Times New Roman" w:eastAsiaTheme="minorEastAsia"/>
          <w:szCs w:val="24"/>
          <w:highlight w:val="none"/>
          <w:lang w:val="zh-CN"/>
        </w:rPr>
        <w:t>的应急措施</w:t>
      </w:r>
      <w:r>
        <w:rPr>
          <w:rFonts w:hint="default" w:ascii="Times New Roman" w:hAnsi="Times New Roman" w:cs="Times New Roman" w:eastAsiaTheme="minorEastAsia"/>
          <w:szCs w:val="24"/>
          <w:highlight w:val="none"/>
        </w:rPr>
        <w:tab/>
      </w: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PAGEREF _Toc25442 \h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67</w:t>
      </w:r>
      <w:r>
        <w:rPr>
          <w:rFonts w:hint="default" w:ascii="Times New Roman" w:hAnsi="Times New Roman" w:cs="Times New Roman" w:eastAsiaTheme="minorEastAsia"/>
          <w:szCs w:val="24"/>
          <w:highlight w:val="none"/>
        </w:rPr>
        <w:fldChar w:fldCharType="end"/>
      </w:r>
      <w:r>
        <w:rPr>
          <w:rFonts w:hint="default" w:ascii="Times New Roman" w:hAnsi="Times New Roman" w:cs="Times New Roman" w:eastAsiaTheme="minorEastAsia"/>
          <w:szCs w:val="24"/>
          <w:highlight w:val="none"/>
        </w:rPr>
        <w:fldChar w:fldCharType="end"/>
      </w:r>
    </w:p>
    <w:p w14:paraId="16EF5632">
      <w:pPr>
        <w:pStyle w:val="15"/>
        <w:tabs>
          <w:tab w:val="right" w:leader="dot" w:pos="8788"/>
          <w:tab w:val="clear" w:pos="8296"/>
        </w:tabs>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_Toc18070 </w:instrText>
      </w:r>
      <w:r>
        <w:rPr>
          <w:rFonts w:hint="default" w:ascii="Times New Roman" w:hAnsi="Times New Roman" w:cs="Times New Roman" w:eastAsiaTheme="minorEastAsia"/>
          <w:szCs w:val="24"/>
          <w:highlight w:val="none"/>
        </w:rPr>
        <w:fldChar w:fldCharType="separate"/>
      </w:r>
      <w:r>
        <w:rPr>
          <w:rFonts w:hint="eastAsia" w:ascii="Times New Roman" w:hAnsi="Times New Roman" w:cs="Times New Roman" w:eastAsiaTheme="minorEastAsia"/>
          <w:szCs w:val="24"/>
          <w:highlight w:val="none"/>
          <w:lang w:val="en-US" w:eastAsia="zh-CN"/>
        </w:rPr>
        <w:t>6.3.4.6 危废泄漏、流失、扩散等</w:t>
      </w:r>
      <w:r>
        <w:rPr>
          <w:rFonts w:hint="default" w:ascii="Times New Roman" w:hAnsi="Times New Roman" w:cs="Times New Roman" w:eastAsiaTheme="minorEastAsia"/>
          <w:szCs w:val="24"/>
          <w:highlight w:val="none"/>
          <w:lang w:val="zh-CN"/>
        </w:rPr>
        <w:t>的应急措施</w:t>
      </w:r>
      <w:r>
        <w:rPr>
          <w:rFonts w:hint="default" w:ascii="Times New Roman" w:hAnsi="Times New Roman" w:cs="Times New Roman" w:eastAsiaTheme="minorEastAsia"/>
          <w:szCs w:val="24"/>
          <w:highlight w:val="none"/>
        </w:rPr>
        <w:tab/>
      </w: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PAGEREF _Toc18070 \h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67</w:t>
      </w:r>
      <w:r>
        <w:rPr>
          <w:rFonts w:hint="default" w:ascii="Times New Roman" w:hAnsi="Times New Roman" w:cs="Times New Roman" w:eastAsiaTheme="minorEastAsia"/>
          <w:szCs w:val="24"/>
          <w:highlight w:val="none"/>
        </w:rPr>
        <w:fldChar w:fldCharType="end"/>
      </w:r>
      <w:r>
        <w:rPr>
          <w:rFonts w:hint="default" w:ascii="Times New Roman" w:hAnsi="Times New Roman" w:cs="Times New Roman" w:eastAsiaTheme="minorEastAsia"/>
          <w:szCs w:val="24"/>
          <w:highlight w:val="none"/>
        </w:rPr>
        <w:fldChar w:fldCharType="end"/>
      </w:r>
    </w:p>
    <w:p w14:paraId="19B58A21">
      <w:pPr>
        <w:pStyle w:val="15"/>
        <w:tabs>
          <w:tab w:val="right" w:leader="dot" w:pos="8788"/>
          <w:tab w:val="clear" w:pos="8296"/>
        </w:tabs>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_Toc16111 </w:instrText>
      </w:r>
      <w:r>
        <w:rPr>
          <w:rFonts w:hint="default" w:ascii="Times New Roman" w:hAnsi="Times New Roman" w:cs="Times New Roman" w:eastAsiaTheme="minorEastAsia"/>
          <w:szCs w:val="24"/>
          <w:highlight w:val="none"/>
        </w:rPr>
        <w:fldChar w:fldCharType="separate"/>
      </w:r>
      <w:r>
        <w:rPr>
          <w:rFonts w:hint="eastAsia" w:ascii="Times New Roman" w:hAnsi="Times New Roman" w:cs="Times New Roman" w:eastAsiaTheme="minorEastAsia"/>
          <w:szCs w:val="24"/>
          <w:highlight w:val="none"/>
          <w:lang w:val="en-US" w:eastAsia="zh-CN"/>
        </w:rPr>
        <w:t>6.3.4.7 废气处理设施异常</w:t>
      </w:r>
      <w:r>
        <w:rPr>
          <w:rFonts w:hint="default" w:ascii="Times New Roman" w:hAnsi="Times New Roman" w:cs="Times New Roman" w:eastAsiaTheme="minorEastAsia"/>
          <w:szCs w:val="24"/>
          <w:highlight w:val="none"/>
          <w:lang w:val="zh-CN"/>
        </w:rPr>
        <w:t>的应急措施</w:t>
      </w:r>
      <w:r>
        <w:rPr>
          <w:rFonts w:hint="default" w:ascii="Times New Roman" w:hAnsi="Times New Roman" w:cs="Times New Roman" w:eastAsiaTheme="minorEastAsia"/>
          <w:szCs w:val="24"/>
          <w:highlight w:val="none"/>
        </w:rPr>
        <w:tab/>
      </w: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PAGEREF _Toc16111 \h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67</w:t>
      </w:r>
      <w:r>
        <w:rPr>
          <w:rFonts w:hint="default" w:ascii="Times New Roman" w:hAnsi="Times New Roman" w:cs="Times New Roman" w:eastAsiaTheme="minorEastAsia"/>
          <w:szCs w:val="24"/>
          <w:highlight w:val="none"/>
        </w:rPr>
        <w:fldChar w:fldCharType="end"/>
      </w:r>
      <w:r>
        <w:rPr>
          <w:rFonts w:hint="default" w:ascii="Times New Roman" w:hAnsi="Times New Roman" w:cs="Times New Roman" w:eastAsiaTheme="minorEastAsia"/>
          <w:szCs w:val="24"/>
          <w:highlight w:val="none"/>
        </w:rPr>
        <w:fldChar w:fldCharType="end"/>
      </w:r>
    </w:p>
    <w:p w14:paraId="1938ABA4">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_Toc17079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 xml:space="preserve">6.3.5 </w:t>
      </w:r>
      <w:r>
        <w:rPr>
          <w:rFonts w:hint="default" w:ascii="Times New Roman" w:hAnsi="Times New Roman" w:cs="Times New Roman" w:eastAsiaTheme="minorEastAsia"/>
          <w:kern w:val="0"/>
          <w:szCs w:val="24"/>
          <w:highlight w:val="none"/>
        </w:rPr>
        <w:t>受伤人员现场救护、救治与医院救治措施</w:t>
      </w:r>
      <w:r>
        <w:tab/>
      </w:r>
      <w:r>
        <w:fldChar w:fldCharType="begin"/>
      </w:r>
      <w:r>
        <w:instrText xml:space="preserve"> PAGEREF _Toc17079 \h </w:instrText>
      </w:r>
      <w:r>
        <w:fldChar w:fldCharType="separate"/>
      </w:r>
      <w:r>
        <w:t>68</w:t>
      </w:r>
      <w:r>
        <w:fldChar w:fldCharType="end"/>
      </w:r>
      <w:r>
        <w:rPr>
          <w:rFonts w:hint="default" w:ascii="Times New Roman" w:hAnsi="Times New Roman" w:cs="Times New Roman" w:eastAsiaTheme="minorEastAsia"/>
          <w:color w:val="auto"/>
          <w:szCs w:val="24"/>
          <w:highlight w:val="none"/>
        </w:rPr>
        <w:fldChar w:fldCharType="end"/>
      </w:r>
    </w:p>
    <w:p w14:paraId="7C887E5E">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_Toc14553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6.3.6 事故可能扩大后的应急措施</w:t>
      </w:r>
      <w:r>
        <w:tab/>
      </w:r>
      <w:r>
        <w:fldChar w:fldCharType="begin"/>
      </w:r>
      <w:r>
        <w:instrText xml:space="preserve"> PAGEREF _Toc14553 \h </w:instrText>
      </w:r>
      <w:r>
        <w:fldChar w:fldCharType="separate"/>
      </w:r>
      <w:r>
        <w:t>70</w:t>
      </w:r>
      <w:r>
        <w:fldChar w:fldCharType="end"/>
      </w:r>
      <w:r>
        <w:rPr>
          <w:rFonts w:hint="default" w:ascii="Times New Roman" w:hAnsi="Times New Roman" w:cs="Times New Roman" w:eastAsiaTheme="minorEastAsia"/>
          <w:color w:val="auto"/>
          <w:szCs w:val="24"/>
          <w:highlight w:val="none"/>
        </w:rPr>
        <w:fldChar w:fldCharType="end"/>
      </w:r>
    </w:p>
    <w:p w14:paraId="2A39F99D">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_Toc14894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6.4 应急终止</w:t>
      </w:r>
      <w:r>
        <w:tab/>
      </w:r>
      <w:r>
        <w:fldChar w:fldCharType="begin"/>
      </w:r>
      <w:r>
        <w:instrText xml:space="preserve"> PAGEREF _Toc14894 \h </w:instrText>
      </w:r>
      <w:r>
        <w:fldChar w:fldCharType="separate"/>
      </w:r>
      <w:r>
        <w:t>70</w:t>
      </w:r>
      <w:r>
        <w:fldChar w:fldCharType="end"/>
      </w:r>
      <w:r>
        <w:rPr>
          <w:rFonts w:hint="default" w:ascii="Times New Roman" w:hAnsi="Times New Roman" w:cs="Times New Roman" w:eastAsiaTheme="minorEastAsia"/>
          <w:color w:val="auto"/>
          <w:szCs w:val="24"/>
          <w:highlight w:val="none"/>
        </w:rPr>
        <w:fldChar w:fldCharType="end"/>
      </w:r>
    </w:p>
    <w:p w14:paraId="17F4ECE2">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_Toc4718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6.4.1 应急终止的条件</w:t>
      </w:r>
      <w:r>
        <w:tab/>
      </w:r>
      <w:r>
        <w:fldChar w:fldCharType="begin"/>
      </w:r>
      <w:r>
        <w:instrText xml:space="preserve"> PAGEREF _Toc4718 \h </w:instrText>
      </w:r>
      <w:r>
        <w:fldChar w:fldCharType="separate"/>
      </w:r>
      <w:r>
        <w:t>70</w:t>
      </w:r>
      <w:r>
        <w:fldChar w:fldCharType="end"/>
      </w:r>
      <w:r>
        <w:rPr>
          <w:rFonts w:hint="default" w:ascii="Times New Roman" w:hAnsi="Times New Roman" w:cs="Times New Roman" w:eastAsiaTheme="minorEastAsia"/>
          <w:color w:val="auto"/>
          <w:szCs w:val="24"/>
          <w:highlight w:val="none"/>
        </w:rPr>
        <w:fldChar w:fldCharType="end"/>
      </w:r>
    </w:p>
    <w:p w14:paraId="465D0025">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_Toc7841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6.4.2 应急终止的程序</w:t>
      </w:r>
      <w:r>
        <w:tab/>
      </w:r>
      <w:r>
        <w:fldChar w:fldCharType="begin"/>
      </w:r>
      <w:r>
        <w:instrText xml:space="preserve"> PAGEREF _Toc7841 \h </w:instrText>
      </w:r>
      <w:r>
        <w:fldChar w:fldCharType="separate"/>
      </w:r>
      <w:r>
        <w:t>70</w:t>
      </w:r>
      <w:r>
        <w:fldChar w:fldCharType="end"/>
      </w:r>
      <w:r>
        <w:rPr>
          <w:rFonts w:hint="default" w:ascii="Times New Roman" w:hAnsi="Times New Roman" w:cs="Times New Roman" w:eastAsiaTheme="minorEastAsia"/>
          <w:color w:val="auto"/>
          <w:szCs w:val="24"/>
          <w:highlight w:val="none"/>
        </w:rPr>
        <w:fldChar w:fldCharType="end"/>
      </w:r>
    </w:p>
    <w:p w14:paraId="10F92881">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_Toc32285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6.4.3 应急终止的行动</w:t>
      </w:r>
      <w:r>
        <w:tab/>
      </w:r>
      <w:r>
        <w:fldChar w:fldCharType="begin"/>
      </w:r>
      <w:r>
        <w:instrText xml:space="preserve"> PAGEREF _Toc32285 \h </w:instrText>
      </w:r>
      <w:r>
        <w:fldChar w:fldCharType="separate"/>
      </w:r>
      <w:r>
        <w:t>70</w:t>
      </w:r>
      <w:r>
        <w:fldChar w:fldCharType="end"/>
      </w:r>
      <w:r>
        <w:rPr>
          <w:rFonts w:hint="default" w:ascii="Times New Roman" w:hAnsi="Times New Roman" w:cs="Times New Roman" w:eastAsiaTheme="minorEastAsia"/>
          <w:color w:val="auto"/>
          <w:szCs w:val="24"/>
          <w:highlight w:val="none"/>
        </w:rPr>
        <w:fldChar w:fldCharType="end"/>
      </w:r>
    </w:p>
    <w:p w14:paraId="63D87D50">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_Toc19103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6.5 现场保护与现场洗消</w:t>
      </w:r>
      <w:r>
        <w:tab/>
      </w:r>
      <w:r>
        <w:fldChar w:fldCharType="begin"/>
      </w:r>
      <w:r>
        <w:instrText xml:space="preserve"> PAGEREF _Toc19103 \h </w:instrText>
      </w:r>
      <w:r>
        <w:fldChar w:fldCharType="separate"/>
      </w:r>
      <w:r>
        <w:t>71</w:t>
      </w:r>
      <w:r>
        <w:fldChar w:fldCharType="end"/>
      </w:r>
      <w:r>
        <w:rPr>
          <w:rFonts w:hint="default" w:ascii="Times New Roman" w:hAnsi="Times New Roman" w:cs="Times New Roman" w:eastAsiaTheme="minorEastAsia"/>
          <w:color w:val="auto"/>
          <w:szCs w:val="24"/>
          <w:highlight w:val="none"/>
        </w:rPr>
        <w:fldChar w:fldCharType="end"/>
      </w:r>
    </w:p>
    <w:p w14:paraId="327C06E3">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_Toc32428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6.5.1 事故废水、废液、废渣的安全处置</w:t>
      </w:r>
      <w:r>
        <w:tab/>
      </w:r>
      <w:r>
        <w:fldChar w:fldCharType="begin"/>
      </w:r>
      <w:r>
        <w:instrText xml:space="preserve"> PAGEREF _Toc32428 \h </w:instrText>
      </w:r>
      <w:r>
        <w:fldChar w:fldCharType="separate"/>
      </w:r>
      <w:r>
        <w:t>71</w:t>
      </w:r>
      <w:r>
        <w:fldChar w:fldCharType="end"/>
      </w:r>
      <w:r>
        <w:rPr>
          <w:rFonts w:hint="default" w:ascii="Times New Roman" w:hAnsi="Times New Roman" w:cs="Times New Roman" w:eastAsiaTheme="minorEastAsia"/>
          <w:color w:val="auto"/>
          <w:szCs w:val="24"/>
          <w:highlight w:val="none"/>
        </w:rPr>
        <w:fldChar w:fldCharType="end"/>
      </w:r>
    </w:p>
    <w:p w14:paraId="1C754D73">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_Toc18041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6.6 事故现场保护</w:t>
      </w:r>
      <w:r>
        <w:tab/>
      </w:r>
      <w:r>
        <w:fldChar w:fldCharType="begin"/>
      </w:r>
      <w:r>
        <w:instrText xml:space="preserve"> PAGEREF _Toc18041 \h </w:instrText>
      </w:r>
      <w:r>
        <w:fldChar w:fldCharType="separate"/>
      </w:r>
      <w:r>
        <w:t>72</w:t>
      </w:r>
      <w:r>
        <w:fldChar w:fldCharType="end"/>
      </w:r>
      <w:r>
        <w:rPr>
          <w:rFonts w:hint="default" w:ascii="Times New Roman" w:hAnsi="Times New Roman" w:cs="Times New Roman" w:eastAsiaTheme="minorEastAsia"/>
          <w:color w:val="auto"/>
          <w:szCs w:val="24"/>
          <w:highlight w:val="none"/>
        </w:rPr>
        <w:fldChar w:fldCharType="end"/>
      </w:r>
    </w:p>
    <w:p w14:paraId="11E02AE6">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_Toc28969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6.7 与其他应急预案的衔接</w:t>
      </w:r>
      <w:r>
        <w:tab/>
      </w:r>
      <w:r>
        <w:fldChar w:fldCharType="begin"/>
      </w:r>
      <w:r>
        <w:instrText xml:space="preserve"> PAGEREF _Toc28969 \h </w:instrText>
      </w:r>
      <w:r>
        <w:fldChar w:fldCharType="separate"/>
      </w:r>
      <w:r>
        <w:t>72</w:t>
      </w:r>
      <w:r>
        <w:fldChar w:fldCharType="end"/>
      </w:r>
      <w:r>
        <w:rPr>
          <w:rFonts w:hint="default" w:ascii="Times New Roman" w:hAnsi="Times New Roman" w:cs="Times New Roman" w:eastAsiaTheme="minorEastAsia"/>
          <w:color w:val="auto"/>
          <w:szCs w:val="24"/>
          <w:highlight w:val="none"/>
        </w:rPr>
        <w:fldChar w:fldCharType="end"/>
      </w:r>
    </w:p>
    <w:p w14:paraId="5ED14EB8">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_Toc8449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 xml:space="preserve">6.8 </w:t>
      </w:r>
      <w:r>
        <w:rPr>
          <w:rFonts w:hint="eastAsia" w:cs="Times New Roman"/>
          <w:szCs w:val="24"/>
          <w:highlight w:val="none"/>
          <w:lang w:eastAsia="zh-CN"/>
        </w:rPr>
        <w:t>公司</w:t>
      </w:r>
      <w:r>
        <w:rPr>
          <w:rFonts w:hint="default" w:ascii="Times New Roman" w:hAnsi="Times New Roman" w:cs="Times New Roman" w:eastAsiaTheme="minorEastAsia"/>
          <w:szCs w:val="24"/>
          <w:highlight w:val="none"/>
        </w:rPr>
        <w:t>目前应急能力评估</w:t>
      </w:r>
      <w:r>
        <w:tab/>
      </w:r>
      <w:r>
        <w:fldChar w:fldCharType="begin"/>
      </w:r>
      <w:r>
        <w:instrText xml:space="preserve"> PAGEREF _Toc8449 \h </w:instrText>
      </w:r>
      <w:r>
        <w:fldChar w:fldCharType="separate"/>
      </w:r>
      <w:r>
        <w:t>73</w:t>
      </w:r>
      <w:r>
        <w:fldChar w:fldCharType="end"/>
      </w:r>
      <w:r>
        <w:rPr>
          <w:rFonts w:hint="default" w:ascii="Times New Roman" w:hAnsi="Times New Roman" w:cs="Times New Roman" w:eastAsiaTheme="minorEastAsia"/>
          <w:color w:val="auto"/>
          <w:szCs w:val="24"/>
          <w:highlight w:val="none"/>
        </w:rPr>
        <w:fldChar w:fldCharType="end"/>
      </w:r>
    </w:p>
    <w:p w14:paraId="058F3F61">
      <w:pPr>
        <w:pStyle w:val="23"/>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_Toc7984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8"/>
          <w:highlight w:val="none"/>
        </w:rPr>
        <w:t>7 事后恢复</w:t>
      </w:r>
      <w:r>
        <w:tab/>
      </w:r>
      <w:r>
        <w:fldChar w:fldCharType="begin"/>
      </w:r>
      <w:r>
        <w:instrText xml:space="preserve"> PAGEREF _Toc7984 \h </w:instrText>
      </w:r>
      <w:r>
        <w:fldChar w:fldCharType="separate"/>
      </w:r>
      <w:r>
        <w:t>75</w:t>
      </w:r>
      <w:r>
        <w:fldChar w:fldCharType="end"/>
      </w:r>
      <w:r>
        <w:rPr>
          <w:rFonts w:hint="default" w:ascii="Times New Roman" w:hAnsi="Times New Roman" w:cs="Times New Roman" w:eastAsiaTheme="minorEastAsia"/>
          <w:color w:val="auto"/>
          <w:szCs w:val="24"/>
          <w:highlight w:val="none"/>
        </w:rPr>
        <w:fldChar w:fldCharType="end"/>
      </w:r>
    </w:p>
    <w:p w14:paraId="7ADB4A1E">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_Toc25393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7.1 善后处理</w:t>
      </w:r>
      <w:r>
        <w:tab/>
      </w:r>
      <w:r>
        <w:fldChar w:fldCharType="begin"/>
      </w:r>
      <w:r>
        <w:instrText xml:space="preserve"> PAGEREF _Toc25393 \h </w:instrText>
      </w:r>
      <w:r>
        <w:fldChar w:fldCharType="separate"/>
      </w:r>
      <w:r>
        <w:t>75</w:t>
      </w:r>
      <w:r>
        <w:fldChar w:fldCharType="end"/>
      </w:r>
      <w:r>
        <w:rPr>
          <w:rFonts w:hint="default" w:ascii="Times New Roman" w:hAnsi="Times New Roman" w:cs="Times New Roman" w:eastAsiaTheme="minorEastAsia"/>
          <w:color w:val="auto"/>
          <w:szCs w:val="24"/>
          <w:highlight w:val="none"/>
        </w:rPr>
        <w:fldChar w:fldCharType="end"/>
      </w:r>
    </w:p>
    <w:p w14:paraId="6D0CCF5F">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_Toc25718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7.2 调查与评估</w:t>
      </w:r>
      <w:r>
        <w:tab/>
      </w:r>
      <w:r>
        <w:fldChar w:fldCharType="begin"/>
      </w:r>
      <w:r>
        <w:instrText xml:space="preserve"> PAGEREF _Toc25718 \h </w:instrText>
      </w:r>
      <w:r>
        <w:fldChar w:fldCharType="separate"/>
      </w:r>
      <w:r>
        <w:t>75</w:t>
      </w:r>
      <w:r>
        <w:fldChar w:fldCharType="end"/>
      </w:r>
      <w:r>
        <w:rPr>
          <w:rFonts w:hint="default" w:ascii="Times New Roman" w:hAnsi="Times New Roman" w:cs="Times New Roman" w:eastAsiaTheme="minorEastAsia"/>
          <w:color w:val="auto"/>
          <w:szCs w:val="24"/>
          <w:highlight w:val="none"/>
        </w:rPr>
        <w:fldChar w:fldCharType="end"/>
      </w:r>
    </w:p>
    <w:p w14:paraId="6F22195C">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_Toc7679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7.3 保险理赔</w:t>
      </w:r>
      <w:r>
        <w:tab/>
      </w:r>
      <w:r>
        <w:fldChar w:fldCharType="begin"/>
      </w:r>
      <w:r>
        <w:instrText xml:space="preserve"> PAGEREF _Toc7679 \h </w:instrText>
      </w:r>
      <w:r>
        <w:fldChar w:fldCharType="separate"/>
      </w:r>
      <w:r>
        <w:t>76</w:t>
      </w:r>
      <w:r>
        <w:fldChar w:fldCharType="end"/>
      </w:r>
      <w:r>
        <w:rPr>
          <w:rFonts w:hint="default" w:ascii="Times New Roman" w:hAnsi="Times New Roman" w:cs="Times New Roman" w:eastAsiaTheme="minorEastAsia"/>
          <w:color w:val="auto"/>
          <w:szCs w:val="24"/>
          <w:highlight w:val="none"/>
        </w:rPr>
        <w:fldChar w:fldCharType="end"/>
      </w:r>
    </w:p>
    <w:p w14:paraId="6800F18C">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_Toc2504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7.4 恢复重建</w:t>
      </w:r>
      <w:r>
        <w:tab/>
      </w:r>
      <w:r>
        <w:fldChar w:fldCharType="begin"/>
      </w:r>
      <w:r>
        <w:instrText xml:space="preserve"> PAGEREF _Toc2504 \h </w:instrText>
      </w:r>
      <w:r>
        <w:fldChar w:fldCharType="separate"/>
      </w:r>
      <w:r>
        <w:t>76</w:t>
      </w:r>
      <w:r>
        <w:fldChar w:fldCharType="end"/>
      </w:r>
      <w:r>
        <w:rPr>
          <w:rFonts w:hint="default" w:ascii="Times New Roman" w:hAnsi="Times New Roman" w:cs="Times New Roman" w:eastAsiaTheme="minorEastAsia"/>
          <w:color w:val="auto"/>
          <w:szCs w:val="24"/>
          <w:highlight w:val="none"/>
        </w:rPr>
        <w:fldChar w:fldCharType="end"/>
      </w:r>
    </w:p>
    <w:p w14:paraId="0FD7CC66">
      <w:pPr>
        <w:pStyle w:val="23"/>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_Toc19442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8"/>
          <w:highlight w:val="none"/>
        </w:rPr>
        <w:t>8保障措施</w:t>
      </w:r>
      <w:r>
        <w:tab/>
      </w:r>
      <w:r>
        <w:fldChar w:fldCharType="begin"/>
      </w:r>
      <w:r>
        <w:instrText xml:space="preserve"> PAGEREF _Toc19442 \h </w:instrText>
      </w:r>
      <w:r>
        <w:fldChar w:fldCharType="separate"/>
      </w:r>
      <w:r>
        <w:t>77</w:t>
      </w:r>
      <w:r>
        <w:fldChar w:fldCharType="end"/>
      </w:r>
      <w:r>
        <w:rPr>
          <w:rFonts w:hint="default" w:ascii="Times New Roman" w:hAnsi="Times New Roman" w:cs="Times New Roman" w:eastAsiaTheme="minorEastAsia"/>
          <w:color w:val="auto"/>
          <w:szCs w:val="24"/>
          <w:highlight w:val="none"/>
        </w:rPr>
        <w:fldChar w:fldCharType="end"/>
      </w:r>
    </w:p>
    <w:p w14:paraId="512E6BA4">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_Toc18647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8.1 人力资源保障</w:t>
      </w:r>
      <w:r>
        <w:tab/>
      </w:r>
      <w:r>
        <w:fldChar w:fldCharType="begin"/>
      </w:r>
      <w:r>
        <w:instrText xml:space="preserve"> PAGEREF _Toc18647 \h </w:instrText>
      </w:r>
      <w:r>
        <w:fldChar w:fldCharType="separate"/>
      </w:r>
      <w:r>
        <w:t>77</w:t>
      </w:r>
      <w:r>
        <w:fldChar w:fldCharType="end"/>
      </w:r>
      <w:r>
        <w:rPr>
          <w:rFonts w:hint="default" w:ascii="Times New Roman" w:hAnsi="Times New Roman" w:cs="Times New Roman" w:eastAsiaTheme="minorEastAsia"/>
          <w:color w:val="auto"/>
          <w:szCs w:val="24"/>
          <w:highlight w:val="none"/>
        </w:rPr>
        <w:fldChar w:fldCharType="end"/>
      </w:r>
    </w:p>
    <w:p w14:paraId="5C43F14B">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_Toc18312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8.2 财力保障</w:t>
      </w:r>
      <w:r>
        <w:tab/>
      </w:r>
      <w:r>
        <w:fldChar w:fldCharType="begin"/>
      </w:r>
      <w:r>
        <w:instrText xml:space="preserve"> PAGEREF _Toc18312 \h </w:instrText>
      </w:r>
      <w:r>
        <w:fldChar w:fldCharType="separate"/>
      </w:r>
      <w:r>
        <w:t>77</w:t>
      </w:r>
      <w:r>
        <w:fldChar w:fldCharType="end"/>
      </w:r>
      <w:r>
        <w:rPr>
          <w:rFonts w:hint="default" w:ascii="Times New Roman" w:hAnsi="Times New Roman" w:cs="Times New Roman" w:eastAsiaTheme="minorEastAsia"/>
          <w:color w:val="auto"/>
          <w:szCs w:val="24"/>
          <w:highlight w:val="none"/>
        </w:rPr>
        <w:fldChar w:fldCharType="end"/>
      </w:r>
    </w:p>
    <w:p w14:paraId="3501724C">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_Toc11024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8.3 物质保障</w:t>
      </w:r>
      <w:r>
        <w:tab/>
      </w:r>
      <w:r>
        <w:fldChar w:fldCharType="begin"/>
      </w:r>
      <w:r>
        <w:instrText xml:space="preserve"> PAGEREF _Toc11024 \h </w:instrText>
      </w:r>
      <w:r>
        <w:fldChar w:fldCharType="separate"/>
      </w:r>
      <w:r>
        <w:t>77</w:t>
      </w:r>
      <w:r>
        <w:fldChar w:fldCharType="end"/>
      </w:r>
      <w:r>
        <w:rPr>
          <w:rFonts w:hint="default" w:ascii="Times New Roman" w:hAnsi="Times New Roman" w:cs="Times New Roman" w:eastAsiaTheme="minorEastAsia"/>
          <w:color w:val="auto"/>
          <w:szCs w:val="24"/>
          <w:highlight w:val="none"/>
        </w:rPr>
        <w:fldChar w:fldCharType="end"/>
      </w:r>
    </w:p>
    <w:p w14:paraId="75813585">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_Toc3745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8.3.1 应急设施</w:t>
      </w:r>
      <w:r>
        <w:tab/>
      </w:r>
      <w:r>
        <w:fldChar w:fldCharType="begin"/>
      </w:r>
      <w:r>
        <w:instrText xml:space="preserve"> PAGEREF _Toc3745 \h </w:instrText>
      </w:r>
      <w:r>
        <w:fldChar w:fldCharType="separate"/>
      </w:r>
      <w:r>
        <w:t>77</w:t>
      </w:r>
      <w:r>
        <w:fldChar w:fldCharType="end"/>
      </w:r>
      <w:r>
        <w:rPr>
          <w:rFonts w:hint="default" w:ascii="Times New Roman" w:hAnsi="Times New Roman" w:cs="Times New Roman" w:eastAsiaTheme="minorEastAsia"/>
          <w:color w:val="auto"/>
          <w:szCs w:val="24"/>
          <w:highlight w:val="none"/>
        </w:rPr>
        <w:fldChar w:fldCharType="end"/>
      </w:r>
    </w:p>
    <w:p w14:paraId="540CCEA0">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_Toc19613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8.4 报警与照明保障</w:t>
      </w:r>
      <w:r>
        <w:tab/>
      </w:r>
      <w:r>
        <w:fldChar w:fldCharType="begin"/>
      </w:r>
      <w:r>
        <w:instrText xml:space="preserve"> PAGEREF _Toc19613 \h </w:instrText>
      </w:r>
      <w:r>
        <w:fldChar w:fldCharType="separate"/>
      </w:r>
      <w:r>
        <w:t>78</w:t>
      </w:r>
      <w:r>
        <w:fldChar w:fldCharType="end"/>
      </w:r>
      <w:r>
        <w:rPr>
          <w:rFonts w:hint="default" w:ascii="Times New Roman" w:hAnsi="Times New Roman" w:cs="Times New Roman" w:eastAsiaTheme="minorEastAsia"/>
          <w:color w:val="auto"/>
          <w:szCs w:val="24"/>
          <w:highlight w:val="none"/>
        </w:rPr>
        <w:fldChar w:fldCharType="end"/>
      </w:r>
    </w:p>
    <w:p w14:paraId="54DBE025">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_Toc24335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8.5 医疗卫生保障</w:t>
      </w:r>
      <w:r>
        <w:tab/>
      </w:r>
      <w:r>
        <w:fldChar w:fldCharType="begin"/>
      </w:r>
      <w:r>
        <w:instrText xml:space="preserve"> PAGEREF _Toc24335 \h </w:instrText>
      </w:r>
      <w:r>
        <w:fldChar w:fldCharType="separate"/>
      </w:r>
      <w:r>
        <w:t>78</w:t>
      </w:r>
      <w:r>
        <w:fldChar w:fldCharType="end"/>
      </w:r>
      <w:r>
        <w:rPr>
          <w:rFonts w:hint="default" w:ascii="Times New Roman" w:hAnsi="Times New Roman" w:cs="Times New Roman" w:eastAsiaTheme="minorEastAsia"/>
          <w:color w:val="auto"/>
          <w:szCs w:val="24"/>
          <w:highlight w:val="none"/>
        </w:rPr>
        <w:fldChar w:fldCharType="end"/>
      </w:r>
    </w:p>
    <w:p w14:paraId="2BFBB463">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_Toc28478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8.6 交通运输保障</w:t>
      </w:r>
      <w:r>
        <w:tab/>
      </w:r>
      <w:r>
        <w:fldChar w:fldCharType="begin"/>
      </w:r>
      <w:r>
        <w:instrText xml:space="preserve"> PAGEREF _Toc28478 \h </w:instrText>
      </w:r>
      <w:r>
        <w:fldChar w:fldCharType="separate"/>
      </w:r>
      <w:r>
        <w:t>79</w:t>
      </w:r>
      <w:r>
        <w:fldChar w:fldCharType="end"/>
      </w:r>
      <w:r>
        <w:rPr>
          <w:rFonts w:hint="default" w:ascii="Times New Roman" w:hAnsi="Times New Roman" w:cs="Times New Roman" w:eastAsiaTheme="minorEastAsia"/>
          <w:color w:val="auto"/>
          <w:szCs w:val="24"/>
          <w:highlight w:val="none"/>
        </w:rPr>
        <w:fldChar w:fldCharType="end"/>
      </w:r>
    </w:p>
    <w:p w14:paraId="17C76B73">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_Toc8720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8.7 治安维护</w:t>
      </w:r>
      <w:r>
        <w:tab/>
      </w:r>
      <w:r>
        <w:fldChar w:fldCharType="begin"/>
      </w:r>
      <w:r>
        <w:instrText xml:space="preserve"> PAGEREF _Toc8720 \h </w:instrText>
      </w:r>
      <w:r>
        <w:fldChar w:fldCharType="separate"/>
      </w:r>
      <w:r>
        <w:t>79</w:t>
      </w:r>
      <w:r>
        <w:fldChar w:fldCharType="end"/>
      </w:r>
      <w:r>
        <w:rPr>
          <w:rFonts w:hint="default" w:ascii="Times New Roman" w:hAnsi="Times New Roman" w:cs="Times New Roman" w:eastAsiaTheme="minorEastAsia"/>
          <w:color w:val="auto"/>
          <w:szCs w:val="24"/>
          <w:highlight w:val="none"/>
        </w:rPr>
        <w:fldChar w:fldCharType="end"/>
      </w:r>
    </w:p>
    <w:p w14:paraId="4CD0F097">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_Toc29101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8.8 通信保障</w:t>
      </w:r>
      <w:r>
        <w:tab/>
      </w:r>
      <w:r>
        <w:fldChar w:fldCharType="begin"/>
      </w:r>
      <w:r>
        <w:instrText xml:space="preserve"> PAGEREF _Toc29101 \h </w:instrText>
      </w:r>
      <w:r>
        <w:fldChar w:fldCharType="separate"/>
      </w:r>
      <w:r>
        <w:t>79</w:t>
      </w:r>
      <w:r>
        <w:fldChar w:fldCharType="end"/>
      </w:r>
      <w:r>
        <w:rPr>
          <w:rFonts w:hint="default" w:ascii="Times New Roman" w:hAnsi="Times New Roman" w:cs="Times New Roman" w:eastAsiaTheme="minorEastAsia"/>
          <w:color w:val="auto"/>
          <w:szCs w:val="24"/>
          <w:highlight w:val="none"/>
        </w:rPr>
        <w:fldChar w:fldCharType="end"/>
      </w:r>
    </w:p>
    <w:p w14:paraId="3A729366">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_Toc21516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8.9 外部救援体系周边</w:t>
      </w:r>
      <w:r>
        <w:rPr>
          <w:rFonts w:hint="eastAsia" w:cs="Times New Roman"/>
          <w:szCs w:val="24"/>
          <w:highlight w:val="none"/>
          <w:lang w:eastAsia="zh-CN"/>
        </w:rPr>
        <w:t>公司</w:t>
      </w:r>
      <w:r>
        <w:tab/>
      </w:r>
      <w:r>
        <w:fldChar w:fldCharType="begin"/>
      </w:r>
      <w:r>
        <w:instrText xml:space="preserve"> PAGEREF _Toc21516 \h </w:instrText>
      </w:r>
      <w:r>
        <w:fldChar w:fldCharType="separate"/>
      </w:r>
      <w:r>
        <w:t>79</w:t>
      </w:r>
      <w:r>
        <w:fldChar w:fldCharType="end"/>
      </w:r>
      <w:r>
        <w:rPr>
          <w:rFonts w:hint="default" w:ascii="Times New Roman" w:hAnsi="Times New Roman" w:cs="Times New Roman" w:eastAsiaTheme="minorEastAsia"/>
          <w:color w:val="auto"/>
          <w:szCs w:val="24"/>
          <w:highlight w:val="none"/>
        </w:rPr>
        <w:fldChar w:fldCharType="end"/>
      </w:r>
    </w:p>
    <w:p w14:paraId="424E1983">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_Toc23806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8.10 科技支撑</w:t>
      </w:r>
      <w:r>
        <w:tab/>
      </w:r>
      <w:r>
        <w:fldChar w:fldCharType="begin"/>
      </w:r>
      <w:r>
        <w:instrText xml:space="preserve"> PAGEREF _Toc23806 \h </w:instrText>
      </w:r>
      <w:r>
        <w:fldChar w:fldCharType="separate"/>
      </w:r>
      <w:r>
        <w:t>80</w:t>
      </w:r>
      <w:r>
        <w:fldChar w:fldCharType="end"/>
      </w:r>
      <w:r>
        <w:rPr>
          <w:rFonts w:hint="default" w:ascii="Times New Roman" w:hAnsi="Times New Roman" w:cs="Times New Roman" w:eastAsiaTheme="minorEastAsia"/>
          <w:color w:val="auto"/>
          <w:szCs w:val="24"/>
          <w:highlight w:val="none"/>
        </w:rPr>
        <w:fldChar w:fldCharType="end"/>
      </w:r>
    </w:p>
    <w:p w14:paraId="4DAE2F7F">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_Toc1766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8.11 环境应急能力评估</w:t>
      </w:r>
      <w:r>
        <w:tab/>
      </w:r>
      <w:r>
        <w:fldChar w:fldCharType="begin"/>
      </w:r>
      <w:r>
        <w:instrText xml:space="preserve"> PAGEREF _Toc1766 \h </w:instrText>
      </w:r>
      <w:r>
        <w:fldChar w:fldCharType="separate"/>
      </w:r>
      <w:r>
        <w:t>80</w:t>
      </w:r>
      <w:r>
        <w:fldChar w:fldCharType="end"/>
      </w:r>
      <w:r>
        <w:rPr>
          <w:rFonts w:hint="default" w:ascii="Times New Roman" w:hAnsi="Times New Roman" w:cs="Times New Roman" w:eastAsiaTheme="minorEastAsia"/>
          <w:color w:val="auto"/>
          <w:szCs w:val="24"/>
          <w:highlight w:val="none"/>
        </w:rPr>
        <w:fldChar w:fldCharType="end"/>
      </w:r>
    </w:p>
    <w:p w14:paraId="2F28D064">
      <w:pPr>
        <w:pStyle w:val="23"/>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_Toc31778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kern w:val="0"/>
          <w:szCs w:val="28"/>
          <w:highlight w:val="none"/>
        </w:rPr>
        <w:t>9 预案管理</w:t>
      </w:r>
      <w:r>
        <w:tab/>
      </w:r>
      <w:r>
        <w:fldChar w:fldCharType="begin"/>
      </w:r>
      <w:r>
        <w:instrText xml:space="preserve"> PAGEREF _Toc31778 \h </w:instrText>
      </w:r>
      <w:r>
        <w:fldChar w:fldCharType="separate"/>
      </w:r>
      <w:r>
        <w:t>81</w:t>
      </w:r>
      <w:r>
        <w:fldChar w:fldCharType="end"/>
      </w:r>
      <w:r>
        <w:rPr>
          <w:rFonts w:hint="default" w:ascii="Times New Roman" w:hAnsi="Times New Roman" w:cs="Times New Roman" w:eastAsiaTheme="minorEastAsia"/>
          <w:color w:val="auto"/>
          <w:szCs w:val="24"/>
          <w:highlight w:val="none"/>
        </w:rPr>
        <w:fldChar w:fldCharType="end"/>
      </w:r>
    </w:p>
    <w:p w14:paraId="0B651339">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_Toc16385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9.1培训</w:t>
      </w:r>
      <w:r>
        <w:tab/>
      </w:r>
      <w:r>
        <w:fldChar w:fldCharType="begin"/>
      </w:r>
      <w:r>
        <w:instrText xml:space="preserve"> PAGEREF _Toc16385 \h </w:instrText>
      </w:r>
      <w:r>
        <w:fldChar w:fldCharType="separate"/>
      </w:r>
      <w:r>
        <w:t>81</w:t>
      </w:r>
      <w:r>
        <w:fldChar w:fldCharType="end"/>
      </w:r>
      <w:r>
        <w:rPr>
          <w:rFonts w:hint="default" w:ascii="Times New Roman" w:hAnsi="Times New Roman" w:cs="Times New Roman" w:eastAsiaTheme="minorEastAsia"/>
          <w:color w:val="auto"/>
          <w:szCs w:val="24"/>
          <w:highlight w:val="none"/>
        </w:rPr>
        <w:fldChar w:fldCharType="end"/>
      </w:r>
    </w:p>
    <w:p w14:paraId="5BEAB82A">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_Toc21596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9.1.1 应急救援指挥组成员的培训</w:t>
      </w:r>
      <w:r>
        <w:tab/>
      </w:r>
      <w:r>
        <w:fldChar w:fldCharType="begin"/>
      </w:r>
      <w:r>
        <w:instrText xml:space="preserve"> PAGEREF _Toc21596 \h </w:instrText>
      </w:r>
      <w:r>
        <w:fldChar w:fldCharType="separate"/>
      </w:r>
      <w:r>
        <w:t>81</w:t>
      </w:r>
      <w:r>
        <w:fldChar w:fldCharType="end"/>
      </w:r>
      <w:r>
        <w:rPr>
          <w:rFonts w:hint="default" w:ascii="Times New Roman" w:hAnsi="Times New Roman" w:cs="Times New Roman" w:eastAsiaTheme="minorEastAsia"/>
          <w:color w:val="auto"/>
          <w:szCs w:val="24"/>
          <w:highlight w:val="none"/>
        </w:rPr>
        <w:fldChar w:fldCharType="end"/>
      </w:r>
    </w:p>
    <w:p w14:paraId="6BEC723A">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_Toc22357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9.1.2 员工的培训</w:t>
      </w:r>
      <w:r>
        <w:tab/>
      </w:r>
      <w:r>
        <w:fldChar w:fldCharType="begin"/>
      </w:r>
      <w:r>
        <w:instrText xml:space="preserve"> PAGEREF _Toc22357 \h </w:instrText>
      </w:r>
      <w:r>
        <w:fldChar w:fldCharType="separate"/>
      </w:r>
      <w:r>
        <w:t>81</w:t>
      </w:r>
      <w:r>
        <w:fldChar w:fldCharType="end"/>
      </w:r>
      <w:r>
        <w:rPr>
          <w:rFonts w:hint="default" w:ascii="Times New Roman" w:hAnsi="Times New Roman" w:cs="Times New Roman" w:eastAsiaTheme="minorEastAsia"/>
          <w:color w:val="auto"/>
          <w:szCs w:val="24"/>
          <w:highlight w:val="none"/>
        </w:rPr>
        <w:fldChar w:fldCharType="end"/>
      </w:r>
    </w:p>
    <w:p w14:paraId="22BFDFDE">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_Toc11899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9.1.3 外部公众的培训</w:t>
      </w:r>
      <w:r>
        <w:tab/>
      </w:r>
      <w:r>
        <w:fldChar w:fldCharType="begin"/>
      </w:r>
      <w:r>
        <w:instrText xml:space="preserve"> PAGEREF _Toc11899 \h </w:instrText>
      </w:r>
      <w:r>
        <w:fldChar w:fldCharType="separate"/>
      </w:r>
      <w:r>
        <w:t>82</w:t>
      </w:r>
      <w:r>
        <w:fldChar w:fldCharType="end"/>
      </w:r>
      <w:r>
        <w:rPr>
          <w:rFonts w:hint="default" w:ascii="Times New Roman" w:hAnsi="Times New Roman" w:cs="Times New Roman" w:eastAsiaTheme="minorEastAsia"/>
          <w:color w:val="auto"/>
          <w:szCs w:val="24"/>
          <w:highlight w:val="none"/>
        </w:rPr>
        <w:fldChar w:fldCharType="end"/>
      </w:r>
    </w:p>
    <w:p w14:paraId="28D3A707">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_Toc26695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9.2</w:t>
      </w:r>
      <w:r>
        <w:rPr>
          <w:rFonts w:hint="eastAsia" w:cs="Times New Roman"/>
          <w:szCs w:val="24"/>
          <w:highlight w:val="none"/>
          <w:lang w:val="en-US" w:eastAsia="zh-CN"/>
        </w:rPr>
        <w:t>应急</w:t>
      </w:r>
      <w:r>
        <w:rPr>
          <w:rFonts w:hint="default" w:ascii="Times New Roman" w:hAnsi="Times New Roman" w:cs="Times New Roman" w:eastAsiaTheme="minorEastAsia"/>
          <w:szCs w:val="24"/>
          <w:highlight w:val="none"/>
        </w:rPr>
        <w:t>演练</w:t>
      </w:r>
      <w:r>
        <w:tab/>
      </w:r>
      <w:r>
        <w:fldChar w:fldCharType="begin"/>
      </w:r>
      <w:r>
        <w:instrText xml:space="preserve"> PAGEREF _Toc26695 \h </w:instrText>
      </w:r>
      <w:r>
        <w:fldChar w:fldCharType="separate"/>
      </w:r>
      <w:r>
        <w:t>82</w:t>
      </w:r>
      <w:r>
        <w:fldChar w:fldCharType="end"/>
      </w:r>
      <w:r>
        <w:rPr>
          <w:rFonts w:hint="default" w:ascii="Times New Roman" w:hAnsi="Times New Roman" w:cs="Times New Roman" w:eastAsiaTheme="minorEastAsia"/>
          <w:color w:val="auto"/>
          <w:szCs w:val="24"/>
          <w:highlight w:val="none"/>
        </w:rPr>
        <w:fldChar w:fldCharType="end"/>
      </w:r>
    </w:p>
    <w:p w14:paraId="288BAF47">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_Toc7900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9.2.1 演练准备内容</w:t>
      </w:r>
      <w:r>
        <w:tab/>
      </w:r>
      <w:r>
        <w:fldChar w:fldCharType="begin"/>
      </w:r>
      <w:r>
        <w:instrText xml:space="preserve"> PAGEREF _Toc7900 \h </w:instrText>
      </w:r>
      <w:r>
        <w:fldChar w:fldCharType="separate"/>
      </w:r>
      <w:r>
        <w:t>82</w:t>
      </w:r>
      <w:r>
        <w:fldChar w:fldCharType="end"/>
      </w:r>
      <w:r>
        <w:rPr>
          <w:rFonts w:hint="default" w:ascii="Times New Roman" w:hAnsi="Times New Roman" w:cs="Times New Roman" w:eastAsiaTheme="minorEastAsia"/>
          <w:color w:val="auto"/>
          <w:szCs w:val="24"/>
          <w:highlight w:val="none"/>
        </w:rPr>
        <w:fldChar w:fldCharType="end"/>
      </w:r>
    </w:p>
    <w:p w14:paraId="4C0EDD08">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_Toc10783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9.2.2 演练方式、范围与频次</w:t>
      </w:r>
      <w:r>
        <w:tab/>
      </w:r>
      <w:r>
        <w:fldChar w:fldCharType="begin"/>
      </w:r>
      <w:r>
        <w:instrText xml:space="preserve"> PAGEREF _Toc10783 \h </w:instrText>
      </w:r>
      <w:r>
        <w:fldChar w:fldCharType="separate"/>
      </w:r>
      <w:r>
        <w:t>83</w:t>
      </w:r>
      <w:r>
        <w:fldChar w:fldCharType="end"/>
      </w:r>
      <w:r>
        <w:rPr>
          <w:rFonts w:hint="default" w:ascii="Times New Roman" w:hAnsi="Times New Roman" w:cs="Times New Roman" w:eastAsiaTheme="minorEastAsia"/>
          <w:color w:val="auto"/>
          <w:szCs w:val="24"/>
          <w:highlight w:val="none"/>
        </w:rPr>
        <w:fldChar w:fldCharType="end"/>
      </w:r>
    </w:p>
    <w:p w14:paraId="05FD2B49">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_Toc10879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9.2.3 演练组织</w:t>
      </w:r>
      <w:r>
        <w:tab/>
      </w:r>
      <w:r>
        <w:fldChar w:fldCharType="begin"/>
      </w:r>
      <w:r>
        <w:instrText xml:space="preserve"> PAGEREF _Toc10879 \h </w:instrText>
      </w:r>
      <w:r>
        <w:fldChar w:fldCharType="separate"/>
      </w:r>
      <w:r>
        <w:t>84</w:t>
      </w:r>
      <w:r>
        <w:fldChar w:fldCharType="end"/>
      </w:r>
      <w:r>
        <w:rPr>
          <w:rFonts w:hint="default" w:ascii="Times New Roman" w:hAnsi="Times New Roman" w:cs="Times New Roman" w:eastAsiaTheme="minorEastAsia"/>
          <w:color w:val="auto"/>
          <w:szCs w:val="24"/>
          <w:highlight w:val="none"/>
        </w:rPr>
        <w:fldChar w:fldCharType="end"/>
      </w:r>
    </w:p>
    <w:p w14:paraId="3EC1C2DA">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_Toc30035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9.2.4 应急演练的评价、总结与追踪</w:t>
      </w:r>
      <w:r>
        <w:tab/>
      </w:r>
      <w:r>
        <w:fldChar w:fldCharType="begin"/>
      </w:r>
      <w:r>
        <w:instrText xml:space="preserve"> PAGEREF _Toc30035 \h </w:instrText>
      </w:r>
      <w:r>
        <w:fldChar w:fldCharType="separate"/>
      </w:r>
      <w:r>
        <w:t>84</w:t>
      </w:r>
      <w:r>
        <w:fldChar w:fldCharType="end"/>
      </w:r>
      <w:r>
        <w:rPr>
          <w:rFonts w:hint="default" w:ascii="Times New Roman" w:hAnsi="Times New Roman" w:cs="Times New Roman" w:eastAsiaTheme="minorEastAsia"/>
          <w:color w:val="auto"/>
          <w:szCs w:val="24"/>
          <w:highlight w:val="none"/>
        </w:rPr>
        <w:fldChar w:fldCharType="end"/>
      </w:r>
    </w:p>
    <w:p w14:paraId="6EC18083">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_Toc22961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9.3 预案的评审、备案、发布和更新</w:t>
      </w:r>
      <w:r>
        <w:tab/>
      </w:r>
      <w:r>
        <w:fldChar w:fldCharType="begin"/>
      </w:r>
      <w:r>
        <w:instrText xml:space="preserve"> PAGEREF _Toc22961 \h </w:instrText>
      </w:r>
      <w:r>
        <w:fldChar w:fldCharType="separate"/>
      </w:r>
      <w:r>
        <w:t>84</w:t>
      </w:r>
      <w:r>
        <w:fldChar w:fldCharType="end"/>
      </w:r>
      <w:r>
        <w:rPr>
          <w:rFonts w:hint="default" w:ascii="Times New Roman" w:hAnsi="Times New Roman" w:cs="Times New Roman" w:eastAsiaTheme="minorEastAsia"/>
          <w:color w:val="auto"/>
          <w:szCs w:val="24"/>
          <w:highlight w:val="none"/>
        </w:rPr>
        <w:fldChar w:fldCharType="end"/>
      </w:r>
    </w:p>
    <w:p w14:paraId="5033DCFE">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_Toc19737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9.3.1 内部评审</w:t>
      </w:r>
      <w:r>
        <w:tab/>
      </w:r>
      <w:r>
        <w:fldChar w:fldCharType="begin"/>
      </w:r>
      <w:r>
        <w:instrText xml:space="preserve"> PAGEREF _Toc19737 \h </w:instrText>
      </w:r>
      <w:r>
        <w:fldChar w:fldCharType="separate"/>
      </w:r>
      <w:r>
        <w:t>84</w:t>
      </w:r>
      <w:r>
        <w:fldChar w:fldCharType="end"/>
      </w:r>
      <w:r>
        <w:rPr>
          <w:rFonts w:hint="default" w:ascii="Times New Roman" w:hAnsi="Times New Roman" w:cs="Times New Roman" w:eastAsiaTheme="minorEastAsia"/>
          <w:color w:val="auto"/>
          <w:szCs w:val="24"/>
          <w:highlight w:val="none"/>
        </w:rPr>
        <w:fldChar w:fldCharType="end"/>
      </w:r>
    </w:p>
    <w:p w14:paraId="59170B4C">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_Toc12087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9.3.2 外部评审</w:t>
      </w:r>
      <w:r>
        <w:tab/>
      </w:r>
      <w:r>
        <w:fldChar w:fldCharType="begin"/>
      </w:r>
      <w:r>
        <w:instrText xml:space="preserve"> PAGEREF _Toc12087 \h </w:instrText>
      </w:r>
      <w:r>
        <w:fldChar w:fldCharType="separate"/>
      </w:r>
      <w:r>
        <w:t>84</w:t>
      </w:r>
      <w:r>
        <w:fldChar w:fldCharType="end"/>
      </w:r>
      <w:r>
        <w:rPr>
          <w:rFonts w:hint="default" w:ascii="Times New Roman" w:hAnsi="Times New Roman" w:cs="Times New Roman" w:eastAsiaTheme="minorEastAsia"/>
          <w:color w:val="auto"/>
          <w:szCs w:val="24"/>
          <w:highlight w:val="none"/>
        </w:rPr>
        <w:fldChar w:fldCharType="end"/>
      </w:r>
    </w:p>
    <w:p w14:paraId="43043A8E">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_Toc20527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9.3.3 备案</w:t>
      </w:r>
      <w:r>
        <w:tab/>
      </w:r>
      <w:r>
        <w:fldChar w:fldCharType="begin"/>
      </w:r>
      <w:r>
        <w:instrText xml:space="preserve"> PAGEREF _Toc20527 \h </w:instrText>
      </w:r>
      <w:r>
        <w:fldChar w:fldCharType="separate"/>
      </w:r>
      <w:r>
        <w:t>84</w:t>
      </w:r>
      <w:r>
        <w:fldChar w:fldCharType="end"/>
      </w:r>
      <w:r>
        <w:rPr>
          <w:rFonts w:hint="default" w:ascii="Times New Roman" w:hAnsi="Times New Roman" w:cs="Times New Roman" w:eastAsiaTheme="minorEastAsia"/>
          <w:color w:val="auto"/>
          <w:szCs w:val="24"/>
          <w:highlight w:val="none"/>
        </w:rPr>
        <w:fldChar w:fldCharType="end"/>
      </w:r>
    </w:p>
    <w:p w14:paraId="2D4CE585">
      <w:pPr>
        <w:pStyle w:val="15"/>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_Toc14396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9.3.4 更新计划与及时备案</w:t>
      </w:r>
      <w:r>
        <w:tab/>
      </w:r>
      <w:r>
        <w:fldChar w:fldCharType="begin"/>
      </w:r>
      <w:r>
        <w:instrText xml:space="preserve"> PAGEREF _Toc14396 \h </w:instrText>
      </w:r>
      <w:r>
        <w:fldChar w:fldCharType="separate"/>
      </w:r>
      <w:r>
        <w:t>84</w:t>
      </w:r>
      <w:r>
        <w:fldChar w:fldCharType="end"/>
      </w:r>
      <w:r>
        <w:rPr>
          <w:rFonts w:hint="default" w:ascii="Times New Roman" w:hAnsi="Times New Roman" w:cs="Times New Roman" w:eastAsiaTheme="minorEastAsia"/>
          <w:color w:val="auto"/>
          <w:szCs w:val="24"/>
          <w:highlight w:val="none"/>
        </w:rPr>
        <w:fldChar w:fldCharType="end"/>
      </w:r>
    </w:p>
    <w:p w14:paraId="7ABFB516">
      <w:pPr>
        <w:pStyle w:val="28"/>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_Toc31845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4"/>
          <w:highlight w:val="none"/>
        </w:rPr>
        <w:t>9.4 预案的实施和生效日期</w:t>
      </w:r>
      <w:r>
        <w:tab/>
      </w:r>
      <w:r>
        <w:fldChar w:fldCharType="begin"/>
      </w:r>
      <w:r>
        <w:instrText xml:space="preserve"> PAGEREF _Toc31845 \h </w:instrText>
      </w:r>
      <w:r>
        <w:fldChar w:fldCharType="separate"/>
      </w:r>
      <w:r>
        <w:t>85</w:t>
      </w:r>
      <w:r>
        <w:fldChar w:fldCharType="end"/>
      </w:r>
      <w:r>
        <w:rPr>
          <w:rFonts w:hint="default" w:ascii="Times New Roman" w:hAnsi="Times New Roman" w:cs="Times New Roman" w:eastAsiaTheme="minorEastAsia"/>
          <w:color w:val="auto"/>
          <w:szCs w:val="24"/>
          <w:highlight w:val="none"/>
        </w:rPr>
        <w:fldChar w:fldCharType="end"/>
      </w:r>
    </w:p>
    <w:p w14:paraId="438282A6">
      <w:pPr>
        <w:pStyle w:val="23"/>
        <w:tabs>
          <w:tab w:val="right" w:leader="dot" w:pos="8788"/>
          <w:tab w:val="clear" w:pos="8296"/>
        </w:tabs>
      </w:pP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szCs w:val="24"/>
          <w:highlight w:val="none"/>
        </w:rPr>
        <w:instrText xml:space="preserve"> HYPERLINK \l _Toc25451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kern w:val="0"/>
          <w:szCs w:val="28"/>
          <w:highlight w:val="none"/>
        </w:rPr>
        <w:t xml:space="preserve">10 </w:t>
      </w:r>
      <w:r>
        <w:rPr>
          <w:rFonts w:hint="eastAsia" w:cs="Times New Roman"/>
          <w:kern w:val="0"/>
          <w:szCs w:val="28"/>
          <w:highlight w:val="none"/>
          <w:lang w:val="en-US" w:eastAsia="zh-CN"/>
        </w:rPr>
        <w:t>附图、</w:t>
      </w:r>
      <w:r>
        <w:rPr>
          <w:rFonts w:hint="default" w:ascii="Times New Roman" w:hAnsi="Times New Roman" w:cs="Times New Roman" w:eastAsiaTheme="minorEastAsia"/>
          <w:kern w:val="0"/>
          <w:szCs w:val="28"/>
          <w:highlight w:val="none"/>
        </w:rPr>
        <w:t>附件</w:t>
      </w:r>
      <w:r>
        <w:tab/>
      </w:r>
      <w:r>
        <w:fldChar w:fldCharType="begin"/>
      </w:r>
      <w:r>
        <w:instrText xml:space="preserve"> PAGEREF _Toc25451 \h </w:instrText>
      </w:r>
      <w:r>
        <w:fldChar w:fldCharType="separate"/>
      </w:r>
      <w:r>
        <w:t>86</w:t>
      </w:r>
      <w:r>
        <w:fldChar w:fldCharType="end"/>
      </w:r>
      <w:r>
        <w:rPr>
          <w:rFonts w:hint="default" w:ascii="Times New Roman" w:hAnsi="Times New Roman" w:cs="Times New Roman" w:eastAsiaTheme="minorEastAsia"/>
          <w:color w:val="auto"/>
          <w:szCs w:val="24"/>
          <w:highlight w:val="none"/>
        </w:rPr>
        <w:fldChar w:fldCharType="end"/>
      </w:r>
    </w:p>
    <w:p w14:paraId="11602DC4">
      <w:pPr>
        <w:pStyle w:val="3"/>
        <w:pageBreakBefore w:val="0"/>
        <w:kinsoku/>
        <w:overflowPunct/>
        <w:bidi w:val="0"/>
        <w:spacing w:before="0" w:beforeLines="0" w:beforeAutospacing="0" w:after="0" w:afterLines="0" w:afterAutospacing="0" w:line="500" w:lineRule="exact"/>
        <w:ind w:left="0" w:leftChars="0" w:firstLine="0" w:firstLineChars="0"/>
        <w:jc w:val="both"/>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fldChar w:fldCharType="end"/>
      </w:r>
      <w:bookmarkStart w:id="13" w:name="_Toc275938103"/>
      <w:bookmarkStart w:id="14" w:name="_Toc9516"/>
      <w:bookmarkStart w:id="15" w:name="_Toc276118336"/>
      <w:bookmarkStart w:id="16" w:name="_Toc14019"/>
      <w:bookmarkStart w:id="17" w:name="_Toc15501"/>
      <w:r>
        <w:rPr>
          <w:rFonts w:hint="default" w:ascii="Times New Roman" w:hAnsi="Times New Roman" w:cs="Times New Roman" w:eastAsiaTheme="minorEastAsia"/>
          <w:color w:val="auto"/>
          <w:sz w:val="24"/>
          <w:szCs w:val="24"/>
          <w:highlight w:val="none"/>
        </w:rPr>
        <w:t>1.1 编制目的</w:t>
      </w:r>
      <w:bookmarkEnd w:id="10"/>
      <w:bookmarkEnd w:id="11"/>
      <w:bookmarkEnd w:id="12"/>
      <w:bookmarkEnd w:id="13"/>
      <w:bookmarkEnd w:id="14"/>
      <w:bookmarkEnd w:id="15"/>
      <w:bookmarkEnd w:id="16"/>
      <w:bookmarkEnd w:id="17"/>
    </w:p>
    <w:p w14:paraId="02C99761">
      <w:pPr>
        <w:pageBreakBefore w:val="0"/>
        <w:widowControl/>
        <w:kinsoku/>
        <w:overflowPunct/>
        <w:bidi w:val="0"/>
        <w:spacing w:line="500" w:lineRule="exact"/>
        <w:ind w:firstLine="560"/>
        <w:rPr>
          <w:rFonts w:hint="eastAsia" w:ascii="Times New Roman" w:hAnsi="Times New Roman" w:cs="Times New Roman" w:eastAsiaTheme="minorEastAsia"/>
          <w:color w:val="auto"/>
          <w:kern w:val="0"/>
          <w:sz w:val="24"/>
          <w:szCs w:val="24"/>
          <w:highlight w:val="none"/>
          <w:lang w:val="en-US" w:eastAsia="zh-CN"/>
        </w:rPr>
      </w:pPr>
      <w:bookmarkStart w:id="18" w:name="_Toc275938104"/>
      <w:bookmarkStart w:id="19" w:name="_Toc276118337"/>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HYPERLINK "javascript:zxtb('XZXKTYPE_A','%E6%9A%82%E5%AD%98','card1','fc5c1215140948f896b26e64c489f794','readonly')" </w:instrText>
      </w:r>
      <w:r>
        <w:rPr>
          <w:rFonts w:hint="default" w:ascii="Times New Roman" w:hAnsi="Times New Roman" w:cs="Times New Roman" w:eastAsiaTheme="minorEastAsia"/>
          <w:color w:val="auto"/>
          <w:kern w:val="0"/>
          <w:sz w:val="24"/>
          <w:szCs w:val="24"/>
          <w:highlight w:val="none"/>
        </w:rPr>
        <w:fldChar w:fldCharType="separate"/>
      </w:r>
      <w:r>
        <w:rPr>
          <w:rFonts w:hint="eastAsia" w:ascii="Times New Roman" w:hAnsi="Times New Roman" w:cs="Times New Roman" w:eastAsiaTheme="minorEastAsia"/>
          <w:color w:val="auto"/>
          <w:kern w:val="0"/>
          <w:sz w:val="24"/>
          <w:szCs w:val="24"/>
          <w:highlight w:val="none"/>
          <w:lang w:eastAsia="zh-CN"/>
        </w:rPr>
        <w:t>南通奥庭建材有限公司</w:t>
      </w:r>
      <w:r>
        <w:rPr>
          <w:rFonts w:hint="eastAsia" w:ascii="Times New Roman" w:hAnsi="Times New Roman" w:cs="Times New Roman" w:eastAsiaTheme="minorEastAsia"/>
          <w:color w:val="auto"/>
          <w:kern w:val="0"/>
          <w:sz w:val="24"/>
          <w:szCs w:val="24"/>
          <w:highlight w:val="none"/>
        </w:rPr>
        <w:fldChar w:fldCharType="end"/>
      </w:r>
      <w:r>
        <w:rPr>
          <w:rFonts w:hint="default" w:ascii="Times New Roman" w:hAnsi="Times New Roman" w:cs="Times New Roman" w:eastAsiaTheme="minorEastAsia"/>
          <w:color w:val="auto"/>
          <w:kern w:val="0"/>
          <w:sz w:val="24"/>
          <w:szCs w:val="24"/>
          <w:highlight w:val="none"/>
        </w:rPr>
        <w:t>（以下简称“</w:t>
      </w:r>
      <w:r>
        <w:rPr>
          <w:rFonts w:hint="eastAsia" w:ascii="Times New Roman" w:hAnsi="Times New Roman" w:cs="Times New Roman" w:eastAsiaTheme="minorEastAsia"/>
          <w:color w:val="auto"/>
          <w:kern w:val="0"/>
          <w:sz w:val="24"/>
          <w:szCs w:val="24"/>
          <w:highlight w:val="none"/>
          <w:lang w:val="en-US" w:eastAsia="zh-CN"/>
        </w:rPr>
        <w:t>奥庭建材</w:t>
      </w:r>
      <w:r>
        <w:rPr>
          <w:rFonts w:hint="default" w:ascii="Times New Roman" w:hAnsi="Times New Roman" w:cs="Times New Roman" w:eastAsiaTheme="minorEastAsia"/>
          <w:color w:val="auto"/>
          <w:kern w:val="0"/>
          <w:sz w:val="24"/>
          <w:szCs w:val="24"/>
          <w:highlight w:val="none"/>
        </w:rPr>
        <w:t>”）成立于</w:t>
      </w:r>
      <w:r>
        <w:rPr>
          <w:rFonts w:hint="eastAsia" w:ascii="Times New Roman" w:hAnsi="Times New Roman" w:cs="Times New Roman" w:eastAsiaTheme="minorEastAsia"/>
          <w:color w:val="auto"/>
          <w:kern w:val="0"/>
          <w:sz w:val="24"/>
          <w:szCs w:val="24"/>
          <w:highlight w:val="none"/>
          <w:lang w:val="en-US" w:eastAsia="zh-CN"/>
        </w:rPr>
        <w:t>2017</w:t>
      </w:r>
      <w:r>
        <w:rPr>
          <w:rFonts w:hint="default" w:ascii="Times New Roman" w:hAnsi="Times New Roman" w:cs="Times New Roman" w:eastAsiaTheme="minorEastAsia"/>
          <w:color w:val="auto"/>
          <w:kern w:val="0"/>
          <w:sz w:val="24"/>
          <w:szCs w:val="24"/>
          <w:highlight w:val="none"/>
        </w:rPr>
        <w:t>年</w:t>
      </w:r>
      <w:r>
        <w:rPr>
          <w:rFonts w:hint="eastAsia" w:ascii="Times New Roman" w:hAnsi="Times New Roman" w:cs="Times New Roman" w:eastAsiaTheme="minorEastAsia"/>
          <w:color w:val="auto"/>
          <w:kern w:val="0"/>
          <w:sz w:val="24"/>
          <w:szCs w:val="24"/>
          <w:highlight w:val="none"/>
          <w:lang w:val="en-US" w:eastAsia="zh-CN"/>
        </w:rPr>
        <w:t>12</w:t>
      </w:r>
      <w:r>
        <w:rPr>
          <w:rFonts w:hint="default" w:ascii="Times New Roman" w:hAnsi="Times New Roman" w:cs="Times New Roman" w:eastAsiaTheme="minorEastAsia"/>
          <w:color w:val="auto"/>
          <w:kern w:val="0"/>
          <w:sz w:val="24"/>
          <w:szCs w:val="24"/>
          <w:highlight w:val="none"/>
        </w:rPr>
        <w:t>月，</w:t>
      </w:r>
      <w:r>
        <w:rPr>
          <w:rFonts w:hint="eastAsia" w:ascii="Times New Roman" w:hAnsi="Times New Roman" w:cs="Times New Roman" w:eastAsiaTheme="minorEastAsia"/>
          <w:color w:val="auto"/>
          <w:kern w:val="0"/>
          <w:sz w:val="24"/>
          <w:szCs w:val="24"/>
          <w:highlight w:val="none"/>
          <w:lang w:val="en-US" w:eastAsia="zh-CN"/>
        </w:rPr>
        <w:t>投资500</w:t>
      </w:r>
      <w:r>
        <w:rPr>
          <w:rFonts w:hint="default" w:ascii="Times New Roman" w:hAnsi="Times New Roman" w:cs="Times New Roman" w:eastAsiaTheme="minorEastAsia"/>
          <w:color w:val="auto"/>
          <w:kern w:val="0"/>
          <w:sz w:val="24"/>
          <w:szCs w:val="24"/>
          <w:highlight w:val="none"/>
        </w:rPr>
        <w:t>万元，</w:t>
      </w:r>
      <w:r>
        <w:rPr>
          <w:rFonts w:hint="default" w:ascii="Times New Roman" w:hAnsi="Times New Roman" w:cs="Times New Roman" w:eastAsiaTheme="minorEastAsia"/>
          <w:color w:val="auto"/>
          <w:kern w:val="0"/>
          <w:sz w:val="24"/>
          <w:szCs w:val="24"/>
          <w:highlight w:val="none"/>
          <w:lang w:val="en-US" w:eastAsia="zh-CN"/>
        </w:rPr>
        <w:t>位于</w:t>
      </w:r>
      <w:r>
        <w:rPr>
          <w:rFonts w:hint="eastAsia" w:ascii="Times New Roman" w:hAnsi="Times New Roman" w:cs="Times New Roman" w:eastAsiaTheme="minorEastAsia"/>
          <w:color w:val="auto"/>
          <w:kern w:val="0"/>
          <w:sz w:val="24"/>
          <w:szCs w:val="24"/>
          <w:highlight w:val="none"/>
          <w:lang w:val="en-US" w:eastAsia="zh-CN"/>
        </w:rPr>
        <w:t>海安市大公镇王院村19组5幢</w:t>
      </w:r>
      <w:r>
        <w:rPr>
          <w:rFonts w:hint="default" w:ascii="Times New Roman" w:hAnsi="Times New Roman" w:cs="Times New Roman" w:eastAsiaTheme="minorEastAsia"/>
          <w:color w:val="auto"/>
          <w:kern w:val="0"/>
          <w:sz w:val="24"/>
          <w:szCs w:val="24"/>
          <w:highlight w:val="none"/>
          <w:lang w:val="en-US" w:eastAsia="zh-CN"/>
        </w:rPr>
        <w:t>，</w:t>
      </w:r>
      <w:r>
        <w:rPr>
          <w:rFonts w:hint="eastAsia" w:ascii="Times New Roman" w:hAnsi="Times New Roman" w:cs="Times New Roman" w:eastAsiaTheme="minorEastAsia"/>
          <w:color w:val="auto"/>
          <w:kern w:val="0"/>
          <w:sz w:val="24"/>
          <w:szCs w:val="24"/>
          <w:highlight w:val="none"/>
          <w:lang w:val="en-US" w:eastAsia="zh-CN"/>
        </w:rPr>
        <w:t>从事PVC景观材料及制品项目。</w:t>
      </w:r>
    </w:p>
    <w:p w14:paraId="6637967C">
      <w:pPr>
        <w:pageBreakBefore w:val="0"/>
        <w:widowControl/>
        <w:kinsoku/>
        <w:overflowPunct/>
        <w:bidi w:val="0"/>
        <w:spacing w:line="500" w:lineRule="exact"/>
        <w:ind w:firstLine="560"/>
        <w:rPr>
          <w:rFonts w:hint="eastAsia" w:ascii="Times New Roman" w:hAnsi="Times New Roman" w:cs="Times New Roman" w:eastAsiaTheme="minorEastAsia"/>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lang w:val="en-US" w:eastAsia="zh-CN"/>
        </w:rPr>
        <w:t>制定突发环境事件应急预案的目的是为了</w:t>
      </w:r>
      <w:r>
        <w:rPr>
          <w:rFonts w:hint="eastAsia" w:ascii="Times New Roman" w:hAnsi="Times New Roman" w:cs="Times New Roman" w:eastAsiaTheme="minorEastAsia"/>
          <w:color w:val="auto"/>
          <w:kern w:val="0"/>
          <w:sz w:val="24"/>
          <w:szCs w:val="24"/>
          <w:highlight w:val="none"/>
          <w:lang w:val="en-US" w:eastAsia="zh-CN"/>
        </w:rPr>
        <w:t>建立健全企业突发环境事件应急机制，做好应急准备，提高企业应对突发环境事件的能力，确保突发环境事件发生后，企业能及时、有序、高效地组织应急救援工作，并实现企业与政府及其相关部门现场处置工作的顺利过渡和有效衔接，防止污染周边环境，将事件造成的损失与社会危害降到最低，保障公众生命健康和财产安全，维护社会稳定。</w:t>
      </w:r>
    </w:p>
    <w:p w14:paraId="656793F8">
      <w:pPr>
        <w:pageBreakBefore w:val="0"/>
        <w:widowControl/>
        <w:kinsoku/>
        <w:overflowPunct/>
        <w:bidi w:val="0"/>
        <w:spacing w:line="500" w:lineRule="exact"/>
        <w:ind w:firstLine="560"/>
        <w:rPr>
          <w:rFonts w:hint="default"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eastAsiaTheme="minorEastAsia"/>
          <w:color w:val="auto"/>
          <w:kern w:val="0"/>
          <w:sz w:val="24"/>
          <w:szCs w:val="24"/>
          <w:highlight w:val="none"/>
          <w:lang w:val="en-US" w:eastAsia="zh-CN"/>
        </w:rPr>
        <w:t>奥庭建材于</w:t>
      </w:r>
      <w:r>
        <w:rPr>
          <w:rFonts w:hint="default" w:ascii="Times New Roman" w:hAnsi="Times New Roman" w:cs="Times New Roman" w:eastAsiaTheme="minorEastAsia"/>
          <w:color w:val="auto"/>
          <w:kern w:val="0"/>
          <w:sz w:val="24"/>
          <w:szCs w:val="24"/>
          <w:highlight w:val="none"/>
          <w:lang w:val="en-US" w:eastAsia="zh-CN"/>
        </w:rPr>
        <w:t>20</w:t>
      </w:r>
      <w:r>
        <w:rPr>
          <w:rFonts w:hint="eastAsia" w:ascii="Times New Roman" w:hAnsi="Times New Roman" w:cs="Times New Roman" w:eastAsiaTheme="minorEastAsia"/>
          <w:color w:val="auto"/>
          <w:kern w:val="0"/>
          <w:sz w:val="24"/>
          <w:szCs w:val="24"/>
          <w:highlight w:val="none"/>
          <w:lang w:val="en-US" w:eastAsia="zh-CN"/>
        </w:rPr>
        <w:t>19</w:t>
      </w:r>
      <w:r>
        <w:rPr>
          <w:rFonts w:hint="default" w:ascii="Times New Roman" w:hAnsi="Times New Roman" w:cs="Times New Roman" w:eastAsiaTheme="minorEastAsia"/>
          <w:color w:val="auto"/>
          <w:kern w:val="0"/>
          <w:sz w:val="24"/>
          <w:szCs w:val="24"/>
          <w:highlight w:val="none"/>
          <w:lang w:val="en-US" w:eastAsia="zh-CN"/>
        </w:rPr>
        <w:t>年</w:t>
      </w:r>
      <w:r>
        <w:rPr>
          <w:rFonts w:hint="eastAsia" w:ascii="Times New Roman" w:hAnsi="Times New Roman" w:cs="Times New Roman" w:eastAsiaTheme="minorEastAsia"/>
          <w:color w:val="auto"/>
          <w:kern w:val="0"/>
          <w:sz w:val="24"/>
          <w:szCs w:val="24"/>
          <w:highlight w:val="none"/>
          <w:lang w:val="en-US" w:eastAsia="zh-CN"/>
        </w:rPr>
        <w:t>8</w:t>
      </w:r>
      <w:r>
        <w:rPr>
          <w:rFonts w:hint="default" w:ascii="Times New Roman" w:hAnsi="Times New Roman" w:cs="Times New Roman" w:eastAsiaTheme="minorEastAsia"/>
          <w:color w:val="auto"/>
          <w:kern w:val="0"/>
          <w:sz w:val="24"/>
          <w:szCs w:val="24"/>
          <w:highlight w:val="none"/>
          <w:lang w:val="en-US" w:eastAsia="zh-CN"/>
        </w:rPr>
        <w:t>月编制《</w:t>
      </w:r>
      <w:r>
        <w:rPr>
          <w:rFonts w:hint="eastAsia" w:ascii="Times New Roman" w:hAnsi="Times New Roman" w:cs="Times New Roman" w:eastAsiaTheme="minorEastAsia"/>
          <w:color w:val="auto"/>
          <w:kern w:val="0"/>
          <w:sz w:val="24"/>
          <w:szCs w:val="24"/>
          <w:highlight w:val="none"/>
          <w:lang w:val="en-US" w:eastAsia="zh-CN"/>
        </w:rPr>
        <w:t>南通奥庭建材有限公司PVC景观材料及制品生产项目</w:t>
      </w:r>
      <w:r>
        <w:rPr>
          <w:rFonts w:hint="default" w:ascii="Times New Roman" w:hAnsi="Times New Roman" w:cs="Times New Roman" w:eastAsiaTheme="minorEastAsia"/>
          <w:color w:val="auto"/>
          <w:kern w:val="0"/>
          <w:sz w:val="24"/>
          <w:szCs w:val="24"/>
          <w:highlight w:val="none"/>
          <w:lang w:val="en-US" w:eastAsia="zh-CN"/>
        </w:rPr>
        <w:t>环境影响报告表》，</w:t>
      </w:r>
      <w:r>
        <w:rPr>
          <w:rFonts w:hint="default" w:ascii="Times New Roman" w:hAnsi="Times New Roman" w:cs="Times New Roman" w:eastAsiaTheme="minorEastAsia"/>
          <w:color w:val="000000" w:themeColor="text1"/>
          <w:kern w:val="0"/>
          <w:sz w:val="24"/>
          <w:szCs w:val="24"/>
          <w:highlight w:val="none"/>
          <w:lang w:val="en-US" w:eastAsia="zh-CN"/>
          <w14:textFill>
            <w14:solidFill>
              <w14:schemeClr w14:val="tx1"/>
            </w14:solidFill>
          </w14:textFill>
        </w:rPr>
        <w:t>于20</w:t>
      </w:r>
      <w:r>
        <w:rPr>
          <w:rFonts w:hint="eastAsia" w:ascii="Times New Roman" w:hAnsi="Times New Roman" w:cs="Times New Roman" w:eastAsiaTheme="minorEastAsia"/>
          <w:color w:val="000000" w:themeColor="text1"/>
          <w:kern w:val="0"/>
          <w:sz w:val="24"/>
          <w:szCs w:val="24"/>
          <w:highlight w:val="none"/>
          <w:lang w:val="en-US" w:eastAsia="zh-CN"/>
          <w14:textFill>
            <w14:solidFill>
              <w14:schemeClr w14:val="tx1"/>
            </w14:solidFill>
          </w14:textFill>
        </w:rPr>
        <w:t>19</w:t>
      </w:r>
      <w:r>
        <w:rPr>
          <w:rFonts w:hint="default" w:ascii="Times New Roman" w:hAnsi="Times New Roman" w:cs="Times New Roman" w:eastAsiaTheme="minorEastAsia"/>
          <w:color w:val="000000" w:themeColor="text1"/>
          <w:kern w:val="0"/>
          <w:sz w:val="24"/>
          <w:szCs w:val="24"/>
          <w:highlight w:val="none"/>
          <w:lang w:val="en-US" w:eastAsia="zh-CN"/>
          <w14:textFill>
            <w14:solidFill>
              <w14:schemeClr w14:val="tx1"/>
            </w14:solidFill>
          </w14:textFill>
        </w:rPr>
        <w:t>年</w:t>
      </w:r>
      <w:r>
        <w:rPr>
          <w:rFonts w:hint="eastAsia" w:ascii="Times New Roman" w:hAnsi="Times New Roman" w:cs="Times New Roman" w:eastAsiaTheme="minorEastAsia"/>
          <w:color w:val="000000" w:themeColor="text1"/>
          <w:kern w:val="0"/>
          <w:sz w:val="24"/>
          <w:szCs w:val="24"/>
          <w:highlight w:val="none"/>
          <w:lang w:val="en-US" w:eastAsia="zh-CN"/>
          <w14:textFill>
            <w14:solidFill>
              <w14:schemeClr w14:val="tx1"/>
            </w14:solidFill>
          </w14:textFill>
        </w:rPr>
        <w:t>12</w:t>
      </w:r>
      <w:r>
        <w:rPr>
          <w:rFonts w:hint="default" w:ascii="Times New Roman" w:hAnsi="Times New Roman" w:cs="Times New Roman" w:eastAsiaTheme="minorEastAsia"/>
          <w:color w:val="000000" w:themeColor="text1"/>
          <w:kern w:val="0"/>
          <w:sz w:val="24"/>
          <w:szCs w:val="24"/>
          <w:highlight w:val="none"/>
          <w:lang w:val="en-US" w:eastAsia="zh-CN"/>
          <w14:textFill>
            <w14:solidFill>
              <w14:schemeClr w14:val="tx1"/>
            </w14:solidFill>
          </w14:textFill>
        </w:rPr>
        <w:t>月</w:t>
      </w:r>
      <w:r>
        <w:rPr>
          <w:rFonts w:hint="eastAsia" w:ascii="Times New Roman" w:hAnsi="Times New Roman" w:cs="Times New Roman" w:eastAsiaTheme="minorEastAsia"/>
          <w:color w:val="000000" w:themeColor="text1"/>
          <w:kern w:val="0"/>
          <w:sz w:val="24"/>
          <w:szCs w:val="24"/>
          <w:highlight w:val="none"/>
          <w:lang w:val="en-US" w:eastAsia="zh-CN"/>
          <w14:textFill>
            <w14:solidFill>
              <w14:schemeClr w14:val="tx1"/>
            </w14:solidFill>
          </w14:textFill>
        </w:rPr>
        <w:t>19</w:t>
      </w:r>
      <w:r>
        <w:rPr>
          <w:rFonts w:hint="default" w:ascii="Times New Roman" w:hAnsi="Times New Roman" w:cs="Times New Roman" w:eastAsiaTheme="minorEastAsia"/>
          <w:color w:val="000000" w:themeColor="text1"/>
          <w:kern w:val="0"/>
          <w:sz w:val="24"/>
          <w:szCs w:val="24"/>
          <w:highlight w:val="none"/>
          <w:lang w:val="en-US" w:eastAsia="zh-CN"/>
          <w14:textFill>
            <w14:solidFill>
              <w14:schemeClr w14:val="tx1"/>
            </w14:solidFill>
          </w14:textFill>
        </w:rPr>
        <w:t>日获得海安</w:t>
      </w:r>
      <w:r>
        <w:rPr>
          <w:rFonts w:hint="eastAsia" w:ascii="Times New Roman" w:hAnsi="Times New Roman" w:cs="Times New Roman" w:eastAsiaTheme="minorEastAsia"/>
          <w:color w:val="000000" w:themeColor="text1"/>
          <w:kern w:val="0"/>
          <w:sz w:val="24"/>
          <w:szCs w:val="24"/>
          <w:highlight w:val="none"/>
          <w:lang w:val="en-US" w:eastAsia="zh-CN"/>
          <w14:textFill>
            <w14:solidFill>
              <w14:schemeClr w14:val="tx1"/>
            </w14:solidFill>
          </w14:textFill>
        </w:rPr>
        <w:t>市行政审批局</w:t>
      </w:r>
      <w:r>
        <w:rPr>
          <w:rFonts w:hint="default" w:ascii="Times New Roman" w:hAnsi="Times New Roman" w:cs="Times New Roman" w:eastAsiaTheme="minorEastAsia"/>
          <w:color w:val="000000" w:themeColor="text1"/>
          <w:kern w:val="0"/>
          <w:sz w:val="24"/>
          <w:szCs w:val="24"/>
          <w:highlight w:val="none"/>
          <w:lang w:val="en-US" w:eastAsia="zh-CN"/>
          <w14:textFill>
            <w14:solidFill>
              <w14:schemeClr w14:val="tx1"/>
            </w14:solidFill>
          </w14:textFill>
        </w:rPr>
        <w:t>审批海</w:t>
      </w:r>
      <w:r>
        <w:rPr>
          <w:rFonts w:hint="eastAsia" w:ascii="Times New Roman" w:hAnsi="Times New Roman" w:cs="Times New Roman" w:eastAsiaTheme="minorEastAsia"/>
          <w:color w:val="000000" w:themeColor="text1"/>
          <w:kern w:val="0"/>
          <w:sz w:val="24"/>
          <w:szCs w:val="24"/>
          <w:highlight w:val="none"/>
          <w:lang w:val="en-US" w:eastAsia="zh-CN"/>
          <w14:textFill>
            <w14:solidFill>
              <w14:schemeClr w14:val="tx1"/>
            </w14:solidFill>
          </w14:textFill>
        </w:rPr>
        <w:t>行审</w:t>
      </w:r>
      <w:r>
        <w:rPr>
          <w:rFonts w:hint="default" w:ascii="Times New Roman" w:hAnsi="Times New Roman" w:cs="Times New Roman" w:eastAsiaTheme="minorEastAsia"/>
          <w:color w:val="000000" w:themeColor="text1"/>
          <w:kern w:val="0"/>
          <w:sz w:val="24"/>
          <w:szCs w:val="24"/>
          <w:highlight w:val="none"/>
          <w:lang w:val="en-US" w:eastAsia="zh-CN"/>
          <w14:textFill>
            <w14:solidFill>
              <w14:schemeClr w14:val="tx1"/>
            </w14:solidFill>
          </w14:textFill>
        </w:rPr>
        <w:t>(20</w:t>
      </w:r>
      <w:r>
        <w:rPr>
          <w:rFonts w:hint="eastAsia" w:ascii="Times New Roman" w:hAnsi="Times New Roman" w:cs="Times New Roman" w:eastAsiaTheme="minorEastAsia"/>
          <w:color w:val="000000" w:themeColor="text1"/>
          <w:kern w:val="0"/>
          <w:sz w:val="24"/>
          <w:szCs w:val="24"/>
          <w:highlight w:val="none"/>
          <w:lang w:val="en-US" w:eastAsia="zh-CN"/>
          <w14:textFill>
            <w14:solidFill>
              <w14:schemeClr w14:val="tx1"/>
            </w14:solidFill>
          </w14:textFill>
        </w:rPr>
        <w:t>19</w:t>
      </w:r>
      <w:r>
        <w:rPr>
          <w:rFonts w:hint="default" w:ascii="Times New Roman" w:hAnsi="Times New Roman" w:cs="Times New Roman" w:eastAsiaTheme="minorEastAsia"/>
          <w:color w:val="000000" w:themeColor="text1"/>
          <w:kern w:val="0"/>
          <w:sz w:val="24"/>
          <w:szCs w:val="24"/>
          <w:highlight w:val="none"/>
          <w:lang w:val="en-US" w:eastAsia="zh-CN"/>
          <w14:textFill>
            <w14:solidFill>
              <w14:schemeClr w14:val="tx1"/>
            </w14:solidFill>
          </w14:textFill>
        </w:rPr>
        <w:t>〕</w:t>
      </w:r>
      <w:r>
        <w:rPr>
          <w:rFonts w:hint="eastAsia" w:ascii="Times New Roman" w:hAnsi="Times New Roman" w:cs="Times New Roman" w:eastAsiaTheme="minorEastAsia"/>
          <w:color w:val="000000" w:themeColor="text1"/>
          <w:kern w:val="0"/>
          <w:sz w:val="24"/>
          <w:szCs w:val="24"/>
          <w:highlight w:val="none"/>
          <w:lang w:val="en-US" w:eastAsia="zh-CN"/>
          <w14:textFill>
            <w14:solidFill>
              <w14:schemeClr w14:val="tx1"/>
            </w14:solidFill>
          </w14:textFill>
        </w:rPr>
        <w:t>922</w:t>
      </w:r>
      <w:r>
        <w:rPr>
          <w:rFonts w:hint="default" w:ascii="Times New Roman" w:hAnsi="Times New Roman" w:cs="Times New Roman" w:eastAsiaTheme="minorEastAsia"/>
          <w:color w:val="000000" w:themeColor="text1"/>
          <w:kern w:val="0"/>
          <w:sz w:val="24"/>
          <w:szCs w:val="24"/>
          <w:highlight w:val="none"/>
          <w:lang w:val="en-US" w:eastAsia="zh-CN"/>
          <w14:textFill>
            <w14:solidFill>
              <w14:schemeClr w14:val="tx1"/>
            </w14:solidFill>
          </w14:textFill>
        </w:rPr>
        <w:t>号</w:t>
      </w:r>
      <w:r>
        <w:rPr>
          <w:rFonts w:hint="default" w:ascii="Times New Roman" w:hAnsi="Times New Roman" w:cs="Times New Roman" w:eastAsiaTheme="minorEastAsia"/>
          <w:color w:val="auto"/>
          <w:kern w:val="0"/>
          <w:sz w:val="24"/>
          <w:szCs w:val="24"/>
          <w:highlight w:val="none"/>
          <w:lang w:val="en-US" w:eastAsia="zh-CN"/>
        </w:rPr>
        <w:t>。</w:t>
      </w:r>
    </w:p>
    <w:p w14:paraId="7B014FC5">
      <w:pPr>
        <w:pageBreakBefore w:val="0"/>
        <w:widowControl/>
        <w:kinsoku/>
        <w:overflowPunct/>
        <w:bidi w:val="0"/>
        <w:spacing w:line="500" w:lineRule="exact"/>
        <w:ind w:firstLine="560"/>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lang w:val="en-US" w:eastAsia="zh-CN"/>
        </w:rPr>
        <w:t>根据《企事业单位突发环境事件应急预案备案管理办法（试行）》</w:t>
      </w:r>
      <w:r>
        <w:rPr>
          <w:rFonts w:hint="default" w:ascii="Times New Roman" w:hAnsi="Times New Roman" w:cs="Times New Roman" w:eastAsiaTheme="minorEastAsia"/>
          <w:color w:val="auto"/>
          <w:kern w:val="0"/>
          <w:sz w:val="24"/>
          <w:szCs w:val="24"/>
          <w:highlight w:val="none"/>
        </w:rPr>
        <w:t>（环发</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2015</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4号）</w:t>
      </w:r>
      <w:r>
        <w:rPr>
          <w:rFonts w:hint="default" w:ascii="Times New Roman" w:hAnsi="Times New Roman" w:cs="Times New Roman" w:eastAsiaTheme="minorEastAsia"/>
          <w:color w:val="auto"/>
          <w:kern w:val="0"/>
          <w:sz w:val="24"/>
          <w:szCs w:val="24"/>
          <w:highlight w:val="none"/>
          <w:lang w:val="en-US" w:eastAsia="zh-CN"/>
        </w:rPr>
        <w:t>要求至少每三年对环境应急预案进行一次回顾性评估。企业为切实加强应急救援管理工作，使应急预案体系更加科学、规范，应急救援抢险工作更具有实用性、可操作性，进一步增强预防和控制危险源的能力，提高应对环境风险事故的应急处置能力，</w:t>
      </w: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HYPERLINK "javascript:zxtb('XZXKTYPE_A','%E6%9A%82%E5%AD%98','card1','fc5c1215140948f896b26e64c489f794','readonly')" </w:instrText>
      </w:r>
      <w:r>
        <w:rPr>
          <w:rFonts w:hint="default" w:ascii="Times New Roman" w:hAnsi="Times New Roman" w:cs="Times New Roman" w:eastAsiaTheme="minorEastAsia"/>
          <w:color w:val="auto"/>
          <w:kern w:val="0"/>
          <w:sz w:val="24"/>
          <w:szCs w:val="24"/>
          <w:highlight w:val="none"/>
        </w:rPr>
        <w:fldChar w:fldCharType="separate"/>
      </w:r>
      <w:r>
        <w:rPr>
          <w:rFonts w:hint="eastAsia" w:ascii="Times New Roman" w:hAnsi="Times New Roman" w:cs="Times New Roman" w:eastAsiaTheme="minorEastAsia"/>
          <w:color w:val="auto"/>
          <w:kern w:val="0"/>
          <w:sz w:val="24"/>
          <w:szCs w:val="24"/>
          <w:highlight w:val="none"/>
          <w:lang w:eastAsia="zh-CN"/>
        </w:rPr>
        <w:t>南通奥庭建材有限公司</w:t>
      </w:r>
      <w:r>
        <w:rPr>
          <w:rFonts w:hint="eastAsia" w:ascii="Times New Roman" w:hAnsi="Times New Roman" w:cs="Times New Roman" w:eastAsiaTheme="minorEastAsia"/>
          <w:color w:val="auto"/>
          <w:kern w:val="0"/>
          <w:sz w:val="24"/>
          <w:szCs w:val="24"/>
          <w:highlight w:val="none"/>
        </w:rPr>
        <w:fldChar w:fldCharType="end"/>
      </w:r>
      <w:r>
        <w:rPr>
          <w:rFonts w:hint="eastAsia" w:ascii="Times New Roman" w:hAnsi="Times New Roman" w:cs="Times New Roman" w:eastAsiaTheme="minorEastAsia"/>
          <w:color w:val="auto"/>
          <w:kern w:val="0"/>
          <w:sz w:val="24"/>
          <w:szCs w:val="24"/>
          <w:highlight w:val="none"/>
          <w:lang w:val="en-US" w:eastAsia="zh-CN"/>
        </w:rPr>
        <w:t>于2022年首次</w:t>
      </w:r>
      <w:r>
        <w:rPr>
          <w:rFonts w:hint="default" w:ascii="Times New Roman" w:hAnsi="Times New Roman" w:cs="Times New Roman" w:eastAsiaTheme="minorEastAsia"/>
          <w:color w:val="auto"/>
          <w:kern w:val="0"/>
          <w:sz w:val="24"/>
          <w:szCs w:val="24"/>
          <w:highlight w:val="none"/>
          <w:lang w:val="en-US" w:eastAsia="zh-CN"/>
        </w:rPr>
        <w:t>编制了《</w:t>
      </w: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HYPERLINK "javascript:zxtb('XZXKTYPE_A','%E6%9A%82%E5%AD%98','card1','fc5c1215140948f896b26e64c489f794','readonly')" </w:instrText>
      </w:r>
      <w:r>
        <w:rPr>
          <w:rFonts w:hint="default" w:ascii="Times New Roman" w:hAnsi="Times New Roman" w:cs="Times New Roman" w:eastAsiaTheme="minorEastAsia"/>
          <w:color w:val="auto"/>
          <w:kern w:val="0"/>
          <w:sz w:val="24"/>
          <w:szCs w:val="24"/>
          <w:highlight w:val="none"/>
        </w:rPr>
        <w:fldChar w:fldCharType="separate"/>
      </w:r>
      <w:r>
        <w:rPr>
          <w:rFonts w:hint="eastAsia" w:ascii="Times New Roman" w:hAnsi="Times New Roman" w:cs="Times New Roman" w:eastAsiaTheme="minorEastAsia"/>
          <w:color w:val="auto"/>
          <w:kern w:val="0"/>
          <w:sz w:val="24"/>
          <w:szCs w:val="24"/>
          <w:highlight w:val="none"/>
          <w:lang w:eastAsia="zh-CN"/>
        </w:rPr>
        <w:t>南通奥庭建材有限公司</w:t>
      </w:r>
      <w:r>
        <w:rPr>
          <w:rFonts w:hint="eastAsia" w:ascii="Times New Roman" w:hAnsi="Times New Roman" w:cs="Times New Roman" w:eastAsiaTheme="minorEastAsia"/>
          <w:color w:val="auto"/>
          <w:kern w:val="0"/>
          <w:sz w:val="24"/>
          <w:szCs w:val="24"/>
          <w:highlight w:val="none"/>
        </w:rPr>
        <w:fldChar w:fldCharType="end"/>
      </w:r>
      <w:r>
        <w:rPr>
          <w:rFonts w:hint="default" w:ascii="Times New Roman" w:hAnsi="Times New Roman" w:cs="Times New Roman" w:eastAsiaTheme="minorEastAsia"/>
          <w:color w:val="auto"/>
          <w:kern w:val="0"/>
          <w:sz w:val="24"/>
          <w:szCs w:val="24"/>
          <w:highlight w:val="none"/>
          <w:lang w:val="en-US" w:eastAsia="zh-CN"/>
        </w:rPr>
        <w:t>突发环境事件应急预案》</w:t>
      </w:r>
      <w:r>
        <w:rPr>
          <w:rFonts w:hint="eastAsia" w:ascii="Times New Roman" w:hAnsi="Times New Roman" w:cs="Times New Roman" w:eastAsiaTheme="minorEastAsia"/>
          <w:color w:val="auto"/>
          <w:kern w:val="0"/>
          <w:sz w:val="24"/>
          <w:szCs w:val="24"/>
          <w:highlight w:val="none"/>
          <w:lang w:val="en-US" w:eastAsia="zh-CN"/>
        </w:rPr>
        <w:t>，此次为修编</w:t>
      </w:r>
      <w:r>
        <w:rPr>
          <w:rFonts w:hint="default" w:ascii="Times New Roman" w:hAnsi="Times New Roman" w:cs="Times New Roman" w:eastAsiaTheme="minorEastAsia"/>
          <w:color w:val="auto"/>
          <w:kern w:val="0"/>
          <w:sz w:val="24"/>
          <w:szCs w:val="24"/>
          <w:highlight w:val="none"/>
          <w:lang w:val="en-US" w:eastAsia="zh-CN"/>
        </w:rPr>
        <w:t>。</w:t>
      </w:r>
      <w:bookmarkStart w:id="20" w:name="_Toc27709"/>
      <w:bookmarkStart w:id="21" w:name="_Toc12174"/>
    </w:p>
    <w:p w14:paraId="10F33D46">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22" w:name="_Toc13741"/>
      <w:bookmarkStart w:id="23" w:name="_Toc2897"/>
      <w:bookmarkStart w:id="24" w:name="_Toc3640"/>
      <w:bookmarkStart w:id="25" w:name="_Toc24021"/>
      <w:r>
        <w:rPr>
          <w:rFonts w:hint="default" w:ascii="Times New Roman" w:hAnsi="Times New Roman" w:cs="Times New Roman" w:eastAsiaTheme="minorEastAsia"/>
          <w:color w:val="auto"/>
          <w:sz w:val="24"/>
          <w:szCs w:val="24"/>
          <w:highlight w:val="none"/>
        </w:rPr>
        <w:t>1.2</w:t>
      </w:r>
      <w:bookmarkEnd w:id="18"/>
      <w:bookmarkEnd w:id="19"/>
      <w:bookmarkStart w:id="26" w:name="_Toc276118338"/>
      <w:bookmarkStart w:id="27" w:name="_Toc275938105"/>
      <w:r>
        <w:rPr>
          <w:rFonts w:hint="default" w:ascii="Times New Roman" w:hAnsi="Times New Roman" w:cs="Times New Roman" w:eastAsiaTheme="minorEastAsia"/>
          <w:color w:val="auto"/>
          <w:sz w:val="24"/>
          <w:szCs w:val="24"/>
          <w:highlight w:val="none"/>
        </w:rPr>
        <w:t xml:space="preserve"> 编制依据</w:t>
      </w:r>
      <w:bookmarkEnd w:id="20"/>
      <w:bookmarkEnd w:id="21"/>
      <w:bookmarkEnd w:id="22"/>
      <w:bookmarkEnd w:id="23"/>
      <w:bookmarkEnd w:id="24"/>
      <w:bookmarkEnd w:id="25"/>
    </w:p>
    <w:bookmarkEnd w:id="26"/>
    <w:bookmarkEnd w:id="27"/>
    <w:p w14:paraId="5E78B6F9">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8" w:name="_Toc26528"/>
      <w:bookmarkStart w:id="29" w:name="_Toc367692587"/>
      <w:bookmarkStart w:id="30" w:name="_Toc20934"/>
      <w:bookmarkStart w:id="31" w:name="_Toc24012"/>
      <w:bookmarkStart w:id="32" w:name="_Toc31290"/>
      <w:bookmarkStart w:id="33" w:name="_Toc18740"/>
      <w:bookmarkStart w:id="34" w:name="_Toc2292"/>
      <w:bookmarkStart w:id="35" w:name="_Toc275330204"/>
      <w:r>
        <w:rPr>
          <w:rFonts w:hint="default" w:ascii="Times New Roman" w:hAnsi="Times New Roman" w:cs="Times New Roman" w:eastAsiaTheme="minorEastAsia"/>
          <w:color w:val="auto"/>
          <w:sz w:val="24"/>
          <w:szCs w:val="24"/>
          <w:highlight w:val="none"/>
        </w:rPr>
        <w:t>1.2.1 有关法律法规</w:t>
      </w:r>
      <w:bookmarkEnd w:id="28"/>
      <w:bookmarkEnd w:id="29"/>
      <w:bookmarkEnd w:id="30"/>
      <w:bookmarkEnd w:id="31"/>
      <w:bookmarkEnd w:id="32"/>
      <w:bookmarkEnd w:id="33"/>
      <w:bookmarkEnd w:id="34"/>
    </w:p>
    <w:bookmarkEnd w:id="35"/>
    <w:p w14:paraId="123B3E8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bookmarkStart w:id="36" w:name="_Toc496886988"/>
      <w:bookmarkStart w:id="37" w:name="_Toc275938106"/>
      <w:bookmarkStart w:id="38" w:name="_Toc363896096"/>
      <w:bookmarkStart w:id="39" w:name="_Toc276118339"/>
      <w:bookmarkStart w:id="40" w:name="_Toc275330203"/>
      <w:bookmarkStart w:id="41" w:name="_Toc276118340"/>
      <w:bookmarkStart w:id="42" w:name="_Toc275938107"/>
      <w:bookmarkStart w:id="43" w:name="_Toc496886989"/>
      <w:bookmarkStart w:id="44" w:name="_Toc276118341"/>
      <w:bookmarkStart w:id="45" w:name="_Toc275938108"/>
      <w:r>
        <w:rPr>
          <w:rFonts w:hint="default" w:ascii="Times New Roman" w:hAnsi="Times New Roman" w:cs="Times New Roman" w:eastAsiaTheme="minorEastAsia"/>
          <w:color w:val="auto"/>
          <w:kern w:val="0"/>
          <w:sz w:val="24"/>
          <w:szCs w:val="24"/>
          <w:highlight w:val="none"/>
        </w:rPr>
        <w:t>(1)《中华人民共和国突发事件应对法》（2007年11月1日起施行）；</w:t>
      </w:r>
    </w:p>
    <w:p w14:paraId="4310AB5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(2)《中华人民共和国环境保护法》（2014年4月24日修订，2015年1月1日起施行）；</w:t>
      </w:r>
    </w:p>
    <w:p w14:paraId="17A88E9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(3)《中华人民共和国环境影响评价法》（2016年7月2日修订通过，2016 年9月1日施行）；</w:t>
      </w:r>
    </w:p>
    <w:p w14:paraId="71DF7B8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(4)《中华人民共和国水污染防治法》（国家主席令第87号，2017年6月27修订，2018年1月1日起施行）；</w:t>
      </w:r>
    </w:p>
    <w:p w14:paraId="2B11882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(5)《中华人民共和国大气污染防治法》（国主席令第十六号，2018年10月26日施行）；</w:t>
      </w:r>
    </w:p>
    <w:p w14:paraId="57E1EFD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(6)《中华人民共和国噪声污染防治法》</w:t>
      </w:r>
      <w:bookmarkStart w:id="46" w:name="_Hlk938232"/>
      <w:r>
        <w:rPr>
          <w:rFonts w:hint="default" w:ascii="Times New Roman" w:hAnsi="Times New Roman" w:cs="Times New Roman" w:eastAsiaTheme="minorEastAsia"/>
          <w:color w:val="auto"/>
          <w:kern w:val="0"/>
          <w:sz w:val="24"/>
          <w:szCs w:val="24"/>
          <w:highlight w:val="none"/>
        </w:rPr>
        <w:t>（国家主席令</w:t>
      </w:r>
      <w:r>
        <w:rPr>
          <w:rFonts w:hint="eastAsia" w:ascii="Times New Roman" w:hAnsi="Times New Roman" w:cs="Times New Roman" w:eastAsiaTheme="minorEastAsia"/>
          <w:color w:val="auto"/>
          <w:kern w:val="0"/>
          <w:sz w:val="24"/>
          <w:szCs w:val="24"/>
          <w:highlight w:val="none"/>
          <w:lang w:val="en-US" w:eastAsia="zh-CN"/>
        </w:rPr>
        <w:t>104</w:t>
      </w:r>
      <w:r>
        <w:rPr>
          <w:rFonts w:hint="default" w:ascii="Times New Roman" w:hAnsi="Times New Roman" w:cs="Times New Roman" w:eastAsiaTheme="minorEastAsia"/>
          <w:color w:val="auto"/>
          <w:kern w:val="0"/>
          <w:sz w:val="24"/>
          <w:szCs w:val="24"/>
          <w:highlight w:val="none"/>
        </w:rPr>
        <w:t>号，</w:t>
      </w:r>
      <w:r>
        <w:rPr>
          <w:rFonts w:hint="eastAsia" w:ascii="Times New Roman" w:hAnsi="Times New Roman" w:cs="Times New Roman" w:eastAsiaTheme="minorEastAsia"/>
          <w:color w:val="auto"/>
          <w:kern w:val="0"/>
          <w:sz w:val="24"/>
          <w:szCs w:val="24"/>
          <w:highlight w:val="none"/>
          <w:lang w:val="en-US" w:eastAsia="zh-CN"/>
        </w:rPr>
        <w:t>2021年12月24日通过修改，2023年6月5日起实施</w:t>
      </w:r>
      <w:r>
        <w:rPr>
          <w:rFonts w:hint="default" w:ascii="Times New Roman" w:hAnsi="Times New Roman" w:cs="Times New Roman" w:eastAsiaTheme="minorEastAsia"/>
          <w:color w:val="auto"/>
          <w:kern w:val="0"/>
          <w:sz w:val="24"/>
          <w:szCs w:val="24"/>
          <w:highlight w:val="none"/>
        </w:rPr>
        <w:t>）</w:t>
      </w:r>
      <w:bookmarkEnd w:id="46"/>
      <w:r>
        <w:rPr>
          <w:rFonts w:hint="default" w:ascii="Times New Roman" w:hAnsi="Times New Roman" w:cs="Times New Roman" w:eastAsiaTheme="minorEastAsia"/>
          <w:color w:val="auto"/>
          <w:kern w:val="0"/>
          <w:sz w:val="24"/>
          <w:szCs w:val="24"/>
          <w:highlight w:val="none"/>
        </w:rPr>
        <w:t>；</w:t>
      </w:r>
    </w:p>
    <w:p w14:paraId="3508D6B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(7)《中华人民共和国固体废物污染环境防治法》（</w:t>
      </w:r>
      <w:r>
        <w:rPr>
          <w:rFonts w:hint="eastAsia" w:ascii="Times New Roman" w:hAnsi="Times New Roman" w:cs="Times New Roman" w:eastAsiaTheme="minorEastAsia"/>
          <w:color w:val="auto"/>
          <w:kern w:val="0"/>
          <w:sz w:val="24"/>
          <w:szCs w:val="24"/>
          <w:highlight w:val="none"/>
          <w:lang w:val="en-US" w:eastAsia="zh-CN" w:bidi="ar-SA"/>
        </w:rPr>
        <w:t>2020年4月29日第十三届全国人民代表大会常务委员会第十七次会议第二次修订</w:t>
      </w:r>
      <w:r>
        <w:rPr>
          <w:rFonts w:hint="default" w:ascii="Times New Roman" w:hAnsi="Times New Roman" w:cs="Times New Roman" w:eastAsiaTheme="minorEastAsia"/>
          <w:color w:val="auto"/>
          <w:kern w:val="0"/>
          <w:sz w:val="24"/>
          <w:szCs w:val="24"/>
          <w:highlight w:val="none"/>
        </w:rPr>
        <w:t>）；</w:t>
      </w:r>
    </w:p>
    <w:p w14:paraId="2728237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(8)《中华人民共和国消防法》（中华人民共和国主席令第六号，2008年10月28日修订，2009年5月1日施行，20</w:t>
      </w:r>
      <w:r>
        <w:rPr>
          <w:rFonts w:hint="eastAsia" w:ascii="Times New Roman" w:hAnsi="Times New Roman" w:cs="Times New Roman" w:eastAsiaTheme="minorEastAsia"/>
          <w:color w:val="auto"/>
          <w:kern w:val="0"/>
          <w:sz w:val="24"/>
          <w:szCs w:val="24"/>
          <w:highlight w:val="none"/>
          <w:lang w:val="en-US" w:eastAsia="zh-CN"/>
        </w:rPr>
        <w:t>21年4月29日第三次修正</w:t>
      </w:r>
      <w:r>
        <w:rPr>
          <w:rFonts w:hint="default" w:ascii="Times New Roman" w:hAnsi="Times New Roman" w:cs="Times New Roman" w:eastAsiaTheme="minorEastAsia"/>
          <w:color w:val="auto"/>
          <w:kern w:val="0"/>
          <w:sz w:val="24"/>
          <w:szCs w:val="24"/>
          <w:highlight w:val="none"/>
        </w:rPr>
        <w:t>）；</w:t>
      </w:r>
    </w:p>
    <w:p w14:paraId="6F3789C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(9)《使用有毒物品作业场所劳动保护条例》（国务院令第352号）</w:t>
      </w:r>
    </w:p>
    <w:p w14:paraId="6E5BA22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(10)《危险</w:t>
      </w:r>
      <w:r>
        <w:rPr>
          <w:rFonts w:hint="eastAsia" w:ascii="Times New Roman" w:hAnsi="Times New Roman" w:cs="Times New Roman" w:eastAsiaTheme="minorEastAsia"/>
          <w:color w:val="auto"/>
          <w:kern w:val="0"/>
          <w:sz w:val="24"/>
          <w:szCs w:val="24"/>
          <w:highlight w:val="none"/>
          <w:lang w:eastAsia="zh-CN"/>
        </w:rPr>
        <w:t>化学</w:t>
      </w:r>
      <w:r>
        <w:rPr>
          <w:rFonts w:hint="eastAsia" w:ascii="Times New Roman" w:hAnsi="Times New Roman" w:cs="Times New Roman" w:eastAsiaTheme="minorEastAsia"/>
          <w:color w:val="auto"/>
          <w:kern w:val="0"/>
          <w:sz w:val="24"/>
          <w:szCs w:val="24"/>
          <w:highlight w:val="none"/>
          <w:lang w:val="en-US" w:eastAsia="zh-CN"/>
        </w:rPr>
        <w:t>品目录</w:t>
      </w:r>
      <w:r>
        <w:rPr>
          <w:rFonts w:hint="default" w:ascii="Times New Roman" w:hAnsi="Times New Roman" w:cs="Times New Roman" w:eastAsiaTheme="minorEastAsia"/>
          <w:color w:val="auto"/>
          <w:kern w:val="0"/>
          <w:sz w:val="24"/>
          <w:szCs w:val="24"/>
          <w:highlight w:val="none"/>
        </w:rPr>
        <w:t>》(201</w:t>
      </w:r>
      <w:r>
        <w:rPr>
          <w:rFonts w:hint="eastAsia" w:ascii="Times New Roman" w:hAnsi="Times New Roman" w:cs="Times New Roman" w:eastAsiaTheme="minorEastAsia"/>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版）；</w:t>
      </w:r>
    </w:p>
    <w:p w14:paraId="2711445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(11)《关于印发《江苏省重点行业挥发性有机污染物控制指南》的通知》（苏环办[2014]128 号）；</w:t>
      </w:r>
    </w:p>
    <w:p w14:paraId="1A336D8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(12)《突发环境事件应急监测技术规范》（HJ589-20</w:t>
      </w:r>
      <w:r>
        <w:rPr>
          <w:rFonts w:hint="eastAsia" w:ascii="Times New Roman" w:hAnsi="Times New Roman" w:cs="Times New Roman" w:eastAsiaTheme="minorEastAsia"/>
          <w:color w:val="auto"/>
          <w:kern w:val="0"/>
          <w:sz w:val="24"/>
          <w:szCs w:val="24"/>
          <w:highlight w:val="none"/>
          <w:lang w:val="en-US" w:eastAsia="zh-CN"/>
        </w:rPr>
        <w:t>21</w:t>
      </w:r>
      <w:r>
        <w:rPr>
          <w:rFonts w:hint="default" w:ascii="Times New Roman" w:hAnsi="Times New Roman" w:cs="Times New Roman" w:eastAsiaTheme="minorEastAsia"/>
          <w:color w:val="auto"/>
          <w:kern w:val="0"/>
          <w:sz w:val="24"/>
          <w:szCs w:val="24"/>
          <w:highlight w:val="none"/>
        </w:rPr>
        <w:t>）；</w:t>
      </w:r>
    </w:p>
    <w:p w14:paraId="48501B1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(13)《突发环境事件应急管理办法》（中华人民共和国环境保护部令第34号，2015年6月5日施行）；</w:t>
      </w:r>
    </w:p>
    <w:p w14:paraId="6DBB7EE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(14)《关于进一步加强环境影响评价管理防范环境风险的通知》（环境保护部，环发[2012]77号）；</w:t>
      </w:r>
    </w:p>
    <w:p w14:paraId="090A9B6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(15)《关于印发</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事业单位突发环境事件应急预案备案管理办法（试行）的通知》（环发[2015]4号）；</w:t>
      </w:r>
    </w:p>
    <w:p w14:paraId="2071C50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(16)《关于</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事业单位突发环境事件应急预案备案管理有关事项的通知》苏环办[2015]224号；</w:t>
      </w:r>
    </w:p>
    <w:p w14:paraId="4830BBF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cs="Times New Roman"/>
          <w:b w:val="0"/>
          <w:bCs w:val="0"/>
          <w:color w:val="auto"/>
          <w:kern w:val="0"/>
          <w:sz w:val="24"/>
          <w:szCs w:val="24"/>
          <w:highlight w:val="none"/>
          <w:lang w:val="en-US" w:eastAsia="zh-CN" w:bidi="ar-SA"/>
        </w:rPr>
      </w:pPr>
      <w:r>
        <w:rPr>
          <w:rFonts w:hint="default" w:ascii="Times New Roman" w:hAnsi="Times New Roman" w:cs="Times New Roman" w:eastAsiaTheme="minorEastAsia"/>
          <w:b w:val="0"/>
          <w:bCs w:val="0"/>
          <w:color w:val="auto"/>
          <w:kern w:val="0"/>
          <w:sz w:val="24"/>
          <w:szCs w:val="24"/>
          <w:highlight w:val="none"/>
          <w:lang w:val="en-US" w:eastAsia="zh-CN" w:bidi="ar-SA"/>
        </w:rPr>
        <w:t>(17)</w:t>
      </w:r>
      <w:r>
        <w:rPr>
          <w:rFonts w:hint="eastAsia" w:ascii="Times New Roman" w:hAnsi="Times New Roman" w:cs="Times New Roman" w:eastAsiaTheme="minorEastAsia"/>
          <w:b w:val="0"/>
          <w:bCs w:val="0"/>
          <w:color w:val="auto"/>
          <w:kern w:val="0"/>
          <w:sz w:val="24"/>
          <w:szCs w:val="24"/>
          <w:highlight w:val="none"/>
          <w:lang w:val="en-US" w:eastAsia="zh-CN" w:bidi="ar-SA"/>
        </w:rPr>
        <w:t>江苏省突发环境事件应急预案管理办法（苏环发[2023]7号</w:t>
      </w:r>
      <w:r>
        <w:rPr>
          <w:rFonts w:hint="eastAsia" w:cs="Times New Roman"/>
          <w:b w:val="0"/>
          <w:bCs w:val="0"/>
          <w:color w:val="auto"/>
          <w:kern w:val="0"/>
          <w:sz w:val="24"/>
          <w:szCs w:val="24"/>
          <w:highlight w:val="none"/>
          <w:lang w:val="en-US" w:eastAsia="zh-CN" w:bidi="ar-SA"/>
        </w:rPr>
        <w:t>；</w:t>
      </w:r>
    </w:p>
    <w:p w14:paraId="01215AF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(18)</w:t>
      </w:r>
      <w:r>
        <w:rPr>
          <w:rFonts w:hint="eastAsia" w:ascii="Times New Roman" w:hAnsi="Times New Roman" w:cs="Times New Roman" w:eastAsiaTheme="minorEastAsia"/>
          <w:color w:val="auto"/>
          <w:kern w:val="0"/>
          <w:sz w:val="24"/>
          <w:szCs w:val="24"/>
          <w:highlight w:val="none"/>
        </w:rPr>
        <w:t>国务院办公厅关于印发《突发事件应急预案管理办法》的通知</w:t>
      </w:r>
    </w:p>
    <w:p w14:paraId="45E5421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9</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rPr>
        <w:t>江苏省固体废物全过程环境监管工作意见》（苏环办〔</w:t>
      </w:r>
      <w:r>
        <w:rPr>
          <w:rFonts w:hint="eastAsia" w:ascii="Times New Roman" w:hAnsi="Times New Roman" w:cs="Times New Roman" w:eastAsiaTheme="minorEastAsia"/>
          <w:color w:val="auto"/>
          <w:kern w:val="0"/>
          <w:sz w:val="24"/>
          <w:szCs w:val="24"/>
          <w:highlight w:val="none"/>
          <w:lang w:eastAsia="zh-CN"/>
        </w:rPr>
        <w:t>2025</w:t>
      </w:r>
      <w:r>
        <w:rPr>
          <w:rFonts w:hint="eastAsia" w:ascii="Times New Roman" w:hAnsi="Times New Roman" w:cs="Times New Roman" w:eastAsiaTheme="minorEastAsia"/>
          <w:color w:val="auto"/>
          <w:kern w:val="0"/>
          <w:sz w:val="24"/>
          <w:szCs w:val="24"/>
          <w:highlight w:val="none"/>
        </w:rPr>
        <w:t>〕16号）</w:t>
      </w:r>
    </w:p>
    <w:p w14:paraId="2943E4E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20</w:t>
      </w:r>
      <w:r>
        <w:rPr>
          <w:rFonts w:hint="default" w:ascii="Times New Roman" w:hAnsi="Times New Roman" w:cs="Times New Roman" w:eastAsiaTheme="minorEastAsia"/>
          <w:color w:val="auto"/>
          <w:kern w:val="0"/>
          <w:sz w:val="24"/>
          <w:szCs w:val="24"/>
          <w:highlight w:val="none"/>
        </w:rPr>
        <w:t>)《关于印发南通市</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事业单位突发环境事件应急预案备案管理制度的通知》（通环办〔2016〕16号）；</w:t>
      </w:r>
    </w:p>
    <w:p w14:paraId="10FA89B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21</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突发环境事件隐患排查和治理工作指南（试行）》（2016年第74号）；</w:t>
      </w:r>
    </w:p>
    <w:p w14:paraId="22BBD04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22</w:t>
      </w:r>
      <w:r>
        <w:rPr>
          <w:rFonts w:hint="default" w:ascii="Times New Roman" w:hAnsi="Times New Roman" w:cs="Times New Roman" w:eastAsiaTheme="minorEastAsia"/>
          <w:color w:val="auto"/>
          <w:kern w:val="0"/>
          <w:sz w:val="24"/>
          <w:szCs w:val="24"/>
          <w:highlight w:val="none"/>
        </w:rPr>
        <w:t>)《国家突发环境事件应急预案》（国办函〔2014〕119号，2014年12月29日）；</w:t>
      </w:r>
    </w:p>
    <w:p w14:paraId="332566C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23</w:t>
      </w:r>
      <w:r>
        <w:rPr>
          <w:rFonts w:hint="default" w:ascii="Times New Roman" w:hAnsi="Times New Roman" w:cs="Times New Roman" w:eastAsiaTheme="minorEastAsia"/>
          <w:color w:val="auto"/>
          <w:kern w:val="0"/>
          <w:sz w:val="24"/>
          <w:szCs w:val="24"/>
          <w:highlight w:val="none"/>
        </w:rPr>
        <w:t>)《关于印发《</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事业单位突发环境事件应急预案评审工作指南（试行）的通知》（环办应急〔2018〕8号）》 ；</w:t>
      </w:r>
    </w:p>
    <w:p w14:paraId="07AF342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24</w:t>
      </w:r>
      <w:r>
        <w:rPr>
          <w:rFonts w:hint="default" w:ascii="Times New Roman" w:hAnsi="Times New Roman" w:cs="Times New Roman" w:eastAsiaTheme="minorEastAsia"/>
          <w:color w:val="auto"/>
          <w:kern w:val="0"/>
          <w:sz w:val="24"/>
          <w:szCs w:val="24"/>
          <w:highlight w:val="none"/>
        </w:rPr>
        <w:t>)《江苏省突发环境事件应急预案》（2020版）；</w:t>
      </w:r>
    </w:p>
    <w:p w14:paraId="4E3A9F3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25</w:t>
      </w:r>
      <w:r>
        <w:rPr>
          <w:rFonts w:hint="default" w:ascii="Times New Roman" w:hAnsi="Times New Roman" w:cs="Times New Roman" w:eastAsiaTheme="minorEastAsia"/>
          <w:color w:val="auto"/>
          <w:kern w:val="0"/>
          <w:sz w:val="24"/>
          <w:szCs w:val="24"/>
          <w:highlight w:val="none"/>
        </w:rPr>
        <w:t>)《南通市突发环境事件应急预案》（2020年修订版）；</w:t>
      </w:r>
    </w:p>
    <w:p w14:paraId="0CCF672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26</w:t>
      </w:r>
      <w:r>
        <w:rPr>
          <w:rFonts w:hint="default" w:ascii="Times New Roman" w:hAnsi="Times New Roman" w:cs="Times New Roman" w:eastAsiaTheme="minorEastAsia"/>
          <w:color w:val="auto"/>
          <w:kern w:val="0"/>
          <w:sz w:val="24"/>
          <w:szCs w:val="24"/>
          <w:highlight w:val="none"/>
        </w:rPr>
        <w:t>)《海安市突发环境事件应急预案》</w:t>
      </w:r>
      <w:r>
        <w:rPr>
          <w:rFonts w:hint="eastAsia" w:ascii="Times New Roman" w:hAnsi="Times New Roman" w:cs="Times New Roman" w:eastAsiaTheme="minorEastAsia"/>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lang w:val="en-US" w:eastAsia="zh-CN"/>
        </w:rPr>
        <w:t>2020年修订版</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w:t>
      </w:r>
    </w:p>
    <w:p w14:paraId="239FA769">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lang w:val="en-US" w:eastAsia="zh-CN"/>
        </w:rPr>
      </w:pPr>
      <w:bookmarkStart w:id="47" w:name="_Toc9167"/>
      <w:bookmarkStart w:id="48" w:name="_Toc515064067"/>
      <w:bookmarkStart w:id="49" w:name="_Toc29777"/>
      <w:bookmarkStart w:id="50" w:name="_Toc13674"/>
      <w:bookmarkStart w:id="51" w:name="_Toc30277"/>
      <w:bookmarkStart w:id="52" w:name="_Toc708"/>
      <w:bookmarkStart w:id="53" w:name="_Toc17897"/>
      <w:r>
        <w:rPr>
          <w:rFonts w:hint="default" w:ascii="Times New Roman" w:hAnsi="Times New Roman" w:cs="Times New Roman" w:eastAsiaTheme="minorEastAsia"/>
          <w:color w:val="auto"/>
          <w:sz w:val="24"/>
          <w:szCs w:val="24"/>
          <w:highlight w:val="none"/>
        </w:rPr>
        <w:t>1.2.2 技术</w:t>
      </w:r>
      <w:r>
        <w:rPr>
          <w:rFonts w:hint="default" w:ascii="Times New Roman" w:hAnsi="Times New Roman" w:cs="Times New Roman"/>
          <w:color w:val="auto"/>
          <w:sz w:val="24"/>
          <w:szCs w:val="24"/>
          <w:highlight w:val="none"/>
          <w:lang w:val="en-US" w:eastAsia="zh-CN"/>
        </w:rPr>
        <w:t>规范</w:t>
      </w:r>
      <w:r>
        <w:rPr>
          <w:rFonts w:hint="default" w:ascii="Times New Roman" w:hAnsi="Times New Roman" w:cs="Times New Roman" w:eastAsiaTheme="minorEastAsia"/>
          <w:color w:val="auto"/>
          <w:sz w:val="24"/>
          <w:szCs w:val="24"/>
          <w:highlight w:val="none"/>
        </w:rPr>
        <w:t>、</w:t>
      </w:r>
      <w:bookmarkEnd w:id="36"/>
      <w:bookmarkEnd w:id="37"/>
      <w:bookmarkEnd w:id="38"/>
      <w:bookmarkEnd w:id="39"/>
      <w:bookmarkEnd w:id="40"/>
      <w:bookmarkEnd w:id="47"/>
      <w:bookmarkEnd w:id="48"/>
      <w:bookmarkEnd w:id="49"/>
      <w:r>
        <w:rPr>
          <w:rFonts w:hint="default" w:ascii="Times New Roman" w:hAnsi="Times New Roman" w:cs="Times New Roman"/>
          <w:color w:val="auto"/>
          <w:sz w:val="24"/>
          <w:szCs w:val="24"/>
          <w:highlight w:val="none"/>
          <w:lang w:val="en-US" w:eastAsia="zh-CN"/>
        </w:rPr>
        <w:t>标准</w:t>
      </w:r>
      <w:bookmarkEnd w:id="50"/>
      <w:bookmarkEnd w:id="51"/>
      <w:bookmarkEnd w:id="52"/>
      <w:bookmarkEnd w:id="53"/>
    </w:p>
    <w:p w14:paraId="4688660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(1)《地表水环境质量标准》（GB 3838-2002）；</w:t>
      </w:r>
    </w:p>
    <w:p w14:paraId="2B187A6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(2)《地下水质量标准》（GB/T 14848-2017）；</w:t>
      </w:r>
    </w:p>
    <w:p w14:paraId="49AD678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(3)《环境空气质量标准》（GB 3095-2012）；</w:t>
      </w:r>
    </w:p>
    <w:p w14:paraId="7D795C6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(4)《声环境质量标准》（GB 3096-2008）；</w:t>
      </w:r>
    </w:p>
    <w:p w14:paraId="6193180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(5)《工业</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设计卫生标准》（GBZ1-2010）；</w:t>
      </w:r>
    </w:p>
    <w:p w14:paraId="5370232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6</w:t>
      </w:r>
      <w:r>
        <w:rPr>
          <w:rFonts w:hint="default" w:ascii="Times New Roman" w:hAnsi="Times New Roman" w:cs="Times New Roman" w:eastAsiaTheme="minorEastAsia"/>
          <w:color w:val="auto"/>
          <w:kern w:val="0"/>
          <w:sz w:val="24"/>
          <w:szCs w:val="24"/>
          <w:highlight w:val="none"/>
        </w:rPr>
        <w:t>)《工作场所有害因素职业接触限值</w:t>
      </w:r>
      <w:r>
        <w:rPr>
          <w:rFonts w:hint="eastAsia" w:ascii="Times New Roman" w:hAnsi="Times New Roman" w:cs="Times New Roman" w:eastAsiaTheme="minorEastAsia"/>
          <w:color w:val="auto"/>
          <w:kern w:val="0"/>
          <w:sz w:val="24"/>
          <w:szCs w:val="24"/>
          <w:highlight w:val="none"/>
          <w:lang w:val="en-US" w:eastAsia="zh-CN"/>
        </w:rPr>
        <w:t xml:space="preserve"> 第1部分：化学有害因素</w:t>
      </w:r>
      <w:r>
        <w:rPr>
          <w:rFonts w:hint="default" w:ascii="Times New Roman" w:hAnsi="Times New Roman" w:cs="Times New Roman" w:eastAsiaTheme="minorEastAsia"/>
          <w:color w:val="auto"/>
          <w:kern w:val="0"/>
          <w:sz w:val="24"/>
          <w:szCs w:val="24"/>
          <w:highlight w:val="none"/>
        </w:rPr>
        <w:t>》（GBZ2.1-20</w:t>
      </w:r>
      <w:r>
        <w:rPr>
          <w:rFonts w:hint="eastAsia" w:ascii="Times New Roman" w:hAnsi="Times New Roman" w:cs="Times New Roman" w:eastAsiaTheme="minorEastAsia"/>
          <w:color w:val="auto"/>
          <w:kern w:val="0"/>
          <w:sz w:val="24"/>
          <w:szCs w:val="24"/>
          <w:highlight w:val="none"/>
          <w:lang w:val="en-US" w:eastAsia="zh-CN"/>
        </w:rPr>
        <w:t>19</w:t>
      </w:r>
      <w:r>
        <w:rPr>
          <w:rFonts w:hint="default" w:ascii="Times New Roman" w:hAnsi="Times New Roman" w:cs="Times New Roman" w:eastAsiaTheme="minorEastAsia"/>
          <w:color w:val="auto"/>
          <w:kern w:val="0"/>
          <w:sz w:val="24"/>
          <w:szCs w:val="24"/>
          <w:highlight w:val="none"/>
        </w:rPr>
        <w:t>）；</w:t>
      </w:r>
    </w:p>
    <w:p w14:paraId="240577C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7</w:t>
      </w:r>
      <w:r>
        <w:rPr>
          <w:rFonts w:hint="default" w:ascii="Times New Roman" w:hAnsi="Times New Roman" w:cs="Times New Roman" w:eastAsiaTheme="minorEastAsia"/>
          <w:color w:val="auto"/>
          <w:kern w:val="0"/>
          <w:sz w:val="24"/>
          <w:szCs w:val="24"/>
          <w:highlight w:val="none"/>
        </w:rPr>
        <w:t>)《工作场所有害因素职业接触限值</w:t>
      </w:r>
      <w:r>
        <w:rPr>
          <w:rFonts w:hint="eastAsia" w:ascii="Times New Roman" w:hAnsi="Times New Roman" w:cs="Times New Roman" w:eastAsiaTheme="minorEastAsia"/>
          <w:color w:val="auto"/>
          <w:kern w:val="0"/>
          <w:sz w:val="24"/>
          <w:szCs w:val="24"/>
          <w:highlight w:val="none"/>
          <w:lang w:val="en-US" w:eastAsia="zh-CN"/>
        </w:rPr>
        <w:t xml:space="preserve"> 第2部分：物理因素</w:t>
      </w:r>
      <w:r>
        <w:rPr>
          <w:rFonts w:hint="default" w:ascii="Times New Roman" w:hAnsi="Times New Roman" w:cs="Times New Roman" w:eastAsiaTheme="minorEastAsia"/>
          <w:color w:val="auto"/>
          <w:kern w:val="0"/>
          <w:sz w:val="24"/>
          <w:szCs w:val="24"/>
          <w:highlight w:val="none"/>
        </w:rPr>
        <w:t>》（GBZ2.</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-20</w:t>
      </w:r>
      <w:r>
        <w:rPr>
          <w:rFonts w:hint="eastAsia" w:ascii="Times New Roman" w:hAnsi="Times New Roman" w:cs="Times New Roman" w:eastAsiaTheme="minorEastAsia"/>
          <w:color w:val="auto"/>
          <w:kern w:val="0"/>
          <w:sz w:val="24"/>
          <w:szCs w:val="24"/>
          <w:highlight w:val="none"/>
          <w:lang w:val="en-US" w:eastAsia="zh-CN"/>
        </w:rPr>
        <w:t>07</w:t>
      </w:r>
      <w:r>
        <w:rPr>
          <w:rFonts w:hint="default" w:ascii="Times New Roman" w:hAnsi="Times New Roman" w:cs="Times New Roman" w:eastAsiaTheme="minorEastAsia"/>
          <w:color w:val="auto"/>
          <w:kern w:val="0"/>
          <w:sz w:val="24"/>
          <w:szCs w:val="24"/>
          <w:highlight w:val="none"/>
        </w:rPr>
        <w:t>）；</w:t>
      </w:r>
    </w:p>
    <w:p w14:paraId="0B5A603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8</w:t>
      </w:r>
      <w:r>
        <w:rPr>
          <w:rFonts w:hint="default" w:ascii="Times New Roman" w:hAnsi="Times New Roman" w:cs="Times New Roman" w:eastAsiaTheme="minorEastAsia"/>
          <w:color w:val="auto"/>
          <w:kern w:val="0"/>
          <w:sz w:val="24"/>
          <w:szCs w:val="24"/>
          <w:highlight w:val="none"/>
        </w:rPr>
        <w:t>)《危险废物鉴别标准 腐蚀性鉴别》（GB 5085.1-2007）；</w:t>
      </w:r>
    </w:p>
    <w:p w14:paraId="1E4D33B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9</w:t>
      </w:r>
      <w:r>
        <w:rPr>
          <w:rFonts w:hint="default" w:ascii="Times New Roman" w:hAnsi="Times New Roman" w:cs="Times New Roman" w:eastAsiaTheme="minorEastAsia"/>
          <w:color w:val="auto"/>
          <w:kern w:val="0"/>
          <w:sz w:val="24"/>
          <w:szCs w:val="24"/>
          <w:highlight w:val="none"/>
        </w:rPr>
        <w:t>)《危险废物鉴别标准 急性毒性初筛》（GB 5085.2-2007）；</w:t>
      </w:r>
    </w:p>
    <w:p w14:paraId="45326DB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0</w:t>
      </w:r>
      <w:r>
        <w:rPr>
          <w:rFonts w:hint="default" w:ascii="Times New Roman" w:hAnsi="Times New Roman" w:cs="Times New Roman" w:eastAsiaTheme="minorEastAsia"/>
          <w:color w:val="auto"/>
          <w:kern w:val="0"/>
          <w:sz w:val="24"/>
          <w:szCs w:val="24"/>
          <w:highlight w:val="none"/>
        </w:rPr>
        <w:t>)《危险废物鉴别标准 浸出毒性鉴别》（GB 5085.3-2007）；</w:t>
      </w:r>
    </w:p>
    <w:p w14:paraId="7D9CA5B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1</w:t>
      </w:r>
      <w:r>
        <w:rPr>
          <w:rFonts w:hint="default" w:ascii="Times New Roman" w:hAnsi="Times New Roman" w:cs="Times New Roman" w:eastAsiaTheme="minorEastAsia"/>
          <w:color w:val="auto"/>
          <w:kern w:val="0"/>
          <w:sz w:val="24"/>
          <w:szCs w:val="24"/>
          <w:highlight w:val="none"/>
        </w:rPr>
        <w:t>)《危险废物鉴别标准 易燃性鉴别》（GB 5085.4-2007）；</w:t>
      </w:r>
    </w:p>
    <w:p w14:paraId="2ECA87F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)《危险废物鉴别标准 反应性鉴别》（GB 5085.5-2007）；</w:t>
      </w:r>
    </w:p>
    <w:p w14:paraId="14B2182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)《危险废物鉴别标准 毒性物质含量鉴别》（GB 5085.6-2007）；</w:t>
      </w:r>
    </w:p>
    <w:p w14:paraId="555D2FF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4</w:t>
      </w:r>
      <w:r>
        <w:rPr>
          <w:rFonts w:hint="default" w:ascii="Times New Roman" w:hAnsi="Times New Roman" w:cs="Times New Roman" w:eastAsiaTheme="minorEastAsia"/>
          <w:color w:val="auto"/>
          <w:kern w:val="0"/>
          <w:sz w:val="24"/>
          <w:szCs w:val="24"/>
          <w:highlight w:val="none"/>
        </w:rPr>
        <w:t>)《危险废物鉴别标准 通则》（GB 5085.7-20</w:t>
      </w:r>
      <w:r>
        <w:rPr>
          <w:rFonts w:hint="eastAsia" w:ascii="Times New Roman" w:hAnsi="Times New Roman" w:cs="Times New Roman" w:eastAsiaTheme="minorEastAsia"/>
          <w:color w:val="auto"/>
          <w:kern w:val="0"/>
          <w:sz w:val="24"/>
          <w:szCs w:val="24"/>
          <w:highlight w:val="none"/>
          <w:lang w:val="en-US" w:eastAsia="zh-CN"/>
        </w:rPr>
        <w:t>19</w:t>
      </w:r>
      <w:r>
        <w:rPr>
          <w:rFonts w:hint="default" w:ascii="Times New Roman" w:hAnsi="Times New Roman" w:cs="Times New Roman" w:eastAsiaTheme="minorEastAsia"/>
          <w:color w:val="auto"/>
          <w:kern w:val="0"/>
          <w:sz w:val="24"/>
          <w:szCs w:val="24"/>
          <w:highlight w:val="none"/>
        </w:rPr>
        <w:t>）；</w:t>
      </w:r>
    </w:p>
    <w:p w14:paraId="0D46AE5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)《危险废物鉴别技术规范》（</w:t>
      </w:r>
      <w:r>
        <w:rPr>
          <w:rFonts w:hint="eastAsia" w:ascii="Times New Roman" w:hAnsi="Times New Roman" w:cs="Times New Roman" w:eastAsiaTheme="minorEastAsia"/>
          <w:color w:val="auto"/>
          <w:kern w:val="0"/>
          <w:sz w:val="24"/>
          <w:szCs w:val="24"/>
          <w:highlight w:val="none"/>
          <w:lang w:eastAsia="zh-CN"/>
        </w:rPr>
        <w:t>HJ 298-2019</w:t>
      </w:r>
      <w:r>
        <w:rPr>
          <w:rFonts w:hint="default" w:ascii="Times New Roman" w:hAnsi="Times New Roman" w:cs="Times New Roman" w:eastAsiaTheme="minorEastAsia"/>
          <w:color w:val="auto"/>
          <w:kern w:val="0"/>
          <w:sz w:val="24"/>
          <w:szCs w:val="24"/>
          <w:highlight w:val="none"/>
        </w:rPr>
        <w:t>）；</w:t>
      </w:r>
    </w:p>
    <w:p w14:paraId="4B0171A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6</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危险化学品重大危险源辨识</w:t>
      </w:r>
      <w:r>
        <w:rPr>
          <w:rFonts w:hint="default" w:ascii="Times New Roman" w:hAnsi="Times New Roman" w:cs="Times New Roman" w:eastAsiaTheme="minorEastAsia"/>
          <w:color w:val="auto"/>
          <w:kern w:val="0"/>
          <w:sz w:val="24"/>
          <w:szCs w:val="24"/>
          <w:highlight w:val="none"/>
        </w:rPr>
        <w:t>》(GB18218－2018) ；</w:t>
      </w:r>
    </w:p>
    <w:p w14:paraId="49EE1DF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7</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危险化学品仓库储存通则</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GB 15603-2022</w:t>
      </w:r>
      <w:r>
        <w:rPr>
          <w:rFonts w:hint="default" w:ascii="Times New Roman" w:hAnsi="Times New Roman" w:cs="Times New Roman" w:eastAsiaTheme="minorEastAsia"/>
          <w:color w:val="auto"/>
          <w:kern w:val="0"/>
          <w:sz w:val="24"/>
          <w:szCs w:val="24"/>
          <w:highlight w:val="none"/>
        </w:rPr>
        <w:t>）；</w:t>
      </w:r>
    </w:p>
    <w:p w14:paraId="4F95B5B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18</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化学品分类和危险性公示 通则</w:t>
      </w:r>
      <w:r>
        <w:rPr>
          <w:rFonts w:hint="default" w:ascii="Times New Roman" w:hAnsi="Times New Roman" w:cs="Times New Roman" w:eastAsiaTheme="minorEastAsia"/>
          <w:color w:val="auto"/>
          <w:kern w:val="0"/>
          <w:sz w:val="24"/>
          <w:szCs w:val="24"/>
          <w:highlight w:val="none"/>
        </w:rPr>
        <w:t>》（GB13690－2009）；</w:t>
      </w:r>
    </w:p>
    <w:p w14:paraId="348E27F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19</w:t>
      </w:r>
      <w:r>
        <w:rPr>
          <w:rFonts w:hint="default" w:ascii="Times New Roman" w:hAnsi="Times New Roman" w:cs="Times New Roman" w:eastAsiaTheme="minorEastAsia"/>
          <w:color w:val="auto"/>
          <w:kern w:val="0"/>
          <w:sz w:val="24"/>
          <w:szCs w:val="24"/>
          <w:highlight w:val="none"/>
        </w:rPr>
        <w:t>)《危险货物品名表》（GB12268-2012）；</w:t>
      </w:r>
    </w:p>
    <w:p w14:paraId="1E44314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0</w:t>
      </w:r>
      <w:r>
        <w:rPr>
          <w:rFonts w:hint="default" w:ascii="Times New Roman" w:hAnsi="Times New Roman" w:cs="Times New Roman" w:eastAsiaTheme="minorEastAsia"/>
          <w:color w:val="auto"/>
          <w:kern w:val="0"/>
          <w:sz w:val="24"/>
          <w:szCs w:val="24"/>
          <w:highlight w:val="none"/>
        </w:rPr>
        <w:t>)《建筑设计防火规范》（</w:t>
      </w:r>
      <w:r>
        <w:rPr>
          <w:rFonts w:hint="eastAsia" w:ascii="Times New Roman" w:hAnsi="Times New Roman" w:cs="Times New Roman" w:eastAsiaTheme="minorEastAsia"/>
          <w:color w:val="auto"/>
          <w:kern w:val="0"/>
          <w:sz w:val="24"/>
          <w:szCs w:val="24"/>
          <w:highlight w:val="none"/>
          <w:lang w:eastAsia="zh-CN"/>
        </w:rPr>
        <w:t>GB 50016-2014[2018年版]</w:t>
      </w:r>
      <w:r>
        <w:rPr>
          <w:rFonts w:hint="default" w:ascii="Times New Roman" w:hAnsi="Times New Roman" w:cs="Times New Roman" w:eastAsiaTheme="minorEastAsia"/>
          <w:color w:val="auto"/>
          <w:kern w:val="0"/>
          <w:sz w:val="24"/>
          <w:szCs w:val="24"/>
          <w:highlight w:val="none"/>
        </w:rPr>
        <w:t xml:space="preserve"> ）；</w:t>
      </w:r>
    </w:p>
    <w:p w14:paraId="3D8A41A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1</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突发环境事件应急监测技术规范</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HJ589-2021</w:t>
      </w:r>
      <w:r>
        <w:rPr>
          <w:rFonts w:hint="default" w:ascii="Times New Roman" w:hAnsi="Times New Roman" w:cs="Times New Roman" w:eastAsiaTheme="minorEastAsia"/>
          <w:color w:val="auto"/>
          <w:kern w:val="0"/>
          <w:sz w:val="24"/>
          <w:szCs w:val="24"/>
          <w:highlight w:val="none"/>
        </w:rPr>
        <w:t>）；</w:t>
      </w:r>
    </w:p>
    <w:p w14:paraId="72EB093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危险化学品事故应急救援指挥导则</w:t>
      </w:r>
      <w:r>
        <w:rPr>
          <w:rFonts w:hint="default" w:ascii="Times New Roman" w:hAnsi="Times New Roman" w:cs="Times New Roman" w:eastAsiaTheme="minorEastAsia"/>
          <w:color w:val="auto"/>
          <w:kern w:val="0"/>
          <w:sz w:val="24"/>
          <w:szCs w:val="24"/>
          <w:highlight w:val="none"/>
        </w:rPr>
        <w:t>》（AQ/T3052-2015）；</w:t>
      </w:r>
    </w:p>
    <w:p w14:paraId="4046179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)《突发性污染事故中危险品档案库》；</w:t>
      </w:r>
    </w:p>
    <w:p w14:paraId="4EAE78F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4</w:t>
      </w:r>
      <w:r>
        <w:rPr>
          <w:rFonts w:hint="default" w:ascii="Times New Roman" w:hAnsi="Times New Roman" w:cs="Times New Roman" w:eastAsiaTheme="minorEastAsia"/>
          <w:color w:val="auto"/>
          <w:kern w:val="0"/>
          <w:sz w:val="24"/>
          <w:szCs w:val="24"/>
          <w:highlight w:val="none"/>
        </w:rPr>
        <w:t>)《污水综合排放标准》（GB8978-1996）；</w:t>
      </w:r>
    </w:p>
    <w:p w14:paraId="252BACB8">
      <w:pPr>
        <w:keepNext w:val="0"/>
        <w:keepLines w:val="0"/>
        <w:widowControl/>
        <w:spacing w:line="500" w:lineRule="exact"/>
        <w:ind w:firstLine="480"/>
        <w:rPr>
          <w:rFonts w:hint="eastAsia"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)《大气污染物综合排放标准》(</w:t>
      </w:r>
      <w:r>
        <w:rPr>
          <w:rFonts w:hint="eastAsia" w:ascii="Times New Roman" w:hAnsi="Times New Roman" w:cs="Times New Roman" w:eastAsiaTheme="minorEastAsia"/>
          <w:color w:val="auto"/>
          <w:kern w:val="0"/>
          <w:sz w:val="24"/>
          <w:szCs w:val="24"/>
          <w:highlight w:val="none"/>
          <w:lang w:val="en-US" w:eastAsia="zh-CN"/>
        </w:rPr>
        <w:t>DB32/4041-2021</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w:t>
      </w:r>
    </w:p>
    <w:p w14:paraId="4D8E7A93">
      <w:pPr>
        <w:widowControl/>
        <w:spacing w:line="500" w:lineRule="exact"/>
        <w:ind w:firstLine="480" w:firstLineChars="200"/>
        <w:rPr>
          <w:rFonts w:hint="eastAsia"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eastAsiaTheme="minorEastAsia"/>
          <w:color w:val="auto"/>
          <w:kern w:val="0"/>
          <w:sz w:val="24"/>
          <w:szCs w:val="24"/>
          <w:highlight w:val="none"/>
          <w:lang w:val="en-US" w:eastAsia="zh-CN"/>
        </w:rPr>
        <w:t>(</w:t>
      </w:r>
      <w:r>
        <w:rPr>
          <w:rFonts w:hint="default" w:ascii="Times New Roman" w:hAnsi="Times New Roman" w:cs="Times New Roman" w:eastAsiaTheme="minorEastAsia"/>
          <w:color w:val="auto"/>
          <w:kern w:val="0"/>
          <w:sz w:val="24"/>
          <w:szCs w:val="24"/>
          <w:highlight w:val="none"/>
          <w:lang w:val="en-US" w:eastAsia="zh-CN"/>
        </w:rPr>
        <w:t>2</w:t>
      </w:r>
      <w:r>
        <w:rPr>
          <w:rFonts w:hint="eastAsia" w:ascii="Times New Roman" w:hAnsi="Times New Roman" w:cs="Times New Roman" w:eastAsiaTheme="minorEastAsia"/>
          <w:color w:val="auto"/>
          <w:kern w:val="0"/>
          <w:sz w:val="24"/>
          <w:szCs w:val="24"/>
          <w:highlight w:val="none"/>
          <w:lang w:val="en-US" w:eastAsia="zh-CN"/>
        </w:rPr>
        <w:t>6)《大气污染物综合排放标准》(GB16297-1996)；</w:t>
      </w:r>
    </w:p>
    <w:p w14:paraId="61981880">
      <w:pPr>
        <w:widowControl/>
        <w:spacing w:line="500" w:lineRule="exact"/>
        <w:ind w:firstLine="480" w:firstLineChars="200"/>
        <w:rPr>
          <w:rFonts w:hint="eastAsia"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eastAsiaTheme="minorEastAsia"/>
          <w:color w:val="auto"/>
          <w:kern w:val="0"/>
          <w:sz w:val="24"/>
          <w:szCs w:val="24"/>
          <w:highlight w:val="none"/>
          <w:lang w:val="en-US" w:eastAsia="zh-CN"/>
        </w:rPr>
        <w:t>(27)《工业 炉窑大气污染物排放标准》（DB 32/3728-2019）；</w:t>
      </w:r>
    </w:p>
    <w:p w14:paraId="373CC56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28</w:t>
      </w:r>
      <w:r>
        <w:rPr>
          <w:rFonts w:hint="default" w:ascii="Times New Roman" w:hAnsi="Times New Roman" w:cs="Times New Roman" w:eastAsiaTheme="minorEastAsia"/>
          <w:color w:val="auto"/>
          <w:kern w:val="0"/>
          <w:sz w:val="24"/>
          <w:szCs w:val="24"/>
          <w:highlight w:val="none"/>
        </w:rPr>
        <w:t>)《环境影响评价技术导则 地下水环境》（HJ610-2016）；</w:t>
      </w:r>
    </w:p>
    <w:p w14:paraId="0755BCB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29</w:t>
      </w:r>
      <w:r>
        <w:rPr>
          <w:rFonts w:hint="default" w:ascii="Times New Roman" w:hAnsi="Times New Roman" w:cs="Times New Roman" w:eastAsiaTheme="minorEastAsia"/>
          <w:color w:val="auto"/>
          <w:kern w:val="0"/>
          <w:sz w:val="24"/>
          <w:szCs w:val="24"/>
          <w:highlight w:val="none"/>
        </w:rPr>
        <w:t>)《环境影响评价技术导则 地表水环境》（HJ2.3-2018）；</w:t>
      </w:r>
    </w:p>
    <w:p w14:paraId="61B856F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30</w:t>
      </w:r>
      <w:r>
        <w:rPr>
          <w:rFonts w:hint="default" w:ascii="Times New Roman" w:hAnsi="Times New Roman" w:cs="Times New Roman" w:eastAsiaTheme="minorEastAsia"/>
          <w:color w:val="auto"/>
          <w:kern w:val="0"/>
          <w:sz w:val="24"/>
          <w:szCs w:val="24"/>
          <w:highlight w:val="none"/>
        </w:rPr>
        <w:t>)《环境影响评价技术导则 大气环境》（HJ2.2-2018）；</w:t>
      </w:r>
    </w:p>
    <w:p w14:paraId="4AD5B72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31</w:t>
      </w:r>
      <w:r>
        <w:rPr>
          <w:rFonts w:hint="default" w:ascii="Times New Roman" w:hAnsi="Times New Roman" w:cs="Times New Roman" w:eastAsiaTheme="minorEastAsia"/>
          <w:color w:val="auto"/>
          <w:kern w:val="0"/>
          <w:sz w:val="24"/>
          <w:szCs w:val="24"/>
          <w:highlight w:val="none"/>
        </w:rPr>
        <w:t>)《建设项目环境风险评价技术导则》（HJ169-2018）；</w:t>
      </w:r>
    </w:p>
    <w:p w14:paraId="0AEBAED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32</w:t>
      </w:r>
      <w:r>
        <w:rPr>
          <w:rFonts w:hint="default" w:ascii="Times New Roman" w:hAnsi="Times New Roman" w:cs="Times New Roman" w:eastAsiaTheme="minorEastAsia"/>
          <w:color w:val="auto"/>
          <w:kern w:val="0"/>
          <w:sz w:val="24"/>
          <w:szCs w:val="24"/>
          <w:highlight w:val="none"/>
        </w:rPr>
        <w:t>)《环境应急资源调查指南(试行)》</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环办应急(2019)17号</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w:t>
      </w:r>
    </w:p>
    <w:p w14:paraId="133FDFA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33</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突发环境事件风险分级方法》（HJ941-2018）；</w:t>
      </w:r>
    </w:p>
    <w:p w14:paraId="212F9085">
      <w:pPr>
        <w:keepNext w:val="0"/>
        <w:keepLines w:val="0"/>
        <w:widowControl/>
        <w:suppressLineNumbers w:val="0"/>
        <w:spacing w:line="500" w:lineRule="exact"/>
        <w:ind w:firstLine="480" w:firstLineChars="200"/>
        <w:jc w:val="left"/>
        <w:rPr>
          <w:rFonts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lang w:val="en-US" w:eastAsia="zh-CN" w:bidi="ar"/>
        </w:rPr>
        <w:t>(</w:t>
      </w:r>
      <w:r>
        <w:rPr>
          <w:rFonts w:hint="eastAsia" w:ascii="Times New Roman" w:hAnsi="Times New Roman" w:cs="Times New Roman" w:eastAsiaTheme="minorEastAsia"/>
          <w:color w:val="auto"/>
          <w:kern w:val="0"/>
          <w:sz w:val="24"/>
          <w:szCs w:val="24"/>
          <w:highlight w:val="none"/>
          <w:lang w:val="en-US" w:eastAsia="zh-CN" w:bidi="ar"/>
        </w:rPr>
        <w:t>34</w:t>
      </w:r>
      <w:r>
        <w:rPr>
          <w:rFonts w:hint="default" w:ascii="Times New Roman" w:hAnsi="Times New Roman" w:cs="Times New Roman" w:eastAsiaTheme="minorEastAsia"/>
          <w:color w:val="auto"/>
          <w:kern w:val="0"/>
          <w:sz w:val="24"/>
          <w:szCs w:val="24"/>
          <w:highlight w:val="none"/>
          <w:lang w:val="en-US" w:eastAsia="zh-CN" w:bidi="ar"/>
        </w:rPr>
        <w:t>)</w:t>
      </w:r>
      <w:r>
        <w:rPr>
          <w:rFonts w:hint="default" w:ascii="Times New Roman" w:hAnsi="Times New Roman" w:cs="Times New Roman" w:eastAsiaTheme="minorEastAsia"/>
          <w:color w:val="auto"/>
          <w:kern w:val="0"/>
          <w:sz w:val="24"/>
          <w:szCs w:val="24"/>
          <w:highlight w:val="none"/>
        </w:rPr>
        <w:t>《工业</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厂界环境噪声排放标准》（GB12348-2008）；</w:t>
      </w:r>
    </w:p>
    <w:p w14:paraId="2F3F8574">
      <w:pPr>
        <w:keepNext w:val="0"/>
        <w:keepLines w:val="0"/>
        <w:pageBreakBefore w:val="0"/>
        <w:widowControl/>
        <w:numPr>
          <w:ilvl w:val="-1"/>
          <w:numId w:val="0"/>
        </w:numPr>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lang w:val="en-US" w:eastAsia="zh-CN" w:bidi="ar"/>
        </w:rPr>
        <w:t>(</w:t>
      </w:r>
      <w:r>
        <w:rPr>
          <w:rFonts w:hint="eastAsia" w:ascii="Times New Roman" w:hAnsi="Times New Roman" w:cs="Times New Roman" w:eastAsiaTheme="minorEastAsia"/>
          <w:color w:val="auto"/>
          <w:kern w:val="0"/>
          <w:sz w:val="24"/>
          <w:szCs w:val="24"/>
          <w:highlight w:val="none"/>
          <w:lang w:val="en-US" w:eastAsia="zh-CN" w:bidi="ar"/>
        </w:rPr>
        <w:t>35</w:t>
      </w:r>
      <w:r>
        <w:rPr>
          <w:rFonts w:hint="default" w:ascii="Times New Roman" w:hAnsi="Times New Roman" w:cs="Times New Roman" w:eastAsiaTheme="minorEastAsia"/>
          <w:color w:val="auto"/>
          <w:kern w:val="0"/>
          <w:sz w:val="24"/>
          <w:szCs w:val="24"/>
          <w:highlight w:val="none"/>
          <w:lang w:val="en-US" w:eastAsia="zh-CN" w:bidi="ar"/>
        </w:rPr>
        <w:t>)</w:t>
      </w:r>
      <w:r>
        <w:rPr>
          <w:rFonts w:hint="default" w:ascii="Times New Roman" w:hAnsi="Times New Roman" w:cs="Times New Roman" w:eastAsiaTheme="minorEastAsia"/>
          <w:color w:val="auto"/>
          <w:kern w:val="0"/>
          <w:sz w:val="24"/>
          <w:szCs w:val="24"/>
          <w:highlight w:val="none"/>
          <w:lang w:bidi="ar"/>
        </w:rPr>
        <w:t>《企事业单位和</w:t>
      </w:r>
      <w:r>
        <w:rPr>
          <w:rFonts w:hint="default" w:ascii="Times New Roman" w:hAnsi="Times New Roman" w:cs="Times New Roman" w:eastAsiaTheme="minorEastAsia"/>
          <w:color w:val="auto"/>
          <w:kern w:val="0"/>
          <w:sz w:val="24"/>
          <w:szCs w:val="24"/>
          <w:highlight w:val="none"/>
        </w:rPr>
        <w:t>工业园区突发环境事件应急预案编制导则》（DB32/T 3795-2020）</w:t>
      </w:r>
      <w:r>
        <w:rPr>
          <w:rFonts w:hint="eastAsia" w:ascii="Times New Roman" w:hAnsi="Times New Roman" w:cs="Times New Roman" w:eastAsiaTheme="minorEastAsia"/>
          <w:color w:val="auto"/>
          <w:kern w:val="0"/>
          <w:sz w:val="24"/>
          <w:szCs w:val="24"/>
          <w:highlight w:val="none"/>
          <w:lang w:eastAsia="zh-CN"/>
        </w:rPr>
        <w:t>。</w:t>
      </w:r>
    </w:p>
    <w:p w14:paraId="39BE0CF8">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54" w:name="_Toc27594"/>
      <w:bookmarkStart w:id="55" w:name="_Toc14111"/>
      <w:bookmarkStart w:id="56" w:name="_Toc10595"/>
      <w:bookmarkStart w:id="57" w:name="_Toc10185"/>
      <w:bookmarkStart w:id="58" w:name="_Toc4594"/>
      <w:bookmarkStart w:id="59" w:name="_Toc26504"/>
      <w:r>
        <w:rPr>
          <w:rFonts w:hint="default" w:ascii="Times New Roman" w:hAnsi="Times New Roman" w:cs="Times New Roman" w:eastAsiaTheme="minorEastAsia"/>
          <w:color w:val="auto"/>
          <w:sz w:val="24"/>
          <w:szCs w:val="24"/>
          <w:highlight w:val="none"/>
        </w:rPr>
        <w:t>1.2.3 基础资料</w:t>
      </w:r>
      <w:bookmarkEnd w:id="41"/>
      <w:bookmarkEnd w:id="42"/>
      <w:bookmarkEnd w:id="43"/>
      <w:bookmarkEnd w:id="54"/>
      <w:bookmarkEnd w:id="55"/>
      <w:bookmarkEnd w:id="56"/>
      <w:bookmarkEnd w:id="57"/>
      <w:bookmarkEnd w:id="58"/>
      <w:bookmarkEnd w:id="59"/>
    </w:p>
    <w:bookmarkEnd w:id="44"/>
    <w:bookmarkEnd w:id="45"/>
    <w:p w14:paraId="05DC02F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bookmarkStart w:id="60" w:name="_Toc496886990"/>
      <w:r>
        <w:rPr>
          <w:rFonts w:hint="default" w:ascii="Times New Roman" w:hAnsi="Times New Roman" w:cs="Times New Roman" w:eastAsiaTheme="minorEastAsia"/>
          <w:color w:val="auto"/>
          <w:kern w:val="0"/>
          <w:sz w:val="24"/>
          <w:szCs w:val="24"/>
          <w:highlight w:val="none"/>
        </w:rPr>
        <w:t>(1)《</w:t>
      </w:r>
      <w:r>
        <w:rPr>
          <w:rFonts w:hint="default" w:ascii="Times New Roman" w:hAnsi="Times New Roman" w:cs="Times New Roman" w:eastAsiaTheme="minorEastAsia"/>
          <w:color w:val="auto"/>
          <w:kern w:val="0"/>
          <w:sz w:val="24"/>
          <w:szCs w:val="24"/>
          <w:highlight w:val="none"/>
          <w:lang w:val="en-US" w:eastAsia="zh-CN"/>
        </w:rPr>
        <w:fldChar w:fldCharType="begin"/>
      </w:r>
      <w:r>
        <w:rPr>
          <w:rFonts w:hint="default" w:ascii="Times New Roman" w:hAnsi="Times New Roman" w:cs="Times New Roman" w:eastAsiaTheme="minorEastAsia"/>
          <w:color w:val="auto"/>
          <w:kern w:val="0"/>
          <w:sz w:val="24"/>
          <w:szCs w:val="24"/>
          <w:highlight w:val="none"/>
          <w:lang w:val="en-US" w:eastAsia="zh-CN"/>
        </w:rPr>
        <w:instrText xml:space="preserve"> HYPERLINK "javascript:zxtb('XZXKTYPE_A','%E6%9A%82%E5%AD%98','card1','fc5c1215140948f896b26e64c489f794','readonly')" </w:instrText>
      </w:r>
      <w:r>
        <w:rPr>
          <w:rFonts w:hint="default" w:ascii="Times New Roman" w:hAnsi="Times New Roman" w:cs="Times New Roman" w:eastAsiaTheme="minorEastAsia"/>
          <w:color w:val="auto"/>
          <w:kern w:val="0"/>
          <w:sz w:val="24"/>
          <w:szCs w:val="24"/>
          <w:highlight w:val="none"/>
          <w:lang w:val="en-US" w:eastAsia="zh-CN"/>
        </w:rPr>
        <w:fldChar w:fldCharType="separate"/>
      </w:r>
      <w:r>
        <w:rPr>
          <w:rFonts w:hint="eastAsia" w:ascii="Times New Roman" w:hAnsi="Times New Roman" w:cs="Times New Roman" w:eastAsiaTheme="minorEastAsia"/>
          <w:color w:val="auto"/>
          <w:kern w:val="0"/>
          <w:sz w:val="24"/>
          <w:szCs w:val="24"/>
          <w:highlight w:val="none"/>
          <w:lang w:val="en-US" w:eastAsia="zh-CN"/>
        </w:rPr>
        <w:t>南通奥庭建材有限公司</w:t>
      </w:r>
      <w:r>
        <w:rPr>
          <w:rFonts w:hint="eastAsia" w:ascii="Times New Roman" w:hAnsi="Times New Roman" w:cs="Times New Roman" w:eastAsiaTheme="minorEastAsia"/>
          <w:color w:val="auto"/>
          <w:kern w:val="0"/>
          <w:sz w:val="24"/>
          <w:szCs w:val="24"/>
          <w:highlight w:val="none"/>
          <w:lang w:val="en-US" w:eastAsia="zh-CN"/>
        </w:rPr>
        <w:fldChar w:fldCharType="end"/>
      </w:r>
      <w:r>
        <w:rPr>
          <w:rFonts w:hint="eastAsia" w:ascii="Times New Roman" w:hAnsi="Times New Roman" w:cs="Times New Roman" w:eastAsiaTheme="minorEastAsia"/>
          <w:color w:val="auto"/>
          <w:kern w:val="0"/>
          <w:sz w:val="24"/>
          <w:szCs w:val="24"/>
          <w:highlight w:val="none"/>
          <w:lang w:val="en-US" w:eastAsia="zh-CN"/>
        </w:rPr>
        <w:t>PVC景观材料及制品生产</w:t>
      </w:r>
      <w:r>
        <w:rPr>
          <w:rFonts w:hint="default" w:ascii="Times New Roman" w:hAnsi="Times New Roman" w:cs="Times New Roman" w:eastAsiaTheme="minorEastAsia"/>
          <w:color w:val="auto"/>
          <w:kern w:val="0"/>
          <w:sz w:val="24"/>
          <w:szCs w:val="24"/>
          <w:highlight w:val="none"/>
          <w:lang w:val="en-US" w:eastAsia="zh-CN"/>
        </w:rPr>
        <w:t>项目环境影响报告表</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lang w:val="en-US" w:eastAsia="zh-CN"/>
        </w:rPr>
        <w:t>20</w:t>
      </w:r>
      <w:r>
        <w:rPr>
          <w:rFonts w:hint="eastAsia" w:ascii="Times New Roman" w:hAnsi="Times New Roman" w:cs="Times New Roman" w:eastAsiaTheme="minorEastAsia"/>
          <w:color w:val="auto"/>
          <w:kern w:val="0"/>
          <w:sz w:val="24"/>
          <w:szCs w:val="24"/>
          <w:highlight w:val="none"/>
          <w:lang w:val="en-US" w:eastAsia="zh-CN"/>
        </w:rPr>
        <w:t>19</w:t>
      </w:r>
      <w:r>
        <w:rPr>
          <w:rFonts w:hint="default" w:ascii="Times New Roman" w:hAnsi="Times New Roman" w:cs="Times New Roman" w:eastAsiaTheme="minorEastAsia"/>
          <w:color w:val="auto"/>
          <w:kern w:val="0"/>
          <w:sz w:val="24"/>
          <w:szCs w:val="24"/>
          <w:highlight w:val="none"/>
          <w:lang w:val="en-US" w:eastAsia="zh-CN"/>
        </w:rPr>
        <w:t>年</w:t>
      </w:r>
      <w:r>
        <w:rPr>
          <w:rFonts w:hint="eastAsia" w:ascii="Times New Roman" w:hAnsi="Times New Roman" w:cs="Times New Roman" w:eastAsiaTheme="minorEastAsia"/>
          <w:color w:val="auto"/>
          <w:kern w:val="0"/>
          <w:sz w:val="24"/>
          <w:szCs w:val="24"/>
          <w:highlight w:val="none"/>
          <w:lang w:val="en-US" w:eastAsia="zh-CN"/>
        </w:rPr>
        <w:t>8</w:t>
      </w:r>
      <w:r>
        <w:rPr>
          <w:rFonts w:hint="default" w:ascii="Times New Roman" w:hAnsi="Times New Roman" w:cs="Times New Roman" w:eastAsiaTheme="minorEastAsia"/>
          <w:color w:val="auto"/>
          <w:kern w:val="0"/>
          <w:sz w:val="24"/>
          <w:szCs w:val="24"/>
          <w:highlight w:val="none"/>
          <w:lang w:val="en-US" w:eastAsia="zh-CN"/>
        </w:rPr>
        <w:t>月</w:t>
      </w:r>
      <w:r>
        <w:rPr>
          <w:rFonts w:hint="default" w:ascii="Times New Roman" w:hAnsi="Times New Roman" w:cs="Times New Roman" w:eastAsiaTheme="minorEastAsia"/>
          <w:color w:val="auto"/>
          <w:kern w:val="0"/>
          <w:sz w:val="24"/>
          <w:szCs w:val="24"/>
          <w:highlight w:val="none"/>
        </w:rPr>
        <w:t>）；</w:t>
      </w:r>
    </w:p>
    <w:p w14:paraId="0EA66711">
      <w:pPr>
        <w:keepNext w:val="0"/>
        <w:keepLines w:val="0"/>
        <w:widowControl/>
        <w:spacing w:line="500" w:lineRule="exact"/>
        <w:ind w:firstLine="480"/>
        <w:rPr>
          <w:rFonts w:hint="eastAsia"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w:t>
      </w:r>
      <w:r>
        <w:rPr>
          <w:rFonts w:hint="default" w:ascii="Times New Roman" w:hAnsi="Times New Roman" w:cs="Times New Roman" w:eastAsiaTheme="minorEastAsia"/>
          <w:color w:val="FF0000"/>
          <w:kern w:val="0"/>
          <w:sz w:val="24"/>
          <w:szCs w:val="24"/>
          <w:lang w:val="en-US" w:eastAsia="zh-CN"/>
        </w:rPr>
        <w:t>《关于</w:t>
      </w:r>
      <w:r>
        <w:rPr>
          <w:rFonts w:hint="default" w:ascii="Times New Roman" w:hAnsi="Times New Roman" w:cs="Times New Roman" w:eastAsiaTheme="minorEastAsia"/>
          <w:color w:val="FF0000"/>
          <w:kern w:val="0"/>
          <w:sz w:val="24"/>
          <w:szCs w:val="24"/>
          <w:highlight w:val="none"/>
          <w:lang w:val="en-US" w:eastAsia="zh-CN"/>
        </w:rPr>
        <w:fldChar w:fldCharType="begin"/>
      </w:r>
      <w:r>
        <w:rPr>
          <w:rFonts w:hint="default" w:ascii="Times New Roman" w:hAnsi="Times New Roman" w:cs="Times New Roman" w:eastAsiaTheme="minorEastAsia"/>
          <w:color w:val="FF0000"/>
          <w:kern w:val="0"/>
          <w:sz w:val="24"/>
          <w:szCs w:val="24"/>
          <w:highlight w:val="none"/>
          <w:lang w:val="en-US" w:eastAsia="zh-CN"/>
        </w:rPr>
        <w:instrText xml:space="preserve"> HYPERLINK "javascript:zxtb('XZXKTYPE_A','%E6%9A%82%E5%AD%98','card1','fc5c1215140948f896b26e64c489f794','readonly')" </w:instrText>
      </w:r>
      <w:r>
        <w:rPr>
          <w:rFonts w:hint="default" w:ascii="Times New Roman" w:hAnsi="Times New Roman" w:cs="Times New Roman" w:eastAsiaTheme="minorEastAsia"/>
          <w:color w:val="FF0000"/>
          <w:kern w:val="0"/>
          <w:sz w:val="24"/>
          <w:szCs w:val="24"/>
          <w:highlight w:val="none"/>
          <w:lang w:val="en-US" w:eastAsia="zh-CN"/>
        </w:rPr>
        <w:fldChar w:fldCharType="separate"/>
      </w:r>
      <w:r>
        <w:rPr>
          <w:rFonts w:hint="eastAsia" w:ascii="Times New Roman" w:hAnsi="Times New Roman" w:cs="Times New Roman" w:eastAsiaTheme="minorEastAsia"/>
          <w:color w:val="FF0000"/>
          <w:kern w:val="0"/>
          <w:sz w:val="24"/>
          <w:szCs w:val="24"/>
          <w:highlight w:val="none"/>
          <w:lang w:val="en-US" w:eastAsia="zh-CN"/>
        </w:rPr>
        <w:t>南通奥庭建材有限公司</w:t>
      </w:r>
      <w:r>
        <w:rPr>
          <w:rFonts w:hint="eastAsia" w:ascii="Times New Roman" w:hAnsi="Times New Roman" w:cs="Times New Roman" w:eastAsiaTheme="minorEastAsia"/>
          <w:color w:val="FF0000"/>
          <w:kern w:val="0"/>
          <w:sz w:val="24"/>
          <w:szCs w:val="24"/>
          <w:highlight w:val="none"/>
          <w:lang w:val="en-US" w:eastAsia="zh-CN"/>
        </w:rPr>
        <w:fldChar w:fldCharType="end"/>
      </w:r>
      <w:r>
        <w:rPr>
          <w:rFonts w:hint="eastAsia" w:ascii="Times New Roman" w:hAnsi="Times New Roman" w:cs="Times New Roman" w:eastAsiaTheme="minorEastAsia"/>
          <w:color w:val="auto"/>
          <w:kern w:val="0"/>
          <w:sz w:val="24"/>
          <w:szCs w:val="24"/>
          <w:highlight w:val="none"/>
          <w:lang w:val="en-US" w:eastAsia="zh-CN"/>
        </w:rPr>
        <w:t>PVC景观材料及制品生产</w:t>
      </w:r>
      <w:r>
        <w:rPr>
          <w:rFonts w:hint="default" w:ascii="Times New Roman" w:hAnsi="Times New Roman" w:cs="Times New Roman" w:eastAsiaTheme="minorEastAsia"/>
          <w:color w:val="auto"/>
          <w:kern w:val="0"/>
          <w:sz w:val="24"/>
          <w:szCs w:val="24"/>
          <w:highlight w:val="none"/>
          <w:lang w:val="en-US" w:eastAsia="zh-CN"/>
        </w:rPr>
        <w:t>项目环境影响报告表</w:t>
      </w:r>
      <w:r>
        <w:rPr>
          <w:rFonts w:hint="default" w:ascii="Times New Roman" w:hAnsi="Times New Roman" w:cs="Times New Roman" w:eastAsiaTheme="minorEastAsia"/>
          <w:color w:val="FF0000"/>
          <w:kern w:val="0"/>
          <w:sz w:val="24"/>
          <w:szCs w:val="24"/>
          <w:lang w:val="en-US" w:eastAsia="zh-CN"/>
        </w:rPr>
        <w:t>》的批复</w:t>
      </w:r>
      <w:r>
        <w:rPr>
          <w:rFonts w:hint="eastAsia" w:ascii="Times New Roman" w:hAnsi="Times New Roman" w:cs="Times New Roman" w:eastAsiaTheme="minorEastAsia"/>
          <w:color w:val="FF0000"/>
          <w:kern w:val="0"/>
          <w:sz w:val="24"/>
          <w:szCs w:val="24"/>
          <w:lang w:val="en-US" w:eastAsia="zh-CN"/>
        </w:rPr>
        <w:t>（海行审〔2019〕922号，2019年12月19日）</w:t>
      </w:r>
      <w:r>
        <w:rPr>
          <w:rFonts w:hint="eastAsia" w:ascii="Times New Roman" w:hAnsi="Times New Roman" w:cs="Times New Roman" w:eastAsiaTheme="minorEastAsia"/>
          <w:kern w:val="0"/>
          <w:sz w:val="24"/>
          <w:szCs w:val="24"/>
          <w:lang w:val="en-US" w:eastAsia="zh-CN"/>
        </w:rPr>
        <w:t>；</w:t>
      </w:r>
    </w:p>
    <w:p w14:paraId="0007EAF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)其他相关资料。</w:t>
      </w:r>
    </w:p>
    <w:p w14:paraId="16E1A21F">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1" w:name="_Toc17150"/>
      <w:bookmarkStart w:id="62" w:name="_Toc815"/>
      <w:bookmarkStart w:id="63" w:name="_Toc25184"/>
      <w:bookmarkStart w:id="64" w:name="_Toc23732"/>
      <w:bookmarkStart w:id="65" w:name="_Toc17347"/>
      <w:bookmarkStart w:id="66" w:name="_Toc24752"/>
      <w:r>
        <w:rPr>
          <w:rFonts w:hint="default" w:ascii="Times New Roman" w:hAnsi="Times New Roman" w:cs="Times New Roman" w:eastAsiaTheme="minorEastAsia"/>
          <w:color w:val="auto"/>
          <w:sz w:val="24"/>
          <w:szCs w:val="24"/>
          <w:highlight w:val="none"/>
        </w:rPr>
        <w:t>1.3 适用范围</w:t>
      </w:r>
      <w:bookmarkEnd w:id="60"/>
      <w:bookmarkEnd w:id="61"/>
      <w:bookmarkEnd w:id="62"/>
      <w:bookmarkEnd w:id="63"/>
      <w:bookmarkEnd w:id="64"/>
      <w:bookmarkEnd w:id="65"/>
      <w:bookmarkEnd w:id="66"/>
    </w:p>
    <w:p w14:paraId="06BAEA2F">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67" w:name="_Toc276118342"/>
      <w:bookmarkStart w:id="68" w:name="_Toc12186"/>
      <w:bookmarkStart w:id="69" w:name="_Toc496886991"/>
      <w:bookmarkStart w:id="70" w:name="_Toc17765"/>
      <w:bookmarkStart w:id="71" w:name="_Toc6001"/>
      <w:bookmarkStart w:id="72" w:name="_Toc14698"/>
      <w:bookmarkStart w:id="73" w:name="_Toc9016"/>
      <w:bookmarkStart w:id="74" w:name="_Toc26111"/>
      <w:bookmarkStart w:id="75" w:name="_Toc275938109"/>
      <w:r>
        <w:rPr>
          <w:rFonts w:hint="default" w:ascii="Times New Roman" w:hAnsi="Times New Roman" w:cs="Times New Roman" w:eastAsiaTheme="minorEastAsia"/>
          <w:color w:val="auto"/>
          <w:sz w:val="24"/>
          <w:szCs w:val="24"/>
          <w:highlight w:val="none"/>
        </w:rPr>
        <w:t>1.3.1 适用范围</w:t>
      </w:r>
      <w:bookmarkEnd w:id="67"/>
      <w:bookmarkEnd w:id="68"/>
      <w:bookmarkEnd w:id="69"/>
      <w:bookmarkEnd w:id="70"/>
      <w:bookmarkEnd w:id="71"/>
      <w:bookmarkEnd w:id="72"/>
      <w:bookmarkEnd w:id="73"/>
      <w:bookmarkEnd w:id="74"/>
      <w:bookmarkEnd w:id="75"/>
    </w:p>
    <w:p w14:paraId="5A23840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eastAsia="zh-CN"/>
        </w:rPr>
      </w:pPr>
      <w:bookmarkStart w:id="76" w:name="_Toc276118343"/>
      <w:bookmarkStart w:id="77" w:name="_Toc275938110"/>
      <w:r>
        <w:rPr>
          <w:rFonts w:hint="default" w:ascii="Times New Roman" w:hAnsi="Times New Roman" w:cs="Times New Roman" w:eastAsiaTheme="minorEastAsia"/>
          <w:color w:val="auto"/>
          <w:sz w:val="24"/>
          <w:szCs w:val="24"/>
          <w:highlight w:val="none"/>
        </w:rPr>
        <w:t>本预案适用于</w:t>
      </w:r>
      <w:r>
        <w:rPr>
          <w:rFonts w:hint="default" w:ascii="Times New Roman" w:hAnsi="Times New Roman" w:cs="Times New Roman" w:eastAsiaTheme="minorEastAsia"/>
          <w:color w:val="auto"/>
          <w:sz w:val="24"/>
          <w:szCs w:val="24"/>
          <w:highlight w:val="none"/>
          <w:lang w:val="en-US" w:eastAsia="zh-CN"/>
        </w:rPr>
        <w:t>位于</w:t>
      </w:r>
      <w:r>
        <w:rPr>
          <w:rFonts w:hint="eastAsia" w:ascii="Times New Roman" w:hAnsi="Times New Roman" w:cs="Times New Roman" w:eastAsiaTheme="minorEastAsia"/>
          <w:color w:val="auto"/>
          <w:kern w:val="0"/>
          <w:sz w:val="24"/>
          <w:szCs w:val="24"/>
          <w:highlight w:val="none"/>
          <w:lang w:val="en-US" w:eastAsia="zh-CN"/>
        </w:rPr>
        <w:t>海安市大公镇王院村19组5幢</w:t>
      </w:r>
      <w:r>
        <w:rPr>
          <w:rFonts w:hint="default" w:ascii="Times New Roman" w:hAnsi="Times New Roman" w:cs="Times New Roman" w:eastAsiaTheme="minorEastAsia"/>
          <w:color w:val="auto"/>
          <w:sz w:val="24"/>
          <w:szCs w:val="24"/>
          <w:highlight w:val="none"/>
          <w:lang w:val="en-US" w:eastAsia="zh-CN"/>
        </w:rPr>
        <w:t>的</w:t>
      </w:r>
      <w:r>
        <w:rPr>
          <w:rFonts w:hint="default" w:ascii="Times New Roman" w:hAnsi="Times New Roman" w:cs="Times New Roman" w:eastAsiaTheme="minorEastAsia"/>
          <w:color w:val="auto"/>
          <w:kern w:val="0"/>
          <w:sz w:val="24"/>
          <w:szCs w:val="24"/>
          <w:highlight w:val="none"/>
          <w:lang w:val="en-US" w:eastAsia="zh-CN"/>
        </w:rPr>
        <w:fldChar w:fldCharType="begin"/>
      </w:r>
      <w:r>
        <w:rPr>
          <w:rFonts w:hint="default" w:ascii="Times New Roman" w:hAnsi="Times New Roman" w:cs="Times New Roman" w:eastAsiaTheme="minorEastAsia"/>
          <w:color w:val="auto"/>
          <w:kern w:val="0"/>
          <w:sz w:val="24"/>
          <w:szCs w:val="24"/>
          <w:highlight w:val="none"/>
          <w:lang w:val="en-US" w:eastAsia="zh-CN"/>
        </w:rPr>
        <w:instrText xml:space="preserve"> HYPERLINK "javascript:zxtb('XZXKTYPE_A','%E6%9A%82%E5%AD%98','card1','fc5c1215140948f896b26e64c489f794','readonly')" </w:instrText>
      </w:r>
      <w:r>
        <w:rPr>
          <w:rFonts w:hint="default" w:ascii="Times New Roman" w:hAnsi="Times New Roman" w:cs="Times New Roman" w:eastAsiaTheme="minorEastAsia"/>
          <w:color w:val="auto"/>
          <w:kern w:val="0"/>
          <w:sz w:val="24"/>
          <w:szCs w:val="24"/>
          <w:highlight w:val="none"/>
          <w:lang w:val="en-US" w:eastAsia="zh-CN"/>
        </w:rPr>
        <w:fldChar w:fldCharType="separate"/>
      </w:r>
      <w:r>
        <w:rPr>
          <w:rFonts w:hint="eastAsia" w:ascii="Times New Roman" w:hAnsi="Times New Roman" w:cs="Times New Roman" w:eastAsiaTheme="minorEastAsia"/>
          <w:color w:val="auto"/>
          <w:kern w:val="0"/>
          <w:sz w:val="24"/>
          <w:szCs w:val="24"/>
          <w:highlight w:val="none"/>
          <w:lang w:val="en-US" w:eastAsia="zh-CN"/>
        </w:rPr>
        <w:t>南通奥庭建材有限公司</w:t>
      </w:r>
      <w:r>
        <w:rPr>
          <w:rFonts w:hint="eastAsia" w:ascii="Times New Roman" w:hAnsi="Times New Roman" w:cs="Times New Roman" w:eastAsiaTheme="minorEastAsia"/>
          <w:color w:val="auto"/>
          <w:kern w:val="0"/>
          <w:sz w:val="24"/>
          <w:szCs w:val="24"/>
          <w:highlight w:val="none"/>
          <w:lang w:val="en-US" w:eastAsia="zh-CN"/>
        </w:rPr>
        <w:fldChar w:fldCharType="end"/>
      </w:r>
      <w:r>
        <w:rPr>
          <w:rFonts w:hint="default" w:ascii="Times New Roman" w:hAnsi="Times New Roman" w:cs="Times New Roman" w:eastAsiaTheme="minorEastAsia"/>
          <w:color w:val="auto"/>
          <w:sz w:val="24"/>
          <w:szCs w:val="24"/>
          <w:highlight w:val="none"/>
        </w:rPr>
        <w:t>的突发环境事件的预防、预警和应急处置</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包括</w:t>
      </w:r>
      <w:r>
        <w:rPr>
          <w:rFonts w:hint="default" w:ascii="Times New Roman" w:hAnsi="Times New Roman" w:cs="Times New Roman" w:eastAsiaTheme="minorEastAsia"/>
          <w:color w:val="auto"/>
          <w:sz w:val="24"/>
          <w:szCs w:val="24"/>
          <w:highlight w:val="none"/>
        </w:rPr>
        <w:t>生产区域、公司区所在地周边环境敏感区域和上述区域内人员的在突发环境事件时的应急处置和应急救援。</w:t>
      </w:r>
      <w:r>
        <w:rPr>
          <w:rFonts w:hint="default" w:ascii="Times New Roman" w:hAnsi="Times New Roman" w:cs="Times New Roman" w:eastAsiaTheme="minorEastAsia"/>
          <w:color w:val="auto"/>
          <w:sz w:val="24"/>
          <w:szCs w:val="24"/>
          <w:highlight w:val="none"/>
          <w:lang w:val="en-US" w:eastAsia="zh-CN"/>
        </w:rPr>
        <w:t>具体突发环境事件如下：</w:t>
      </w:r>
    </w:p>
    <w:p w14:paraId="4FCC22C9">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rPr>
      </w:pPr>
      <w:bookmarkStart w:id="78" w:name="_Toc17409"/>
      <w:bookmarkStart w:id="79" w:name="_Toc496886992"/>
      <w:bookmarkStart w:id="80" w:name="_Toc4601"/>
      <w:bookmarkStart w:id="81" w:name="_Hlk5886427"/>
      <w:r>
        <w:rPr>
          <w:rFonts w:hint="default" w:ascii="Times New Roman" w:hAnsi="Times New Roman" w:cs="Times New Roman" w:eastAsiaTheme="minorEastAsia"/>
          <w:color w:val="auto"/>
          <w:sz w:val="24"/>
          <w:szCs w:val="24"/>
          <w:highlight w:val="none"/>
        </w:rPr>
        <w:t>（1）在公司内不可抗力造成的废气、废水、固废(包括危险废物)、</w:t>
      </w:r>
      <w:r>
        <w:rPr>
          <w:rFonts w:hint="default" w:ascii="Times New Roman" w:hAnsi="Times New Roman" w:cs="Times New Roman" w:eastAsiaTheme="minorEastAsia"/>
          <w:color w:val="auto"/>
          <w:sz w:val="24"/>
          <w:szCs w:val="24"/>
          <w:highlight w:val="none"/>
          <w:lang w:val="en-US" w:eastAsia="zh-CN"/>
        </w:rPr>
        <w:t>危险化学品、有毒化学品</w:t>
      </w:r>
      <w:r>
        <w:rPr>
          <w:rFonts w:hint="default" w:ascii="Times New Roman" w:hAnsi="Times New Roman" w:cs="Times New Roman" w:eastAsiaTheme="minorEastAsia"/>
          <w:color w:val="auto"/>
          <w:sz w:val="24"/>
          <w:szCs w:val="24"/>
          <w:highlight w:val="none"/>
        </w:rPr>
        <w:t>等环境污染破坏事件</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 xml:space="preserve"> </w:t>
      </w:r>
    </w:p>
    <w:p w14:paraId="6CA1D949">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）在生产、经营、贮存、运输、使用和处置过程中因</w:t>
      </w:r>
      <w:r>
        <w:rPr>
          <w:rFonts w:hint="eastAsia" w:ascii="Times New Roman" w:hAnsi="Times New Roman" w:cs="Times New Roman" w:eastAsiaTheme="minorEastAsia"/>
          <w:color w:val="auto"/>
          <w:sz w:val="24"/>
          <w:szCs w:val="24"/>
          <w:highlight w:val="none"/>
          <w:lang w:val="en-US" w:eastAsia="zh-CN"/>
        </w:rPr>
        <w:t>化学物质</w:t>
      </w:r>
      <w:r>
        <w:rPr>
          <w:rFonts w:hint="default" w:ascii="Times New Roman" w:hAnsi="Times New Roman" w:cs="Times New Roman" w:eastAsiaTheme="minorEastAsia"/>
          <w:color w:val="auto"/>
          <w:sz w:val="24"/>
          <w:szCs w:val="24"/>
          <w:highlight w:val="none"/>
        </w:rPr>
        <w:t>的泄漏、扩散所造成的突发性环境污染事件</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 xml:space="preserve"> </w:t>
      </w:r>
    </w:p>
    <w:p w14:paraId="1720D2C2">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）企业生产过程中因生产</w:t>
      </w:r>
      <w:r>
        <w:rPr>
          <w:rFonts w:hint="eastAsia" w:ascii="Times New Roman" w:hAnsi="Times New Roman" w:cs="Times New Roman" w:eastAsiaTheme="minorEastAsia"/>
          <w:color w:val="auto"/>
          <w:sz w:val="24"/>
          <w:szCs w:val="24"/>
          <w:highlight w:val="none"/>
          <w:lang w:val="en-US" w:eastAsia="zh-CN"/>
        </w:rPr>
        <w:t>设备</w:t>
      </w:r>
      <w:r>
        <w:rPr>
          <w:rFonts w:hint="default" w:ascii="Times New Roman" w:hAnsi="Times New Roman" w:cs="Times New Roman" w:eastAsiaTheme="minorEastAsia"/>
          <w:color w:val="auto"/>
          <w:sz w:val="24"/>
          <w:szCs w:val="24"/>
          <w:highlight w:val="none"/>
        </w:rPr>
        <w:t>、污染防治设施等因素发生意外事故造成的突发性环境污染事故</w:t>
      </w:r>
      <w:r>
        <w:rPr>
          <w:rFonts w:hint="default" w:ascii="Times New Roman" w:hAnsi="Times New Roman" w:cs="Times New Roman" w:eastAsiaTheme="minorEastAsia"/>
          <w:color w:val="auto"/>
          <w:sz w:val="24"/>
          <w:szCs w:val="24"/>
          <w:highlight w:val="none"/>
          <w:lang w:eastAsia="zh-CN"/>
        </w:rPr>
        <w:t>；</w:t>
      </w:r>
    </w:p>
    <w:p w14:paraId="0C750BDF">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）因遭受自然灾害而造成的可能危及人体健康的环境污染事件</w:t>
      </w:r>
      <w:r>
        <w:rPr>
          <w:rFonts w:hint="default" w:ascii="Times New Roman" w:hAnsi="Times New Roman" w:cs="Times New Roman" w:eastAsiaTheme="minorEastAsia"/>
          <w:color w:val="auto"/>
          <w:sz w:val="24"/>
          <w:szCs w:val="24"/>
          <w:highlight w:val="none"/>
          <w:lang w:eastAsia="zh-CN"/>
        </w:rPr>
        <w:t>；</w:t>
      </w:r>
    </w:p>
    <w:p w14:paraId="0C192FE1">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rPr>
        <w:t>）其他突发性环境污染事件应急处理，不包括生物安全事故和辐</w:t>
      </w:r>
      <w:r>
        <w:rPr>
          <w:rFonts w:hint="default" w:ascii="Times New Roman" w:hAnsi="Times New Roman" w:cs="Times New Roman" w:eastAsiaTheme="minorEastAsia"/>
          <w:color w:val="auto"/>
          <w:sz w:val="24"/>
          <w:szCs w:val="24"/>
          <w:highlight w:val="none"/>
          <w:lang w:val="en-US" w:eastAsia="zh-CN"/>
        </w:rPr>
        <w:t>射安全事故风险。</w:t>
      </w:r>
      <w:r>
        <w:rPr>
          <w:rFonts w:hint="default" w:ascii="Times New Roman" w:hAnsi="Times New Roman" w:cs="Times New Roman" w:eastAsiaTheme="minorEastAsia"/>
          <w:color w:val="auto"/>
          <w:sz w:val="24"/>
          <w:szCs w:val="24"/>
          <w:highlight w:val="none"/>
        </w:rPr>
        <w:t xml:space="preserve"> </w:t>
      </w:r>
    </w:p>
    <w:p w14:paraId="3A680406">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82" w:name="_Toc19085"/>
      <w:bookmarkStart w:id="83" w:name="_Toc15127"/>
      <w:bookmarkStart w:id="84" w:name="_Toc9065"/>
      <w:bookmarkStart w:id="85" w:name="_Toc27382"/>
      <w:r>
        <w:rPr>
          <w:rFonts w:hint="default" w:ascii="Times New Roman" w:hAnsi="Times New Roman" w:cs="Times New Roman" w:eastAsiaTheme="minorEastAsia"/>
          <w:color w:val="auto"/>
          <w:sz w:val="24"/>
          <w:szCs w:val="24"/>
          <w:highlight w:val="none"/>
        </w:rPr>
        <w:t>1.3.2 突发环境事件类型、级别</w:t>
      </w:r>
      <w:bookmarkEnd w:id="76"/>
      <w:bookmarkEnd w:id="77"/>
      <w:bookmarkEnd w:id="78"/>
      <w:bookmarkEnd w:id="79"/>
      <w:bookmarkEnd w:id="80"/>
      <w:bookmarkEnd w:id="82"/>
      <w:bookmarkEnd w:id="83"/>
      <w:bookmarkEnd w:id="84"/>
      <w:bookmarkEnd w:id="85"/>
    </w:p>
    <w:p w14:paraId="47B7904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按照《国家突发环境事件应急预案》预案分类：根据环境事件的发生过程、性质和机理，突发环境事件主要分为三类：环境污染事件、生物物种安全环境事件和辐射环境污染事件。</w:t>
      </w:r>
    </w:p>
    <w:p w14:paraId="3E88130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按照环境突发污染事件的严重性和紧急程度，分为特别重大（Ⅰ级）、重大（Ⅱ级）、较大（Ⅲ级）、一般（Ⅳ级）四级。</w:t>
      </w:r>
    </w:p>
    <w:p w14:paraId="650FC86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1、特别重大环境事件（Ⅰ级）</w:t>
      </w:r>
    </w:p>
    <w:p w14:paraId="1C0273D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凡符合下列情形之一的，为特别重大环境事件：</w:t>
      </w:r>
    </w:p>
    <w:p w14:paraId="7722E2E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（1）因环境污染直接导致30人以上死亡或100人以上中毒或重伤的；</w:t>
      </w:r>
    </w:p>
    <w:p w14:paraId="090A268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（2）因环境污染疏散、转移人员5万人以上的；</w:t>
      </w:r>
    </w:p>
    <w:p w14:paraId="77C67F4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（3）因环境污染造成直接经济损失1亿元以上的；</w:t>
      </w:r>
    </w:p>
    <w:p w14:paraId="45AE101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（4）因环境污染造成区域生态功能丧失或该区域国家重点保护物种灭绝的；</w:t>
      </w:r>
    </w:p>
    <w:p w14:paraId="5C4C3F8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（5）因环境污染造成设区的市级以上城市集中式饮用水水源地取水中断的；</w:t>
      </w:r>
    </w:p>
    <w:p w14:paraId="6C78E78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（6）Ⅰ、Ⅱ类放射源丢失、被盗、失控并造成大范围严重辐射污染后果的；放射性同位素和射线装置失控导致3人以上急性死亡的；放射性物质泄漏，造成大范围辐射污染后果的；</w:t>
      </w:r>
    </w:p>
    <w:p w14:paraId="197EE9F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（7）造成重大跨国境影响的境内突发环境事件。</w:t>
      </w:r>
    </w:p>
    <w:p w14:paraId="3B482F0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2、重大环境事件（Ⅱ级）</w:t>
      </w:r>
    </w:p>
    <w:p w14:paraId="035E290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凡符合下列情形之一的，为重大环境事件：</w:t>
      </w:r>
    </w:p>
    <w:p w14:paraId="1474780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（1）因环境污染直接导致10人以上30人以下死亡或50人以上100人以下中毒或重伤的；</w:t>
      </w:r>
    </w:p>
    <w:p w14:paraId="1852CE9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（2）因环境污染疏散、转移人员1万人以上5万人以下的；</w:t>
      </w:r>
    </w:p>
    <w:p w14:paraId="633F55A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（3）因环境污染造成直接经济损失2000万元以上1亿元以下的；</w:t>
      </w:r>
    </w:p>
    <w:p w14:paraId="5984005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（4）因环境污染造成区域生态功能部分丧失或该区域国家重点保护野生动植物种群大批死亡的；</w:t>
      </w:r>
    </w:p>
    <w:p w14:paraId="150442F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（5）因环境污染造成县级城市集中式饮用水水源地取水中断的</w:t>
      </w:r>
      <w:r>
        <w:rPr>
          <w:rFonts w:hint="eastAsia" w:ascii="Times New Roman" w:hAnsi="Times New Roman" w:cs="Times New Roman" w:eastAsiaTheme="minorEastAsia"/>
          <w:color w:val="auto"/>
          <w:sz w:val="24"/>
          <w:szCs w:val="24"/>
          <w:highlight w:val="none"/>
          <w:lang w:eastAsia="zh-CN"/>
        </w:rPr>
        <w:t>；</w:t>
      </w:r>
    </w:p>
    <w:p w14:paraId="1A613B7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6</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eastAsia="zh-CN"/>
        </w:rPr>
        <w:t>Ⅰ、Ⅱ</w:t>
      </w:r>
      <w:r>
        <w:rPr>
          <w:rFonts w:hint="eastAsia" w:ascii="Times New Roman" w:hAnsi="Times New Roman" w:cs="Times New Roman" w:eastAsiaTheme="minorEastAsia"/>
          <w:color w:val="auto"/>
          <w:sz w:val="24"/>
          <w:szCs w:val="24"/>
          <w:highlight w:val="none"/>
          <w:lang w:eastAsia="zh-CN"/>
        </w:rPr>
        <w:t>类放射源丢失、被盗的；放射性同位素和射线装置失控导致3人以下急性死亡或者10人以上急性重度放射病、局部器官残疾的；放射性物质泄漏，造成较大范围辐射污染后果的</w:t>
      </w:r>
    </w:p>
    <w:p w14:paraId="0D88A2D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7</w:t>
      </w:r>
      <w:r>
        <w:rPr>
          <w:rFonts w:hint="eastAsia" w:ascii="Times New Roman" w:hAnsi="Times New Roman" w:cs="Times New Roman" w:eastAsiaTheme="minorEastAsia"/>
          <w:color w:val="auto"/>
          <w:sz w:val="24"/>
          <w:szCs w:val="24"/>
          <w:highlight w:val="none"/>
          <w:lang w:eastAsia="zh-CN"/>
        </w:rPr>
        <w:t>）造成跨省级行政区域影响的突发环境事件</w:t>
      </w:r>
      <w:r>
        <w:rPr>
          <w:rFonts w:hint="default" w:ascii="Times New Roman" w:hAnsi="Times New Roman" w:cs="Times New Roman" w:eastAsiaTheme="minorEastAsia"/>
          <w:color w:val="auto"/>
          <w:sz w:val="24"/>
          <w:szCs w:val="24"/>
          <w:highlight w:val="none"/>
        </w:rPr>
        <w:t>。</w:t>
      </w:r>
    </w:p>
    <w:p w14:paraId="0212EFB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3、较大环境事件（Ⅲ级）</w:t>
      </w:r>
    </w:p>
    <w:p w14:paraId="6CDC394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凡符合下列情形之一的，为较大环境事件：</w:t>
      </w:r>
    </w:p>
    <w:p w14:paraId="3E60F98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（1）因环境污染直接导致3人以上10人以下死亡或10人以上50人以下中毒或重伤的；</w:t>
      </w:r>
    </w:p>
    <w:p w14:paraId="0F7752A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（2）因环境污染疏散、转移人员5000人以上1万人以下的；</w:t>
      </w:r>
    </w:p>
    <w:p w14:paraId="29E03ED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（3）因环境污染造成直接经济损失500万元以上2000万元以下的</w:t>
      </w:r>
      <w:r>
        <w:rPr>
          <w:rFonts w:hint="eastAsia" w:ascii="Times New Roman" w:hAnsi="Times New Roman" w:cs="Times New Roman" w:eastAsiaTheme="minorEastAsia"/>
          <w:color w:val="auto"/>
          <w:sz w:val="24"/>
          <w:szCs w:val="24"/>
          <w:highlight w:val="none"/>
          <w:lang w:eastAsia="zh-CN"/>
        </w:rPr>
        <w:t>；</w:t>
      </w:r>
    </w:p>
    <w:p w14:paraId="2F72772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4</w:t>
      </w:r>
      <w:r>
        <w:rPr>
          <w:rFonts w:hint="eastAsia" w:ascii="Times New Roman" w:hAnsi="Times New Roman" w:cs="Times New Roman" w:eastAsiaTheme="minorEastAsia"/>
          <w:color w:val="auto"/>
          <w:sz w:val="24"/>
          <w:szCs w:val="24"/>
          <w:highlight w:val="none"/>
          <w:lang w:eastAsia="zh-CN"/>
        </w:rPr>
        <w:t>）因环境污染造成国家重点保护的动植物物种受到破坏的；</w:t>
      </w:r>
    </w:p>
    <w:p w14:paraId="740614F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5</w:t>
      </w:r>
      <w:r>
        <w:rPr>
          <w:rFonts w:hint="eastAsia" w:ascii="Times New Roman" w:hAnsi="Times New Roman" w:cs="Times New Roman" w:eastAsiaTheme="minorEastAsia"/>
          <w:color w:val="auto"/>
          <w:sz w:val="24"/>
          <w:szCs w:val="24"/>
          <w:highlight w:val="none"/>
          <w:lang w:eastAsia="zh-CN"/>
        </w:rPr>
        <w:t>）因环境污染造成乡镇集中式饮用水水源地取水中断的；</w:t>
      </w:r>
    </w:p>
    <w:p w14:paraId="50FD426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6</w:t>
      </w:r>
      <w:r>
        <w:rPr>
          <w:rFonts w:hint="eastAsia" w:ascii="Times New Roman" w:hAnsi="Times New Roman" w:cs="Times New Roman" w:eastAsiaTheme="minorEastAsia"/>
          <w:color w:val="auto"/>
          <w:sz w:val="24"/>
          <w:szCs w:val="24"/>
          <w:highlight w:val="none"/>
          <w:lang w:eastAsia="zh-CN"/>
        </w:rPr>
        <w:t>）Ⅲ类放射源丢失、被盗的；放射性同位素和射线装置失控导致10人以下急性重度放射病、局部器官残疾的；放射性物质泄漏，造成小范围辐射污染后果的；</w:t>
      </w:r>
    </w:p>
    <w:p w14:paraId="52A6307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7</w:t>
      </w:r>
      <w:r>
        <w:rPr>
          <w:rFonts w:hint="eastAsia" w:ascii="Times New Roman" w:hAnsi="Times New Roman" w:cs="Times New Roman" w:eastAsiaTheme="minorEastAsia"/>
          <w:color w:val="auto"/>
          <w:sz w:val="24"/>
          <w:szCs w:val="24"/>
          <w:highlight w:val="none"/>
          <w:lang w:eastAsia="zh-CN"/>
        </w:rPr>
        <w:t>）造成跨设区的市级行政区域影响的突发环境事件</w:t>
      </w:r>
      <w:r>
        <w:rPr>
          <w:rFonts w:hint="default" w:ascii="Times New Roman" w:hAnsi="Times New Roman" w:cs="Times New Roman" w:eastAsiaTheme="minorEastAsia"/>
          <w:color w:val="auto"/>
          <w:sz w:val="24"/>
          <w:szCs w:val="24"/>
          <w:highlight w:val="none"/>
        </w:rPr>
        <w:t>。</w:t>
      </w:r>
    </w:p>
    <w:p w14:paraId="27AC055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4、一般环境事件（Ⅳ级）。</w:t>
      </w:r>
    </w:p>
    <w:p w14:paraId="7FE3074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凡符合下列情形之一的，为一般环境事件：</w:t>
      </w:r>
    </w:p>
    <w:p w14:paraId="3C36E2D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（1）因环境污染直接导致3人以下死亡或10人以下中毒或重伤的；</w:t>
      </w:r>
    </w:p>
    <w:p w14:paraId="6626A70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（2）因环境污染疏散、转移人员5000人以下的；</w:t>
      </w:r>
    </w:p>
    <w:p w14:paraId="72E0922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（3）因环境污染造成直接经济损失500万元以下的</w:t>
      </w:r>
      <w:r>
        <w:rPr>
          <w:rFonts w:hint="eastAsia" w:ascii="Times New Roman" w:hAnsi="Times New Roman" w:cs="Times New Roman" w:eastAsiaTheme="minorEastAsia"/>
          <w:color w:val="auto"/>
          <w:sz w:val="24"/>
          <w:szCs w:val="24"/>
          <w:highlight w:val="none"/>
          <w:lang w:eastAsia="zh-CN"/>
        </w:rPr>
        <w:t>；</w:t>
      </w:r>
    </w:p>
    <w:p w14:paraId="7E0B3D2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4</w:t>
      </w:r>
      <w:r>
        <w:rPr>
          <w:rFonts w:hint="eastAsia" w:ascii="Times New Roman" w:hAnsi="Times New Roman" w:cs="Times New Roman" w:eastAsiaTheme="minorEastAsia"/>
          <w:color w:val="auto"/>
          <w:sz w:val="24"/>
          <w:szCs w:val="24"/>
          <w:highlight w:val="none"/>
          <w:lang w:eastAsia="zh-CN"/>
        </w:rPr>
        <w:t>）因环境污染造成跨县级行政区域纠纷，引起一般性群体影响的；</w:t>
      </w:r>
    </w:p>
    <w:p w14:paraId="6082DA9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5</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Ⅳ、Ⅴ类放射源丢失、被盗的；放射性同位素和射线装置失控导致人员受到超过年剂量限值的照射的；放射性物质泄漏，造成厂区内或设施内局部辐射污染后果的；铀矿冶、伴生矿超标排放，造成环境辐射污染后果的</w:t>
      </w:r>
      <w:r>
        <w:rPr>
          <w:rFonts w:hint="eastAsia" w:ascii="Times New Roman" w:hAnsi="Times New Roman" w:cs="Times New Roman" w:eastAsiaTheme="minorEastAsia"/>
          <w:color w:val="auto"/>
          <w:sz w:val="24"/>
          <w:szCs w:val="24"/>
          <w:highlight w:val="none"/>
          <w:lang w:eastAsia="zh-CN"/>
        </w:rPr>
        <w:t>；</w:t>
      </w:r>
    </w:p>
    <w:p w14:paraId="755048C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6</w:t>
      </w:r>
      <w:r>
        <w:rPr>
          <w:rFonts w:hint="eastAsia" w:ascii="Times New Roman" w:hAnsi="Times New Roman" w:cs="Times New Roman" w:eastAsiaTheme="minorEastAsia"/>
          <w:color w:val="auto"/>
          <w:sz w:val="24"/>
          <w:szCs w:val="24"/>
          <w:highlight w:val="none"/>
          <w:lang w:eastAsia="zh-CN"/>
        </w:rPr>
        <w:t>）对环境造成一定影响，尚未达到较大突发环境事件级别的</w:t>
      </w:r>
      <w:r>
        <w:rPr>
          <w:rFonts w:hint="default" w:ascii="Times New Roman" w:hAnsi="Times New Roman" w:cs="Times New Roman" w:eastAsiaTheme="minorEastAsia"/>
          <w:color w:val="auto"/>
          <w:sz w:val="24"/>
          <w:szCs w:val="24"/>
          <w:highlight w:val="none"/>
        </w:rPr>
        <w:t>。上述有关数量的表述中，“以上”含本数，“以下”不含本数。</w:t>
      </w:r>
    </w:p>
    <w:p w14:paraId="18D447B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 w:val="0"/>
          <w:bCs w:val="0"/>
          <w:color w:val="auto"/>
          <w:sz w:val="24"/>
          <w:szCs w:val="24"/>
          <w:highlight w:val="none"/>
          <w:lang w:val="en-US" w:eastAsia="zh-CN"/>
        </w:rPr>
      </w:pPr>
      <w:r>
        <w:rPr>
          <w:rFonts w:hint="default" w:ascii="Times New Roman" w:hAnsi="Times New Roman" w:cs="Times New Roman" w:eastAsiaTheme="minorEastAsia"/>
          <w:b w:val="0"/>
          <w:bCs w:val="0"/>
          <w:color w:val="auto"/>
          <w:sz w:val="24"/>
          <w:szCs w:val="24"/>
          <w:highlight w:val="none"/>
        </w:rPr>
        <w:t>根据公司的生产和原辅料的使用情况判断，可能发生的突发环境事件为水污染事件、大气污染事件、</w:t>
      </w:r>
      <w:r>
        <w:rPr>
          <w:rFonts w:hint="eastAsia" w:ascii="Times New Roman" w:hAnsi="Times New Roman" w:cs="Times New Roman" w:eastAsiaTheme="minorEastAsia"/>
          <w:b w:val="0"/>
          <w:bCs w:val="0"/>
          <w:color w:val="auto"/>
          <w:sz w:val="24"/>
          <w:szCs w:val="24"/>
          <w:highlight w:val="none"/>
          <w:lang w:val="en-US" w:eastAsia="zh-CN"/>
        </w:rPr>
        <w:t>化学物质</w:t>
      </w:r>
      <w:r>
        <w:rPr>
          <w:rFonts w:hint="default" w:ascii="Times New Roman" w:hAnsi="Times New Roman" w:cs="Times New Roman" w:eastAsiaTheme="minorEastAsia"/>
          <w:b w:val="0"/>
          <w:bCs w:val="0"/>
          <w:color w:val="auto"/>
          <w:sz w:val="24"/>
          <w:szCs w:val="24"/>
          <w:highlight w:val="none"/>
        </w:rPr>
        <w:t>污染事件等。</w:t>
      </w:r>
      <w:r>
        <w:rPr>
          <w:rFonts w:hint="eastAsia" w:ascii="Times New Roman" w:hAnsi="Times New Roman" w:cs="Times New Roman" w:eastAsiaTheme="minorEastAsia"/>
          <w:b w:val="0"/>
          <w:bCs w:val="0"/>
          <w:color w:val="auto"/>
          <w:sz w:val="24"/>
          <w:szCs w:val="24"/>
          <w:highlight w:val="none"/>
          <w:lang w:val="en-US" w:eastAsia="zh-CN"/>
        </w:rPr>
        <w:t>事件类型包括火灾、爆炸、泄漏。</w:t>
      </w:r>
    </w:p>
    <w:p w14:paraId="33D5597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 w:val="0"/>
          <w:bCs w:val="0"/>
          <w:color w:val="auto"/>
          <w:sz w:val="24"/>
          <w:szCs w:val="24"/>
          <w:highlight w:val="none"/>
        </w:rPr>
      </w:pPr>
      <w:r>
        <w:rPr>
          <w:rFonts w:hint="default" w:ascii="Times New Roman" w:hAnsi="Times New Roman" w:cs="Times New Roman" w:eastAsiaTheme="minorEastAsia"/>
          <w:b w:val="0"/>
          <w:bCs w:val="0"/>
          <w:color w:val="auto"/>
          <w:sz w:val="24"/>
          <w:szCs w:val="24"/>
          <w:highlight w:val="none"/>
        </w:rPr>
        <w:t>泄漏：</w:t>
      </w:r>
      <w:r>
        <w:rPr>
          <w:rFonts w:hint="eastAsia" w:ascii="Times New Roman" w:hAnsi="Times New Roman" w:cs="Times New Roman" w:eastAsiaTheme="minorEastAsia"/>
          <w:b w:val="0"/>
          <w:bCs w:val="0"/>
          <w:color w:val="auto"/>
          <w:sz w:val="24"/>
          <w:szCs w:val="24"/>
          <w:highlight w:val="none"/>
          <w:lang w:val="en-US" w:eastAsia="zh-CN"/>
        </w:rPr>
        <w:t>白乳胶、水性漆等</w:t>
      </w:r>
      <w:r>
        <w:rPr>
          <w:rFonts w:hint="default" w:ascii="Times New Roman" w:hAnsi="Times New Roman" w:cs="Times New Roman" w:eastAsiaTheme="minorEastAsia"/>
          <w:b w:val="0"/>
          <w:bCs w:val="0"/>
          <w:color w:val="auto"/>
          <w:sz w:val="24"/>
          <w:szCs w:val="24"/>
          <w:highlight w:val="none"/>
        </w:rPr>
        <w:t>泄漏/溢出</w:t>
      </w:r>
      <w:r>
        <w:rPr>
          <w:rFonts w:hint="eastAsia" w:ascii="Times New Roman" w:hAnsi="Times New Roman" w:cs="Times New Roman" w:eastAsiaTheme="minorEastAsia"/>
          <w:b w:val="0"/>
          <w:bCs w:val="0"/>
          <w:color w:val="auto"/>
          <w:sz w:val="24"/>
          <w:szCs w:val="24"/>
          <w:highlight w:val="none"/>
          <w:lang w:eastAsia="zh-CN"/>
        </w:rPr>
        <w:t>、</w:t>
      </w:r>
      <w:r>
        <w:rPr>
          <w:rFonts w:hint="eastAsia" w:ascii="Times New Roman" w:hAnsi="Times New Roman" w:cs="Times New Roman" w:eastAsiaTheme="minorEastAsia"/>
          <w:b w:val="0"/>
          <w:bCs w:val="0"/>
          <w:color w:val="auto"/>
          <w:sz w:val="24"/>
          <w:szCs w:val="24"/>
          <w:highlight w:val="none"/>
          <w:lang w:val="en-US" w:eastAsia="zh-CN"/>
        </w:rPr>
        <w:t>污水处理设施故障无数泄漏</w:t>
      </w:r>
      <w:r>
        <w:rPr>
          <w:rFonts w:hint="default" w:ascii="Times New Roman" w:hAnsi="Times New Roman" w:cs="Times New Roman" w:eastAsiaTheme="minorEastAsia"/>
          <w:b w:val="0"/>
          <w:bCs w:val="0"/>
          <w:color w:val="auto"/>
          <w:sz w:val="24"/>
          <w:szCs w:val="24"/>
          <w:highlight w:val="none"/>
        </w:rPr>
        <w:t>可能威胁人体健康或污染环境；可能因为渗漏而污染地下水或因未能控制在发生地点而造成大范围水体或土壤污染。</w:t>
      </w:r>
    </w:p>
    <w:p w14:paraId="55FA489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 w:val="0"/>
          <w:bCs w:val="0"/>
          <w:color w:val="auto"/>
          <w:sz w:val="24"/>
          <w:szCs w:val="24"/>
          <w:highlight w:val="none"/>
          <w:lang w:val="en-US" w:eastAsia="zh-CN"/>
        </w:rPr>
      </w:pPr>
      <w:r>
        <w:rPr>
          <w:rFonts w:hint="default" w:ascii="Times New Roman" w:hAnsi="Times New Roman" w:cs="Times New Roman" w:eastAsiaTheme="minorEastAsia"/>
          <w:b w:val="0"/>
          <w:bCs w:val="0"/>
          <w:color w:val="auto"/>
          <w:sz w:val="24"/>
          <w:szCs w:val="24"/>
          <w:highlight w:val="none"/>
        </w:rPr>
        <w:t>火灾、爆炸：火灾的蔓延可能殃及事故点附近区域甚至周边的外部单位；可能引发爆炸；灭火产生的消防水处理不当将造成水体或土壤污染。</w:t>
      </w:r>
    </w:p>
    <w:p w14:paraId="30158E5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根据风险评价结论，公司风险级别属于一般环境</w:t>
      </w:r>
      <w:r>
        <w:rPr>
          <w:rFonts w:hint="eastAsia" w:ascii="Times New Roman" w:hAnsi="Times New Roman" w:cs="Times New Roman" w:eastAsiaTheme="minorEastAsia"/>
          <w:color w:val="auto"/>
          <w:sz w:val="24"/>
          <w:szCs w:val="24"/>
          <w:highlight w:val="none"/>
          <w:lang w:val="en-US" w:eastAsia="zh-CN"/>
        </w:rPr>
        <w:t>风险</w:t>
      </w:r>
      <w:r>
        <w:rPr>
          <w:rFonts w:hint="default" w:ascii="Times New Roman" w:hAnsi="Times New Roman" w:cs="Times New Roman" w:eastAsiaTheme="minorEastAsia"/>
          <w:color w:val="auto"/>
          <w:sz w:val="24"/>
          <w:szCs w:val="24"/>
          <w:highlight w:val="none"/>
        </w:rPr>
        <w:t>。结合本公司的实际情况，突发环境事件分为3个级别，具体划分如下：</w:t>
      </w:r>
    </w:p>
    <w:p w14:paraId="5243942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重大环境事件）：①突发环境事件引发中毒、重伤事故造成厂区外的区域纠纷；②生产装置发生严重故障，引起火灾爆炸和超出厂界的泄漏事故，泄漏已流入水域或扩散到周边社区、</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，造成的环境影响公司已无能力进行控制。</w:t>
      </w:r>
      <w:r>
        <w:rPr>
          <w:rFonts w:hint="eastAsia" w:ascii="宋体" w:hAnsi="宋体" w:eastAsia="宋体" w:cs="宋体"/>
          <w:color w:val="auto"/>
          <w:sz w:val="24"/>
          <w:szCs w:val="24"/>
          <w:highlight w:val="none"/>
        </w:rPr>
        <w:t>③</w:t>
      </w:r>
      <w:r>
        <w:rPr>
          <w:rFonts w:hint="default" w:ascii="Times New Roman" w:hAnsi="Times New Roman" w:cs="Times New Roman" w:eastAsiaTheme="minorEastAsia"/>
          <w:color w:val="auto"/>
          <w:sz w:val="24"/>
          <w:szCs w:val="24"/>
          <w:highlight w:val="none"/>
        </w:rPr>
        <w:t>废气</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废水处理设施</w:t>
      </w:r>
      <w:r>
        <w:rPr>
          <w:rFonts w:hint="default" w:ascii="Times New Roman" w:hAnsi="Times New Roman" w:cs="Times New Roman" w:eastAsiaTheme="minorEastAsia"/>
          <w:color w:val="auto"/>
          <w:sz w:val="24"/>
          <w:szCs w:val="24"/>
          <w:highlight w:val="none"/>
        </w:rPr>
        <w:t>发生故障引起的非正常排放，造成的环境影响超出厂界范围，公司已无能力进行控制，请求外部救援；</w:t>
      </w:r>
    </w:p>
    <w:p w14:paraId="5F6D0C9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w:t>
      </w:r>
      <w:r>
        <w:rPr>
          <w:rFonts w:hint="eastAsia" w:ascii="Times New Roman" w:hAnsi="Times New Roman" w:cs="Times New Roman" w:eastAsiaTheme="minorEastAsia"/>
          <w:color w:val="auto"/>
          <w:sz w:val="24"/>
          <w:szCs w:val="24"/>
          <w:highlight w:val="none"/>
          <w:lang w:eastAsia="zh-CN"/>
        </w:rPr>
        <w:t>公司</w:t>
      </w:r>
      <w:r>
        <w:rPr>
          <w:rFonts w:hint="eastAsia" w:ascii="Times New Roman" w:hAnsi="Times New Roman" w:cs="Times New Roman" w:eastAsiaTheme="minorEastAsia"/>
          <w:color w:val="auto"/>
          <w:sz w:val="24"/>
          <w:szCs w:val="24"/>
          <w:highlight w:val="none"/>
          <w:lang w:val="en-US" w:eastAsia="zh-CN"/>
        </w:rPr>
        <w:t>较大</w:t>
      </w:r>
      <w:r>
        <w:rPr>
          <w:rFonts w:hint="default" w:ascii="Times New Roman" w:hAnsi="Times New Roman" w:cs="Times New Roman" w:eastAsiaTheme="minorEastAsia"/>
          <w:color w:val="auto"/>
          <w:sz w:val="24"/>
          <w:szCs w:val="24"/>
          <w:highlight w:val="none"/>
        </w:rPr>
        <w:t>环境事件）：①生产装置发生故障，引起火灾和泄漏，根据公司的应急处置能力，预计环境污染事件在极短时间内可处置控制，环境影响范围可以控制在厂界范围内，不会对周边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、社区产生影响的事故。②</w:t>
      </w:r>
      <w:r>
        <w:rPr>
          <w:rFonts w:hint="eastAsia" w:ascii="Times New Roman" w:hAnsi="Times New Roman" w:cs="Times New Roman" w:eastAsiaTheme="minorEastAsia"/>
          <w:color w:val="auto"/>
          <w:sz w:val="24"/>
          <w:szCs w:val="24"/>
          <w:highlight w:val="none"/>
          <w:lang w:val="en-US" w:eastAsia="zh-CN"/>
        </w:rPr>
        <w:t>废气、废水</w:t>
      </w:r>
      <w:r>
        <w:rPr>
          <w:rFonts w:hint="default" w:ascii="Times New Roman" w:hAnsi="Times New Roman" w:cs="Times New Roman" w:eastAsiaTheme="minorEastAsia"/>
          <w:color w:val="auto"/>
          <w:sz w:val="24"/>
          <w:szCs w:val="24"/>
          <w:highlight w:val="none"/>
        </w:rPr>
        <w:t>处理设施发生故障引起的非正常排放，公司及时采取措施，不会对周边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、社区产生影响的事故</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影响范围较小，</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在短时间内可采取相应的措施，组织自救，未对周边企事业单位居民产生影响；</w:t>
      </w:r>
    </w:p>
    <w:p w14:paraId="0FBD382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Ⅲ级（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一般环境事件）：①设备、设施发生故障，现场发现存在泄漏迹象，②现场发现存在泄漏或火灾迹象将会导致泄漏、火灾爆炸等事故的；</w:t>
      </w:r>
      <w:r>
        <w:rPr>
          <w:rFonts w:hint="eastAsia" w:ascii="宋体" w:hAnsi="宋体" w:eastAsia="宋体" w:cs="宋体"/>
          <w:color w:val="auto"/>
          <w:sz w:val="24"/>
          <w:szCs w:val="24"/>
          <w:highlight w:val="none"/>
        </w:rPr>
        <w:t>③</w:t>
      </w:r>
      <w:r>
        <w:rPr>
          <w:rFonts w:hint="default" w:ascii="Times New Roman" w:hAnsi="Times New Roman" w:cs="Times New Roman" w:eastAsiaTheme="minorEastAsia"/>
          <w:color w:val="auto"/>
          <w:sz w:val="24"/>
          <w:szCs w:val="24"/>
          <w:highlight w:val="none"/>
        </w:rPr>
        <w:t>不会对厂区人员及外界环境造成影响，可依靠</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自身能力处理。</w:t>
      </w:r>
    </w:p>
    <w:p w14:paraId="768FFB69">
      <w:pPr>
        <w:spacing w:line="360" w:lineRule="auto"/>
        <w:ind w:firstLine="360" w:firstLineChars="150"/>
        <w:rPr>
          <w:rFonts w:hint="default" w:ascii="Times New Roman" w:hAnsi="Times New Roman" w:eastAsia="仿宋" w:cs="Times New Roman"/>
          <w:color w:val="auto"/>
          <w:sz w:val="24"/>
          <w:szCs w:val="24"/>
          <w:highlight w:val="none"/>
        </w:rPr>
      </w:pPr>
    </w:p>
    <w:p w14:paraId="7B6E9C3C">
      <w:pPr>
        <w:spacing w:line="360" w:lineRule="auto"/>
        <w:jc w:val="center"/>
        <w:rPr>
          <w:rFonts w:hint="default" w:ascii="Times New Roman" w:hAnsi="Times New Roman" w:eastAsia="仿宋" w:cs="Times New Roman"/>
          <w:b/>
          <w:color w:val="auto"/>
          <w:sz w:val="24"/>
          <w:szCs w:val="24"/>
          <w:highlight w:val="none"/>
        </w:rPr>
        <w:sectPr>
          <w:headerReference r:id="rId11" w:type="default"/>
          <w:footerReference r:id="rId12" w:type="default"/>
          <w:pgSz w:w="11907" w:h="16840"/>
          <w:pgMar w:top="1474" w:right="1417" w:bottom="1474" w:left="1418" w:header="915" w:footer="1134" w:gutter="284"/>
          <w:pgBorders>
            <w:top w:val="none" w:sz="0" w:space="0"/>
            <w:left w:val="none" w:sz="0" w:space="0"/>
            <w:bottom w:val="none" w:sz="0" w:space="0"/>
            <w:right w:val="none" w:sz="0" w:space="0"/>
          </w:pgBorders>
          <w:pgNumType w:start="1"/>
          <w:cols w:space="720" w:num="1"/>
          <w:docGrid w:linePitch="285" w:charSpace="0"/>
        </w:sectPr>
      </w:pPr>
    </w:p>
    <w:p w14:paraId="20C97ADB">
      <w:pPr>
        <w:spacing w:line="360" w:lineRule="auto"/>
        <w:ind w:firstLine="482" w:firstLineChars="20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4"/>
          <w:szCs w:val="24"/>
          <w:highlight w:val="none"/>
        </w:rPr>
        <w:t xml:space="preserve">表1-1 </w:t>
      </w:r>
      <w:r>
        <w:rPr>
          <w:rFonts w:hint="default" w:ascii="Times New Roman" w:hAnsi="Times New Roman" w:eastAsia="宋体" w:cs="Times New Roman"/>
          <w:b/>
          <w:color w:val="auto"/>
          <w:sz w:val="24"/>
          <w:szCs w:val="24"/>
          <w:highlight w:val="none"/>
        </w:rPr>
        <w:fldChar w:fldCharType="begin"/>
      </w:r>
      <w:r>
        <w:rPr>
          <w:rFonts w:hint="default" w:ascii="Times New Roman" w:hAnsi="Times New Roman" w:eastAsia="宋体" w:cs="Times New Roman"/>
          <w:b/>
          <w:color w:val="auto"/>
          <w:sz w:val="24"/>
          <w:szCs w:val="24"/>
          <w:highlight w:val="none"/>
        </w:rPr>
        <w:instrText xml:space="preserve"> HYPERLINK "javascript:zxtb('XZXKTYPE_A','%E6%9A%82%E5%AD%98','card1','fc5c1215140948f896b26e64c489f794','readonly')" </w:instrText>
      </w:r>
      <w:r>
        <w:rPr>
          <w:rFonts w:hint="default" w:ascii="Times New Roman" w:hAnsi="Times New Roman" w:eastAsia="宋体" w:cs="Times New Roman"/>
          <w:b/>
          <w:color w:val="auto"/>
          <w:sz w:val="24"/>
          <w:szCs w:val="24"/>
          <w:highlight w:val="none"/>
        </w:rPr>
        <w:fldChar w:fldCharType="separate"/>
      </w:r>
      <w:r>
        <w:rPr>
          <w:rFonts w:hint="eastAsia" w:ascii="Times New Roman" w:hAnsi="Times New Roman" w:eastAsia="宋体" w:cs="Times New Roman"/>
          <w:b/>
          <w:color w:val="auto"/>
          <w:sz w:val="24"/>
          <w:szCs w:val="24"/>
          <w:highlight w:val="none"/>
          <w:lang w:eastAsia="zh-CN"/>
        </w:rPr>
        <w:t>南通奥庭建材有限公司</w:t>
      </w:r>
      <w:r>
        <w:rPr>
          <w:rFonts w:hint="eastAsia" w:ascii="Times New Roman" w:hAnsi="Times New Roman" w:eastAsia="宋体" w:cs="Times New Roman"/>
          <w:b/>
          <w:color w:val="auto"/>
          <w:sz w:val="24"/>
          <w:szCs w:val="24"/>
          <w:highlight w:val="none"/>
        </w:rPr>
        <w:fldChar w:fldCharType="end"/>
      </w:r>
      <w:r>
        <w:rPr>
          <w:rFonts w:hint="default" w:ascii="Times New Roman" w:hAnsi="Times New Roman" w:eastAsia="宋体" w:cs="Times New Roman"/>
          <w:b/>
          <w:color w:val="auto"/>
          <w:sz w:val="24"/>
          <w:szCs w:val="24"/>
          <w:highlight w:val="none"/>
        </w:rPr>
        <w:t>突发环境事件分级表</w:t>
      </w:r>
    </w:p>
    <w:tbl>
      <w:tblPr>
        <w:tblStyle w:val="34"/>
        <w:tblW w:w="139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8"/>
        <w:gridCol w:w="2100"/>
        <w:gridCol w:w="2513"/>
        <w:gridCol w:w="5119"/>
        <w:gridCol w:w="2765"/>
      </w:tblGrid>
      <w:tr w14:paraId="2E188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tcBorders>
              <w:tl2br w:val="nil"/>
              <w:tr2bl w:val="nil"/>
            </w:tcBorders>
            <w:vAlign w:val="center"/>
          </w:tcPr>
          <w:p w14:paraId="626148FF">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事件分级</w:t>
            </w:r>
          </w:p>
        </w:tc>
        <w:tc>
          <w:tcPr>
            <w:tcW w:w="2100" w:type="dxa"/>
            <w:tcBorders>
              <w:tl2br w:val="nil"/>
              <w:tr2bl w:val="nil"/>
            </w:tcBorders>
            <w:vAlign w:val="center"/>
          </w:tcPr>
          <w:p w14:paraId="199BD1A6">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突发环境事件类型</w:t>
            </w:r>
          </w:p>
        </w:tc>
        <w:tc>
          <w:tcPr>
            <w:tcW w:w="2513" w:type="dxa"/>
            <w:tcBorders>
              <w:tl2br w:val="nil"/>
              <w:tr2bl w:val="nil"/>
            </w:tcBorders>
            <w:vAlign w:val="center"/>
          </w:tcPr>
          <w:p w14:paraId="5AF9A0F0">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风险单元</w:t>
            </w:r>
          </w:p>
        </w:tc>
        <w:tc>
          <w:tcPr>
            <w:tcW w:w="5119" w:type="dxa"/>
            <w:tcBorders>
              <w:tl2br w:val="nil"/>
              <w:tr2bl w:val="nil"/>
            </w:tcBorders>
            <w:vAlign w:val="center"/>
          </w:tcPr>
          <w:p w14:paraId="0A23DE29">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事故造成的后果</w:t>
            </w:r>
          </w:p>
        </w:tc>
        <w:tc>
          <w:tcPr>
            <w:tcW w:w="2765" w:type="dxa"/>
            <w:tcBorders>
              <w:tl2br w:val="nil"/>
              <w:tr2bl w:val="nil"/>
            </w:tcBorders>
            <w:vAlign w:val="center"/>
          </w:tcPr>
          <w:p w14:paraId="1E6EE942">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影响范围</w:t>
            </w:r>
          </w:p>
        </w:tc>
      </w:tr>
      <w:tr w14:paraId="204202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69006DE5">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Ⅰ级（</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重大环境事件）</w:t>
            </w:r>
          </w:p>
        </w:tc>
        <w:tc>
          <w:tcPr>
            <w:tcW w:w="2100" w:type="dxa"/>
            <w:tcBorders>
              <w:tl2br w:val="nil"/>
              <w:tr2bl w:val="nil"/>
            </w:tcBorders>
            <w:vAlign w:val="center"/>
          </w:tcPr>
          <w:p w14:paraId="747FD56A">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火灾爆炸事故</w:t>
            </w:r>
            <w:r>
              <w:rPr>
                <w:rFonts w:hint="eastAsia" w:ascii="Times New Roman" w:hAnsi="Times New Roman" w:eastAsia="宋体" w:cs="Times New Roman"/>
                <w:color w:val="auto"/>
                <w:sz w:val="21"/>
                <w:szCs w:val="21"/>
                <w:highlight w:val="none"/>
                <w:lang w:val="en-US" w:eastAsia="zh-CN"/>
              </w:rPr>
              <w:t>及</w:t>
            </w:r>
            <w:r>
              <w:rPr>
                <w:rFonts w:hint="default" w:ascii="Times New Roman" w:hAnsi="Times New Roman" w:eastAsia="宋体" w:cs="Times New Roman"/>
                <w:color w:val="auto"/>
                <w:sz w:val="21"/>
                <w:szCs w:val="21"/>
                <w:highlight w:val="none"/>
              </w:rPr>
              <w:t>引发的二次污染</w:t>
            </w:r>
          </w:p>
        </w:tc>
        <w:tc>
          <w:tcPr>
            <w:tcW w:w="2513" w:type="dxa"/>
            <w:tcBorders>
              <w:tl2br w:val="nil"/>
              <w:tr2bl w:val="nil"/>
            </w:tcBorders>
            <w:vAlign w:val="center"/>
          </w:tcPr>
          <w:p w14:paraId="5F72BC7F">
            <w:pPr>
              <w:spacing w:before="120" w:beforeLines="50" w:after="120" w:afterLines="5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水性漆仓库、</w:t>
            </w:r>
            <w:r>
              <w:rPr>
                <w:rFonts w:hint="default" w:ascii="Times New Roman" w:hAnsi="Times New Roman" w:eastAsia="宋体" w:cs="Times New Roman"/>
                <w:color w:val="auto"/>
                <w:sz w:val="21"/>
                <w:szCs w:val="21"/>
                <w:highlight w:val="none"/>
              </w:rPr>
              <w:t>生产车间、危废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1ABBEA83">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火灾爆炸事故引发危险</w:t>
            </w: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在高温情况下燃烧产生大量有毒有害气体</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毒性气体挥发对周边环境空气造成影响，造成财产损失、停产等，或者造成人员伤亡。或事故处置过程产生的</w:t>
            </w:r>
            <w:r>
              <w:rPr>
                <w:rFonts w:hint="eastAsia" w:ascii="Times New Roman" w:hAnsi="Times New Roman" w:eastAsia="宋体" w:cs="Times New Roman"/>
                <w:color w:val="auto"/>
                <w:sz w:val="21"/>
                <w:szCs w:val="21"/>
                <w:highlight w:val="none"/>
                <w:lang w:eastAsia="zh-CN"/>
              </w:rPr>
              <w:t>消防水</w:t>
            </w:r>
            <w:r>
              <w:rPr>
                <w:rFonts w:hint="default" w:ascii="Times New Roman" w:hAnsi="Times New Roman" w:eastAsia="宋体" w:cs="Times New Roman"/>
                <w:color w:val="auto"/>
                <w:sz w:val="21"/>
                <w:szCs w:val="21"/>
                <w:highlight w:val="none"/>
              </w:rPr>
              <w:t>通过雨水管网进入厂区外环境，污染周围地表水、地下水和土壤。</w:t>
            </w:r>
          </w:p>
        </w:tc>
        <w:tc>
          <w:tcPr>
            <w:tcW w:w="2765" w:type="dxa"/>
            <w:tcBorders>
              <w:tl2br w:val="nil"/>
              <w:tr2bl w:val="nil"/>
            </w:tcBorders>
            <w:vAlign w:val="center"/>
          </w:tcPr>
          <w:p w14:paraId="2AE50B74">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eastAsia="zh-CN"/>
              </w:rPr>
              <w:t>奥庭建材</w:t>
            </w:r>
            <w:r>
              <w:rPr>
                <w:rFonts w:hint="default" w:ascii="Times New Roman" w:hAnsi="Times New Roman" w:eastAsia="宋体" w:cs="Times New Roman"/>
                <w:color w:val="auto"/>
                <w:sz w:val="21"/>
                <w:szCs w:val="21"/>
                <w:highlight w:val="none"/>
              </w:rPr>
              <w:t>的厂界范围或者临近的</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受到影响产生连锁反应，影响公司厂区之外的周围地区</w:t>
            </w:r>
          </w:p>
        </w:tc>
      </w:tr>
      <w:tr w14:paraId="3F303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4911C8D8">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5B79B8BE">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化学物质</w:t>
            </w:r>
            <w:r>
              <w:rPr>
                <w:rFonts w:hint="default" w:ascii="Times New Roman" w:hAnsi="Times New Roman" w:eastAsia="宋体" w:cs="Times New Roman"/>
                <w:color w:val="auto"/>
                <w:sz w:val="21"/>
                <w:szCs w:val="21"/>
                <w:highlight w:val="none"/>
              </w:rPr>
              <w:t>泄漏事故</w:t>
            </w:r>
          </w:p>
        </w:tc>
        <w:tc>
          <w:tcPr>
            <w:tcW w:w="2513" w:type="dxa"/>
            <w:tcBorders>
              <w:tl2br w:val="nil"/>
              <w:tr2bl w:val="nil"/>
            </w:tcBorders>
            <w:vAlign w:val="center"/>
          </w:tcPr>
          <w:p w14:paraId="49A4F821">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水性漆仓库</w:t>
            </w:r>
            <w:r>
              <w:rPr>
                <w:rFonts w:hint="default" w:ascii="Times New Roman" w:hAnsi="Times New Roman" w:eastAsia="宋体" w:cs="Times New Roman"/>
                <w:color w:val="auto"/>
                <w:sz w:val="21"/>
                <w:szCs w:val="21"/>
                <w:highlight w:val="none"/>
              </w:rPr>
              <w:t>、危废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5B9A2418">
            <w:pPr>
              <w:spacing w:before="48" w:beforeLines="20" w:after="48" w:afterLines="2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水性漆等</w:t>
            </w:r>
            <w:r>
              <w:rPr>
                <w:rFonts w:hint="default" w:ascii="Times New Roman" w:hAnsi="Times New Roman" w:eastAsia="宋体" w:cs="Times New Roman"/>
                <w:color w:val="auto"/>
                <w:sz w:val="21"/>
                <w:szCs w:val="21"/>
                <w:highlight w:val="none"/>
              </w:rPr>
              <w:t>泄漏，进入环境污染地表水、地下水和土壤；产生</w:t>
            </w:r>
            <w:r>
              <w:rPr>
                <w:rFonts w:hint="eastAsia" w:ascii="Times New Roman" w:hAnsi="Times New Roman" w:eastAsia="宋体" w:cs="Times New Roman"/>
                <w:color w:val="auto"/>
                <w:sz w:val="21"/>
                <w:szCs w:val="21"/>
                <w:highlight w:val="none"/>
                <w:lang w:val="en-US" w:eastAsia="zh-CN"/>
              </w:rPr>
              <w:t>刺激性气味</w:t>
            </w:r>
            <w:r>
              <w:rPr>
                <w:rFonts w:hint="default" w:ascii="Times New Roman" w:hAnsi="Times New Roman" w:eastAsia="宋体" w:cs="Times New Roman"/>
                <w:color w:val="auto"/>
                <w:sz w:val="21"/>
                <w:szCs w:val="21"/>
                <w:highlight w:val="none"/>
              </w:rPr>
              <w:t>，造成大气污染，对人群健康和周边动植物造成威胁。</w:t>
            </w:r>
          </w:p>
        </w:tc>
        <w:tc>
          <w:tcPr>
            <w:tcW w:w="2765" w:type="dxa"/>
            <w:tcBorders>
              <w:tl2br w:val="nil"/>
              <w:tr2bl w:val="nil"/>
            </w:tcBorders>
            <w:vAlign w:val="center"/>
          </w:tcPr>
          <w:p w14:paraId="0B4B77FA">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eastAsia="zh-CN"/>
              </w:rPr>
              <w:t>奥庭建材</w:t>
            </w:r>
            <w:r>
              <w:rPr>
                <w:rFonts w:hint="default" w:ascii="Times New Roman" w:hAnsi="Times New Roman" w:eastAsia="宋体" w:cs="Times New Roman"/>
                <w:color w:val="auto"/>
                <w:sz w:val="21"/>
                <w:szCs w:val="21"/>
                <w:highlight w:val="none"/>
              </w:rPr>
              <w:t>的厂界范围，影响公司厂区之外的周围地区</w:t>
            </w:r>
          </w:p>
        </w:tc>
      </w:tr>
      <w:tr w14:paraId="362D0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48CB6DB9">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33F6FFDE">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废气处理装置故障</w:t>
            </w:r>
          </w:p>
        </w:tc>
        <w:tc>
          <w:tcPr>
            <w:tcW w:w="2513" w:type="dxa"/>
            <w:tcBorders>
              <w:tl2br w:val="nil"/>
              <w:tr2bl w:val="nil"/>
            </w:tcBorders>
            <w:vAlign w:val="center"/>
          </w:tcPr>
          <w:p w14:paraId="42A386E4">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w:t>
            </w:r>
          </w:p>
        </w:tc>
        <w:tc>
          <w:tcPr>
            <w:tcW w:w="5119" w:type="dxa"/>
            <w:tcBorders>
              <w:tl2br w:val="nil"/>
              <w:tr2bl w:val="nil"/>
            </w:tcBorders>
            <w:vAlign w:val="center"/>
          </w:tcPr>
          <w:p w14:paraId="1157F952">
            <w:pPr>
              <w:spacing w:before="48" w:beforeLines="20" w:after="48" w:afterLines="2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废气处理设施故障，造成废气超标排放，进入大气环境，造成</w:t>
            </w:r>
            <w:r>
              <w:rPr>
                <w:rFonts w:hint="eastAsia" w:ascii="Times New Roman" w:hAnsi="Times New Roman" w:eastAsia="宋体" w:cs="Times New Roman"/>
                <w:color w:val="auto"/>
                <w:sz w:val="21"/>
                <w:szCs w:val="21"/>
                <w:highlight w:val="none"/>
                <w:lang w:val="en-US" w:eastAsia="zh-CN"/>
              </w:rPr>
              <w:t>局部环境空气质量下降</w:t>
            </w:r>
            <w:r>
              <w:rPr>
                <w:rFonts w:hint="default" w:ascii="Times New Roman" w:hAnsi="Times New Roman" w:eastAsia="宋体" w:cs="Times New Roman"/>
                <w:color w:val="auto"/>
                <w:sz w:val="21"/>
                <w:szCs w:val="21"/>
                <w:highlight w:val="none"/>
              </w:rPr>
              <w:t>。</w:t>
            </w:r>
          </w:p>
        </w:tc>
        <w:tc>
          <w:tcPr>
            <w:tcW w:w="2765" w:type="dxa"/>
            <w:tcBorders>
              <w:tl2br w:val="nil"/>
              <w:tr2bl w:val="nil"/>
            </w:tcBorders>
            <w:vAlign w:val="center"/>
          </w:tcPr>
          <w:p w14:paraId="4B061FED">
            <w:pPr>
              <w:spacing w:before="120" w:beforeLines="50" w:after="120" w:afterLines="50"/>
              <w:jc w:val="center"/>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eastAsia="zh-CN"/>
              </w:rPr>
              <w:t>奥庭建材</w:t>
            </w:r>
            <w:r>
              <w:rPr>
                <w:rFonts w:hint="default" w:ascii="Times New Roman" w:hAnsi="Times New Roman" w:eastAsia="宋体" w:cs="Times New Roman"/>
                <w:color w:val="auto"/>
                <w:sz w:val="21"/>
                <w:szCs w:val="21"/>
                <w:highlight w:val="none"/>
              </w:rPr>
              <w:t>的厂界范围或者临近的</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受到影响产生连锁反应，影响公司厂区之外的周围地区</w:t>
            </w:r>
          </w:p>
        </w:tc>
      </w:tr>
      <w:tr w14:paraId="654824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2FDED2FB">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04EFEF92">
            <w:pPr>
              <w:spacing w:before="120" w:beforeLines="50" w:after="120" w:afterLines="5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废水处理装置故障</w:t>
            </w:r>
          </w:p>
        </w:tc>
        <w:tc>
          <w:tcPr>
            <w:tcW w:w="2513" w:type="dxa"/>
            <w:tcBorders>
              <w:tl2br w:val="nil"/>
              <w:tr2bl w:val="nil"/>
            </w:tcBorders>
            <w:vAlign w:val="center"/>
          </w:tcPr>
          <w:p w14:paraId="720F0C5B">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废水处理设施</w:t>
            </w:r>
          </w:p>
        </w:tc>
        <w:tc>
          <w:tcPr>
            <w:tcW w:w="5119" w:type="dxa"/>
            <w:tcBorders>
              <w:tl2br w:val="nil"/>
              <w:tr2bl w:val="nil"/>
            </w:tcBorders>
            <w:vAlign w:val="center"/>
          </w:tcPr>
          <w:p w14:paraId="6F1836E1">
            <w:pPr>
              <w:spacing w:before="48" w:beforeLines="20" w:after="48" w:afterLines="2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废水处理设施故障，造成生产废水通过雨水管网排入厂区外环境</w:t>
            </w:r>
            <w:r>
              <w:rPr>
                <w:rFonts w:hint="default" w:ascii="Times New Roman" w:hAnsi="Times New Roman" w:eastAsia="宋体" w:cs="Times New Roman"/>
                <w:color w:val="auto"/>
                <w:sz w:val="21"/>
                <w:szCs w:val="21"/>
                <w:highlight w:val="none"/>
              </w:rPr>
              <w:t>污染周围地表水、地下水和土壤。</w:t>
            </w:r>
          </w:p>
        </w:tc>
        <w:tc>
          <w:tcPr>
            <w:tcW w:w="2765" w:type="dxa"/>
            <w:tcBorders>
              <w:tl2br w:val="nil"/>
              <w:tr2bl w:val="nil"/>
            </w:tcBorders>
            <w:vAlign w:val="center"/>
          </w:tcPr>
          <w:p w14:paraId="1F88C58F">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eastAsia="zh-CN"/>
              </w:rPr>
              <w:t>奥庭建材</w:t>
            </w:r>
            <w:r>
              <w:rPr>
                <w:rFonts w:hint="default" w:ascii="Times New Roman" w:hAnsi="Times New Roman" w:eastAsia="宋体" w:cs="Times New Roman"/>
                <w:color w:val="auto"/>
                <w:sz w:val="21"/>
                <w:szCs w:val="21"/>
                <w:highlight w:val="none"/>
              </w:rPr>
              <w:t>的厂界范围，影响公司厂区之外的周围地区</w:t>
            </w:r>
          </w:p>
        </w:tc>
      </w:tr>
      <w:tr w14:paraId="209C0E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6ADBEB9F">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Ⅱ级（</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较大环境事件）</w:t>
            </w:r>
          </w:p>
        </w:tc>
        <w:tc>
          <w:tcPr>
            <w:tcW w:w="2100" w:type="dxa"/>
            <w:tcBorders>
              <w:tl2br w:val="nil"/>
              <w:tr2bl w:val="nil"/>
            </w:tcBorders>
            <w:vAlign w:val="center"/>
          </w:tcPr>
          <w:p w14:paraId="681111CB">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火灾事故</w:t>
            </w:r>
          </w:p>
        </w:tc>
        <w:tc>
          <w:tcPr>
            <w:tcW w:w="2513" w:type="dxa"/>
            <w:tcBorders>
              <w:tl2br w:val="nil"/>
              <w:tr2bl w:val="nil"/>
            </w:tcBorders>
            <w:vAlign w:val="center"/>
          </w:tcPr>
          <w:p w14:paraId="4CD7FD2A">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水性漆仓库、</w:t>
            </w:r>
            <w:r>
              <w:rPr>
                <w:rFonts w:hint="default" w:ascii="Times New Roman" w:hAnsi="Times New Roman" w:eastAsia="宋体" w:cs="Times New Roman"/>
                <w:color w:val="auto"/>
                <w:sz w:val="21"/>
                <w:szCs w:val="21"/>
                <w:highlight w:val="none"/>
              </w:rPr>
              <w:t>生产车间、危废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42150947">
            <w:pPr>
              <w:spacing w:before="48" w:beforeLines="20" w:after="48" w:afterLines="2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火灾事故引发危险</w:t>
            </w: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在高温情况下燃烧产生</w:t>
            </w:r>
            <w:r>
              <w:rPr>
                <w:rFonts w:hint="eastAsia" w:ascii="Times New Roman" w:hAnsi="Times New Roman" w:eastAsia="宋体" w:cs="Times New Roman"/>
                <w:color w:val="auto"/>
                <w:sz w:val="21"/>
                <w:szCs w:val="21"/>
                <w:highlight w:val="none"/>
                <w:lang w:val="en-US" w:eastAsia="zh-CN"/>
              </w:rPr>
              <w:t>的少量</w:t>
            </w:r>
            <w:r>
              <w:rPr>
                <w:rFonts w:hint="default" w:ascii="Times New Roman" w:hAnsi="Times New Roman" w:eastAsia="宋体" w:cs="Times New Roman"/>
                <w:color w:val="auto"/>
                <w:sz w:val="21"/>
                <w:szCs w:val="21"/>
                <w:highlight w:val="none"/>
              </w:rPr>
              <w:t>有毒有害气体</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在极短时间内可处置控制，不会对周边环境空气造成影响，但造成财产损失、短时间停车。或</w:t>
            </w:r>
            <w:r>
              <w:rPr>
                <w:rFonts w:hint="default" w:ascii="Times New Roman" w:hAnsi="Times New Roman" w:eastAsia="宋体" w:cs="Times New Roman"/>
                <w:color w:val="auto"/>
                <w:sz w:val="21"/>
                <w:szCs w:val="21"/>
                <w:highlight w:val="none"/>
              </w:rPr>
              <w:t>事故处置过程产生的</w:t>
            </w:r>
            <w:r>
              <w:rPr>
                <w:rFonts w:hint="eastAsia" w:ascii="Times New Roman" w:hAnsi="Times New Roman" w:eastAsia="宋体" w:cs="Times New Roman"/>
                <w:color w:val="auto"/>
                <w:sz w:val="21"/>
                <w:szCs w:val="21"/>
                <w:highlight w:val="none"/>
                <w:lang w:eastAsia="zh-CN"/>
              </w:rPr>
              <w:t>消防水</w:t>
            </w:r>
            <w:r>
              <w:rPr>
                <w:rFonts w:hint="default" w:ascii="Times New Roman" w:hAnsi="Times New Roman" w:eastAsia="宋体" w:cs="Times New Roman"/>
                <w:color w:val="auto"/>
                <w:sz w:val="21"/>
                <w:szCs w:val="21"/>
                <w:highlight w:val="none"/>
              </w:rPr>
              <w:t>通过雨水管网进入</w:t>
            </w:r>
            <w:r>
              <w:rPr>
                <w:rFonts w:hint="eastAsia" w:ascii="Times New Roman" w:hAnsi="Times New Roman" w:eastAsia="宋体" w:cs="Times New Roman"/>
                <w:color w:val="auto"/>
                <w:sz w:val="21"/>
                <w:szCs w:val="21"/>
                <w:highlight w:val="none"/>
                <w:lang w:val="en-US" w:eastAsia="zh-CN"/>
              </w:rPr>
              <w:t>应急事故池</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不会</w:t>
            </w:r>
            <w:r>
              <w:rPr>
                <w:rFonts w:hint="default" w:ascii="Times New Roman" w:hAnsi="Times New Roman" w:eastAsia="宋体" w:cs="Times New Roman"/>
                <w:color w:val="auto"/>
                <w:sz w:val="21"/>
                <w:szCs w:val="21"/>
                <w:highlight w:val="none"/>
              </w:rPr>
              <w:t>污染周围地表水、地下水和土壤</w:t>
            </w:r>
          </w:p>
        </w:tc>
        <w:tc>
          <w:tcPr>
            <w:tcW w:w="2765" w:type="dxa"/>
            <w:tcBorders>
              <w:tl2br w:val="nil"/>
              <w:tr2bl w:val="nil"/>
            </w:tcBorders>
            <w:vAlign w:val="center"/>
          </w:tcPr>
          <w:p w14:paraId="27C051E9">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未</w:t>
            </w: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eastAsia="zh-CN"/>
              </w:rPr>
              <w:t>奥庭建材</w:t>
            </w:r>
            <w:r>
              <w:rPr>
                <w:rFonts w:hint="default" w:ascii="Times New Roman" w:hAnsi="Times New Roman" w:eastAsia="宋体" w:cs="Times New Roman"/>
                <w:color w:val="auto"/>
                <w:sz w:val="21"/>
                <w:szCs w:val="21"/>
                <w:highlight w:val="none"/>
              </w:rPr>
              <w:t>的厂界范围</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消防水被截流在厂界范围之内</w:t>
            </w:r>
          </w:p>
        </w:tc>
      </w:tr>
      <w:tr w14:paraId="06751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0279D039">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38341727">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化学物质</w:t>
            </w:r>
            <w:r>
              <w:rPr>
                <w:rFonts w:hint="default" w:ascii="Times New Roman" w:hAnsi="Times New Roman" w:eastAsia="宋体" w:cs="Times New Roman"/>
                <w:color w:val="auto"/>
                <w:sz w:val="21"/>
                <w:szCs w:val="21"/>
                <w:highlight w:val="none"/>
              </w:rPr>
              <w:t>泄漏事故</w:t>
            </w:r>
          </w:p>
        </w:tc>
        <w:tc>
          <w:tcPr>
            <w:tcW w:w="2513" w:type="dxa"/>
            <w:tcBorders>
              <w:tl2br w:val="nil"/>
              <w:tr2bl w:val="nil"/>
            </w:tcBorders>
            <w:vAlign w:val="center"/>
          </w:tcPr>
          <w:p w14:paraId="1DB9B270">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水性漆仓库、</w:t>
            </w:r>
            <w:r>
              <w:rPr>
                <w:rFonts w:hint="default" w:ascii="Times New Roman" w:hAnsi="Times New Roman" w:eastAsia="宋体" w:cs="Times New Roman"/>
                <w:color w:val="auto"/>
                <w:sz w:val="21"/>
                <w:szCs w:val="21"/>
                <w:highlight w:val="none"/>
              </w:rPr>
              <w:t>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2B2AEA7B">
            <w:pPr>
              <w:spacing w:before="48" w:beforeLines="20" w:after="48" w:afterLines="2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水性漆等</w:t>
            </w:r>
            <w:r>
              <w:rPr>
                <w:rFonts w:hint="default" w:ascii="Times New Roman" w:hAnsi="Times New Roman" w:eastAsia="宋体" w:cs="Times New Roman"/>
                <w:color w:val="auto"/>
                <w:sz w:val="21"/>
                <w:szCs w:val="21"/>
                <w:highlight w:val="none"/>
              </w:rPr>
              <w:t>泄漏被截流在厂区内，未造成周围地表水污染。</w:t>
            </w:r>
          </w:p>
        </w:tc>
        <w:tc>
          <w:tcPr>
            <w:tcW w:w="2765" w:type="dxa"/>
            <w:tcBorders>
              <w:tl2br w:val="nil"/>
              <w:tr2bl w:val="nil"/>
            </w:tcBorders>
            <w:vAlign w:val="center"/>
          </w:tcPr>
          <w:p w14:paraId="56A48589">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泄漏的</w:t>
            </w: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被截流在</w:t>
            </w:r>
            <w:r>
              <w:rPr>
                <w:rFonts w:hint="eastAsia" w:ascii="Times New Roman" w:hAnsi="Times New Roman" w:eastAsia="宋体" w:cs="Times New Roman"/>
                <w:color w:val="auto"/>
                <w:sz w:val="21"/>
                <w:szCs w:val="21"/>
                <w:highlight w:val="none"/>
                <w:lang w:val="en-US" w:eastAsia="zh-CN"/>
              </w:rPr>
              <w:t>奥庭建材</w:t>
            </w:r>
            <w:r>
              <w:rPr>
                <w:rFonts w:hint="default" w:ascii="Times New Roman" w:hAnsi="Times New Roman" w:eastAsia="宋体" w:cs="Times New Roman"/>
                <w:color w:val="auto"/>
                <w:sz w:val="21"/>
                <w:szCs w:val="21"/>
                <w:highlight w:val="none"/>
              </w:rPr>
              <w:t>的的厂界范围之内</w:t>
            </w:r>
          </w:p>
        </w:tc>
      </w:tr>
      <w:tr w14:paraId="61FC7B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70C1C22E">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56DC275F">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废气处理装置故障</w:t>
            </w:r>
          </w:p>
        </w:tc>
        <w:tc>
          <w:tcPr>
            <w:tcW w:w="2513" w:type="dxa"/>
            <w:tcBorders>
              <w:tl2br w:val="nil"/>
              <w:tr2bl w:val="nil"/>
            </w:tcBorders>
            <w:vAlign w:val="center"/>
          </w:tcPr>
          <w:p w14:paraId="54C7011B">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w:t>
            </w:r>
          </w:p>
        </w:tc>
        <w:tc>
          <w:tcPr>
            <w:tcW w:w="5119" w:type="dxa"/>
            <w:tcBorders>
              <w:tl2br w:val="nil"/>
              <w:tr2bl w:val="nil"/>
            </w:tcBorders>
            <w:vAlign w:val="center"/>
          </w:tcPr>
          <w:p w14:paraId="19FF0EDC">
            <w:pPr>
              <w:spacing w:before="48" w:beforeLines="20" w:after="48" w:afterLines="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废气处理设施故障，造成废气超标排放，进入大气环境，造成大气污染。</w:t>
            </w:r>
          </w:p>
        </w:tc>
        <w:tc>
          <w:tcPr>
            <w:tcW w:w="2765" w:type="dxa"/>
            <w:tcBorders>
              <w:tl2br w:val="nil"/>
              <w:tr2bl w:val="nil"/>
            </w:tcBorders>
            <w:vAlign w:val="center"/>
          </w:tcPr>
          <w:p w14:paraId="499CD904">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最大落地浓度未超过环境质量标准</w:t>
            </w:r>
          </w:p>
        </w:tc>
      </w:tr>
      <w:tr w14:paraId="5DA1C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26F38D82">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0A38D52E">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废水处理装置故障</w:t>
            </w:r>
          </w:p>
        </w:tc>
        <w:tc>
          <w:tcPr>
            <w:tcW w:w="2513" w:type="dxa"/>
            <w:tcBorders>
              <w:tl2br w:val="nil"/>
              <w:tr2bl w:val="nil"/>
            </w:tcBorders>
            <w:vAlign w:val="center"/>
          </w:tcPr>
          <w:p w14:paraId="639F0923">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废水处理设施</w:t>
            </w:r>
          </w:p>
        </w:tc>
        <w:tc>
          <w:tcPr>
            <w:tcW w:w="5119" w:type="dxa"/>
            <w:tcBorders>
              <w:tl2br w:val="nil"/>
              <w:tr2bl w:val="nil"/>
            </w:tcBorders>
            <w:vAlign w:val="center"/>
          </w:tcPr>
          <w:p w14:paraId="5C186C77">
            <w:pPr>
              <w:spacing w:before="48" w:beforeLines="20" w:after="48" w:afterLines="2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废水处理设施故障，造成生产废水通过雨水管网排入厂内事故应急池</w:t>
            </w:r>
          </w:p>
        </w:tc>
        <w:tc>
          <w:tcPr>
            <w:tcW w:w="2765" w:type="dxa"/>
            <w:tcBorders>
              <w:tl2br w:val="nil"/>
              <w:tr2bl w:val="nil"/>
            </w:tcBorders>
            <w:vAlign w:val="center"/>
          </w:tcPr>
          <w:p w14:paraId="1ACC7C9C">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w:t>
            </w:r>
            <w:r>
              <w:rPr>
                <w:rFonts w:hint="default" w:ascii="Times New Roman" w:hAnsi="Times New Roman" w:eastAsia="宋体" w:cs="Times New Roman"/>
                <w:color w:val="auto"/>
                <w:sz w:val="21"/>
                <w:szCs w:val="21"/>
                <w:highlight w:val="none"/>
              </w:rPr>
              <w:t>被截流在</w:t>
            </w:r>
            <w:r>
              <w:rPr>
                <w:rFonts w:hint="eastAsia" w:ascii="Times New Roman" w:hAnsi="Times New Roman" w:eastAsia="宋体" w:cs="Times New Roman"/>
                <w:color w:val="auto"/>
                <w:sz w:val="21"/>
                <w:szCs w:val="21"/>
                <w:highlight w:val="none"/>
                <w:lang w:eastAsia="zh-CN"/>
              </w:rPr>
              <w:t>奥庭建材</w:t>
            </w:r>
            <w:r>
              <w:rPr>
                <w:rFonts w:hint="default" w:ascii="Times New Roman" w:hAnsi="Times New Roman" w:eastAsia="宋体" w:cs="Times New Roman"/>
                <w:color w:val="auto"/>
                <w:sz w:val="21"/>
                <w:szCs w:val="21"/>
                <w:highlight w:val="none"/>
              </w:rPr>
              <w:t>的的厂界范围之内</w:t>
            </w:r>
          </w:p>
        </w:tc>
      </w:tr>
      <w:tr w14:paraId="5DC95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7ECC5EB6">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cs="Times New Roman" w:eastAsiaTheme="minorEastAsia"/>
                <w:color w:val="auto"/>
                <w:sz w:val="24"/>
                <w:szCs w:val="24"/>
                <w:highlight w:val="none"/>
              </w:rPr>
              <w:t>Ⅲ</w:t>
            </w:r>
            <w:r>
              <w:rPr>
                <w:rFonts w:hint="default" w:ascii="Times New Roman" w:hAnsi="Times New Roman" w:eastAsia="宋体" w:cs="Times New Roman"/>
                <w:color w:val="auto"/>
                <w:sz w:val="21"/>
                <w:szCs w:val="21"/>
                <w:highlight w:val="none"/>
              </w:rPr>
              <w:t>级（</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一般环境事件）</w:t>
            </w:r>
          </w:p>
        </w:tc>
        <w:tc>
          <w:tcPr>
            <w:tcW w:w="2100" w:type="dxa"/>
            <w:tcBorders>
              <w:tl2br w:val="nil"/>
              <w:tr2bl w:val="nil"/>
            </w:tcBorders>
            <w:vAlign w:val="center"/>
          </w:tcPr>
          <w:p w14:paraId="02426A64">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火灾事故</w:t>
            </w:r>
          </w:p>
        </w:tc>
        <w:tc>
          <w:tcPr>
            <w:tcW w:w="2513" w:type="dxa"/>
            <w:tcBorders>
              <w:tl2br w:val="nil"/>
              <w:tr2bl w:val="nil"/>
            </w:tcBorders>
            <w:vAlign w:val="center"/>
          </w:tcPr>
          <w:p w14:paraId="7554F0A5">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水性漆仓库、</w:t>
            </w:r>
            <w:r>
              <w:rPr>
                <w:rFonts w:hint="default" w:ascii="Times New Roman" w:hAnsi="Times New Roman" w:eastAsia="宋体" w:cs="Times New Roman"/>
                <w:color w:val="auto"/>
                <w:sz w:val="21"/>
                <w:szCs w:val="21"/>
                <w:highlight w:val="none"/>
              </w:rPr>
              <w:t>生产车间、危废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7C4ED444">
            <w:pPr>
              <w:spacing w:before="48" w:beforeLines="20" w:after="48" w:afterLines="2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eastAsiaTheme="minorEastAsia"/>
                <w:color w:val="auto"/>
                <w:kern w:val="0"/>
                <w:sz w:val="21"/>
                <w:szCs w:val="21"/>
                <w:highlight w:val="none"/>
              </w:rPr>
              <w:t>小型火灾，无人受伤，生产单元内可快速解决，消防水未进入外环境</w:t>
            </w:r>
          </w:p>
        </w:tc>
        <w:tc>
          <w:tcPr>
            <w:tcW w:w="2765" w:type="dxa"/>
            <w:tcBorders>
              <w:tl2br w:val="nil"/>
              <w:tr2bl w:val="nil"/>
            </w:tcBorders>
            <w:vAlign w:val="center"/>
          </w:tcPr>
          <w:p w14:paraId="027676E3">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未</w:t>
            </w: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eastAsia="zh-CN"/>
              </w:rPr>
              <w:t>奥庭建材</w:t>
            </w:r>
            <w:r>
              <w:rPr>
                <w:rFonts w:hint="default" w:ascii="Times New Roman" w:hAnsi="Times New Roman" w:eastAsia="宋体" w:cs="Times New Roman"/>
                <w:color w:val="auto"/>
                <w:sz w:val="21"/>
                <w:szCs w:val="21"/>
                <w:highlight w:val="none"/>
              </w:rPr>
              <w:t>的厂界范围</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消防水被截流在厂界范围之内</w:t>
            </w:r>
          </w:p>
        </w:tc>
      </w:tr>
      <w:tr w14:paraId="595886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7F5BD544">
            <w:pPr>
              <w:spacing w:before="120" w:beforeLines="50" w:after="120" w:afterLines="50"/>
              <w:jc w:val="center"/>
              <w:rPr>
                <w:rFonts w:hint="eastAsia" w:ascii="Times New Roman" w:hAnsi="Times New Roman" w:eastAsia="宋体" w:cs="Times New Roman"/>
                <w:color w:val="auto"/>
                <w:sz w:val="21"/>
                <w:szCs w:val="21"/>
                <w:highlight w:val="none"/>
                <w:lang w:eastAsia="zh-CN"/>
              </w:rPr>
            </w:pPr>
          </w:p>
        </w:tc>
        <w:tc>
          <w:tcPr>
            <w:tcW w:w="2100" w:type="dxa"/>
            <w:tcBorders>
              <w:tl2br w:val="nil"/>
              <w:tr2bl w:val="nil"/>
            </w:tcBorders>
            <w:vAlign w:val="center"/>
          </w:tcPr>
          <w:p w14:paraId="33713768">
            <w:pPr>
              <w:spacing w:before="120" w:beforeLines="50" w:after="120" w:afterLines="5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化学物质</w:t>
            </w:r>
            <w:r>
              <w:rPr>
                <w:rFonts w:hint="default" w:ascii="Times New Roman" w:hAnsi="Times New Roman" w:eastAsia="宋体" w:cs="Times New Roman"/>
                <w:color w:val="auto"/>
                <w:sz w:val="21"/>
                <w:szCs w:val="21"/>
                <w:highlight w:val="none"/>
              </w:rPr>
              <w:t>泄漏事故</w:t>
            </w:r>
          </w:p>
        </w:tc>
        <w:tc>
          <w:tcPr>
            <w:tcW w:w="2513" w:type="dxa"/>
            <w:tcBorders>
              <w:tl2br w:val="nil"/>
              <w:tr2bl w:val="nil"/>
            </w:tcBorders>
            <w:vAlign w:val="center"/>
          </w:tcPr>
          <w:p w14:paraId="13AF388F">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水性漆仓库</w:t>
            </w:r>
            <w:r>
              <w:rPr>
                <w:rFonts w:hint="default" w:ascii="Times New Roman" w:hAnsi="Times New Roman" w:eastAsia="宋体" w:cs="Times New Roman"/>
                <w:color w:val="auto"/>
                <w:sz w:val="21"/>
                <w:szCs w:val="21"/>
                <w:highlight w:val="none"/>
              </w:rPr>
              <w:t>、危废</w:t>
            </w:r>
            <w:r>
              <w:rPr>
                <w:rFonts w:hint="eastAsia" w:ascii="Times New Roman" w:hAnsi="Times New Roman" w:eastAsia="宋体" w:cs="Times New Roman"/>
                <w:color w:val="auto"/>
                <w:sz w:val="21"/>
                <w:szCs w:val="21"/>
                <w:highlight w:val="none"/>
                <w:lang w:val="en-US" w:eastAsia="zh-CN"/>
              </w:rPr>
              <w:t>仓</w:t>
            </w:r>
            <w:r>
              <w:rPr>
                <w:rFonts w:hint="default" w:ascii="Times New Roman" w:hAnsi="Times New Roman" w:eastAsia="宋体" w:cs="Times New Roman"/>
                <w:color w:val="auto"/>
                <w:sz w:val="21"/>
                <w:szCs w:val="21"/>
                <w:highlight w:val="none"/>
              </w:rPr>
              <w:t>库</w:t>
            </w:r>
          </w:p>
        </w:tc>
        <w:tc>
          <w:tcPr>
            <w:tcW w:w="5119" w:type="dxa"/>
            <w:tcBorders>
              <w:tl2br w:val="nil"/>
              <w:tr2bl w:val="nil"/>
            </w:tcBorders>
            <w:vAlign w:val="center"/>
          </w:tcPr>
          <w:p w14:paraId="5561DEF3">
            <w:pPr>
              <w:spacing w:before="48" w:beforeLines="20" w:after="48" w:afterLines="2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水性漆等</w:t>
            </w:r>
            <w:r>
              <w:rPr>
                <w:rFonts w:hint="default" w:ascii="Times New Roman" w:hAnsi="Times New Roman" w:eastAsia="宋体" w:cs="Times New Roman"/>
                <w:color w:val="auto"/>
                <w:sz w:val="21"/>
                <w:szCs w:val="21"/>
                <w:highlight w:val="none"/>
              </w:rPr>
              <w:t>泄漏被截流在</w:t>
            </w:r>
            <w:r>
              <w:rPr>
                <w:rFonts w:hint="eastAsia" w:ascii="Times New Roman" w:hAnsi="Times New Roman" w:eastAsia="宋体" w:cs="Times New Roman"/>
                <w:color w:val="auto"/>
                <w:sz w:val="21"/>
                <w:szCs w:val="21"/>
                <w:highlight w:val="none"/>
                <w:lang w:val="en-US" w:eastAsia="zh-CN"/>
              </w:rPr>
              <w:t>原料仓库/危废仓库</w:t>
            </w:r>
            <w:r>
              <w:rPr>
                <w:rFonts w:hint="default" w:ascii="Times New Roman" w:hAnsi="Times New Roman" w:eastAsia="宋体" w:cs="Times New Roman"/>
                <w:color w:val="auto"/>
                <w:sz w:val="21"/>
                <w:szCs w:val="21"/>
                <w:highlight w:val="none"/>
              </w:rPr>
              <w:t>内，未造成周围地表水污染。</w:t>
            </w:r>
          </w:p>
        </w:tc>
        <w:tc>
          <w:tcPr>
            <w:tcW w:w="2765" w:type="dxa"/>
            <w:tcBorders>
              <w:tl2br w:val="nil"/>
              <w:tr2bl w:val="nil"/>
            </w:tcBorders>
            <w:vAlign w:val="center"/>
          </w:tcPr>
          <w:p w14:paraId="662A47D5">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泄漏的</w:t>
            </w: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被截流在</w:t>
            </w:r>
            <w:r>
              <w:rPr>
                <w:rFonts w:hint="eastAsia" w:ascii="Times New Roman" w:hAnsi="Times New Roman" w:eastAsia="宋体" w:cs="Times New Roman"/>
                <w:color w:val="auto"/>
                <w:sz w:val="21"/>
                <w:szCs w:val="21"/>
                <w:highlight w:val="none"/>
                <w:lang w:eastAsia="zh-CN"/>
              </w:rPr>
              <w:t>奥庭建材</w:t>
            </w:r>
            <w:r>
              <w:rPr>
                <w:rFonts w:hint="default" w:ascii="Times New Roman" w:hAnsi="Times New Roman" w:eastAsia="宋体" w:cs="Times New Roman"/>
                <w:color w:val="auto"/>
                <w:sz w:val="21"/>
                <w:szCs w:val="21"/>
                <w:highlight w:val="none"/>
              </w:rPr>
              <w:t>的的</w:t>
            </w:r>
            <w:r>
              <w:rPr>
                <w:rFonts w:hint="eastAsia" w:ascii="Times New Roman" w:hAnsi="Times New Roman" w:eastAsia="宋体" w:cs="Times New Roman"/>
                <w:color w:val="auto"/>
                <w:sz w:val="21"/>
                <w:szCs w:val="21"/>
                <w:highlight w:val="none"/>
                <w:lang w:val="en-US" w:eastAsia="zh-CN"/>
              </w:rPr>
              <w:t>车间</w:t>
            </w:r>
            <w:r>
              <w:rPr>
                <w:rFonts w:hint="default" w:ascii="Times New Roman" w:hAnsi="Times New Roman" w:eastAsia="宋体" w:cs="Times New Roman"/>
                <w:color w:val="auto"/>
                <w:sz w:val="21"/>
                <w:szCs w:val="21"/>
                <w:highlight w:val="none"/>
              </w:rPr>
              <w:t>范围之内</w:t>
            </w:r>
          </w:p>
        </w:tc>
      </w:tr>
      <w:tr w14:paraId="046C7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27D6BE81">
            <w:pPr>
              <w:spacing w:before="120" w:beforeLines="50" w:after="120" w:afterLines="50"/>
              <w:jc w:val="center"/>
              <w:rPr>
                <w:rFonts w:hint="eastAsia" w:ascii="Times New Roman" w:hAnsi="Times New Roman" w:eastAsia="宋体" w:cs="Times New Roman"/>
                <w:color w:val="auto"/>
                <w:sz w:val="21"/>
                <w:szCs w:val="21"/>
                <w:highlight w:val="none"/>
                <w:lang w:eastAsia="zh-CN"/>
              </w:rPr>
            </w:pPr>
          </w:p>
        </w:tc>
        <w:tc>
          <w:tcPr>
            <w:tcW w:w="2100" w:type="dxa"/>
            <w:tcBorders>
              <w:tl2br w:val="nil"/>
              <w:tr2bl w:val="nil"/>
            </w:tcBorders>
            <w:vAlign w:val="center"/>
          </w:tcPr>
          <w:p w14:paraId="68575452">
            <w:pPr>
              <w:spacing w:before="120" w:beforeLines="50" w:after="120" w:afterLines="5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废气处理装置故障</w:t>
            </w:r>
          </w:p>
        </w:tc>
        <w:tc>
          <w:tcPr>
            <w:tcW w:w="2513" w:type="dxa"/>
            <w:tcBorders>
              <w:tl2br w:val="nil"/>
              <w:tr2bl w:val="nil"/>
            </w:tcBorders>
            <w:vAlign w:val="center"/>
          </w:tcPr>
          <w:p w14:paraId="27B79D45">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w:t>
            </w:r>
          </w:p>
        </w:tc>
        <w:tc>
          <w:tcPr>
            <w:tcW w:w="5119" w:type="dxa"/>
            <w:tcBorders>
              <w:tl2br w:val="nil"/>
              <w:tr2bl w:val="nil"/>
            </w:tcBorders>
            <w:vAlign w:val="center"/>
          </w:tcPr>
          <w:p w14:paraId="03742EF4">
            <w:pPr>
              <w:spacing w:before="48" w:beforeLines="20" w:after="48" w:afterLines="2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废气处理设施异常，短时间能够恢复，生产单元可控</w:t>
            </w:r>
          </w:p>
        </w:tc>
        <w:tc>
          <w:tcPr>
            <w:tcW w:w="2765" w:type="dxa"/>
            <w:tcBorders>
              <w:tl2br w:val="nil"/>
              <w:tr2bl w:val="nil"/>
            </w:tcBorders>
            <w:vAlign w:val="center"/>
          </w:tcPr>
          <w:p w14:paraId="31867029">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车间范围内</w:t>
            </w:r>
          </w:p>
        </w:tc>
      </w:tr>
      <w:tr w14:paraId="21F52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63FCB0E4">
            <w:pPr>
              <w:spacing w:before="120" w:beforeLines="50" w:after="120" w:afterLines="50"/>
              <w:jc w:val="center"/>
              <w:rPr>
                <w:rFonts w:hint="eastAsia" w:ascii="Times New Roman" w:hAnsi="Times New Roman" w:eastAsia="宋体" w:cs="Times New Roman"/>
                <w:color w:val="auto"/>
                <w:sz w:val="21"/>
                <w:szCs w:val="21"/>
                <w:highlight w:val="none"/>
                <w:lang w:eastAsia="zh-CN"/>
              </w:rPr>
            </w:pPr>
          </w:p>
        </w:tc>
        <w:tc>
          <w:tcPr>
            <w:tcW w:w="2100" w:type="dxa"/>
            <w:tcBorders>
              <w:tl2br w:val="nil"/>
              <w:tr2bl w:val="nil"/>
            </w:tcBorders>
            <w:vAlign w:val="center"/>
          </w:tcPr>
          <w:p w14:paraId="097C7EBB">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废水处理装置故障</w:t>
            </w:r>
          </w:p>
        </w:tc>
        <w:tc>
          <w:tcPr>
            <w:tcW w:w="2513" w:type="dxa"/>
            <w:tcBorders>
              <w:tl2br w:val="nil"/>
              <w:tr2bl w:val="nil"/>
            </w:tcBorders>
            <w:vAlign w:val="center"/>
          </w:tcPr>
          <w:p w14:paraId="3EF2368F">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废水处理设施</w:t>
            </w:r>
          </w:p>
        </w:tc>
        <w:tc>
          <w:tcPr>
            <w:tcW w:w="5119" w:type="dxa"/>
            <w:tcBorders>
              <w:tl2br w:val="nil"/>
              <w:tr2bl w:val="nil"/>
            </w:tcBorders>
            <w:vAlign w:val="center"/>
          </w:tcPr>
          <w:p w14:paraId="5787800B">
            <w:pPr>
              <w:spacing w:before="48" w:beforeLines="20" w:after="48" w:afterLines="2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eastAsiaTheme="minorEastAsia"/>
                <w:color w:val="auto"/>
                <w:kern w:val="0"/>
                <w:sz w:val="21"/>
                <w:szCs w:val="21"/>
                <w:highlight w:val="none"/>
                <w:lang w:eastAsia="zh-CN"/>
              </w:rPr>
              <w:t>废水处理设施</w:t>
            </w:r>
            <w:r>
              <w:rPr>
                <w:rFonts w:hint="default" w:ascii="Times New Roman" w:hAnsi="Times New Roman" w:cs="Times New Roman" w:eastAsiaTheme="minorEastAsia"/>
                <w:color w:val="auto"/>
                <w:kern w:val="0"/>
                <w:sz w:val="21"/>
                <w:szCs w:val="21"/>
                <w:highlight w:val="none"/>
              </w:rPr>
              <w:t>异常，短时间能够恢复，生产单元可控</w:t>
            </w:r>
          </w:p>
        </w:tc>
        <w:tc>
          <w:tcPr>
            <w:tcW w:w="2765" w:type="dxa"/>
            <w:tcBorders>
              <w:tl2br w:val="nil"/>
              <w:tr2bl w:val="nil"/>
            </w:tcBorders>
            <w:vAlign w:val="center"/>
          </w:tcPr>
          <w:p w14:paraId="38FD16E1">
            <w:pPr>
              <w:spacing w:before="120" w:beforeLines="50" w:after="120" w:afterLines="5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车间范围内</w:t>
            </w:r>
          </w:p>
        </w:tc>
      </w:tr>
    </w:tbl>
    <w:p w14:paraId="418F189C">
      <w:pPr>
        <w:spacing w:line="360" w:lineRule="auto"/>
        <w:jc w:val="left"/>
        <w:rPr>
          <w:rFonts w:hint="eastAsia" w:ascii="宋体" w:hAnsi="宋体" w:eastAsia="宋体" w:cs="宋体"/>
          <w:color w:val="auto"/>
          <w:sz w:val="24"/>
          <w:szCs w:val="24"/>
          <w:highlight w:val="none"/>
          <w:lang w:eastAsia="zh-CN"/>
        </w:rPr>
        <w:sectPr>
          <w:pgSz w:w="16838" w:h="11905" w:orient="landscape"/>
          <w:pgMar w:top="1701" w:right="1417" w:bottom="1701" w:left="1417" w:header="901" w:footer="1134" w:gutter="0"/>
          <w:pgBorders>
            <w:top w:val="none" w:sz="0" w:space="0"/>
            <w:left w:val="none" w:sz="0" w:space="0"/>
            <w:bottom w:val="none" w:sz="0" w:space="0"/>
            <w:right w:val="none" w:sz="0" w:space="0"/>
          </w:pgBorders>
          <w:cols w:space="720" w:num="1"/>
          <w:docGrid w:linePitch="312" w:charSpace="0"/>
        </w:sectPr>
      </w:pPr>
      <w:r>
        <w:rPr>
          <w:rFonts w:hint="eastAsia" w:ascii="宋体" w:eastAsia="宋体" w:cs="宋体"/>
          <w:color w:val="auto"/>
          <w:sz w:val="21"/>
          <w:szCs w:val="21"/>
          <w:highlight w:val="none"/>
          <w:lang w:val="en-US" w:eastAsia="zh-CN"/>
        </w:rPr>
        <w:t>备注：</w:t>
      </w:r>
      <w:r>
        <w:rPr>
          <w:rFonts w:hint="eastAsia" w:ascii="宋体" w:hAnsi="宋体" w:eastAsia="宋体" w:cs="宋体"/>
          <w:color w:val="auto"/>
          <w:sz w:val="21"/>
          <w:szCs w:val="21"/>
          <w:highlight w:val="none"/>
        </w:rPr>
        <w:t>超出上述范围的突发环境事件，由公司</w:t>
      </w:r>
      <w:r>
        <w:rPr>
          <w:rFonts w:hint="eastAsia" w:ascii="宋体" w:eastAsia="宋体" w:cs="宋体"/>
          <w:color w:val="auto"/>
          <w:sz w:val="21"/>
          <w:szCs w:val="21"/>
          <w:highlight w:val="none"/>
          <w:lang w:eastAsia="zh-CN"/>
        </w:rPr>
        <w:t>应急救援指挥组</w:t>
      </w:r>
      <w:r>
        <w:rPr>
          <w:rFonts w:hint="eastAsia" w:ascii="宋体" w:hAnsi="宋体" w:eastAsia="宋体" w:cs="宋体"/>
          <w:color w:val="auto"/>
          <w:sz w:val="21"/>
          <w:szCs w:val="21"/>
          <w:highlight w:val="none"/>
        </w:rPr>
        <w:t>总指挥根据事件的实际情况进行分级</w:t>
      </w:r>
      <w:r>
        <w:rPr>
          <w:rFonts w:hint="eastAsia" w:ascii="宋体" w:eastAsia="宋体" w:cs="宋体"/>
          <w:color w:val="auto"/>
          <w:sz w:val="21"/>
          <w:szCs w:val="21"/>
          <w:highlight w:val="none"/>
          <w:lang w:eastAsia="zh-CN"/>
        </w:rPr>
        <w:t>。</w:t>
      </w:r>
    </w:p>
    <w:bookmarkEnd w:id="81"/>
    <w:p w14:paraId="6B35BC70">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86" w:name="_Toc275330205"/>
      <w:bookmarkStart w:id="87" w:name="_Toc19142"/>
      <w:bookmarkStart w:id="88" w:name="_Toc496886993"/>
      <w:bookmarkStart w:id="89" w:name="_Toc276118344"/>
      <w:bookmarkStart w:id="90" w:name="_Toc30159"/>
      <w:bookmarkStart w:id="91" w:name="_Toc30123"/>
      <w:bookmarkStart w:id="92" w:name="_Toc6011"/>
      <w:bookmarkStart w:id="93" w:name="_Toc275938111"/>
      <w:bookmarkStart w:id="94" w:name="_Toc6844"/>
      <w:bookmarkStart w:id="95" w:name="_Toc18078"/>
      <w:r>
        <w:rPr>
          <w:rFonts w:hint="default" w:ascii="Times New Roman" w:hAnsi="Times New Roman" w:cs="Times New Roman" w:eastAsiaTheme="minorEastAsia"/>
          <w:color w:val="auto"/>
          <w:sz w:val="24"/>
          <w:szCs w:val="24"/>
          <w:highlight w:val="none"/>
        </w:rPr>
        <w:t>1.4 应急预案体系</w:t>
      </w:r>
      <w:bookmarkEnd w:id="86"/>
      <w:bookmarkEnd w:id="87"/>
      <w:bookmarkEnd w:id="88"/>
      <w:bookmarkEnd w:id="89"/>
      <w:bookmarkEnd w:id="90"/>
      <w:bookmarkEnd w:id="91"/>
      <w:bookmarkEnd w:id="92"/>
      <w:bookmarkEnd w:id="93"/>
      <w:bookmarkEnd w:id="94"/>
      <w:bookmarkEnd w:id="95"/>
    </w:p>
    <w:p w14:paraId="3C42E5F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应急预案体系由本公司根据有关法律、法规、规章、海安市人民政府及其有关部门要求，针对公司的实际情况制定，由总则、组织机构与职责、监控预警、信息报告、环境应急监测、应急响应与措施、事后恢复、保障措施、预案管理和附件等十个章节构成。该预案为突发环境事件总体应急预案，</w:t>
      </w:r>
      <w:r>
        <w:rPr>
          <w:rFonts w:hint="eastAsia" w:ascii="Times New Roman" w:hAnsi="Times New Roman" w:cs="Times New Roman" w:eastAsiaTheme="minorEastAsia"/>
          <w:color w:val="auto"/>
          <w:sz w:val="24"/>
          <w:szCs w:val="24"/>
          <w:highlight w:val="none"/>
          <w:lang w:val="en-US" w:eastAsia="zh-CN"/>
        </w:rPr>
        <w:t>且包含专项预案和现场处置预案</w:t>
      </w:r>
      <w:r>
        <w:rPr>
          <w:rFonts w:hint="default" w:ascii="Times New Roman" w:hAnsi="Times New Roman" w:cs="Times New Roman" w:eastAsiaTheme="minorEastAsia"/>
          <w:color w:val="auto"/>
          <w:sz w:val="24"/>
          <w:szCs w:val="24"/>
          <w:highlight w:val="none"/>
        </w:rPr>
        <w:t>。同时，将根据实际需要和情势变化，适时进行修订。应急预案的制定、修订程序根据相关部门规定执行。</w:t>
      </w:r>
    </w:p>
    <w:p w14:paraId="67095365">
      <w:pPr>
        <w:pStyle w:val="132"/>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本预案与海安市突发环境事件应急预案衔接，同时与南通市海安生态环境局、海安市应急管理局、海安市消防大队</w:t>
      </w:r>
      <w:r>
        <w:rPr>
          <w:rFonts w:hint="eastAsia" w:cs="Times New Roman" w:eastAsiaTheme="minorEastAsia"/>
          <w:color w:val="auto"/>
          <w:sz w:val="24"/>
          <w:szCs w:val="24"/>
          <w:highlight w:val="none"/>
          <w:lang w:eastAsia="zh-CN"/>
        </w:rPr>
        <w:t>、</w:t>
      </w:r>
      <w:r>
        <w:rPr>
          <w:rFonts w:hint="eastAsia" w:cs="Times New Roman" w:eastAsiaTheme="minorEastAsia"/>
          <w:color w:val="auto"/>
          <w:sz w:val="24"/>
          <w:szCs w:val="24"/>
          <w:highlight w:val="none"/>
          <w:lang w:val="en-US" w:eastAsia="zh-CN"/>
        </w:rPr>
        <w:t>高新区管委会</w:t>
      </w:r>
      <w:r>
        <w:rPr>
          <w:rFonts w:hint="default" w:ascii="Times New Roman" w:hAnsi="Times New Roman" w:cs="Times New Roman" w:eastAsiaTheme="minorEastAsia"/>
          <w:color w:val="auto"/>
          <w:sz w:val="24"/>
          <w:szCs w:val="24"/>
          <w:highlight w:val="none"/>
        </w:rPr>
        <w:t>等部门之间建立应急联动机制，在这些单位介入公司突发环境事件应急处置时，本公司各应急小组将个人无条件听从调配，并按照要求和能力配置应急救援人员、队伍装备、物资等，提供应急所需的用品，与外部相关部门共享区域应急资源、提高共同应对突发环境事件的能力和水平。</w:t>
      </w:r>
    </w:p>
    <w:p w14:paraId="4EB372D3">
      <w:pPr>
        <w:pStyle w:val="30"/>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cs="Times New Roman" w:eastAsiaTheme="minorEastAsia"/>
          <w:color w:val="auto"/>
          <w:sz w:val="24"/>
          <w:szCs w:val="24"/>
          <w:highlight w:val="none"/>
          <w:lang w:val="en-US" w:eastAsia="zh-CN"/>
        </w:rPr>
        <w:t>本公司</w:t>
      </w:r>
      <w:r>
        <w:rPr>
          <w:rFonts w:hint="default" w:ascii="Times New Roman" w:hAnsi="Times New Roman" w:cs="Times New Roman" w:eastAsiaTheme="minorEastAsia"/>
          <w:color w:val="auto"/>
          <w:sz w:val="24"/>
          <w:szCs w:val="24"/>
          <w:highlight w:val="none"/>
        </w:rPr>
        <w:t>的突发环境事件应急预案与上级预案（海安市突发环境事件应急预案）相衔接，具体如下：</w:t>
      </w:r>
    </w:p>
    <w:p w14:paraId="6C859DA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（1）突发环境事件</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织指挥架构</w:t>
      </w:r>
    </w:p>
    <w:p w14:paraId="3CCD4A4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当公司发生突发环境事件时，公司应履行先期处置的职责，当事故扩展到本公司</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Ⅰ级重大环境事件时，应启动海安市突发环境事件应急预案，由海安市政府负责环境应急现场指挥，对事故进行统一领导、统一指挥。</w:t>
      </w:r>
    </w:p>
    <w:p w14:paraId="268C326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（2）应急资源和装备调度与配置</w:t>
      </w:r>
    </w:p>
    <w:p w14:paraId="056F6B1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应急资源和装备是事故发生后能否成功救援的关键。本公司在厂区储备必要的应急物资和装备，当发生</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Ⅰ级重大环境事件启动海安市突发环境事件应急预案时，海安市环境应急现场指挥部</w:t>
      </w:r>
      <w:r>
        <w:rPr>
          <w:rFonts w:hint="eastAsia" w:ascii="Times New Roman" w:hAnsi="Times New Roman" w:cs="Times New Roman" w:eastAsiaTheme="minorEastAsia"/>
          <w:color w:val="auto"/>
          <w:sz w:val="24"/>
          <w:szCs w:val="24"/>
          <w:highlight w:val="none"/>
          <w:lang w:val="en-US" w:eastAsia="zh-CN"/>
        </w:rPr>
        <w:t>统一调用本公司</w:t>
      </w:r>
      <w:r>
        <w:rPr>
          <w:rFonts w:hint="default" w:ascii="Times New Roman" w:hAnsi="Times New Roman" w:cs="Times New Roman" w:eastAsiaTheme="minorEastAsia"/>
          <w:color w:val="auto"/>
          <w:sz w:val="24"/>
          <w:szCs w:val="24"/>
          <w:highlight w:val="none"/>
        </w:rPr>
        <w:t>应急物资和装备，必要时对人员进行疏散和隔离，对重点地区进行封锁。</w:t>
      </w:r>
    </w:p>
    <w:p w14:paraId="101CC5C4">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（3）应急队伍的建立和管理</w:t>
      </w:r>
    </w:p>
    <w:p w14:paraId="61723B26">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本公司建立了公司内部的应急救援小组，海安市建立了以</w:t>
      </w:r>
      <w:r>
        <w:rPr>
          <w:rFonts w:hint="eastAsia" w:ascii="Times New Roman" w:hAnsi="Times New Roman" w:cs="Times New Roman" w:eastAsiaTheme="minorEastAsia"/>
          <w:color w:val="auto"/>
          <w:sz w:val="24"/>
          <w:szCs w:val="24"/>
          <w:highlight w:val="none"/>
          <w:lang w:val="en-US" w:eastAsia="zh-CN"/>
        </w:rPr>
        <w:t>分管副市长</w:t>
      </w:r>
      <w:r>
        <w:rPr>
          <w:rFonts w:hint="default" w:ascii="Times New Roman" w:hAnsi="Times New Roman" w:cs="Times New Roman" w:eastAsiaTheme="minorEastAsia"/>
          <w:color w:val="auto"/>
          <w:sz w:val="24"/>
          <w:szCs w:val="24"/>
          <w:highlight w:val="none"/>
        </w:rPr>
        <w:t>为总指挥的应急指挥中心。根据突发环境事件的类型，由各个部门形成环境应急现场指挥部，同</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内部应急救援小组形成一支救援队伍。</w:t>
      </w:r>
    </w:p>
    <w:p w14:paraId="066933F4">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（4）宣传、培训和演习协调机制</w:t>
      </w:r>
    </w:p>
    <w:p w14:paraId="75EEF97B">
      <w:pPr>
        <w:pStyle w:val="30"/>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sz w:val="24"/>
          <w:szCs w:val="24"/>
          <w:highlight w:val="none"/>
        </w:rPr>
        <w:t>本公司应与海安市政府建立互动机制，向公司所在地企事业单位、群众等宣传相关应急知识。本公司应当根据自身特点，定期组织应急预案演习，同时可以根据预案的要求和海安市进行共同演习。</w:t>
      </w:r>
    </w:p>
    <w:p w14:paraId="34D22065">
      <w:pPr>
        <w:pStyle w:val="132"/>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cs="Times New Roman" w:eastAsiaTheme="minorEastAsia"/>
          <w:color w:val="auto"/>
          <w:kern w:val="0"/>
          <w:sz w:val="24"/>
          <w:szCs w:val="24"/>
          <w:highlight w:val="none"/>
          <w:lang w:val="en-US" w:eastAsia="zh-CN"/>
        </w:rPr>
        <w:t>预案响应程序见图1-1，</w:t>
      </w:r>
      <w:r>
        <w:rPr>
          <w:rFonts w:hint="default" w:ascii="Times New Roman" w:hAnsi="Times New Roman" w:cs="Times New Roman" w:eastAsiaTheme="minorEastAsia"/>
          <w:color w:val="auto"/>
          <w:kern w:val="0"/>
          <w:sz w:val="24"/>
          <w:szCs w:val="24"/>
          <w:highlight w:val="none"/>
        </w:rPr>
        <w:t>各预案间的衔接</w:t>
      </w:r>
      <w:r>
        <w:rPr>
          <w:rFonts w:hint="eastAsia" w:cs="Times New Roman" w:eastAsiaTheme="minorEastAsia"/>
          <w:color w:val="auto"/>
          <w:kern w:val="0"/>
          <w:sz w:val="24"/>
          <w:szCs w:val="24"/>
          <w:highlight w:val="none"/>
          <w:lang w:val="en-US" w:eastAsia="zh-CN"/>
        </w:rPr>
        <w:t>见图1-2。</w:t>
      </w:r>
    </w:p>
    <w:p w14:paraId="41C62FED">
      <w:pPr>
        <w:rPr>
          <w:rFonts w:hint="default"/>
        </w:rPr>
      </w:pPr>
    </w:p>
    <w:p w14:paraId="1F045C31">
      <w:pPr>
        <w:pStyle w:val="13"/>
        <w:ind w:left="0" w:leftChars="0" w:firstLine="0" w:firstLineChars="0"/>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color w:val="auto"/>
          <w:sz w:val="24"/>
          <w:szCs w:val="24"/>
          <w:highlight w:val="none"/>
        </w:rPr>
        <mc:AlternateContent>
          <mc:Choice Requires="wpc">
            <w:drawing>
              <wp:inline distT="0" distB="0" distL="0" distR="0">
                <wp:extent cx="5600700" cy="6468745"/>
                <wp:effectExtent l="0" t="0" r="0" b="0"/>
                <wp:docPr id="4879" name="画布 409"/>
                <wp:cNvGraphicFramePr/>
                <a:graphic xmlns:a="http://schemas.openxmlformats.org/drawingml/2006/main">
                  <a:graphicData uri="http://schemas.microsoft.com/office/word/2010/wordprocessingCanvas">
                    <wpc:wpc>
                      <wpc:bg>
                        <a:noFill/>
                      </wpc:bg>
                      <wpc:whole/>
                      <wps:wsp>
                        <wps:cNvPr id="635" name="文本框 411"/>
                        <wps:cNvSpPr txBox="1">
                          <a:spLocks noChangeArrowheads="1"/>
                        </wps:cNvSpPr>
                        <wps:spPr bwMode="auto">
                          <a:xfrm>
                            <a:off x="447675" y="439"/>
                            <a:ext cx="914400" cy="198755"/>
                          </a:xfrm>
                          <a:prstGeom prst="rect">
                            <a:avLst/>
                          </a:prstGeom>
                          <a:noFill/>
                          <a:ln>
                            <a:noFill/>
                          </a:ln>
                        </wps:spPr>
                        <wps:txbx>
                          <w:txbxContent>
                            <w:p w14:paraId="0B134139">
                              <w:pPr>
                                <w:jc w:val="center"/>
                                <w:rPr>
                                  <w:rFonts w:ascii="仿宋" w:hAnsi="仿宋" w:eastAsia="仿宋"/>
                                  <w:sz w:val="21"/>
                                  <w:szCs w:val="21"/>
                                </w:rPr>
                              </w:pPr>
                              <w:r>
                                <w:rPr>
                                  <w:rFonts w:hint="eastAsia" w:ascii="仿宋" w:hAnsi="仿宋" w:eastAsia="仿宋"/>
                                  <w:sz w:val="21"/>
                                  <w:szCs w:val="21"/>
                                </w:rPr>
                                <w:t>生产事故信息</w:t>
                              </w:r>
                            </w:p>
                          </w:txbxContent>
                        </wps:txbx>
                        <wps:bodyPr rot="0" vert="horz" wrap="square" lIns="0" tIns="0" rIns="0" bIns="0" anchor="t" anchorCtr="0" upright="1">
                          <a:noAutofit/>
                        </wps:bodyPr>
                      </wps:wsp>
                      <wps:wsp>
                        <wps:cNvPr id="636" name="直线 412"/>
                        <wps:cNvCnPr>
                          <a:cxnSpLocks noChangeShapeType="1"/>
                        </wps:cNvCnPr>
                        <wps:spPr bwMode="auto">
                          <a:xfrm>
                            <a:off x="914400" y="132515"/>
                            <a:ext cx="635" cy="295910"/>
                          </a:xfrm>
                          <a:prstGeom prst="line">
                            <a:avLst/>
                          </a:prstGeom>
                          <a:noFill/>
                          <a:ln w="9525">
                            <a:solidFill>
                              <a:srgbClr val="000000"/>
                            </a:solidFill>
                            <a:round/>
                            <a:tailEnd type="triangle" w="med" len="med"/>
                          </a:ln>
                        </wps:spPr>
                        <wps:bodyPr/>
                      </wps:wsp>
                      <wps:wsp>
                        <wps:cNvPr id="637" name="文本框 413"/>
                        <wps:cNvSpPr txBox="1">
                          <a:spLocks noChangeArrowheads="1"/>
                        </wps:cNvSpPr>
                        <wps:spPr bwMode="auto">
                          <a:xfrm>
                            <a:off x="619125" y="437950"/>
                            <a:ext cx="571500" cy="201295"/>
                          </a:xfrm>
                          <a:prstGeom prst="rect">
                            <a:avLst/>
                          </a:prstGeom>
                          <a:noFill/>
                          <a:ln w="9525">
                            <a:solidFill>
                              <a:srgbClr val="000000"/>
                            </a:solidFill>
                            <a:miter lim="800000"/>
                          </a:ln>
                        </wps:spPr>
                        <wps:txbx>
                          <w:txbxContent>
                            <w:p w14:paraId="7709086C">
                              <w:pPr>
                                <w:jc w:val="center"/>
                                <w:rPr>
                                  <w:rFonts w:ascii="仿宋" w:hAnsi="仿宋" w:eastAsia="仿宋"/>
                                  <w:sz w:val="21"/>
                                  <w:szCs w:val="21"/>
                                </w:rPr>
                              </w:pPr>
                              <w:r>
                                <w:rPr>
                                  <w:rFonts w:hint="eastAsia" w:ascii="仿宋" w:hAnsi="仿宋" w:eastAsia="仿宋"/>
                                  <w:sz w:val="21"/>
                                  <w:szCs w:val="21"/>
                                </w:rPr>
                                <w:t>接报</w:t>
                              </w:r>
                            </w:p>
                          </w:txbxContent>
                        </wps:txbx>
                        <wps:bodyPr rot="0" vert="horz" wrap="square" lIns="0" tIns="0" rIns="0" bIns="0" anchor="t" anchorCtr="0" upright="1">
                          <a:noAutofit/>
                        </wps:bodyPr>
                      </wps:wsp>
                      <wps:wsp>
                        <wps:cNvPr id="638" name="直线 414"/>
                        <wps:cNvCnPr>
                          <a:cxnSpLocks noChangeShapeType="1"/>
                        </wps:cNvCnPr>
                        <wps:spPr bwMode="auto">
                          <a:xfrm>
                            <a:off x="914400" y="641785"/>
                            <a:ext cx="635" cy="295910"/>
                          </a:xfrm>
                          <a:prstGeom prst="line">
                            <a:avLst/>
                          </a:prstGeom>
                          <a:noFill/>
                          <a:ln w="9525">
                            <a:solidFill>
                              <a:srgbClr val="000000"/>
                            </a:solidFill>
                            <a:round/>
                            <a:tailEnd type="triangle" w="med" len="med"/>
                          </a:ln>
                        </wps:spPr>
                        <wps:bodyPr/>
                      </wps:wsp>
                      <wps:wsp>
                        <wps:cNvPr id="639" name="文本框 415"/>
                        <wps:cNvSpPr txBox="1">
                          <a:spLocks noChangeArrowheads="1"/>
                        </wps:cNvSpPr>
                        <wps:spPr bwMode="auto">
                          <a:xfrm>
                            <a:off x="619125" y="947220"/>
                            <a:ext cx="571500" cy="201295"/>
                          </a:xfrm>
                          <a:prstGeom prst="rect">
                            <a:avLst/>
                          </a:prstGeom>
                          <a:noFill/>
                          <a:ln w="9525">
                            <a:solidFill>
                              <a:srgbClr val="000000"/>
                            </a:solidFill>
                            <a:miter lim="800000"/>
                          </a:ln>
                        </wps:spPr>
                        <wps:txbx>
                          <w:txbxContent>
                            <w:p w14:paraId="7509A512">
                              <w:pPr>
                                <w:jc w:val="center"/>
                                <w:rPr>
                                  <w:rFonts w:ascii="仿宋" w:hAnsi="仿宋" w:eastAsia="仿宋"/>
                                  <w:sz w:val="21"/>
                                  <w:szCs w:val="21"/>
                                </w:rPr>
                              </w:pPr>
                              <w:r>
                                <w:rPr>
                                  <w:rFonts w:hint="eastAsia" w:ascii="仿宋" w:hAnsi="仿宋" w:eastAsia="仿宋"/>
                                  <w:sz w:val="21"/>
                                  <w:szCs w:val="21"/>
                                </w:rPr>
                                <w:t>信息研判</w:t>
                              </w:r>
                            </w:p>
                          </w:txbxContent>
                        </wps:txbx>
                        <wps:bodyPr rot="0" vert="horz" wrap="square" lIns="0" tIns="0" rIns="0" bIns="0" anchor="t" anchorCtr="0" upright="1">
                          <a:noAutofit/>
                        </wps:bodyPr>
                      </wps:wsp>
                      <wps:wsp>
                        <wps:cNvPr id="640" name="直线 416"/>
                        <wps:cNvCnPr>
                          <a:cxnSpLocks noChangeShapeType="1"/>
                        </wps:cNvCnPr>
                        <wps:spPr bwMode="auto">
                          <a:xfrm>
                            <a:off x="923925" y="1156135"/>
                            <a:ext cx="635" cy="295910"/>
                          </a:xfrm>
                          <a:prstGeom prst="line">
                            <a:avLst/>
                          </a:prstGeom>
                          <a:noFill/>
                          <a:ln w="9525">
                            <a:solidFill>
                              <a:srgbClr val="000000"/>
                            </a:solidFill>
                            <a:round/>
                            <a:tailEnd type="triangle" w="med" len="med"/>
                          </a:ln>
                        </wps:spPr>
                        <wps:bodyPr/>
                      </wps:wsp>
                      <wps:wsp>
                        <wps:cNvPr id="641" name="文本框 417"/>
                        <wps:cNvSpPr txBox="1">
                          <a:spLocks noChangeArrowheads="1"/>
                        </wps:cNvSpPr>
                        <wps:spPr bwMode="auto">
                          <a:xfrm>
                            <a:off x="495300" y="1480620"/>
                            <a:ext cx="864235" cy="201295"/>
                          </a:xfrm>
                          <a:prstGeom prst="rect">
                            <a:avLst/>
                          </a:prstGeom>
                          <a:noFill/>
                          <a:ln w="9525">
                            <a:solidFill>
                              <a:srgbClr val="000000"/>
                            </a:solidFill>
                            <a:miter lim="800000"/>
                          </a:ln>
                        </wps:spPr>
                        <wps:txbx>
                          <w:txbxContent>
                            <w:p w14:paraId="07D1ADCB">
                              <w:pPr>
                                <w:jc w:val="center"/>
                                <w:rPr>
                                  <w:rFonts w:ascii="仿宋" w:hAnsi="仿宋" w:eastAsia="仿宋"/>
                                  <w:sz w:val="21"/>
                                  <w:szCs w:val="21"/>
                                </w:rPr>
                              </w:pPr>
                              <w:r>
                                <w:rPr>
                                  <w:rFonts w:hint="eastAsia" w:ascii="仿宋" w:hAnsi="仿宋" w:eastAsia="仿宋"/>
                                  <w:sz w:val="21"/>
                                  <w:szCs w:val="21"/>
                                  <w:lang w:val="en-US" w:eastAsia="zh-CN"/>
                                </w:rPr>
                                <w:t>公司</w:t>
                              </w:r>
                              <w:r>
                                <w:rPr>
                                  <w:rFonts w:hint="eastAsia" w:ascii="仿宋" w:hAnsi="仿宋" w:eastAsia="仿宋"/>
                                  <w:sz w:val="21"/>
                                  <w:szCs w:val="21"/>
                                </w:rPr>
                                <w:t>应急活动</w:t>
                              </w:r>
                            </w:p>
                          </w:txbxContent>
                        </wps:txbx>
                        <wps:bodyPr rot="0" vert="horz" wrap="square" lIns="0" tIns="0" rIns="0" bIns="0" anchor="t" anchorCtr="0" upright="1">
                          <a:noAutofit/>
                        </wps:bodyPr>
                      </wps:wsp>
                      <wps:wsp>
                        <wps:cNvPr id="642" name="文本框 419"/>
                        <wps:cNvSpPr txBox="1">
                          <a:spLocks noChangeArrowheads="1"/>
                        </wps:cNvSpPr>
                        <wps:spPr bwMode="auto">
                          <a:xfrm>
                            <a:off x="2168525" y="431800"/>
                            <a:ext cx="571500" cy="201295"/>
                          </a:xfrm>
                          <a:prstGeom prst="rect">
                            <a:avLst/>
                          </a:prstGeom>
                          <a:noFill/>
                          <a:ln w="9525">
                            <a:solidFill>
                              <a:srgbClr val="000000"/>
                            </a:solidFill>
                            <a:miter lim="800000"/>
                          </a:ln>
                        </wps:spPr>
                        <wps:txbx>
                          <w:txbxContent>
                            <w:p w14:paraId="12BBE114">
                              <w:pPr>
                                <w:jc w:val="center"/>
                                <w:rPr>
                                  <w:rFonts w:ascii="仿宋" w:hAnsi="仿宋" w:eastAsia="仿宋"/>
                                  <w:sz w:val="21"/>
                                  <w:szCs w:val="21"/>
                                </w:rPr>
                              </w:pPr>
                              <w:r>
                                <w:rPr>
                                  <w:rFonts w:hint="eastAsia" w:ascii="仿宋" w:hAnsi="仿宋" w:eastAsia="仿宋"/>
                                  <w:sz w:val="21"/>
                                  <w:szCs w:val="21"/>
                                </w:rPr>
                                <w:t>报告</w:t>
                              </w:r>
                            </w:p>
                          </w:txbxContent>
                        </wps:txbx>
                        <wps:bodyPr rot="0" vert="horz" wrap="square" lIns="0" tIns="0" rIns="0" bIns="0" anchor="t" anchorCtr="0" upright="1">
                          <a:noAutofit/>
                        </wps:bodyPr>
                      </wps:wsp>
                      <wps:wsp>
                        <wps:cNvPr id="643" name="文本框 420"/>
                        <wps:cNvSpPr txBox="1">
                          <a:spLocks noChangeArrowheads="1"/>
                        </wps:cNvSpPr>
                        <wps:spPr bwMode="auto">
                          <a:xfrm>
                            <a:off x="1120140" y="718185"/>
                            <a:ext cx="1143000" cy="198755"/>
                          </a:xfrm>
                          <a:prstGeom prst="rect">
                            <a:avLst/>
                          </a:prstGeom>
                          <a:noFill/>
                          <a:ln>
                            <a:noFill/>
                          </a:ln>
                        </wps:spPr>
                        <wps:txbx>
                          <w:txbxContent>
                            <w:p w14:paraId="14FB6FFD">
                              <w:pPr>
                                <w:jc w:val="center"/>
                                <w:rPr>
                                  <w:rFonts w:ascii="仿宋" w:hAnsi="仿宋" w:eastAsia="仿宋"/>
                                  <w:sz w:val="21"/>
                                  <w:szCs w:val="21"/>
                                </w:rPr>
                              </w:pPr>
                              <w:r>
                                <w:rPr>
                                  <w:rFonts w:hint="eastAsia" w:ascii="仿宋" w:hAnsi="仿宋" w:eastAsia="仿宋"/>
                                  <w:sz w:val="21"/>
                                  <w:szCs w:val="21"/>
                                </w:rPr>
                                <w:t>超出</w:t>
                              </w:r>
                              <w:r>
                                <w:rPr>
                                  <w:rFonts w:hint="eastAsia" w:ascii="仿宋" w:hAnsi="仿宋" w:eastAsia="仿宋"/>
                                  <w:sz w:val="21"/>
                                  <w:szCs w:val="21"/>
                                  <w:lang w:eastAsia="zh-CN"/>
                                </w:rPr>
                                <w:t>公司</w:t>
                              </w:r>
                              <w:r>
                                <w:rPr>
                                  <w:rFonts w:hint="eastAsia" w:ascii="仿宋" w:hAnsi="仿宋" w:eastAsia="仿宋"/>
                                  <w:sz w:val="21"/>
                                  <w:szCs w:val="21"/>
                                </w:rPr>
                                <w:t>应急范畴</w:t>
                              </w:r>
                            </w:p>
                          </w:txbxContent>
                        </wps:txbx>
                        <wps:bodyPr rot="0" vert="horz" wrap="square" lIns="0" tIns="0" rIns="0" bIns="0" anchor="t" anchorCtr="0" upright="1">
                          <a:noAutofit/>
                        </wps:bodyPr>
                      </wps:wsp>
                      <wps:wsp>
                        <wps:cNvPr id="644" name="文本框 421"/>
                        <wps:cNvSpPr txBox="1">
                          <a:spLocks noChangeArrowheads="1"/>
                        </wps:cNvSpPr>
                        <wps:spPr bwMode="auto">
                          <a:xfrm>
                            <a:off x="981075" y="1202490"/>
                            <a:ext cx="1371600" cy="198755"/>
                          </a:xfrm>
                          <a:prstGeom prst="rect">
                            <a:avLst/>
                          </a:prstGeom>
                          <a:noFill/>
                          <a:ln>
                            <a:noFill/>
                          </a:ln>
                        </wps:spPr>
                        <wps:txbx>
                          <w:txbxContent>
                            <w:p w14:paraId="20AC3394">
                              <w:pPr>
                                <w:jc w:val="center"/>
                                <w:rPr>
                                  <w:rFonts w:ascii="仿宋" w:hAnsi="仿宋" w:eastAsia="仿宋"/>
                                  <w:sz w:val="21"/>
                                  <w:szCs w:val="21"/>
                                </w:rPr>
                              </w:pPr>
                              <w:r>
                                <w:rPr>
                                  <w:rFonts w:hint="eastAsia" w:ascii="仿宋" w:hAnsi="仿宋" w:eastAsia="仿宋"/>
                                  <w:sz w:val="21"/>
                                  <w:szCs w:val="21"/>
                                </w:rPr>
                                <w:t>未超出</w:t>
                              </w:r>
                              <w:r>
                                <w:rPr>
                                  <w:rFonts w:hint="eastAsia" w:ascii="仿宋" w:hAnsi="仿宋" w:eastAsia="仿宋"/>
                                  <w:sz w:val="21"/>
                                  <w:szCs w:val="21"/>
                                  <w:lang w:eastAsia="zh-CN"/>
                                </w:rPr>
                                <w:t>公司</w:t>
                              </w:r>
                              <w:r>
                                <w:rPr>
                                  <w:rFonts w:hint="eastAsia" w:ascii="仿宋" w:hAnsi="仿宋" w:eastAsia="仿宋"/>
                                  <w:sz w:val="21"/>
                                  <w:szCs w:val="21"/>
                                </w:rPr>
                                <w:t>应急范畴</w:t>
                              </w:r>
                            </w:p>
                          </w:txbxContent>
                        </wps:txbx>
                        <wps:bodyPr rot="0" vert="horz" wrap="square" lIns="0" tIns="0" rIns="0" bIns="0" anchor="t" anchorCtr="0" upright="1">
                          <a:noAutofit/>
                        </wps:bodyPr>
                      </wps:wsp>
                      <wps:wsp>
                        <wps:cNvPr id="645" name="直线 422"/>
                        <wps:cNvCnPr>
                          <a:cxnSpLocks noChangeShapeType="1"/>
                        </wps:cNvCnPr>
                        <wps:spPr bwMode="auto">
                          <a:xfrm flipV="1">
                            <a:off x="2725420" y="519430"/>
                            <a:ext cx="1402080" cy="6350"/>
                          </a:xfrm>
                          <a:prstGeom prst="line">
                            <a:avLst/>
                          </a:prstGeom>
                          <a:noFill/>
                          <a:ln w="9525">
                            <a:solidFill>
                              <a:srgbClr val="000000"/>
                            </a:solidFill>
                            <a:round/>
                          </a:ln>
                        </wps:spPr>
                        <wps:bodyPr/>
                      </wps:wsp>
                      <wps:wsp>
                        <wps:cNvPr id="648" name="文本框 425"/>
                        <wps:cNvSpPr txBox="1">
                          <a:spLocks noChangeArrowheads="1"/>
                        </wps:cNvSpPr>
                        <wps:spPr bwMode="auto">
                          <a:xfrm>
                            <a:off x="3202940" y="1187450"/>
                            <a:ext cx="228600" cy="1312545"/>
                          </a:xfrm>
                          <a:prstGeom prst="rect">
                            <a:avLst/>
                          </a:prstGeom>
                          <a:noFill/>
                          <a:ln w="9525">
                            <a:solidFill>
                              <a:srgbClr val="000000"/>
                            </a:solidFill>
                            <a:miter lim="800000"/>
                          </a:ln>
                        </wps:spPr>
                        <wps:txbx>
                          <w:txbxContent>
                            <w:p w14:paraId="407869C5">
                              <w:pPr>
                                <w:jc w:val="center"/>
                                <w:rPr>
                                  <w:rFonts w:ascii="仿宋" w:hAnsi="仿宋" w:eastAsia="仿宋"/>
                                  <w:sz w:val="21"/>
                                  <w:szCs w:val="21"/>
                                </w:rPr>
                              </w:pPr>
                              <w:r>
                                <w:rPr>
                                  <w:rFonts w:hint="eastAsia" w:ascii="仿宋" w:hAnsi="仿宋" w:eastAsia="仿宋"/>
                                  <w:sz w:val="21"/>
                                  <w:szCs w:val="21"/>
                                </w:rPr>
                                <w:t>海安市人民政府</w:t>
                              </w:r>
                            </w:p>
                            <w:p w14:paraId="59AA6268">
                              <w:pPr>
                                <w:ind w:firstLine="420"/>
                                <w:jc w:val="center"/>
                                <w:rPr>
                                  <w:rFonts w:ascii="仿宋" w:hAnsi="仿宋" w:eastAsia="仿宋"/>
                                  <w:sz w:val="21"/>
                                  <w:szCs w:val="21"/>
                                </w:rPr>
                              </w:pPr>
                            </w:p>
                          </w:txbxContent>
                        </wps:txbx>
                        <wps:bodyPr rot="0" vert="eaVert" wrap="square" lIns="0" tIns="0" rIns="0" bIns="0" anchor="t" anchorCtr="0" upright="1">
                          <a:noAutofit/>
                        </wps:bodyPr>
                      </wps:wsp>
                      <wps:wsp>
                        <wps:cNvPr id="649" name="文本框 426"/>
                        <wps:cNvSpPr txBox="1">
                          <a:spLocks noChangeArrowheads="1"/>
                        </wps:cNvSpPr>
                        <wps:spPr bwMode="auto">
                          <a:xfrm>
                            <a:off x="3678555" y="1178560"/>
                            <a:ext cx="228600" cy="1594485"/>
                          </a:xfrm>
                          <a:prstGeom prst="rect">
                            <a:avLst/>
                          </a:prstGeom>
                          <a:noFill/>
                          <a:ln w="9525">
                            <a:solidFill>
                              <a:srgbClr val="000000"/>
                            </a:solidFill>
                            <a:miter lim="800000"/>
                          </a:ln>
                        </wps:spPr>
                        <wps:txbx>
                          <w:txbxContent>
                            <w:p w14:paraId="127FB178">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南通市海安生态环境局</w:t>
                              </w:r>
                            </w:p>
                          </w:txbxContent>
                        </wps:txbx>
                        <wps:bodyPr rot="0" vert="eaVert" wrap="square" lIns="0" tIns="0" rIns="0" bIns="0" anchor="t" anchorCtr="0" upright="1">
                          <a:noAutofit/>
                        </wps:bodyPr>
                      </wps:wsp>
                      <wps:wsp>
                        <wps:cNvPr id="650" name="直线 427"/>
                        <wps:cNvCnPr>
                          <a:cxnSpLocks noChangeShapeType="1"/>
                        </wps:cNvCnPr>
                        <wps:spPr bwMode="auto">
                          <a:xfrm flipH="1">
                            <a:off x="3457575" y="1816100"/>
                            <a:ext cx="215900" cy="635"/>
                          </a:xfrm>
                          <a:prstGeom prst="line">
                            <a:avLst/>
                          </a:prstGeom>
                          <a:noFill/>
                          <a:ln w="9525">
                            <a:solidFill>
                              <a:srgbClr val="000000"/>
                            </a:solidFill>
                            <a:round/>
                            <a:tailEnd type="triangle" w="med" len="med"/>
                          </a:ln>
                        </wps:spPr>
                        <wps:bodyPr/>
                      </wps:wsp>
                      <wps:wsp>
                        <wps:cNvPr id="652" name="文本框 430"/>
                        <wps:cNvSpPr txBox="1">
                          <a:spLocks noChangeArrowheads="1"/>
                        </wps:cNvSpPr>
                        <wps:spPr bwMode="auto">
                          <a:xfrm>
                            <a:off x="3054985" y="570865"/>
                            <a:ext cx="914400" cy="198120"/>
                          </a:xfrm>
                          <a:prstGeom prst="rect">
                            <a:avLst/>
                          </a:prstGeom>
                          <a:noFill/>
                          <a:ln>
                            <a:noFill/>
                          </a:ln>
                        </wps:spPr>
                        <wps:txbx>
                          <w:txbxContent>
                            <w:p w14:paraId="2CDEB3DC">
                              <w:pPr>
                                <w:jc w:val="center"/>
                                <w:rPr>
                                  <w:rFonts w:ascii="仿宋" w:hAnsi="仿宋" w:eastAsia="仿宋"/>
                                  <w:sz w:val="21"/>
                                  <w:szCs w:val="21"/>
                                </w:rPr>
                              </w:pPr>
                              <w:r>
                                <w:rPr>
                                  <w:rFonts w:hint="eastAsia" w:ascii="仿宋" w:hAnsi="仿宋" w:eastAsia="仿宋"/>
                                  <w:sz w:val="21"/>
                                  <w:szCs w:val="21"/>
                                </w:rPr>
                                <w:t>政府部门</w:t>
                              </w:r>
                            </w:p>
                          </w:txbxContent>
                        </wps:txbx>
                        <wps:bodyPr rot="0" vert="horz" wrap="square" lIns="0" tIns="0" rIns="0" bIns="0" anchor="t" anchorCtr="0" upright="1">
                          <a:noAutofit/>
                        </wps:bodyPr>
                      </wps:wsp>
                      <wps:wsp>
                        <wps:cNvPr id="653" name="直线 431"/>
                        <wps:cNvCnPr>
                          <a:cxnSpLocks noChangeShapeType="1"/>
                        </wps:cNvCnPr>
                        <wps:spPr bwMode="auto">
                          <a:xfrm>
                            <a:off x="4486275" y="2783840"/>
                            <a:ext cx="635" cy="295910"/>
                          </a:xfrm>
                          <a:prstGeom prst="line">
                            <a:avLst/>
                          </a:prstGeom>
                          <a:noFill/>
                          <a:ln w="9525">
                            <a:solidFill>
                              <a:srgbClr val="000000"/>
                            </a:solidFill>
                            <a:round/>
                            <a:tailEnd type="triangle" w="med" len="med"/>
                          </a:ln>
                        </wps:spPr>
                        <wps:bodyPr/>
                      </wps:wsp>
                      <wps:wsp>
                        <wps:cNvPr id="654" name="文本框 432"/>
                        <wps:cNvSpPr txBox="1">
                          <a:spLocks noChangeArrowheads="1"/>
                        </wps:cNvSpPr>
                        <wps:spPr bwMode="auto">
                          <a:xfrm>
                            <a:off x="3848100" y="3081020"/>
                            <a:ext cx="1257300" cy="201295"/>
                          </a:xfrm>
                          <a:prstGeom prst="rect">
                            <a:avLst/>
                          </a:prstGeom>
                          <a:noFill/>
                          <a:ln w="9525">
                            <a:solidFill>
                              <a:srgbClr val="000000"/>
                            </a:solidFill>
                            <a:miter lim="800000"/>
                          </a:ln>
                        </wps:spPr>
                        <wps:txbx>
                          <w:txbxContent>
                            <w:p w14:paraId="3F1F10A4">
                              <w:pPr>
                                <w:jc w:val="center"/>
                                <w:rPr>
                                  <w:rFonts w:ascii="仿宋" w:hAnsi="仿宋" w:eastAsia="仿宋"/>
                                  <w:sz w:val="21"/>
                                  <w:szCs w:val="21"/>
                                </w:rPr>
                              </w:pPr>
                              <w:r>
                                <w:rPr>
                                  <w:rFonts w:hint="eastAsia" w:ascii="仿宋" w:hAnsi="仿宋" w:eastAsia="仿宋"/>
                                  <w:sz w:val="21"/>
                                  <w:szCs w:val="21"/>
                                </w:rPr>
                                <w:t>预警</w:t>
                              </w:r>
                            </w:p>
                          </w:txbxContent>
                        </wps:txbx>
                        <wps:bodyPr rot="0" vert="horz" wrap="square" lIns="0" tIns="0" rIns="0" bIns="0" anchor="t" anchorCtr="0" upright="1">
                          <a:noAutofit/>
                        </wps:bodyPr>
                      </wps:wsp>
                      <wps:wsp>
                        <wps:cNvPr id="655" name="直线 433"/>
                        <wps:cNvCnPr>
                          <a:cxnSpLocks noChangeShapeType="1"/>
                        </wps:cNvCnPr>
                        <wps:spPr bwMode="auto">
                          <a:xfrm>
                            <a:off x="4495800" y="3279140"/>
                            <a:ext cx="635" cy="349885"/>
                          </a:xfrm>
                          <a:prstGeom prst="line">
                            <a:avLst/>
                          </a:prstGeom>
                          <a:noFill/>
                          <a:ln w="9525">
                            <a:solidFill>
                              <a:srgbClr val="000000"/>
                            </a:solidFill>
                            <a:round/>
                            <a:tailEnd type="triangle" w="med" len="med"/>
                          </a:ln>
                        </wps:spPr>
                        <wps:bodyPr/>
                      </wps:wsp>
                      <wps:wsp>
                        <wps:cNvPr id="656" name="文本框 434"/>
                        <wps:cNvSpPr txBox="1">
                          <a:spLocks noChangeArrowheads="1"/>
                        </wps:cNvSpPr>
                        <wps:spPr bwMode="auto">
                          <a:xfrm>
                            <a:off x="3876675" y="3622675"/>
                            <a:ext cx="1257300" cy="201295"/>
                          </a:xfrm>
                          <a:prstGeom prst="rect">
                            <a:avLst/>
                          </a:prstGeom>
                          <a:noFill/>
                          <a:ln w="9525">
                            <a:solidFill>
                              <a:srgbClr val="000000"/>
                            </a:solidFill>
                            <a:miter lim="800000"/>
                          </a:ln>
                        </wps:spPr>
                        <wps:txbx>
                          <w:txbxContent>
                            <w:p w14:paraId="69F80A2F">
                              <w:pPr>
                                <w:jc w:val="center"/>
                                <w:rPr>
                                  <w:rFonts w:ascii="仿宋" w:hAnsi="仿宋" w:eastAsia="仿宋"/>
                                  <w:sz w:val="21"/>
                                  <w:szCs w:val="21"/>
                                </w:rPr>
                              </w:pPr>
                              <w:r>
                                <w:rPr>
                                  <w:rFonts w:hint="eastAsia" w:ascii="仿宋" w:hAnsi="仿宋" w:eastAsia="仿宋"/>
                                  <w:sz w:val="21"/>
                                  <w:szCs w:val="21"/>
                                </w:rPr>
                                <w:t>启动应急预案</w:t>
                              </w:r>
                            </w:p>
                          </w:txbxContent>
                        </wps:txbx>
                        <wps:bodyPr rot="0" vert="horz" wrap="square" lIns="0" tIns="0" rIns="0" bIns="0" anchor="t" anchorCtr="0" upright="1">
                          <a:noAutofit/>
                        </wps:bodyPr>
                      </wps:wsp>
                      <wps:wsp>
                        <wps:cNvPr id="657" name="直线 435"/>
                        <wps:cNvCnPr>
                          <a:cxnSpLocks noChangeShapeType="1"/>
                        </wps:cNvCnPr>
                        <wps:spPr bwMode="auto">
                          <a:xfrm>
                            <a:off x="4524375" y="3836035"/>
                            <a:ext cx="635" cy="377825"/>
                          </a:xfrm>
                          <a:prstGeom prst="line">
                            <a:avLst/>
                          </a:prstGeom>
                          <a:noFill/>
                          <a:ln w="9525">
                            <a:solidFill>
                              <a:srgbClr val="000000"/>
                            </a:solidFill>
                            <a:round/>
                            <a:tailEnd type="triangle" w="med" len="med"/>
                          </a:ln>
                        </wps:spPr>
                        <wps:bodyPr/>
                      </wps:wsp>
                      <wps:wsp>
                        <wps:cNvPr id="658" name="文本框 436"/>
                        <wps:cNvSpPr txBox="1">
                          <a:spLocks noChangeArrowheads="1"/>
                        </wps:cNvSpPr>
                        <wps:spPr bwMode="auto">
                          <a:xfrm>
                            <a:off x="3895725" y="4220845"/>
                            <a:ext cx="1257300" cy="201295"/>
                          </a:xfrm>
                          <a:prstGeom prst="rect">
                            <a:avLst/>
                          </a:prstGeom>
                          <a:noFill/>
                          <a:ln w="9525">
                            <a:solidFill>
                              <a:srgbClr val="000000"/>
                            </a:solidFill>
                            <a:miter lim="800000"/>
                          </a:ln>
                        </wps:spPr>
                        <wps:txbx>
                          <w:txbxContent>
                            <w:p w14:paraId="6A23E679">
                              <w:pPr>
                                <w:jc w:val="center"/>
                                <w:rPr>
                                  <w:rFonts w:ascii="仿宋" w:hAnsi="仿宋" w:eastAsia="仿宋"/>
                                  <w:sz w:val="21"/>
                                  <w:szCs w:val="21"/>
                                </w:rPr>
                              </w:pPr>
                              <w:r>
                                <w:rPr>
                                  <w:rFonts w:hint="eastAsia" w:ascii="仿宋" w:hAnsi="仿宋" w:eastAsia="仿宋"/>
                                  <w:sz w:val="21"/>
                                  <w:szCs w:val="21"/>
                                </w:rPr>
                                <w:t>成立指挥部</w:t>
                              </w:r>
                            </w:p>
                          </w:txbxContent>
                        </wps:txbx>
                        <wps:bodyPr rot="0" vert="horz" wrap="square" lIns="0" tIns="0" rIns="0" bIns="0" anchor="t" anchorCtr="0" upright="1">
                          <a:noAutofit/>
                        </wps:bodyPr>
                      </wps:wsp>
                      <wps:wsp>
                        <wps:cNvPr id="659" name="直线 437"/>
                        <wps:cNvCnPr>
                          <a:cxnSpLocks noChangeShapeType="1"/>
                        </wps:cNvCnPr>
                        <wps:spPr bwMode="auto">
                          <a:xfrm>
                            <a:off x="4543425" y="4426585"/>
                            <a:ext cx="635" cy="331470"/>
                          </a:xfrm>
                          <a:prstGeom prst="line">
                            <a:avLst/>
                          </a:prstGeom>
                          <a:noFill/>
                          <a:ln w="9525">
                            <a:solidFill>
                              <a:srgbClr val="000000"/>
                            </a:solidFill>
                            <a:round/>
                            <a:tailEnd type="triangle" w="med" len="med"/>
                          </a:ln>
                        </wps:spPr>
                        <wps:bodyPr/>
                      </wps:wsp>
                      <wps:wsp>
                        <wps:cNvPr id="660" name="文本框 438"/>
                        <wps:cNvSpPr txBox="1">
                          <a:spLocks noChangeArrowheads="1"/>
                        </wps:cNvSpPr>
                        <wps:spPr bwMode="auto">
                          <a:xfrm>
                            <a:off x="3905250" y="4756150"/>
                            <a:ext cx="1257300" cy="201295"/>
                          </a:xfrm>
                          <a:prstGeom prst="rect">
                            <a:avLst/>
                          </a:prstGeom>
                          <a:noFill/>
                          <a:ln w="9525">
                            <a:solidFill>
                              <a:srgbClr val="000000"/>
                            </a:solidFill>
                            <a:miter lim="800000"/>
                          </a:ln>
                        </wps:spPr>
                        <wps:txbx>
                          <w:txbxContent>
                            <w:p w14:paraId="17198203">
                              <w:pPr>
                                <w:jc w:val="center"/>
                                <w:rPr>
                                  <w:rFonts w:ascii="仿宋" w:hAnsi="仿宋" w:eastAsia="仿宋"/>
                                  <w:sz w:val="21"/>
                                  <w:szCs w:val="21"/>
                                </w:rPr>
                              </w:pPr>
                              <w:r>
                                <w:rPr>
                                  <w:rFonts w:hint="eastAsia" w:ascii="仿宋" w:hAnsi="仿宋" w:eastAsia="仿宋"/>
                                  <w:sz w:val="21"/>
                                  <w:szCs w:val="21"/>
                                </w:rPr>
                                <w:t>现场指挥</w:t>
                              </w:r>
                            </w:p>
                          </w:txbxContent>
                        </wps:txbx>
                        <wps:bodyPr rot="0" vert="horz" wrap="square" lIns="0" tIns="0" rIns="0" bIns="0" anchor="t" anchorCtr="0" upright="1">
                          <a:noAutofit/>
                        </wps:bodyPr>
                      </wps:wsp>
                      <wps:wsp>
                        <wps:cNvPr id="661" name="直线 439"/>
                        <wps:cNvCnPr>
                          <a:cxnSpLocks noChangeShapeType="1"/>
                        </wps:cNvCnPr>
                        <wps:spPr bwMode="auto">
                          <a:xfrm>
                            <a:off x="4552950" y="4969510"/>
                            <a:ext cx="635" cy="360045"/>
                          </a:xfrm>
                          <a:prstGeom prst="line">
                            <a:avLst/>
                          </a:prstGeom>
                          <a:noFill/>
                          <a:ln w="9525">
                            <a:solidFill>
                              <a:srgbClr val="000000"/>
                            </a:solidFill>
                            <a:round/>
                            <a:tailEnd type="triangle" w="med" len="med"/>
                          </a:ln>
                        </wps:spPr>
                        <wps:bodyPr/>
                      </wps:wsp>
                      <wps:wsp>
                        <wps:cNvPr id="662" name="文本框 440"/>
                        <wps:cNvSpPr txBox="1">
                          <a:spLocks noChangeArrowheads="1"/>
                        </wps:cNvSpPr>
                        <wps:spPr bwMode="auto">
                          <a:xfrm>
                            <a:off x="3924300" y="5335270"/>
                            <a:ext cx="1257300" cy="201295"/>
                          </a:xfrm>
                          <a:prstGeom prst="rect">
                            <a:avLst/>
                          </a:prstGeom>
                          <a:noFill/>
                          <a:ln w="9525">
                            <a:solidFill>
                              <a:srgbClr val="000000"/>
                            </a:solidFill>
                            <a:miter lim="800000"/>
                          </a:ln>
                        </wps:spPr>
                        <wps:txbx>
                          <w:txbxContent>
                            <w:p w14:paraId="4A2A81C5">
                              <w:pPr>
                                <w:jc w:val="center"/>
                                <w:rPr>
                                  <w:rFonts w:ascii="仿宋" w:hAnsi="仿宋" w:eastAsia="仿宋"/>
                                  <w:sz w:val="21"/>
                                  <w:szCs w:val="21"/>
                                </w:rPr>
                              </w:pPr>
                              <w:r>
                                <w:rPr>
                                  <w:rFonts w:hint="eastAsia" w:ascii="仿宋" w:hAnsi="仿宋" w:eastAsia="仿宋"/>
                                  <w:sz w:val="21"/>
                                  <w:szCs w:val="21"/>
                                </w:rPr>
                                <w:t>应急处置各项工作</w:t>
                              </w:r>
                            </w:p>
                          </w:txbxContent>
                        </wps:txbx>
                        <wps:bodyPr rot="0" vert="horz" wrap="square" lIns="0" tIns="0" rIns="0" bIns="0" anchor="t" anchorCtr="0" upright="1">
                          <a:noAutofit/>
                        </wps:bodyPr>
                      </wps:wsp>
                      <wps:wsp>
                        <wps:cNvPr id="663" name="直线 441"/>
                        <wps:cNvCnPr>
                          <a:cxnSpLocks noChangeShapeType="1"/>
                        </wps:cNvCnPr>
                        <wps:spPr bwMode="auto">
                          <a:xfrm>
                            <a:off x="4572000" y="5541010"/>
                            <a:ext cx="635" cy="295910"/>
                          </a:xfrm>
                          <a:prstGeom prst="line">
                            <a:avLst/>
                          </a:prstGeom>
                          <a:noFill/>
                          <a:ln w="9525">
                            <a:solidFill>
                              <a:srgbClr val="000000"/>
                            </a:solidFill>
                            <a:round/>
                            <a:tailEnd type="triangle" w="med" len="med"/>
                          </a:ln>
                        </wps:spPr>
                        <wps:bodyPr/>
                      </wps:wsp>
                      <wps:wsp>
                        <wps:cNvPr id="664" name="文本框 442"/>
                        <wps:cNvSpPr txBox="1">
                          <a:spLocks noChangeArrowheads="1"/>
                        </wps:cNvSpPr>
                        <wps:spPr bwMode="auto">
                          <a:xfrm>
                            <a:off x="3933825" y="5847715"/>
                            <a:ext cx="1257300" cy="201295"/>
                          </a:xfrm>
                          <a:prstGeom prst="rect">
                            <a:avLst/>
                          </a:prstGeom>
                          <a:noFill/>
                          <a:ln w="9525">
                            <a:solidFill>
                              <a:srgbClr val="000000"/>
                            </a:solidFill>
                            <a:miter lim="800000"/>
                          </a:ln>
                        </wps:spPr>
                        <wps:txbx>
                          <w:txbxContent>
                            <w:p w14:paraId="4AF09F4D">
                              <w:pPr>
                                <w:jc w:val="center"/>
                                <w:rPr>
                                  <w:rFonts w:ascii="仿宋" w:hAnsi="仿宋" w:eastAsia="仿宋"/>
                                  <w:sz w:val="21"/>
                                  <w:szCs w:val="21"/>
                                </w:rPr>
                              </w:pPr>
                              <w:r>
                                <w:rPr>
                                  <w:rFonts w:hint="eastAsia" w:ascii="仿宋" w:hAnsi="仿宋" w:eastAsia="仿宋"/>
                                  <w:sz w:val="21"/>
                                  <w:szCs w:val="21"/>
                                </w:rPr>
                                <w:t>应急终止</w:t>
                              </w:r>
                            </w:p>
                          </w:txbxContent>
                        </wps:txbx>
                        <wps:bodyPr rot="0" vert="horz" wrap="square" lIns="0" tIns="0" rIns="0" bIns="0" anchor="t" anchorCtr="0" upright="1">
                          <a:noAutofit/>
                        </wps:bodyPr>
                      </wps:wsp>
                      <wps:wsp>
                        <wps:cNvPr id="665" name="文本框 448"/>
                        <wps:cNvSpPr txBox="1">
                          <a:spLocks noChangeArrowheads="1"/>
                        </wps:cNvSpPr>
                        <wps:spPr bwMode="auto">
                          <a:xfrm>
                            <a:off x="1019175" y="3614855"/>
                            <a:ext cx="1457325" cy="233680"/>
                          </a:xfrm>
                          <a:prstGeom prst="rect">
                            <a:avLst/>
                          </a:prstGeom>
                          <a:noFill/>
                          <a:ln w="9525">
                            <a:solidFill>
                              <a:srgbClr val="000000"/>
                            </a:solidFill>
                            <a:miter lim="800000"/>
                          </a:ln>
                        </wps:spPr>
                        <wps:txbx>
                          <w:txbxContent>
                            <w:p w14:paraId="5C48BAA3">
                              <w:pPr>
                                <w:jc w:val="center"/>
                                <w:rPr>
                                  <w:rFonts w:ascii="仿宋" w:hAnsi="仿宋" w:eastAsia="仿宋"/>
                                  <w:sz w:val="21"/>
                                  <w:szCs w:val="21"/>
                                </w:rPr>
                              </w:pPr>
                              <w:r>
                                <w:rPr>
                                  <w:rFonts w:hint="eastAsia" w:ascii="仿宋" w:hAnsi="仿宋" w:eastAsia="仿宋"/>
                                  <w:sz w:val="21"/>
                                  <w:szCs w:val="21"/>
                                  <w:lang w:val="en-US" w:eastAsia="zh-CN"/>
                                </w:rPr>
                                <w:t>综合协调</w:t>
                              </w:r>
                              <w:r>
                                <w:rPr>
                                  <w:rFonts w:hint="eastAsia" w:ascii="仿宋" w:hAnsi="仿宋" w:eastAsia="仿宋"/>
                                  <w:sz w:val="21"/>
                                  <w:szCs w:val="21"/>
                                </w:rPr>
                                <w:t>组</w:t>
                              </w:r>
                            </w:p>
                          </w:txbxContent>
                        </wps:txbx>
                        <wps:bodyPr rot="0" vert="horz" wrap="square" lIns="0" tIns="0" rIns="0" bIns="0" anchor="t" anchorCtr="0" upright="1">
                          <a:noAutofit/>
                        </wps:bodyPr>
                      </wps:wsp>
                      <wps:wsp>
                        <wps:cNvPr id="666" name="文本框 450"/>
                        <wps:cNvSpPr txBox="1">
                          <a:spLocks noChangeArrowheads="1"/>
                        </wps:cNvSpPr>
                        <wps:spPr bwMode="auto">
                          <a:xfrm>
                            <a:off x="1019810" y="4118410"/>
                            <a:ext cx="1457325" cy="233680"/>
                          </a:xfrm>
                          <a:prstGeom prst="rect">
                            <a:avLst/>
                          </a:prstGeom>
                          <a:noFill/>
                          <a:ln w="9525">
                            <a:solidFill>
                              <a:srgbClr val="000000"/>
                            </a:solidFill>
                            <a:miter lim="800000"/>
                          </a:ln>
                        </wps:spPr>
                        <wps:txbx>
                          <w:txbxContent>
                            <w:p w14:paraId="13418E29">
                              <w:pPr>
                                <w:jc w:val="center"/>
                                <w:rPr>
                                  <w:rFonts w:ascii="仿宋" w:hAnsi="仿宋" w:eastAsia="仿宋"/>
                                  <w:sz w:val="21"/>
                                  <w:szCs w:val="21"/>
                                </w:rPr>
                              </w:pPr>
                              <w:r>
                                <w:rPr>
                                  <w:rFonts w:hint="eastAsia" w:ascii="仿宋" w:hAnsi="仿宋" w:eastAsia="仿宋"/>
                                  <w:sz w:val="21"/>
                                  <w:szCs w:val="21"/>
                                  <w:lang w:val="en-US" w:eastAsia="zh-CN"/>
                                </w:rPr>
                                <w:t>现场处置</w:t>
                              </w:r>
                              <w:r>
                                <w:rPr>
                                  <w:rFonts w:hint="eastAsia" w:ascii="仿宋" w:hAnsi="仿宋" w:eastAsia="仿宋"/>
                                  <w:sz w:val="21"/>
                                  <w:szCs w:val="21"/>
                                </w:rPr>
                                <w:t>组</w:t>
                              </w:r>
                            </w:p>
                          </w:txbxContent>
                        </wps:txbx>
                        <wps:bodyPr rot="0" vert="horz" wrap="square" lIns="0" tIns="0" rIns="0" bIns="0" anchor="t" anchorCtr="0" upright="1">
                          <a:noAutofit/>
                        </wps:bodyPr>
                      </wps:wsp>
                      <wps:wsp>
                        <wps:cNvPr id="667" name="文本框 452"/>
                        <wps:cNvSpPr txBox="1">
                          <a:spLocks noChangeArrowheads="1"/>
                        </wps:cNvSpPr>
                        <wps:spPr bwMode="auto">
                          <a:xfrm>
                            <a:off x="1014408" y="4672130"/>
                            <a:ext cx="1457325" cy="233680"/>
                          </a:xfrm>
                          <a:prstGeom prst="rect">
                            <a:avLst/>
                          </a:prstGeom>
                          <a:noFill/>
                          <a:ln w="9525">
                            <a:solidFill>
                              <a:srgbClr val="000000"/>
                            </a:solidFill>
                            <a:miter lim="800000"/>
                          </a:ln>
                        </wps:spPr>
                        <wps:txbx>
                          <w:txbxContent>
                            <w:p w14:paraId="5D6C5F0A">
                              <w:pPr>
                                <w:jc w:val="center"/>
                                <w:rPr>
                                  <w:rFonts w:ascii="仿宋" w:hAnsi="仿宋" w:eastAsia="仿宋"/>
                                  <w:sz w:val="21"/>
                                  <w:szCs w:val="21"/>
                                </w:rPr>
                              </w:pPr>
                              <w:r>
                                <w:rPr>
                                  <w:rFonts w:hint="eastAsia" w:ascii="仿宋" w:hAnsi="仿宋" w:eastAsia="仿宋"/>
                                  <w:sz w:val="21"/>
                                  <w:szCs w:val="21"/>
                                  <w:lang w:val="en-US" w:eastAsia="zh-CN"/>
                                </w:rPr>
                                <w:t>应急保障</w:t>
                              </w:r>
                              <w:r>
                                <w:rPr>
                                  <w:rFonts w:hint="eastAsia" w:ascii="仿宋" w:hAnsi="仿宋" w:eastAsia="仿宋"/>
                                  <w:sz w:val="21"/>
                                  <w:szCs w:val="21"/>
                                </w:rPr>
                                <w:t>组</w:t>
                              </w:r>
                            </w:p>
                          </w:txbxContent>
                        </wps:txbx>
                        <wps:bodyPr rot="0" vert="horz" wrap="square" lIns="0" tIns="0" rIns="0" bIns="0" anchor="t" anchorCtr="0" upright="1">
                          <a:noAutofit/>
                        </wps:bodyPr>
                      </wps:wsp>
                      <wps:wsp>
                        <wps:cNvPr id="668" name="直线 456"/>
                        <wps:cNvCnPr>
                          <a:cxnSpLocks noChangeShapeType="1"/>
                        </wps:cNvCnPr>
                        <wps:spPr bwMode="auto">
                          <a:xfrm flipH="1">
                            <a:off x="2476500" y="3297355"/>
                            <a:ext cx="504825" cy="635"/>
                          </a:xfrm>
                          <a:prstGeom prst="line">
                            <a:avLst/>
                          </a:prstGeom>
                          <a:noFill/>
                          <a:ln w="9525">
                            <a:solidFill>
                              <a:srgbClr val="000000"/>
                            </a:solidFill>
                            <a:round/>
                          </a:ln>
                        </wps:spPr>
                        <wps:bodyPr/>
                      </wps:wsp>
                      <wps:wsp>
                        <wps:cNvPr id="669" name="直线 457"/>
                        <wps:cNvCnPr>
                          <a:cxnSpLocks noChangeShapeType="1"/>
                        </wps:cNvCnPr>
                        <wps:spPr bwMode="auto">
                          <a:xfrm flipH="1">
                            <a:off x="2477135" y="3714868"/>
                            <a:ext cx="504190" cy="635"/>
                          </a:xfrm>
                          <a:prstGeom prst="line">
                            <a:avLst/>
                          </a:prstGeom>
                          <a:noFill/>
                          <a:ln w="9525">
                            <a:solidFill>
                              <a:srgbClr val="000000"/>
                            </a:solidFill>
                            <a:round/>
                          </a:ln>
                        </wps:spPr>
                        <wps:bodyPr/>
                      </wps:wsp>
                      <wps:wsp>
                        <wps:cNvPr id="670" name="直线 458"/>
                        <wps:cNvCnPr>
                          <a:cxnSpLocks noChangeShapeType="1"/>
                        </wps:cNvCnPr>
                        <wps:spPr bwMode="auto">
                          <a:xfrm flipH="1">
                            <a:off x="2477135" y="4253030"/>
                            <a:ext cx="504190" cy="635"/>
                          </a:xfrm>
                          <a:prstGeom prst="line">
                            <a:avLst/>
                          </a:prstGeom>
                          <a:noFill/>
                          <a:ln w="9525">
                            <a:solidFill>
                              <a:srgbClr val="000000"/>
                            </a:solidFill>
                            <a:round/>
                          </a:ln>
                        </wps:spPr>
                        <wps:bodyPr/>
                      </wps:wsp>
                      <wps:wsp>
                        <wps:cNvPr id="671" name="直线 459"/>
                        <wps:cNvCnPr>
                          <a:cxnSpLocks noChangeShapeType="1"/>
                        </wps:cNvCnPr>
                        <wps:spPr bwMode="auto">
                          <a:xfrm flipH="1">
                            <a:off x="2477135" y="4789287"/>
                            <a:ext cx="504190" cy="635"/>
                          </a:xfrm>
                          <a:prstGeom prst="line">
                            <a:avLst/>
                          </a:prstGeom>
                          <a:noFill/>
                          <a:ln w="9525">
                            <a:solidFill>
                              <a:srgbClr val="000000"/>
                            </a:solidFill>
                            <a:round/>
                          </a:ln>
                        </wps:spPr>
                        <wps:bodyPr/>
                      </wps:wsp>
                      <wps:wsp>
                        <wps:cNvPr id="672" name="矩形 462"/>
                        <wps:cNvSpPr>
                          <a:spLocks noChangeArrowheads="1"/>
                        </wps:cNvSpPr>
                        <wps:spPr bwMode="auto">
                          <a:xfrm>
                            <a:off x="833755" y="2860040"/>
                            <a:ext cx="1943100" cy="3114675"/>
                          </a:xfrm>
                          <a:prstGeom prst="rect">
                            <a:avLst/>
                          </a:prstGeom>
                          <a:noFill/>
                          <a:ln w="9525">
                            <a:solidFill>
                              <a:srgbClr val="000000"/>
                            </a:solidFill>
                            <a:prstDash val="lgDash"/>
                            <a:miter lim="800000"/>
                          </a:ln>
                        </wps:spPr>
                        <wps:bodyPr rot="0" vert="horz" wrap="square" lIns="91440" tIns="45720" rIns="91440" bIns="45720" anchor="t" anchorCtr="0" upright="1">
                          <a:noAutofit/>
                        </wps:bodyPr>
                      </wps:wsp>
                      <wps:wsp>
                        <wps:cNvPr id="673" name="文本框 735"/>
                        <wps:cNvSpPr txBox="1">
                          <a:spLocks noChangeArrowheads="1"/>
                        </wps:cNvSpPr>
                        <wps:spPr bwMode="auto">
                          <a:xfrm>
                            <a:off x="1019175" y="3152057"/>
                            <a:ext cx="1457325" cy="233680"/>
                          </a:xfrm>
                          <a:prstGeom prst="rect">
                            <a:avLst/>
                          </a:prstGeom>
                          <a:noFill/>
                          <a:ln w="9525">
                            <a:solidFill>
                              <a:srgbClr val="000000"/>
                            </a:solidFill>
                            <a:miter lim="800000"/>
                          </a:ln>
                        </wps:spPr>
                        <wps:txbx>
                          <w:txbxContent>
                            <w:p w14:paraId="619E2FE8">
                              <w:pPr>
                                <w:jc w:val="center"/>
                                <w:rPr>
                                  <w:rFonts w:ascii="仿宋" w:hAnsi="仿宋" w:eastAsia="仿宋"/>
                                  <w:sz w:val="21"/>
                                  <w:szCs w:val="21"/>
                                </w:rPr>
                              </w:pPr>
                              <w:r>
                                <w:rPr>
                                  <w:rFonts w:hint="eastAsia" w:ascii="仿宋" w:hAnsi="仿宋" w:eastAsia="仿宋"/>
                                  <w:sz w:val="21"/>
                                  <w:szCs w:val="21"/>
                                </w:rPr>
                                <w:t>总指挥</w:t>
                              </w:r>
                            </w:p>
                          </w:txbxContent>
                        </wps:txbx>
                        <wps:bodyPr rot="0" vert="horz" wrap="square" lIns="0" tIns="0" rIns="0" bIns="0" anchor="t" anchorCtr="0" upright="1">
                          <a:noAutofit/>
                        </wps:bodyPr>
                      </wps:wsp>
                      <wps:wsp>
                        <wps:cNvPr id="674" name="直线 460"/>
                        <wps:cNvCnPr>
                          <a:cxnSpLocks noChangeShapeType="1"/>
                        </wps:cNvCnPr>
                        <wps:spPr bwMode="auto">
                          <a:xfrm>
                            <a:off x="2975928" y="3297990"/>
                            <a:ext cx="0" cy="2484000"/>
                          </a:xfrm>
                          <a:prstGeom prst="line">
                            <a:avLst/>
                          </a:prstGeom>
                          <a:noFill/>
                          <a:ln w="9525">
                            <a:solidFill>
                              <a:srgbClr val="000000"/>
                            </a:solidFill>
                            <a:round/>
                          </a:ln>
                        </wps:spPr>
                        <wps:bodyPr/>
                      </wps:wsp>
                      <wps:wsp>
                        <wps:cNvPr id="675" name="直线 456"/>
                        <wps:cNvCnPr>
                          <a:cxnSpLocks noChangeShapeType="1"/>
                        </wps:cNvCnPr>
                        <wps:spPr bwMode="auto">
                          <a:xfrm flipH="1">
                            <a:off x="2981325" y="4117775"/>
                            <a:ext cx="899795" cy="635"/>
                          </a:xfrm>
                          <a:prstGeom prst="line">
                            <a:avLst/>
                          </a:prstGeom>
                          <a:noFill/>
                          <a:ln w="9525">
                            <a:solidFill>
                              <a:srgbClr val="000000"/>
                            </a:solidFill>
                            <a:round/>
                            <a:headEnd type="triangle" w="med" len="med"/>
                          </a:ln>
                        </wps:spPr>
                        <wps:bodyPr/>
                      </wps:wsp>
                      <wps:wsp>
                        <wps:cNvPr id="676" name="矩形 429"/>
                        <wps:cNvSpPr>
                          <a:spLocks noChangeArrowheads="1"/>
                        </wps:cNvSpPr>
                        <wps:spPr bwMode="auto">
                          <a:xfrm>
                            <a:off x="2760980" y="189230"/>
                            <a:ext cx="2723515" cy="2618740"/>
                          </a:xfrm>
                          <a:prstGeom prst="rect">
                            <a:avLst/>
                          </a:prstGeom>
                          <a:noFill/>
                          <a:ln w="9525">
                            <a:solidFill>
                              <a:srgbClr val="000000"/>
                            </a:solidFill>
                            <a:prstDash val="dash"/>
                            <a:miter lim="800000"/>
                          </a:ln>
                        </wps:spPr>
                        <wps:bodyPr rot="0" vert="horz" wrap="square" lIns="91440" tIns="45720" rIns="91440" bIns="45720" anchor="t" anchorCtr="0" upright="1">
                          <a:noAutofit/>
                        </wps:bodyPr>
                      </wps:wsp>
                      <wps:wsp>
                        <wps:cNvPr id="677" name="AutoShape 4927"/>
                        <wps:cNvCnPr>
                          <a:cxnSpLocks noChangeShapeType="1"/>
                        </wps:cNvCnPr>
                        <wps:spPr bwMode="auto">
                          <a:xfrm flipV="1">
                            <a:off x="1190625" y="546735"/>
                            <a:ext cx="1014730" cy="501650"/>
                          </a:xfrm>
                          <a:prstGeom prst="bentConnector3">
                            <a:avLst>
                              <a:gd name="adj1" fmla="val 50063"/>
                            </a:avLst>
                          </a:prstGeom>
                          <a:noFill/>
                          <a:ln w="9525">
                            <a:solidFill>
                              <a:srgbClr val="000000"/>
                            </a:solidFill>
                            <a:miter lim="800000"/>
                            <a:tailEnd type="triangle" w="med" len="med"/>
                          </a:ln>
                        </wps:spPr>
                        <wps:bodyPr/>
                      </wps:wsp>
                      <wps:wsp>
                        <wps:cNvPr id="678" name="AutoShape 4928"/>
                        <wps:cNvCnPr>
                          <a:cxnSpLocks noChangeShapeType="1"/>
                        </wps:cNvCnPr>
                        <wps:spPr bwMode="auto">
                          <a:xfrm rot="16200000" flipH="1">
                            <a:off x="754756" y="1854893"/>
                            <a:ext cx="1142248" cy="796291"/>
                          </a:xfrm>
                          <a:prstGeom prst="bentConnector3">
                            <a:avLst>
                              <a:gd name="adj1" fmla="val 50000"/>
                            </a:avLst>
                          </a:prstGeom>
                          <a:noFill/>
                          <a:ln w="9525">
                            <a:solidFill>
                              <a:srgbClr val="000000"/>
                            </a:solidFill>
                            <a:miter lim="800000"/>
                            <a:tailEnd type="triangle" w="med" len="med"/>
                          </a:ln>
                        </wps:spPr>
                        <wps:bodyPr/>
                      </wps:wsp>
                      <wps:wsp>
                        <wps:cNvPr id="679" name="AutoShape 4929"/>
                        <wps:cNvCnPr>
                          <a:cxnSpLocks noChangeShapeType="1"/>
                          <a:endCxn id="672" idx="0"/>
                        </wps:cNvCnPr>
                        <wps:spPr bwMode="auto">
                          <a:xfrm rot="5400000">
                            <a:off x="999490" y="1445895"/>
                            <a:ext cx="2219960" cy="608330"/>
                          </a:xfrm>
                          <a:prstGeom prst="bentConnector3">
                            <a:avLst>
                              <a:gd name="adj1" fmla="val 50029"/>
                            </a:avLst>
                          </a:prstGeom>
                          <a:noFill/>
                          <a:ln w="9525">
                            <a:solidFill>
                              <a:srgbClr val="000000"/>
                            </a:solidFill>
                            <a:miter lim="800000"/>
                            <a:tailEnd type="triangle" w="med" len="med"/>
                          </a:ln>
                        </wps:spPr>
                        <wps:bodyPr/>
                      </wps:wsp>
                      <wps:wsp>
                        <wps:cNvPr id="7" name="直线 423"/>
                        <wps:cNvCnPr>
                          <a:cxnSpLocks noChangeShapeType="1"/>
                        </wps:cNvCnPr>
                        <wps:spPr bwMode="auto">
                          <a:xfrm flipV="1">
                            <a:off x="4104005" y="523240"/>
                            <a:ext cx="244475" cy="6985"/>
                          </a:xfrm>
                          <a:prstGeom prst="line">
                            <a:avLst/>
                          </a:prstGeom>
                          <a:noFill/>
                          <a:ln w="9525">
                            <a:solidFill>
                              <a:srgbClr val="000000"/>
                            </a:solidFill>
                            <a:round/>
                            <a:tailEnd type="triangle" w="med" len="med"/>
                          </a:ln>
                        </wps:spPr>
                        <wps:bodyPr/>
                      </wps:wsp>
                      <wps:wsp>
                        <wps:cNvPr id="8" name="文本框 419"/>
                        <wps:cNvSpPr txBox="1">
                          <a:spLocks noChangeArrowheads="1"/>
                        </wps:cNvSpPr>
                        <wps:spPr bwMode="auto">
                          <a:xfrm>
                            <a:off x="4347845" y="328295"/>
                            <a:ext cx="1028700" cy="407670"/>
                          </a:xfrm>
                          <a:prstGeom prst="rect">
                            <a:avLst/>
                          </a:prstGeom>
                          <a:noFill/>
                          <a:ln w="9525">
                            <a:solidFill>
                              <a:srgbClr val="000000"/>
                            </a:solidFill>
                            <a:miter lim="800000"/>
                          </a:ln>
                        </wps:spPr>
                        <wps:txbx>
                          <w:txbxContent>
                            <w:p w14:paraId="3185B1CA">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大公镇管委会</w:t>
                              </w:r>
                            </w:p>
                          </w:txbxContent>
                        </wps:txbx>
                        <wps:bodyPr rot="0" vert="horz" wrap="square" lIns="0" tIns="0" rIns="0" bIns="0" anchor="t" anchorCtr="0" upright="1">
                          <a:noAutofit/>
                        </wps:bodyPr>
                      </wps:wsp>
                      <wps:wsp>
                        <wps:cNvPr id="57" name="直线 433"/>
                        <wps:cNvCnPr>
                          <a:cxnSpLocks noChangeShapeType="1"/>
                          <a:endCxn id="649" idx="0"/>
                        </wps:cNvCnPr>
                        <wps:spPr bwMode="auto">
                          <a:xfrm>
                            <a:off x="3792855" y="530860"/>
                            <a:ext cx="0" cy="648000"/>
                          </a:xfrm>
                          <a:prstGeom prst="line">
                            <a:avLst/>
                          </a:prstGeom>
                          <a:noFill/>
                          <a:ln w="9525">
                            <a:solidFill>
                              <a:srgbClr val="000000"/>
                            </a:solidFill>
                            <a:round/>
                            <a:tailEnd type="triangle" w="med" len="med"/>
                          </a:ln>
                        </wps:spPr>
                        <wps:bodyPr/>
                      </wps:wsp>
                      <wps:wsp>
                        <wps:cNvPr id="46" name="文本框 452"/>
                        <wps:cNvSpPr txBox="1">
                          <a:spLocks noChangeArrowheads="1"/>
                        </wps:cNvSpPr>
                        <wps:spPr bwMode="auto">
                          <a:xfrm>
                            <a:off x="1036955" y="5142230"/>
                            <a:ext cx="1457325" cy="233680"/>
                          </a:xfrm>
                          <a:prstGeom prst="rect">
                            <a:avLst/>
                          </a:prstGeom>
                          <a:noFill/>
                          <a:ln w="9525">
                            <a:solidFill>
                              <a:srgbClr val="000000"/>
                            </a:solidFill>
                            <a:miter lim="800000"/>
                          </a:ln>
                        </wps:spPr>
                        <wps:txbx>
                          <w:txbxContent>
                            <w:p w14:paraId="733D95C9">
                              <w:pPr>
                                <w:jc w:val="center"/>
                                <w:rPr>
                                  <w:rFonts w:ascii="仿宋" w:hAnsi="仿宋" w:eastAsia="仿宋"/>
                                  <w:sz w:val="21"/>
                                  <w:szCs w:val="21"/>
                                </w:rPr>
                              </w:pPr>
                              <w:r>
                                <w:rPr>
                                  <w:rFonts w:hint="eastAsia" w:ascii="仿宋" w:hAnsi="仿宋" w:eastAsia="仿宋"/>
                                  <w:sz w:val="21"/>
                                  <w:szCs w:val="21"/>
                                  <w:lang w:val="en-US" w:eastAsia="zh-CN"/>
                                </w:rPr>
                                <w:t>医疗救治</w:t>
                              </w:r>
                              <w:r>
                                <w:rPr>
                                  <w:rFonts w:hint="eastAsia" w:ascii="仿宋" w:hAnsi="仿宋" w:eastAsia="仿宋"/>
                                  <w:sz w:val="21"/>
                                  <w:szCs w:val="21"/>
                                </w:rPr>
                                <w:t>组</w:t>
                              </w:r>
                            </w:p>
                          </w:txbxContent>
                        </wps:txbx>
                        <wps:bodyPr rot="0" vert="horz" wrap="square" lIns="0" tIns="0" rIns="0" bIns="0" anchor="t" anchorCtr="0" upright="1">
                          <a:noAutofit/>
                        </wps:bodyPr>
                      </wps:wsp>
                      <wps:wsp>
                        <wps:cNvPr id="47" name="直线 459"/>
                        <wps:cNvCnPr>
                          <a:cxnSpLocks noChangeShapeType="1"/>
                        </wps:cNvCnPr>
                        <wps:spPr bwMode="auto">
                          <a:xfrm flipH="1">
                            <a:off x="2499360" y="5259070"/>
                            <a:ext cx="504190" cy="635"/>
                          </a:xfrm>
                          <a:prstGeom prst="line">
                            <a:avLst/>
                          </a:prstGeom>
                          <a:noFill/>
                          <a:ln w="9525">
                            <a:solidFill>
                              <a:srgbClr val="000000"/>
                            </a:solidFill>
                            <a:round/>
                          </a:ln>
                        </wps:spPr>
                        <wps:bodyPr/>
                      </wps:wsp>
                      <wps:wsp>
                        <wps:cNvPr id="48" name="文本框 452"/>
                        <wps:cNvSpPr txBox="1">
                          <a:spLocks noChangeArrowheads="1"/>
                        </wps:cNvSpPr>
                        <wps:spPr bwMode="auto">
                          <a:xfrm>
                            <a:off x="1036955" y="5675630"/>
                            <a:ext cx="1457325" cy="233680"/>
                          </a:xfrm>
                          <a:prstGeom prst="rect">
                            <a:avLst/>
                          </a:prstGeom>
                          <a:noFill/>
                          <a:ln w="9525">
                            <a:solidFill>
                              <a:srgbClr val="000000"/>
                            </a:solidFill>
                            <a:miter lim="800000"/>
                          </a:ln>
                        </wps:spPr>
                        <wps:txbx>
                          <w:txbxContent>
                            <w:p w14:paraId="1697DB92">
                              <w:pPr>
                                <w:jc w:val="center"/>
                                <w:rPr>
                                  <w:rFonts w:ascii="仿宋" w:hAnsi="仿宋" w:eastAsia="仿宋"/>
                                  <w:sz w:val="21"/>
                                  <w:szCs w:val="21"/>
                                </w:rPr>
                              </w:pPr>
                              <w:r>
                                <w:rPr>
                                  <w:rFonts w:hint="eastAsia" w:ascii="仿宋" w:hAnsi="仿宋" w:eastAsia="仿宋"/>
                                  <w:sz w:val="21"/>
                                  <w:szCs w:val="21"/>
                                  <w:lang w:val="en-US" w:eastAsia="zh-CN"/>
                                </w:rPr>
                                <w:t>应急监测组</w:t>
                              </w:r>
                            </w:p>
                          </w:txbxContent>
                        </wps:txbx>
                        <wps:bodyPr rot="0" vert="horz" wrap="square" lIns="0" tIns="0" rIns="0" bIns="0" anchor="t" anchorCtr="0" upright="1">
                          <a:noAutofit/>
                        </wps:bodyPr>
                      </wps:wsp>
                      <wps:wsp>
                        <wps:cNvPr id="49" name="直线 459"/>
                        <wps:cNvCnPr>
                          <a:cxnSpLocks noChangeShapeType="1"/>
                        </wps:cNvCnPr>
                        <wps:spPr bwMode="auto">
                          <a:xfrm flipH="1">
                            <a:off x="2499360" y="5792470"/>
                            <a:ext cx="504190" cy="635"/>
                          </a:xfrm>
                          <a:prstGeom prst="line">
                            <a:avLst/>
                          </a:prstGeom>
                          <a:noFill/>
                          <a:ln w="9525">
                            <a:solidFill>
                              <a:srgbClr val="000000"/>
                            </a:solidFill>
                            <a:round/>
                          </a:ln>
                        </wps:spPr>
                        <wps:bodyPr/>
                      </wps:wsp>
                    </wpc:wpc>
                  </a:graphicData>
                </a:graphic>
              </wp:inline>
            </w:drawing>
          </mc:Choice>
          <mc:Fallback>
            <w:pict>
              <v:group id="画布 409" o:spid="_x0000_s1026" o:spt="203" style="height:509.35pt;width:441pt;" coordsize="5600700,6468745" editas="canvas" o:gfxdata="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">
                <o:lock v:ext="edit" aspectratio="f"/>
                <v:shape id="画布 409" o:spid="_x0000_s1026" style="position:absolute;left:0;top:0;height:6468745;width:5600700;" filled="f" stroked="f" coordsize="21600,21600" o:gfxdata="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">
                  <v:fill on="f" focussize="0,0"/>
                  <v:stroke on="f"/>
                  <v:imagedata o:title=""/>
                  <o:lock v:ext="edit" aspectratio="f"/>
                </v:shape>
                <v:shape id="文本框 411" o:spid="_x0000_s1026" o:spt="202" type="#_x0000_t202" style="position:absolute;left:447675;top:439;height:198755;width:9144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sSlM9QAAAAGAQAADwAAAAAA&#10;AAABACAAAAAiAAAAZHJzL2Rvd25yZXYueG1sUEsBAhQAFAAAAAgAh07iQDsysA0XAgAADwQAAA4A&#10;AAAAAAAAAQAgAAAAIwEAAGRycy9lMm9Eb2MueG1sUEsFBgAAAAAGAAYAWQEAAKwFAAAAAA==&#10;">
                  <v:fill on="f" focussize="0,0"/>
                  <v:stroke on="f"/>
                  <v:imagedata o:title=""/>
                  <o:lock v:ext="edit" aspectratio="f"/>
                  <v:textbox inset="0mm,0mm,0mm,0mm">
                    <w:txbxContent>
                      <w:p w14:paraId="0B134139">
                        <w:pPr>
                          <w:jc w:val="center"/>
                          <w:rPr>
                            <w:rFonts w:ascii="仿宋" w:hAnsi="仿宋" w:eastAsia="仿宋"/>
                            <w:sz w:val="21"/>
                            <w:szCs w:val="21"/>
                          </w:rPr>
                        </w:pPr>
                        <w:r>
                          <w:rPr>
                            <w:rFonts w:hint="eastAsia" w:ascii="仿宋" w:hAnsi="仿宋" w:eastAsia="仿宋"/>
                            <w:sz w:val="21"/>
                            <w:szCs w:val="21"/>
                          </w:rPr>
                          <w:t>生产事故信息</w:t>
                        </w:r>
                      </w:p>
                    </w:txbxContent>
                  </v:textbox>
                </v:shape>
                <v:line id="直线 412" o:spid="_x0000_s1026" o:spt="20" style="position:absolute;left:914400;top:132515;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D2SDCIDAgAA3gMAAA4AAAAAAAAAAQAgAAAAJQEAAGRy&#10;cy9lMm9Eb2MueG1sUEsFBgAAAAAGAAYAWQEAAJoFAAAAAA==&#10;">
                  <v:fill on="f" focussize="0,0"/>
                  <v:stroke color="#000000" joinstyle="round" endarrow="block"/>
                  <v:imagedata o:title=""/>
                  <o:lock v:ext="edit" aspectratio="f"/>
                </v:line>
                <v:shape id="文本框 413" o:spid="_x0000_s1026" o:spt="202" type="#_x0000_t202" style="position:absolute;left:619125;top:437950;height:201295;width:5715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BBUyuNBAgAAWwQAAA4AAAAAAAAAAQAgAAAAIwEA&#10;AGRycy9lMm9Eb2MueG1sUEsFBgAAAAAGAAYAWQEAANYFAAAAAA==&#10;">
                  <v:fill on="f" focussize="0,0"/>
                  <v:stroke color="#000000" miterlimit="8" joinstyle="miter"/>
                  <v:imagedata o:title=""/>
                  <o:lock v:ext="edit" aspectratio="f"/>
                  <v:textbox inset="0mm,0mm,0mm,0mm">
                    <w:txbxContent>
                      <w:p w14:paraId="7709086C">
                        <w:pPr>
                          <w:jc w:val="center"/>
                          <w:rPr>
                            <w:rFonts w:ascii="仿宋" w:hAnsi="仿宋" w:eastAsia="仿宋"/>
                            <w:sz w:val="21"/>
                            <w:szCs w:val="21"/>
                          </w:rPr>
                        </w:pPr>
                        <w:r>
                          <w:rPr>
                            <w:rFonts w:hint="eastAsia" w:ascii="仿宋" w:hAnsi="仿宋" w:eastAsia="仿宋"/>
                            <w:sz w:val="21"/>
                            <w:szCs w:val="21"/>
                          </w:rPr>
                          <w:t>接报</w:t>
                        </w:r>
                      </w:p>
                    </w:txbxContent>
                  </v:textbox>
                </v:shape>
                <v:line id="直线 414" o:spid="_x0000_s1026" o:spt="20" style="position:absolute;left:914400;top:641785;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KEGG4oDAgAA3gMAAA4AAAAAAAAAAQAgAAAAJQEAAGRy&#10;cy9lMm9Eb2MueG1sUEsFBgAAAAAGAAYAWQEAAJoFAAAAAA==&#10;">
                  <v:fill on="f" focussize="0,0"/>
                  <v:stroke color="#000000" joinstyle="round" endarrow="block"/>
                  <v:imagedata o:title=""/>
                  <o:lock v:ext="edit" aspectratio="f"/>
                </v:line>
                <v:shape id="文本框 415" o:spid="_x0000_s1026" o:spt="202" type="#_x0000_t202" style="position:absolute;left:619125;top:947220;height:201295;width:5715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tZ1vDUAAAABgEAAA8AAAAAAAAAAQAgAAAAIgAAAGRycy9k&#10;b3ducmV2LnhtbFBLAQIUABQAAAAIAIdO4kAKQLXHPwIAAFsEAAAOAAAAAAAAAAEAIAAAACMBAABk&#10;cnMvZTJvRG9jLnhtbFBLBQYAAAAABgAGAFkBAADUBQAAAAA=&#10;">
                  <v:fill on="f" focussize="0,0"/>
                  <v:stroke color="#000000" miterlimit="8" joinstyle="miter"/>
                  <v:imagedata o:title=""/>
                  <o:lock v:ext="edit" aspectratio="f"/>
                  <v:textbox inset="0mm,0mm,0mm,0mm">
                    <w:txbxContent>
                      <w:p w14:paraId="7509A512">
                        <w:pPr>
                          <w:jc w:val="center"/>
                          <w:rPr>
                            <w:rFonts w:ascii="仿宋" w:hAnsi="仿宋" w:eastAsia="仿宋"/>
                            <w:sz w:val="21"/>
                            <w:szCs w:val="21"/>
                          </w:rPr>
                        </w:pPr>
                        <w:r>
                          <w:rPr>
                            <w:rFonts w:hint="eastAsia" w:ascii="仿宋" w:hAnsi="仿宋" w:eastAsia="仿宋"/>
                            <w:sz w:val="21"/>
                            <w:szCs w:val="21"/>
                          </w:rPr>
                          <w:t>信息研判</w:t>
                        </w:r>
                      </w:p>
                    </w:txbxContent>
                  </v:textbox>
                </v:shape>
                <v:line id="直线 416" o:spid="_x0000_s1026" o:spt="20" style="position:absolute;left:923925;top:1156135;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yxIOtYAAAAGAQAADwAAAAAAAAABACAAAAAiAAAAZHJzL2Rvd25y&#10;ZXYueG1sUEsBAhQAFAAAAAgAh07iQE7ltA0AAgAA3wMAAA4AAAAAAAAAAQAgAAAAJQEAAGRycy9l&#10;Mm9Eb2MueG1sUEsFBgAAAAAGAAYAWQEAAJcFAAAAAA==&#10;">
                  <v:fill on="f" focussize="0,0"/>
                  <v:stroke color="#000000" joinstyle="round" endarrow="block"/>
                  <v:imagedata o:title=""/>
                  <o:lock v:ext="edit" aspectratio="f"/>
                </v:line>
                <v:shape id="文本框 417" o:spid="_x0000_s1026" o:spt="202" type="#_x0000_t202" style="position:absolute;left:495300;top:1480620;height:201295;width:86423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Nurt69BAgAAXAQAAA4AAAAAAAAAAQAgAAAAIwEA&#10;AGRycy9lMm9Eb2MueG1sUEsFBgAAAAAGAAYAWQEAANYFAAAAAA==&#10;">
                  <v:fill on="f" focussize="0,0"/>
                  <v:stroke color="#000000" miterlimit="8" joinstyle="miter"/>
                  <v:imagedata o:title=""/>
                  <o:lock v:ext="edit" aspectratio="f"/>
                  <v:textbox inset="0mm,0mm,0mm,0mm">
                    <w:txbxContent>
                      <w:p w14:paraId="07D1ADCB">
                        <w:pPr>
                          <w:jc w:val="center"/>
                          <w:rPr>
                            <w:rFonts w:ascii="仿宋" w:hAnsi="仿宋" w:eastAsia="仿宋"/>
                            <w:sz w:val="21"/>
                            <w:szCs w:val="21"/>
                          </w:rPr>
                        </w:pPr>
                        <w:r>
                          <w:rPr>
                            <w:rFonts w:hint="eastAsia" w:ascii="仿宋" w:hAnsi="仿宋" w:eastAsia="仿宋"/>
                            <w:sz w:val="21"/>
                            <w:szCs w:val="21"/>
                            <w:lang w:val="en-US" w:eastAsia="zh-CN"/>
                          </w:rPr>
                          <w:t>公司</w:t>
                        </w:r>
                        <w:r>
                          <w:rPr>
                            <w:rFonts w:hint="eastAsia" w:ascii="仿宋" w:hAnsi="仿宋" w:eastAsia="仿宋"/>
                            <w:sz w:val="21"/>
                            <w:szCs w:val="21"/>
                          </w:rPr>
                          <w:t>应急活动</w:t>
                        </w:r>
                      </w:p>
                    </w:txbxContent>
                  </v:textbox>
                </v:shape>
                <v:shape id="文本框 419" o:spid="_x0000_s1026" o:spt="202" type="#_x0000_t202" style="position:absolute;left:2168525;top:431800;height:201295;width:5715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IrJnKtBAgAAXAQAAA4AAAAAAAAAAQAgAAAAIwEA&#10;AGRycy9lMm9Eb2MueG1sUEsFBgAAAAAGAAYAWQEAANYFAAAAAA==&#10;">
                  <v:fill on="f" focussize="0,0"/>
                  <v:stroke color="#000000" miterlimit="8" joinstyle="miter"/>
                  <v:imagedata o:title=""/>
                  <o:lock v:ext="edit" aspectratio="f"/>
                  <v:textbox inset="0mm,0mm,0mm,0mm">
                    <w:txbxContent>
                      <w:p w14:paraId="12BBE114">
                        <w:pPr>
                          <w:jc w:val="center"/>
                          <w:rPr>
                            <w:rFonts w:ascii="仿宋" w:hAnsi="仿宋" w:eastAsia="仿宋"/>
                            <w:sz w:val="21"/>
                            <w:szCs w:val="21"/>
                          </w:rPr>
                        </w:pPr>
                        <w:r>
                          <w:rPr>
                            <w:rFonts w:hint="eastAsia" w:ascii="仿宋" w:hAnsi="仿宋" w:eastAsia="仿宋"/>
                            <w:sz w:val="21"/>
                            <w:szCs w:val="21"/>
                          </w:rPr>
                          <w:t>报告</w:t>
                        </w:r>
                      </w:p>
                    </w:txbxContent>
                  </v:textbox>
                </v:shape>
                <v:shape id="文本框 420" o:spid="_x0000_s1026" o:spt="202" type="#_x0000_t202" style="position:absolute;left:1120140;top:718185;height:198755;width:11430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rEpTPUAAAABgEAAA8A&#10;AAAAAAAAAQAgAAAAIgAAAGRycy9kb3ducmV2LnhtbFBLAQIUABQAAAAIAIdO4kBpRbsFGwIAABQE&#10;AAAOAAAAAAAAAAEAIAAAACMBAABkcnMvZTJvRG9jLnhtbFBLBQYAAAAABgAGAFkBAACwBQAAAAA=&#10;">
                  <v:fill on="f" focussize="0,0"/>
                  <v:stroke on="f"/>
                  <v:imagedata o:title=""/>
                  <o:lock v:ext="edit" aspectratio="f"/>
                  <v:textbox inset="0mm,0mm,0mm,0mm">
                    <w:txbxContent>
                      <w:p w14:paraId="14FB6FFD">
                        <w:pPr>
                          <w:jc w:val="center"/>
                          <w:rPr>
                            <w:rFonts w:ascii="仿宋" w:hAnsi="仿宋" w:eastAsia="仿宋"/>
                            <w:sz w:val="21"/>
                            <w:szCs w:val="21"/>
                          </w:rPr>
                        </w:pPr>
                        <w:r>
                          <w:rPr>
                            <w:rFonts w:hint="eastAsia" w:ascii="仿宋" w:hAnsi="仿宋" w:eastAsia="仿宋"/>
                            <w:sz w:val="21"/>
                            <w:szCs w:val="21"/>
                          </w:rPr>
                          <w:t>超出</w:t>
                        </w:r>
                        <w:r>
                          <w:rPr>
                            <w:rFonts w:hint="eastAsia" w:ascii="仿宋" w:hAnsi="仿宋" w:eastAsia="仿宋"/>
                            <w:sz w:val="21"/>
                            <w:szCs w:val="21"/>
                            <w:lang w:eastAsia="zh-CN"/>
                          </w:rPr>
                          <w:t>公司</w:t>
                        </w:r>
                        <w:r>
                          <w:rPr>
                            <w:rFonts w:hint="eastAsia" w:ascii="仿宋" w:hAnsi="仿宋" w:eastAsia="仿宋"/>
                            <w:sz w:val="21"/>
                            <w:szCs w:val="21"/>
                          </w:rPr>
                          <w:t>应急范畴</w:t>
                        </w:r>
                      </w:p>
                    </w:txbxContent>
                  </v:textbox>
                </v:shape>
                <v:shape id="文本框 421" o:spid="_x0000_s1026" o:spt="202" type="#_x0000_t202" style="position:absolute;left:981075;top:1202490;height:198755;width:13716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sSlM9QAAAAGAQAADwAA&#10;AAAAAAABACAAAAAiAAAAZHJzL2Rvd25yZXYueG1sUEsBAhQAFAAAAAgAh07iQLTc5nQaAgAAFAQA&#10;AA4AAAAAAAAAAQAgAAAAIwEAAGRycy9lMm9Eb2MueG1sUEsFBgAAAAAGAAYAWQEAAK8FAAAAAA==&#10;">
                  <v:fill on="f" focussize="0,0"/>
                  <v:stroke on="f"/>
                  <v:imagedata o:title=""/>
                  <o:lock v:ext="edit" aspectratio="f"/>
                  <v:textbox inset="0mm,0mm,0mm,0mm">
                    <w:txbxContent>
                      <w:p w14:paraId="20AC3394">
                        <w:pPr>
                          <w:jc w:val="center"/>
                          <w:rPr>
                            <w:rFonts w:ascii="仿宋" w:hAnsi="仿宋" w:eastAsia="仿宋"/>
                            <w:sz w:val="21"/>
                            <w:szCs w:val="21"/>
                          </w:rPr>
                        </w:pPr>
                        <w:r>
                          <w:rPr>
                            <w:rFonts w:hint="eastAsia" w:ascii="仿宋" w:hAnsi="仿宋" w:eastAsia="仿宋"/>
                            <w:sz w:val="21"/>
                            <w:szCs w:val="21"/>
                          </w:rPr>
                          <w:t>未超出</w:t>
                        </w:r>
                        <w:r>
                          <w:rPr>
                            <w:rFonts w:hint="eastAsia" w:ascii="仿宋" w:hAnsi="仿宋" w:eastAsia="仿宋"/>
                            <w:sz w:val="21"/>
                            <w:szCs w:val="21"/>
                            <w:lang w:eastAsia="zh-CN"/>
                          </w:rPr>
                          <w:t>公司</w:t>
                        </w:r>
                        <w:r>
                          <w:rPr>
                            <w:rFonts w:hint="eastAsia" w:ascii="仿宋" w:hAnsi="仿宋" w:eastAsia="仿宋"/>
                            <w:sz w:val="21"/>
                            <w:szCs w:val="21"/>
                          </w:rPr>
                          <w:t>应急范畴</w:t>
                        </w:r>
                      </w:p>
                    </w:txbxContent>
                  </v:textbox>
                </v:shape>
                <v:line id="直线 422" o:spid="_x0000_s1026" o:spt="20" style="position:absolute;left:2725420;top:519430;flip:y;height:6350;width:140208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K3gjNMAAAAGAQAADwAAAAAAAAABACAAAAAiAAAAZHJzL2Rvd25yZXYueG1sUEsBAhQAFAAAAAgA&#10;h07iQAG7ognxAQAAvQMAAA4AAAAAAAAAAQAgAAAAIgEAAGRycy9lMm9Eb2MueG1sUEsFBgAAAAAG&#10;AAYAWQEAAIUFAAAAAA==&#10;">
                  <v:fill on="f" focussize="0,0"/>
                  <v:stroke color="#000000" joinstyle="round"/>
                  <v:imagedata o:title=""/>
                  <o:lock v:ext="edit" aspectratio="f"/>
                </v:line>
                <v:shape id="文本框 425" o:spid="_x0000_s1026" o:spt="202" type="#_x0000_t202" style="position:absolute;left:3202940;top:1187450;height:1312545;width:228600;" filled="f" stroked="t" coordsize="21600,21600" o:gfxdata="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cp7HtQAAAAGAQAADwAAAAAAAAABACAAAAAiAAAAZHJz&#10;L2Rvd25yZXYueG1sUEsBAhQAFAAAAAgAh07iQF+mIyFBAgAAYAQAAA4AAAAAAAAAAQAgAAAAIwEA&#10;AGRycy9lMm9Eb2MueG1sUEsFBgAAAAAGAAYAWQEAANYFAAAAAA==&#10;">
                  <v:fill on="f" focussize="0,0"/>
                  <v:stroke color="#000000" miterlimit="8" joinstyle="miter"/>
                  <v:imagedata o:title=""/>
                  <o:lock v:ext="edit" aspectratio="f"/>
                  <v:textbox inset="0mm,0mm,0mm,0mm" style="layout-flow:vertical-ideographic;">
                    <w:txbxContent>
                      <w:p w14:paraId="407869C5">
                        <w:pPr>
                          <w:jc w:val="center"/>
                          <w:rPr>
                            <w:rFonts w:ascii="仿宋" w:hAnsi="仿宋" w:eastAsia="仿宋"/>
                            <w:sz w:val="21"/>
                            <w:szCs w:val="21"/>
                          </w:rPr>
                        </w:pPr>
                        <w:r>
                          <w:rPr>
                            <w:rFonts w:hint="eastAsia" w:ascii="仿宋" w:hAnsi="仿宋" w:eastAsia="仿宋"/>
                            <w:sz w:val="21"/>
                            <w:szCs w:val="21"/>
                          </w:rPr>
                          <w:t>海安市人民政府</w:t>
                        </w:r>
                      </w:p>
                      <w:p w14:paraId="59AA6268">
                        <w:pPr>
                          <w:ind w:firstLine="420"/>
                          <w:jc w:val="center"/>
                          <w:rPr>
                            <w:rFonts w:ascii="仿宋" w:hAnsi="仿宋" w:eastAsia="仿宋"/>
                            <w:sz w:val="21"/>
                            <w:szCs w:val="21"/>
                          </w:rPr>
                        </w:pPr>
                      </w:p>
                    </w:txbxContent>
                  </v:textbox>
                </v:shape>
                <v:shape id="文本框 426" o:spid="_x0000_s1026" o:spt="202" type="#_x0000_t202" style="position:absolute;left:3678555;top:1178560;height:1594485;width:228600;" filled="f" stroked="t" coordsize="21600,21600" o:gfxdata="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nKex7UAAAABgEAAA8AAAAAAAAAAQAgAAAAIgAAAGRy&#10;cy9kb3ducmV2LnhtbFBLAQIUABQAAAAIAIdO4kBLxR/hQgIAAGAEAAAOAAAAAAAAAAEAIAAAACMB&#10;AABkcnMvZTJvRG9jLnhtbFBLBQYAAAAABgAGAFkBAADXBQAAAAA=&#10;">
                  <v:fill on="f" focussize="0,0"/>
                  <v:stroke color="#000000" miterlimit="8" joinstyle="miter"/>
                  <v:imagedata o:title=""/>
                  <o:lock v:ext="edit" aspectratio="f"/>
                  <v:textbox inset="0mm,0mm,0mm,0mm" style="layout-flow:vertical-ideographic;">
                    <w:txbxContent>
                      <w:p w14:paraId="127FB178">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南通市海安生态环境局</w:t>
                        </w:r>
                      </w:p>
                    </w:txbxContent>
                  </v:textbox>
                </v:shape>
                <v:line id="直线 427" o:spid="_x0000_s1026" o:spt="20" style="position:absolute;left:3457575;top:1816100;flip:x;height:635;width:215900;" filled="f" stroked="t" coordsize="21600,21600" o:gfxdata="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86Sv1gAAAAYBAAAPAAAAAAAAAAEAIAAAACIAAABk&#10;cnMvZG93bnJldi54bWxQSwECFAAUAAAACACHTuJAiMnywggCAADqAwAADgAAAAAAAAABACAAAAAl&#10;AQAAZHJzL2Uyb0RvYy54bWxQSwUGAAAAAAYABgBZAQAAnwUAAAAA&#10;">
                  <v:fill on="f" focussize="0,0"/>
                  <v:stroke color="#000000" joinstyle="round" endarrow="block"/>
                  <v:imagedata o:title=""/>
                  <o:lock v:ext="edit" aspectratio="f"/>
                </v:line>
                <v:shape id="文本框 430" o:spid="_x0000_s1026" o:spt="202" type="#_x0000_t202" style="position:absolute;left:3054985;top:570865;height:198120;width:9144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rEpTPUAAAABgEA&#10;AA8AAAAAAAAAAQAgAAAAIgAAAGRycy9kb3ducmV2LnhtbFBLAQIUABQAAAAIAIdO4kB4AvJcHgIA&#10;ABMEAAAOAAAAAAAAAAEAIAAAACMBAABkcnMvZTJvRG9jLnhtbFBLBQYAAAAABgAGAFkBAACzBQAA&#10;AAA=&#10;">
                  <v:fill on="f" focussize="0,0"/>
                  <v:stroke on="f"/>
                  <v:imagedata o:title=""/>
                  <o:lock v:ext="edit" aspectratio="f"/>
                  <v:textbox inset="0mm,0mm,0mm,0mm">
                    <w:txbxContent>
                      <w:p w14:paraId="2CDEB3DC">
                        <w:pPr>
                          <w:jc w:val="center"/>
                          <w:rPr>
                            <w:rFonts w:ascii="仿宋" w:hAnsi="仿宋" w:eastAsia="仿宋"/>
                            <w:sz w:val="21"/>
                            <w:szCs w:val="21"/>
                          </w:rPr>
                        </w:pPr>
                        <w:r>
                          <w:rPr>
                            <w:rFonts w:hint="eastAsia" w:ascii="仿宋" w:hAnsi="仿宋" w:eastAsia="仿宋"/>
                            <w:sz w:val="21"/>
                            <w:szCs w:val="21"/>
                          </w:rPr>
                          <w:t>政府部门</w:t>
                        </w:r>
                      </w:p>
                    </w:txbxContent>
                  </v:textbox>
                </v:shape>
                <v:line id="直线 431" o:spid="_x0000_s1026" o:spt="20" style="position:absolute;left:4486275;top:2783840;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MsSDrWAAAABgEAAA8AAAAAAAAAAQAgAAAAIgAAAGRycy9kb3du&#10;cmV2LnhtbFBLAQIUABQAAAAIAIdO4kCOOTSVAQIAAOADAAAOAAAAAAAAAAEAIAAAACUBAABkcnMv&#10;ZTJvRG9jLnhtbFBLBQYAAAAABgAGAFkBAACYBQAAAAA=&#10;">
                  <v:fill on="f" focussize="0,0"/>
                  <v:stroke color="#000000" joinstyle="round" endarrow="block"/>
                  <v:imagedata o:title=""/>
                  <o:lock v:ext="edit" aspectratio="f"/>
                </v:line>
                <v:shape id="文本框 432" o:spid="_x0000_s1026" o:spt="202" type="#_x0000_t202" style="position:absolute;left:3848100;top:3081020;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tZ1vDUAAAABgEAAA8AAAAAAAAAAQAgAAAAIgAAAGRycy9k&#10;b3ducmV2LnhtbFBLAQIUABQAAAAIAIdO4kDW5HkkPwIAAF4EAAAOAAAAAAAAAAEAIAAAACMBAABk&#10;cnMvZTJvRG9jLnhtbFBLBQYAAAAABgAGAFkBAADUBQAAAAA=&#10;">
                  <v:fill on="f" focussize="0,0"/>
                  <v:stroke color="#000000" miterlimit="8" joinstyle="miter"/>
                  <v:imagedata o:title=""/>
                  <o:lock v:ext="edit" aspectratio="f"/>
                  <v:textbox inset="0mm,0mm,0mm,0mm">
                    <w:txbxContent>
                      <w:p w14:paraId="3F1F10A4">
                        <w:pPr>
                          <w:jc w:val="center"/>
                          <w:rPr>
                            <w:rFonts w:ascii="仿宋" w:hAnsi="仿宋" w:eastAsia="仿宋"/>
                            <w:sz w:val="21"/>
                            <w:szCs w:val="21"/>
                          </w:rPr>
                        </w:pPr>
                        <w:r>
                          <w:rPr>
                            <w:rFonts w:hint="eastAsia" w:ascii="仿宋" w:hAnsi="仿宋" w:eastAsia="仿宋"/>
                            <w:sz w:val="21"/>
                            <w:szCs w:val="21"/>
                          </w:rPr>
                          <w:t>预警</w:t>
                        </w:r>
                      </w:p>
                    </w:txbxContent>
                  </v:textbox>
                </v:shape>
                <v:line id="直线 433" o:spid="_x0000_s1026" o:spt="20" style="position:absolute;left:4495800;top:3279140;height:349885;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OVcagcDAgAA4AMAAA4AAAAAAAAAAQAgAAAAJQEAAGRy&#10;cy9lMm9Eb2MueG1sUEsFBgAAAAAGAAYAWQEAAJoFAAAAAA==&#10;">
                  <v:fill on="f" focussize="0,0"/>
                  <v:stroke color="#000000" joinstyle="round" endarrow="block"/>
                  <v:imagedata o:title=""/>
                  <o:lock v:ext="edit" aspectratio="f"/>
                </v:line>
                <v:shape id="文本框 434" o:spid="_x0000_s1026" o:spt="202" type="#_x0000_t202" style="position:absolute;left:3876675;top:3622675;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&#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CW6gAUQgIAAF4EAAAOAAAAAAAAAAEAIAAAACMB&#10;AABkcnMvZTJvRG9jLnhtbFBLBQYAAAAABgAGAFkBAADXBQAAAAA=&#10;">
                  <v:fill on="f" focussize="0,0"/>
                  <v:stroke color="#000000" miterlimit="8" joinstyle="miter"/>
                  <v:imagedata o:title=""/>
                  <o:lock v:ext="edit" aspectratio="f"/>
                  <v:textbox inset="0mm,0mm,0mm,0mm">
                    <w:txbxContent>
                      <w:p w14:paraId="69F80A2F">
                        <w:pPr>
                          <w:jc w:val="center"/>
                          <w:rPr>
                            <w:rFonts w:ascii="仿宋" w:hAnsi="仿宋" w:eastAsia="仿宋"/>
                            <w:sz w:val="21"/>
                            <w:szCs w:val="21"/>
                          </w:rPr>
                        </w:pPr>
                        <w:r>
                          <w:rPr>
                            <w:rFonts w:hint="eastAsia" w:ascii="仿宋" w:hAnsi="仿宋" w:eastAsia="仿宋"/>
                            <w:sz w:val="21"/>
                            <w:szCs w:val="21"/>
                          </w:rPr>
                          <w:t>启动应急预案</w:t>
                        </w:r>
                      </w:p>
                    </w:txbxContent>
                  </v:textbox>
                </v:shape>
                <v:line id="直线 435" o:spid="_x0000_s1026" o:spt="20" style="position:absolute;left:4524375;top:3836035;height:377825;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MsSDrWAAAABgEAAA8AAAAAAAAAAQAgAAAAIgAAAGRycy9kb3du&#10;cmV2LnhtbFBLAQIUABQAAAAIAIdO4kC86b5OAQIAAOADAAAOAAAAAAAAAAEAIAAAACUBAABkcnMv&#10;ZTJvRG9jLnhtbFBLBQYAAAAABgAGAFkBAACYBQAAAAA=&#10;">
                  <v:fill on="f" focussize="0,0"/>
                  <v:stroke color="#000000" joinstyle="round" endarrow="block"/>
                  <v:imagedata o:title=""/>
                  <o:lock v:ext="edit" aspectratio="f"/>
                </v:line>
                <v:shape id="文本框 436" o:spid="_x0000_s1026" o:spt="202" type="#_x0000_t202" style="position:absolute;left:3895725;top:4220845;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&#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rWdbw1AAAAAYBAAAPAAAAAAAAAAEAIAAAACIAAABk&#10;cnMvZG93bnJldi54bWxQSwECFAAUAAAACACHTuJA0Eg5HkMCAABeBAAADgAAAAAAAAABACAAAAAj&#10;AQAAZHJzL2Uyb0RvYy54bWxQSwUGAAAAAAYABgBZAQAA2AUAAAAA&#10;">
                  <v:fill on="f" focussize="0,0"/>
                  <v:stroke color="#000000" miterlimit="8" joinstyle="miter"/>
                  <v:imagedata o:title=""/>
                  <o:lock v:ext="edit" aspectratio="f"/>
                  <v:textbox inset="0mm,0mm,0mm,0mm">
                    <w:txbxContent>
                      <w:p w14:paraId="6A23E679">
                        <w:pPr>
                          <w:jc w:val="center"/>
                          <w:rPr>
                            <w:rFonts w:ascii="仿宋" w:hAnsi="仿宋" w:eastAsia="仿宋"/>
                            <w:sz w:val="21"/>
                            <w:szCs w:val="21"/>
                          </w:rPr>
                        </w:pPr>
                        <w:r>
                          <w:rPr>
                            <w:rFonts w:hint="eastAsia" w:ascii="仿宋" w:hAnsi="仿宋" w:eastAsia="仿宋"/>
                            <w:sz w:val="21"/>
                            <w:szCs w:val="21"/>
                          </w:rPr>
                          <w:t>成立指挥部</w:t>
                        </w:r>
                      </w:p>
                    </w:txbxContent>
                  </v:textbox>
                </v:shape>
                <v:line id="直线 437" o:spid="_x0000_s1026" o:spt="20" style="position:absolute;left:4543425;top:4426585;height:33147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ESWzfIDAgAA4AMAAA4AAAAAAAAAAQAgAAAAJQEAAGRy&#10;cy9lMm9Eb2MueG1sUEsFBgAAAAAGAAYAWQEAAJoFAAAAAA==&#10;">
                  <v:fill on="f" focussize="0,0"/>
                  <v:stroke color="#000000" joinstyle="round" endarrow="block"/>
                  <v:imagedata o:title=""/>
                  <o:lock v:ext="edit" aspectratio="f"/>
                </v:line>
                <v:shape id="文本框 438" o:spid="_x0000_s1026" o:spt="202" type="#_x0000_t202" style="position:absolute;left:3905250;top:4756150;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HxkulNBAgAAXgQAAA4AAAAAAAAAAQAgAAAAIwEA&#10;AGRycy9lMm9Eb2MueG1sUEsFBgAAAAAGAAYAWQEAANYFAAAAAA==&#10;">
                  <v:fill on="f" focussize="0,0"/>
                  <v:stroke color="#000000" miterlimit="8" joinstyle="miter"/>
                  <v:imagedata o:title=""/>
                  <o:lock v:ext="edit" aspectratio="f"/>
                  <v:textbox inset="0mm,0mm,0mm,0mm">
                    <w:txbxContent>
                      <w:p w14:paraId="17198203">
                        <w:pPr>
                          <w:jc w:val="center"/>
                          <w:rPr>
                            <w:rFonts w:ascii="仿宋" w:hAnsi="仿宋" w:eastAsia="仿宋"/>
                            <w:sz w:val="21"/>
                            <w:szCs w:val="21"/>
                          </w:rPr>
                        </w:pPr>
                        <w:r>
                          <w:rPr>
                            <w:rFonts w:hint="eastAsia" w:ascii="仿宋" w:hAnsi="仿宋" w:eastAsia="仿宋"/>
                            <w:sz w:val="21"/>
                            <w:szCs w:val="21"/>
                          </w:rPr>
                          <w:t>现场指挥</w:t>
                        </w:r>
                      </w:p>
                    </w:txbxContent>
                  </v:textbox>
                </v:shape>
                <v:line id="直线 439" o:spid="_x0000_s1026" o:spt="20" style="position:absolute;left:4552950;top:4969510;height:360045;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Okhf6EDAgAA4AMAAA4AAAAAAAAAAQAgAAAAJQEAAGRy&#10;cy9lMm9Eb2MueG1sUEsFBgAAAAAGAAYAWQEAAJoFAAAAAA==&#10;">
                  <v:fill on="f" focussize="0,0"/>
                  <v:stroke color="#000000" joinstyle="round" endarrow="block"/>
                  <v:imagedata o:title=""/>
                  <o:lock v:ext="edit" aspectratio="f"/>
                </v:line>
                <v:shape id="文本框 440" o:spid="_x0000_s1026" o:spt="202" type="#_x0000_t202" style="position:absolute;left:3924300;top:5335270;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DMg9xZBAgAAXgQAAA4AAAAAAAAAAQAgAAAAIwEA&#10;AGRycy9lMm9Eb2MueG1sUEsFBgAAAAAGAAYAWQEAANYFAAAAAA==&#10;">
                  <v:fill on="f" focussize="0,0"/>
                  <v:stroke color="#000000" miterlimit="8" joinstyle="miter"/>
                  <v:imagedata o:title=""/>
                  <o:lock v:ext="edit" aspectratio="f"/>
                  <v:textbox inset="0mm,0mm,0mm,0mm">
                    <w:txbxContent>
                      <w:p w14:paraId="4A2A81C5">
                        <w:pPr>
                          <w:jc w:val="center"/>
                          <w:rPr>
                            <w:rFonts w:ascii="仿宋" w:hAnsi="仿宋" w:eastAsia="仿宋"/>
                            <w:sz w:val="21"/>
                            <w:szCs w:val="21"/>
                          </w:rPr>
                        </w:pPr>
                        <w:r>
                          <w:rPr>
                            <w:rFonts w:hint="eastAsia" w:ascii="仿宋" w:hAnsi="仿宋" w:eastAsia="仿宋"/>
                            <w:sz w:val="21"/>
                            <w:szCs w:val="21"/>
                          </w:rPr>
                          <w:t>应急处置各项工作</w:t>
                        </w:r>
                      </w:p>
                    </w:txbxContent>
                  </v:textbox>
                </v:shape>
                <v:line id="直线 441" o:spid="_x0000_s1026" o:spt="20" style="position:absolute;left:4572000;top:5541010;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zLEg61gAAAAYBAAAPAAAAAAAAAAEAIAAAACIAAABkcnMvZG93&#10;bnJldi54bWxQSwECFAAUAAAACACHTuJAD+9y2wICAADgAwAADgAAAAAAAAABACAAAAAlAQAAZHJz&#10;L2Uyb0RvYy54bWxQSwUGAAAAAAYABgBZAQAAmQUAAAAA&#10;">
                  <v:fill on="f" focussize="0,0"/>
                  <v:stroke color="#000000" joinstyle="round" endarrow="block"/>
                  <v:imagedata o:title=""/>
                  <o:lock v:ext="edit" aspectratio="f"/>
                </v:line>
                <v:shape id="文本框 442" o:spid="_x0000_s1026" o:spt="202" type="#_x0000_t202" style="position:absolute;left:3933825;top:5847715;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BLR8RgQgIAAF4EAAAOAAAAAAAAAAEAIAAAACMB&#10;AABkcnMvZTJvRG9jLnhtbFBLBQYAAAAABgAGAFkBAADXBQAAAAA=&#10;">
                  <v:fill on="f" focussize="0,0"/>
                  <v:stroke color="#000000" miterlimit="8" joinstyle="miter"/>
                  <v:imagedata o:title=""/>
                  <o:lock v:ext="edit" aspectratio="f"/>
                  <v:textbox inset="0mm,0mm,0mm,0mm">
                    <w:txbxContent>
                      <w:p w14:paraId="4AF09F4D">
                        <w:pPr>
                          <w:jc w:val="center"/>
                          <w:rPr>
                            <w:rFonts w:ascii="仿宋" w:hAnsi="仿宋" w:eastAsia="仿宋"/>
                            <w:sz w:val="21"/>
                            <w:szCs w:val="21"/>
                          </w:rPr>
                        </w:pPr>
                        <w:r>
                          <w:rPr>
                            <w:rFonts w:hint="eastAsia" w:ascii="仿宋" w:hAnsi="仿宋" w:eastAsia="仿宋"/>
                            <w:sz w:val="21"/>
                            <w:szCs w:val="21"/>
                          </w:rPr>
                          <w:t>应急终止</w:t>
                        </w:r>
                      </w:p>
                    </w:txbxContent>
                  </v:textbox>
                </v:shape>
                <v:shape id="文本框 448" o:spid="_x0000_s1026" o:spt="202" type="#_x0000_t202" style="position:absolute;left:1019175;top:3614855;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NfnkodBAgAAXgQAAA4AAAAAAAAAAQAgAAAAIwEA&#10;AGRycy9lMm9Eb2MueG1sUEsFBgAAAAAGAAYAWQEAANYFAAAAAA==&#10;">
                  <v:fill on="f" focussize="0,0"/>
                  <v:stroke color="#000000" miterlimit="8" joinstyle="miter"/>
                  <v:imagedata o:title=""/>
                  <o:lock v:ext="edit" aspectratio="f"/>
                  <v:textbox inset="0mm,0mm,0mm,0mm">
                    <w:txbxContent>
                      <w:p w14:paraId="5C48BAA3">
                        <w:pPr>
                          <w:jc w:val="center"/>
                          <w:rPr>
                            <w:rFonts w:ascii="仿宋" w:hAnsi="仿宋" w:eastAsia="仿宋"/>
                            <w:sz w:val="21"/>
                            <w:szCs w:val="21"/>
                          </w:rPr>
                        </w:pPr>
                        <w:r>
                          <w:rPr>
                            <w:rFonts w:hint="eastAsia" w:ascii="仿宋" w:hAnsi="仿宋" w:eastAsia="仿宋"/>
                            <w:sz w:val="21"/>
                            <w:szCs w:val="21"/>
                            <w:lang w:val="en-US" w:eastAsia="zh-CN"/>
                          </w:rPr>
                          <w:t>综合协调</w:t>
                        </w:r>
                        <w:r>
                          <w:rPr>
                            <w:rFonts w:hint="eastAsia" w:ascii="仿宋" w:hAnsi="仿宋" w:eastAsia="仿宋"/>
                            <w:sz w:val="21"/>
                            <w:szCs w:val="21"/>
                          </w:rPr>
                          <w:t>组</w:t>
                        </w:r>
                      </w:p>
                    </w:txbxContent>
                  </v:textbox>
                </v:shape>
                <v:shape id="文本框 450" o:spid="_x0000_s1026" o:spt="202" type="#_x0000_t202" style="position:absolute;left:1019810;top:4118410;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Bs+NhEQgIAAF4EAAAOAAAAAAAAAAEAIAAAACMB&#10;AABkcnMvZTJvRG9jLnhtbFBLBQYAAAAABgAGAFkBAADXBQAAAAA=&#10;">
                  <v:fill on="f" focussize="0,0"/>
                  <v:stroke color="#000000" miterlimit="8" joinstyle="miter"/>
                  <v:imagedata o:title=""/>
                  <o:lock v:ext="edit" aspectratio="f"/>
                  <v:textbox inset="0mm,0mm,0mm,0mm">
                    <w:txbxContent>
                      <w:p w14:paraId="13418E29">
                        <w:pPr>
                          <w:jc w:val="center"/>
                          <w:rPr>
                            <w:rFonts w:ascii="仿宋" w:hAnsi="仿宋" w:eastAsia="仿宋"/>
                            <w:sz w:val="21"/>
                            <w:szCs w:val="21"/>
                          </w:rPr>
                        </w:pPr>
                        <w:r>
                          <w:rPr>
                            <w:rFonts w:hint="eastAsia" w:ascii="仿宋" w:hAnsi="仿宋" w:eastAsia="仿宋"/>
                            <w:sz w:val="21"/>
                            <w:szCs w:val="21"/>
                            <w:lang w:val="en-US" w:eastAsia="zh-CN"/>
                          </w:rPr>
                          <w:t>现场处置</w:t>
                        </w:r>
                        <w:r>
                          <w:rPr>
                            <w:rFonts w:hint="eastAsia" w:ascii="仿宋" w:hAnsi="仿宋" w:eastAsia="仿宋"/>
                            <w:sz w:val="21"/>
                            <w:szCs w:val="21"/>
                          </w:rPr>
                          <w:t>组</w:t>
                        </w:r>
                      </w:p>
                    </w:txbxContent>
                  </v:textbox>
                </v:shape>
                <v:shape id="文本框 452" o:spid="_x0000_s1026" o:spt="202" type="#_x0000_t202" style="position:absolute;left:1014408;top:4672130;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rWdbw1AAAAAYBAAAPAAAAAAAAAAEAIAAAACIAAABkcnMv&#10;ZG93bnJldi54bWxQSwECFAAUAAAACACHTuJA8pN4yUACAABeBAAADgAAAAAAAAABACAAAAAjAQAA&#10;ZHJzL2Uyb0RvYy54bWxQSwUGAAAAAAYABgBZAQAA1QUAAAAA&#10;">
                  <v:fill on="f" focussize="0,0"/>
                  <v:stroke color="#000000" miterlimit="8" joinstyle="miter"/>
                  <v:imagedata o:title=""/>
                  <o:lock v:ext="edit" aspectratio="f"/>
                  <v:textbox inset="0mm,0mm,0mm,0mm">
                    <w:txbxContent>
                      <w:p w14:paraId="5D6C5F0A">
                        <w:pPr>
                          <w:jc w:val="center"/>
                          <w:rPr>
                            <w:rFonts w:ascii="仿宋" w:hAnsi="仿宋" w:eastAsia="仿宋"/>
                            <w:sz w:val="21"/>
                            <w:szCs w:val="21"/>
                          </w:rPr>
                        </w:pPr>
                        <w:r>
                          <w:rPr>
                            <w:rFonts w:hint="eastAsia" w:ascii="仿宋" w:hAnsi="仿宋" w:eastAsia="仿宋"/>
                            <w:sz w:val="21"/>
                            <w:szCs w:val="21"/>
                            <w:lang w:val="en-US" w:eastAsia="zh-CN"/>
                          </w:rPr>
                          <w:t>应急保障</w:t>
                        </w:r>
                        <w:r>
                          <w:rPr>
                            <w:rFonts w:hint="eastAsia" w:ascii="仿宋" w:hAnsi="仿宋" w:eastAsia="仿宋"/>
                            <w:sz w:val="21"/>
                            <w:szCs w:val="21"/>
                          </w:rPr>
                          <w:t>组</w:t>
                        </w:r>
                      </w:p>
                    </w:txbxContent>
                  </v:textbox>
                </v:shape>
                <v:line id="直线 456" o:spid="_x0000_s1026" o:spt="20" style="position:absolute;left:2476500;top:3297355;flip:x;height:635;width:504825;"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M&#10;reCM0wAAAAYBAAAPAAAAAAAAAAEAIAAAACIAAABkcnMvZG93bnJldi54bWxQSwECFAAUAAAACACH&#10;TuJAUiVavPABAAC8AwAADgAAAAAAAAABACAAAAAiAQAAZHJzL2Uyb0RvYy54bWxQSwUGAAAAAAYA&#10;BgBZAQAAhAUAAAAA&#10;">
                  <v:fill on="f" focussize="0,0"/>
                  <v:stroke color="#000000" joinstyle="round"/>
                  <v:imagedata o:title=""/>
                  <o:lock v:ext="edit" aspectratio="f"/>
                </v:line>
                <v:line id="直线 457" o:spid="_x0000_s1026" o:spt="20" style="position:absolute;left:2477135;top:3714868;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t4IzTAAAABgEAAA8AAAAAAAAAAQAgAAAAIgAAAGRycy9kb3ducmV2LnhtbFBLAQIUABQAAAAI&#10;AIdO4kDZpFqH8gEAALwDAAAOAAAAAAAAAAEAIAAAACIBAABkcnMvZTJvRG9jLnhtbFBLBQYAAAAA&#10;BgAGAFkBAACGBQAAAAA=&#10;">
                  <v:fill on="f" focussize="0,0"/>
                  <v:stroke color="#000000" joinstyle="round"/>
                  <v:imagedata o:title=""/>
                  <o:lock v:ext="edit" aspectratio="f"/>
                </v:line>
                <v:line id="直线 458" o:spid="_x0000_s1026" o:spt="20" style="position:absolute;left:2477135;top:4253030;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t4IzTAAAABgEAAA8AAAAAAAAAAQAgAAAAIgAAAGRycy9kb3ducmV2LnhtbFBLAQIUABQAAAAI&#10;AIdO4kCw8rW98gEAALwDAAAOAAAAAAAAAAEAIAAAACIBAABkcnMvZTJvRG9jLnhtbFBLBQYAAAAA&#10;BgAGAFkBAACGBQAAAAA=&#10;">
                  <v:fill on="f" focussize="0,0"/>
                  <v:stroke color="#000000" joinstyle="round"/>
                  <v:imagedata o:title=""/>
                  <o:lock v:ext="edit" aspectratio="f"/>
                </v:line>
                <v:line id="直线 459" o:spid="_x0000_s1026" o:spt="20" style="position:absolute;left:2477135;top:4789287;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t4IzTAAAABgEAAA8AAAAAAAAAAQAgAAAAIgAAAGRycy9kb3ducmV2LnhtbFBLAQIUABQAAAAI&#10;AIdO4kDHqTwx8gEAALwDAAAOAAAAAAAAAAEAIAAAACIBAABkcnMvZTJvRG9jLnhtbFBLBQYAAAAA&#10;BgAGAFkBAACGBQAAAAA=&#10;">
                  <v:fill on="f" focussize="0,0"/>
                  <v:stroke color="#000000" joinstyle="round"/>
                  <v:imagedata o:title=""/>
                  <o:lock v:ext="edit" aspectratio="f"/>
                </v:line>
                <v:rect id="矩形 462" o:spid="_x0000_s1026" o:spt="1" style="position:absolute;left:833755;top:2860040;height:3114675;width:1943100;" filled="f" stroked="t" coordsize="21600,21600" o:gfxdata="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9C4k91AAAAAYBAAAPAAAAAAAAAAEAIAAA&#10;ACIAAABkcnMvZG93bnJldi54bWxQSwECFAAUAAAACACHTuJAdZm3CEkCAABwBAAADgAAAAAAAAAB&#10;ACAAAAAjAQAAZHJzL2Uyb0RvYy54bWxQSwUGAAAAAAYABgBZAQAA3gUAAAAA&#10;">
                  <v:fill on="f" focussize="0,0"/>
                  <v:stroke color="#000000" miterlimit="8" joinstyle="miter" dashstyle="longDash"/>
                  <v:imagedata o:title=""/>
                  <o:lock v:ext="edit" aspectratio="f"/>
                </v:rect>
                <v:shape id="文本框 735" o:spid="_x0000_s1026" o:spt="202" type="#_x0000_t202" style="position:absolute;left:1019175;top:3152057;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CmUuPcQgIAAF4EAAAOAAAAAAAAAAEAIAAAACMB&#10;AABkcnMvZTJvRG9jLnhtbFBLBQYAAAAABgAGAFkBAADXBQAAAAA=&#10;">
                  <v:fill on="f" focussize="0,0"/>
                  <v:stroke color="#000000" miterlimit="8" joinstyle="miter"/>
                  <v:imagedata o:title=""/>
                  <o:lock v:ext="edit" aspectratio="f"/>
                  <v:textbox inset="0mm,0mm,0mm,0mm">
                    <w:txbxContent>
                      <w:p w14:paraId="619E2FE8">
                        <w:pPr>
                          <w:jc w:val="center"/>
                          <w:rPr>
                            <w:rFonts w:ascii="仿宋" w:hAnsi="仿宋" w:eastAsia="仿宋"/>
                            <w:sz w:val="21"/>
                            <w:szCs w:val="21"/>
                          </w:rPr>
                        </w:pPr>
                        <w:r>
                          <w:rPr>
                            <w:rFonts w:hint="eastAsia" w:ascii="仿宋" w:hAnsi="仿宋" w:eastAsia="仿宋"/>
                            <w:sz w:val="21"/>
                            <w:szCs w:val="21"/>
                          </w:rPr>
                          <w:t>总指挥</w:t>
                        </w:r>
                      </w:p>
                    </w:txbxContent>
                  </v:textbox>
                </v:shape>
                <v:line id="直线 460" o:spid="_x0000_s1026" o:spt="20" style="position:absolute;left:2975928;top:3297990;height:2484000;width:0;" filled="f" stroked="t" coordsize="21600,21600" o:gfxdata="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Hu+IXTAAAA&#10;BgEAAA8AAAAAAAAAAQAgAAAAIgAAAGRycy9kb3ducmV2LnhtbFBLAQIUABQAAAAIAIdO4kBXsJpF&#10;6QEAALEDAAAOAAAAAAAAAAEAIAAAACIBAABkcnMvZTJvRG9jLnhtbFBLBQYAAAAABgAGAFkBAAB9&#10;BQAAAAA=&#10;">
                  <v:fill on="f" focussize="0,0"/>
                  <v:stroke color="#000000" joinstyle="round"/>
                  <v:imagedata o:title=""/>
                  <o:lock v:ext="edit" aspectratio="f"/>
                </v:line>
                <v:line id="直线 456" o:spid="_x0000_s1026" o:spt="20" style="position:absolute;left:2981325;top:4117775;flip:x;height:635;width:899795;" filled="f" stroked="t" coordsize="21600,21600" o:gfxdata="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&#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2uNcnUAAAABgEAAA8AAAAAAAAAAQAgAAAAIgAAAGRy&#10;cy9kb3ducmV2LnhtbFBLAQIUABQAAAAIAIdO4kA5zaDBCQIAAOoDAAAOAAAAAAAAAAEAIAAAACMB&#10;AABkcnMvZTJvRG9jLnhtbFBLBQYAAAAABgAGAFkBAACeBQAAAAA=&#10;">
                  <v:fill on="f" focussize="0,0"/>
                  <v:stroke color="#000000" joinstyle="round" startarrow="block"/>
                  <v:imagedata o:title=""/>
                  <o:lock v:ext="edit" aspectratio="f"/>
                </v:line>
                <v:rect id="矩形 429" o:spid="_x0000_s1026" o:spt="1" style="position:absolute;left:2760980;top:189230;height:2618740;width:2723515;" filled="f" stroked="t" coordsize="21600,21600" o:gfxdata="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pcE5Q0gAAAAYBAAAPAAAAAAAAAAEAIAAAACIA&#10;AABkcnMvZG93bnJldi54bWxQSwECFAAUAAAACACHTuJAmH3MmkgCAABuBAAADgAAAAAAAAABACAA&#10;AAAhAQAAZHJzL2Uyb0RvYy54bWxQSwUGAAAAAAYABgBZAQAA2wUAAAAA&#10;">
                  <v:fill on="f" focussize="0,0"/>
                  <v:stroke color="#000000" miterlimit="8" joinstyle="miter" dashstyle="dash"/>
                  <v:imagedata o:title=""/>
                  <o:lock v:ext="edit" aspectratio="f"/>
                </v:rect>
                <v:shape id="AutoShape 4927" o:spid="_x0000_s1026" o:spt="34" type="#_x0000_t34" style="position:absolute;left:1190625;top:546735;flip:y;height:501650;width:1014730;" filled="f" stroked="t" coordsize="21600,21600" o:gfxdata="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rw9DE&#10;1AAAAAYBAAAPAAAAAAAAAAEAIAAAACIAAABkcnMvZG93bnJldi54bWxQSwECFAAUAAAACACHTuJA&#10;bfBojCUCAAA1BAAADgAAAAAAAAABACAAAAAjAQAAZHJzL2Uyb0RvYy54bWxQSwUGAAAAAAYABgBZ&#10;AQAAugUAAAAA&#10;" adj="10814">
                  <v:fill on="f" focussize="0,0"/>
                  <v:stroke color="#000000" miterlimit="8" joinstyle="miter" endarrow="block"/>
                  <v:imagedata o:title=""/>
                  <o:lock v:ext="edit" aspectratio="f"/>
                </v:shape>
                <v:shape id="AutoShape 4928" o:spid="_x0000_s1026" o:spt="34" type="#_x0000_t34" style="position:absolute;left:754756;top:1854893;flip:x;height:796291;width:1142248;rotation:5898240f;" filled="f" stroked="t" coordsize="21600,21600" o:gfxdata="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JRa1dMAAAAGAQAADwAAAAAAAAABACAAAAAiAAAAZHJzL2Rvd25yZXYueG1sUEsBAhQA&#10;FAAAAAgAh07iQCpJsO4wAgAARAQAAA4AAAAAAAAAAQAgAAAAIgEAAGRycy9lMm9Eb2MueG1sUEsF&#10;BgAAAAAGAAYAWQEAAMQFAAAAAA==&#10;" adj="10800">
                  <v:fill on="f" focussize="0,0"/>
                  <v:stroke color="#000000" miterlimit="8" joinstyle="miter" endarrow="block"/>
                  <v:imagedata o:title=""/>
                  <o:lock v:ext="edit" aspectratio="f"/>
                </v:shape>
                <v:shape id="AutoShape 4929" o:spid="_x0000_s1026" o:spt="34" type="#_x0000_t34" style="position:absolute;left:999490;top:1445895;height:608330;width:2219960;rotation:5898240f;" filled="f" stroked="t" coordsize="21600,21600" o:gfxdata="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kw61l0wAAAAYBAAAPAAAAAAAAAAEAIAAAACIAAABkcnMvZG93bnJldi54bWxQ&#10;SwECFAAUAAAACACHTuJAzfPQ6DUCAABVBAAADgAAAAAAAAABACAAAAAiAQAAZHJzL2Uyb0RvYy54&#10;bWxQSwUGAAAAAAYABgBZAQAAyQUAAAAA&#10;" adj="10806">
                  <v:fill on="f" focussize="0,0"/>
                  <v:stroke color="#000000" miterlimit="8" joinstyle="miter" endarrow="block"/>
                  <v:imagedata o:title=""/>
                  <o:lock v:ext="edit" aspectratio="f"/>
                </v:shape>
                <v:line id="直线 423" o:spid="_x0000_s1026" o:spt="20" style="position:absolute;left:4104005;top:523240;flip:y;height:6985;width:244475;" filled="f" stroked="t" coordsize="21600,21600" o:gfxdata="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86Sv1gAAAAYBAAAPAAAAAAAAAAEAIAAAACIAAABk&#10;cnMvZG93bnJldi54bWxQSwECFAAUAAAACACHTuJAhSxH/wgCAADoAwAADgAAAAAAAAABACAAAAAl&#10;AQAAZHJzL2Uyb0RvYy54bWxQSwUGAAAAAAYABgBZAQAAnwUAAAAA&#10;">
                  <v:fill on="f" focussize="0,0"/>
                  <v:stroke color="#000000" joinstyle="round" endarrow="block"/>
                  <v:imagedata o:title=""/>
                  <o:lock v:ext="edit" aspectratio="f"/>
                </v:line>
                <v:shape id="文本框 419" o:spid="_x0000_s1026" o:spt="202" type="#_x0000_t202" style="position:absolute;left:4347845;top:328295;height:407670;width:10287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&#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rWdbw1AAAAAYBAAAPAAAAAAAAAAEAIAAAACIAAABk&#10;cnMvZG93bnJldi54bWxQSwECFAAUAAAACACHTuJAJYVIKkMCAABbBAAADgAAAAAAAAABACAAAAAj&#10;AQAAZHJzL2Uyb0RvYy54bWxQSwUGAAAAAAYABgBZAQAA2AUAAAAA&#10;">
                  <v:fill on="f" focussize="0,0"/>
                  <v:stroke color="#000000" miterlimit="8" joinstyle="miter"/>
                  <v:imagedata o:title=""/>
                  <o:lock v:ext="edit" aspectratio="f"/>
                  <v:textbox inset="0mm,0mm,0mm,0mm">
                    <w:txbxContent>
                      <w:p w14:paraId="3185B1CA">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大公镇管委会</w:t>
                        </w:r>
                      </w:p>
                    </w:txbxContent>
                  </v:textbox>
                </v:shape>
                <v:line id="直线 433" o:spid="_x0000_s1026" o:spt="20" style="position:absolute;left:3792855;top:530860;height:648000;width:0;"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yxIOtYAAAAGAQAADwAAAAAAAAABACAAAAAi&#10;AAAAZHJzL2Rvd25yZXYueG1sUEsBAhQAFAAAAAgAh07iQC7va1sMAgAA+AMAAA4AAAAAAAAAAQAg&#10;AAAAJQEAAGRycy9lMm9Eb2MueG1sUEsFBgAAAAAGAAYAWQEAAKMFAAAAAA==&#10;">
                  <v:fill on="f" focussize="0,0"/>
                  <v:stroke color="#000000" joinstyle="round" endarrow="block"/>
                  <v:imagedata o:title=""/>
                  <o:lock v:ext="edit" aspectratio="f"/>
                </v:line>
                <v:shape id="文本框 452" o:spid="_x0000_s1026" o:spt="202" type="#_x0000_t202" style="position:absolute;left:1036955;top:5142230;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rWdbw1AAAAAYBAAAPAAAAAAAAAAEAIAAAACIAAABkcnMv&#10;ZG93bnJldi54bWxQSwECFAAUAAAACACHTuJAhX9XgUACAABdBAAADgAAAAAAAAABACAAAAAjAQAA&#10;ZHJzL2Uyb0RvYy54bWxQSwUGAAAAAAYABgBZAQAA1QUAAAAA&#10;">
                  <v:fill on="f" focussize="0,0"/>
                  <v:stroke color="#000000" miterlimit="8" joinstyle="miter"/>
                  <v:imagedata o:title=""/>
                  <o:lock v:ext="edit" aspectratio="f"/>
                  <v:textbox inset="0mm,0mm,0mm,0mm">
                    <w:txbxContent>
                      <w:p w14:paraId="733D95C9">
                        <w:pPr>
                          <w:jc w:val="center"/>
                          <w:rPr>
                            <w:rFonts w:ascii="仿宋" w:hAnsi="仿宋" w:eastAsia="仿宋"/>
                            <w:sz w:val="21"/>
                            <w:szCs w:val="21"/>
                          </w:rPr>
                        </w:pPr>
                        <w:r>
                          <w:rPr>
                            <w:rFonts w:hint="eastAsia" w:ascii="仿宋" w:hAnsi="仿宋" w:eastAsia="仿宋"/>
                            <w:sz w:val="21"/>
                            <w:szCs w:val="21"/>
                            <w:lang w:val="en-US" w:eastAsia="zh-CN"/>
                          </w:rPr>
                          <w:t>医疗救治</w:t>
                        </w:r>
                        <w:r>
                          <w:rPr>
                            <w:rFonts w:hint="eastAsia" w:ascii="仿宋" w:hAnsi="仿宋" w:eastAsia="仿宋"/>
                            <w:sz w:val="21"/>
                            <w:szCs w:val="21"/>
                          </w:rPr>
                          <w:t>组</w:t>
                        </w:r>
                      </w:p>
                    </w:txbxContent>
                  </v:textbox>
                </v:shape>
                <v:line id="直线 459" o:spid="_x0000_s1026" o:spt="20" style="position:absolute;left:2499360;top:5259070;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K3g&#10;jNMAAAAGAQAADwAAAAAAAAABACAAAAAiAAAAZHJzL2Rvd25yZXYueG1sUEsBAhQAFAAAAAgAh07i&#10;QPfmEmXuAQAAuwMAAA4AAAAAAAAAAQAgAAAAIgEAAGRycy9lMm9Eb2MueG1sUEsFBgAAAAAGAAYA&#10;WQEAAIIFAAAAAA==&#10;">
                  <v:fill on="f" focussize="0,0"/>
                  <v:stroke color="#000000" joinstyle="round"/>
                  <v:imagedata o:title=""/>
                  <o:lock v:ext="edit" aspectratio="f"/>
                </v:line>
                <v:shape id="文本框 452" o:spid="_x0000_s1026" o:spt="202" type="#_x0000_t202" style="position:absolute;left:1036955;top:5675630;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rWdbw1AAAAAYBAAAPAAAAAAAAAAEAIAAAACIAAABkcnMv&#10;ZG93bnJldi54bWxQSwECFAAUAAAACACHTuJAgOSR4kACAABdBAAADgAAAAAAAAABACAAAAAjAQAA&#10;ZHJzL2Uyb0RvYy54bWxQSwUGAAAAAAYABgBZAQAA1QUAAAAA&#10;">
                  <v:fill on="f" focussize="0,0"/>
                  <v:stroke color="#000000" miterlimit="8" joinstyle="miter"/>
                  <v:imagedata o:title=""/>
                  <o:lock v:ext="edit" aspectratio="f"/>
                  <v:textbox inset="0mm,0mm,0mm,0mm">
                    <w:txbxContent>
                      <w:p w14:paraId="1697DB92">
                        <w:pPr>
                          <w:jc w:val="center"/>
                          <w:rPr>
                            <w:rFonts w:ascii="仿宋" w:hAnsi="仿宋" w:eastAsia="仿宋"/>
                            <w:sz w:val="21"/>
                            <w:szCs w:val="21"/>
                          </w:rPr>
                        </w:pPr>
                        <w:r>
                          <w:rPr>
                            <w:rFonts w:hint="eastAsia" w:ascii="仿宋" w:hAnsi="仿宋" w:eastAsia="仿宋"/>
                            <w:sz w:val="21"/>
                            <w:szCs w:val="21"/>
                            <w:lang w:val="en-US" w:eastAsia="zh-CN"/>
                          </w:rPr>
                          <w:t>应急监测组</w:t>
                        </w:r>
                      </w:p>
                    </w:txbxContent>
                  </v:textbox>
                </v:shape>
                <v:line id="直线 459" o:spid="_x0000_s1026" o:spt="20" style="position:absolute;left:2499360;top:5792470;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yt&#10;4IzTAAAABgEAAA8AAAAAAAAAAQAgAAAAIgAAAGRycy9kb3ducmV2LnhtbFBLAQIUABQAAAAIAIdO&#10;4kCTt0Hp7wEAALsDAAAOAAAAAAAAAAEAIAAAACIBAABkcnMvZTJvRG9jLnhtbFBLBQYAAAAABgAG&#10;AFkBAACDBQAAAAA=&#10;">
                  <v:fill on="f" focussize="0,0"/>
                  <v:stroke color="#000000" joinstyle="round"/>
                  <v:imagedata o:title=""/>
                  <o:lock v:ext="edit" aspectratio="f"/>
                </v:line>
                <w10:wrap type="none"/>
                <w10:anchorlock/>
              </v:group>
            </w:pict>
          </mc:Fallback>
        </mc:AlternateContent>
      </w:r>
    </w:p>
    <w:p w14:paraId="7692C035">
      <w:pPr>
        <w:pageBreakBefore w:val="0"/>
        <w:kinsoku/>
        <w:overflowPunct/>
        <w:bidi w:val="0"/>
        <w:spacing w:line="500" w:lineRule="exact"/>
        <w:ind w:firstLine="562"/>
        <w:jc w:val="center"/>
        <w:rPr>
          <w:rFonts w:hint="default" w:ascii="Times New Roman" w:hAnsi="Times New Roman" w:cs="Times New Roman" w:eastAsiaTheme="minorEastAsia"/>
          <w:b/>
          <w:color w:val="auto"/>
          <w:sz w:val="21"/>
          <w:szCs w:val="21"/>
          <w:highlight w:val="none"/>
          <w:lang w:val="en-US" w:eastAsia="zh-CN"/>
        </w:rPr>
      </w:pPr>
      <w:r>
        <w:rPr>
          <w:rFonts w:hint="default" w:ascii="Times New Roman" w:hAnsi="Times New Roman" w:cs="Times New Roman" w:eastAsiaTheme="minorEastAsia"/>
          <w:b/>
          <w:color w:val="auto"/>
          <w:sz w:val="21"/>
          <w:szCs w:val="21"/>
          <w:highlight w:val="none"/>
        </w:rPr>
        <w:t>图1-1 应急预案</w:t>
      </w:r>
      <w:r>
        <w:rPr>
          <w:rFonts w:hint="eastAsia" w:ascii="Times New Roman" w:hAnsi="Times New Roman" w:cs="Times New Roman" w:eastAsiaTheme="minorEastAsia"/>
          <w:b/>
          <w:color w:val="auto"/>
          <w:sz w:val="21"/>
          <w:szCs w:val="21"/>
          <w:highlight w:val="none"/>
          <w:lang w:val="en-US" w:eastAsia="zh-CN"/>
        </w:rPr>
        <w:t>响应程序</w:t>
      </w:r>
    </w:p>
    <w:p w14:paraId="68BAC7F9">
      <w:pPr>
        <w:pStyle w:val="13"/>
        <w:pageBreakBefore w:val="0"/>
        <w:kinsoku/>
        <w:overflowPunct/>
        <w:bidi w:val="0"/>
        <w:spacing w:after="0" w:line="500" w:lineRule="exact"/>
        <w:ind w:firstLine="0" w:firstLineChars="0"/>
        <w:jc w:val="center"/>
        <w:rPr>
          <w:rFonts w:hint="default" w:ascii="Times New Roman" w:hAnsi="Times New Roman" w:cs="Times New Roman" w:eastAsiaTheme="minorEastAsia"/>
          <w:b/>
          <w:color w:val="auto"/>
          <w:sz w:val="24"/>
          <w:szCs w:val="24"/>
          <w:highlight w:val="none"/>
        </w:rPr>
      </w:pPr>
      <w:r>
        <w:rPr>
          <w:rFonts w:eastAsia="仿宋"/>
          <w:b/>
          <w:sz w:val="24"/>
          <w:szCs w:val="24"/>
        </w:rPr>
        <mc:AlternateContent>
          <mc:Choice Requires="wpc">
            <w:drawing>
              <wp:anchor distT="0" distB="0" distL="114300" distR="114300" simplePos="0" relativeHeight="251664384" behindDoc="0" locked="0" layoutInCell="1" allowOverlap="1">
                <wp:simplePos x="0" y="0"/>
                <wp:positionH relativeFrom="margin">
                  <wp:posOffset>-85725</wp:posOffset>
                </wp:positionH>
                <wp:positionV relativeFrom="paragraph">
                  <wp:posOffset>-113030</wp:posOffset>
                </wp:positionV>
                <wp:extent cx="6078855" cy="3315335"/>
                <wp:effectExtent l="0" t="0" r="17145" b="18415"/>
                <wp:wrapTopAndBottom/>
                <wp:docPr id="25" name="画布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133" name="文本框 133"/>
                        <wps:cNvSpPr txBox="1"/>
                        <wps:spPr>
                          <a:xfrm>
                            <a:off x="2313305" y="248285"/>
                            <a:ext cx="1593850" cy="406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3B24F28">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海安市突发环境事件应急预案</w:t>
                              </w:r>
                            </w:p>
                          </w:txbxContent>
                        </wps:txbx>
                        <wps:bodyPr upright="1"/>
                      </wps:wsp>
                      <wps:wsp>
                        <wps:cNvPr id="135" name="直接箭头连接符 135"/>
                        <wps:cNvCnPr/>
                        <wps:spPr>
                          <a:xfrm>
                            <a:off x="3145155" y="659130"/>
                            <a:ext cx="0" cy="298450"/>
                          </a:xfrm>
                          <a:prstGeom prst="straightConnector1">
                            <a:avLst/>
                          </a:prstGeom>
                          <a:ln w="0" cap="flat" cmpd="sng">
                            <a:solidFill>
                              <a:srgbClr val="000000"/>
                            </a:solidFill>
                            <a:prstDash val="solid"/>
                            <a:headEnd type="none" w="med" len="med"/>
                            <a:tailEnd type="triangle" w="med" len="med"/>
                          </a:ln>
                        </wps:spPr>
                        <wps:bodyPr/>
                      </wps:wsp>
                      <wps:wsp>
                        <wps:cNvPr id="136" name="文本框 136"/>
                        <wps:cNvSpPr txBox="1"/>
                        <wps:spPr>
                          <a:xfrm>
                            <a:off x="2209800" y="1747520"/>
                            <a:ext cx="1860550" cy="43751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CBFF62F">
                              <w:pPr>
                                <w:spacing w:line="260" w:lineRule="exact"/>
                                <w:ind w:firstLine="0" w:firstLineChars="0"/>
                                <w:jc w:val="center"/>
                                <w:rPr>
                                  <w:rFonts w:ascii="仿宋" w:hAnsi="仿宋" w:eastAsia="仿宋"/>
                                  <w:sz w:val="21"/>
                                  <w:szCs w:val="21"/>
                                </w:rPr>
                              </w:pPr>
                              <w:r>
                                <w:rPr>
                                  <w:rFonts w:hint="eastAsia" w:ascii="仿宋" w:hAnsi="仿宋" w:eastAsia="仿宋"/>
                                  <w:sz w:val="21"/>
                                  <w:szCs w:val="21"/>
                                </w:rPr>
                                <w:fldChar w:fldCharType="begin"/>
                              </w:r>
                              <w:r>
                                <w:rPr>
                                  <w:rFonts w:hint="eastAsia" w:ascii="仿宋" w:hAnsi="仿宋" w:eastAsia="仿宋"/>
                                  <w:sz w:val="21"/>
                                  <w:szCs w:val="21"/>
                                </w:rPr>
                                <w:instrText xml:space="preserve"> HYPERLINK "javascript:zxtb('XZXKTYPE_A','暂存','card1','fc5c1215140948f896b26e64c489f794','readonly')" </w:instrText>
                              </w:r>
                              <w:r>
                                <w:rPr>
                                  <w:rFonts w:hint="eastAsia" w:ascii="仿宋" w:hAnsi="仿宋" w:eastAsia="仿宋"/>
                                  <w:sz w:val="21"/>
                                  <w:szCs w:val="21"/>
                                </w:rPr>
                                <w:fldChar w:fldCharType="separate"/>
                              </w:r>
                              <w:r>
                                <w:rPr>
                                  <w:rFonts w:hint="eastAsia" w:ascii="仿宋" w:hAnsi="仿宋" w:eastAsia="仿宋"/>
                                  <w:sz w:val="21"/>
                                  <w:szCs w:val="21"/>
                                  <w:lang w:eastAsia="zh-CN"/>
                                </w:rPr>
                                <w:t>南通奥庭建材有限公司</w:t>
                              </w:r>
                              <w:r>
                                <w:rPr>
                                  <w:rFonts w:hint="eastAsia" w:ascii="仿宋" w:hAnsi="仿宋" w:eastAsia="仿宋"/>
                                  <w:sz w:val="21"/>
                                  <w:szCs w:val="21"/>
                                </w:rPr>
                                <w:fldChar w:fldCharType="end"/>
                              </w:r>
                              <w:r>
                                <w:rPr>
                                  <w:rFonts w:hint="eastAsia" w:ascii="仿宋" w:hAnsi="仿宋" w:eastAsia="仿宋"/>
                                  <w:sz w:val="21"/>
                                  <w:szCs w:val="21"/>
                                </w:rPr>
                                <w:t>突发环境事件应急预案</w:t>
                              </w:r>
                            </w:p>
                          </w:txbxContent>
                        </wps:txbx>
                        <wps:bodyPr upright="1"/>
                      </wps:wsp>
                      <wps:wsp>
                        <wps:cNvPr id="137" name="直接箭头连接符 137"/>
                        <wps:cNvCnPr/>
                        <wps:spPr>
                          <a:xfrm>
                            <a:off x="3159760" y="2189480"/>
                            <a:ext cx="0" cy="298450"/>
                          </a:xfrm>
                          <a:prstGeom prst="straightConnector1">
                            <a:avLst/>
                          </a:prstGeom>
                          <a:ln w="0" cap="flat" cmpd="sng">
                            <a:solidFill>
                              <a:srgbClr val="000000"/>
                            </a:solidFill>
                            <a:prstDash val="solid"/>
                            <a:headEnd type="none" w="med" len="med"/>
                            <a:tailEnd type="triangle" w="med" len="med"/>
                          </a:ln>
                        </wps:spPr>
                        <wps:bodyPr/>
                      </wps:wsp>
                      <wps:wsp>
                        <wps:cNvPr id="138" name="文本框 138"/>
                        <wps:cNvSpPr txBox="1"/>
                        <wps:spPr>
                          <a:xfrm>
                            <a:off x="2260600" y="2496185"/>
                            <a:ext cx="1803400" cy="2647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79737F7">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突发环境事件综合应急预案</w:t>
                              </w:r>
                            </w:p>
                            <w:p w14:paraId="25A47F5A">
                              <w:pPr>
                                <w:ind w:firstLine="480"/>
                                <w:jc w:val="center"/>
                                <w:rPr>
                                  <w:kern w:val="0"/>
                                  <w:sz w:val="24"/>
                                  <w:szCs w:val="24"/>
                                </w:rPr>
                              </w:pPr>
                            </w:p>
                          </w:txbxContent>
                        </wps:txbx>
                        <wps:bodyPr upright="1"/>
                      </wps:wsp>
                      <wps:wsp>
                        <wps:cNvPr id="139" name="文本框 139"/>
                        <wps:cNvSpPr txBox="1"/>
                        <wps:spPr>
                          <a:xfrm>
                            <a:off x="211455" y="2500630"/>
                            <a:ext cx="1860550" cy="2667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F714CC0">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突发环境事件专项应急预案</w:t>
                              </w:r>
                            </w:p>
                            <w:p w14:paraId="45C96487">
                              <w:pPr>
                                <w:ind w:firstLine="480"/>
                                <w:jc w:val="center"/>
                                <w:rPr>
                                  <w:kern w:val="0"/>
                                  <w:sz w:val="24"/>
                                  <w:szCs w:val="24"/>
                                </w:rPr>
                              </w:pPr>
                            </w:p>
                          </w:txbxContent>
                        </wps:txbx>
                        <wps:bodyPr upright="1"/>
                      </wps:wsp>
                      <wps:wsp>
                        <wps:cNvPr id="140" name="文本框 140"/>
                        <wps:cNvSpPr txBox="1"/>
                        <wps:spPr>
                          <a:xfrm>
                            <a:off x="4260850" y="2487930"/>
                            <a:ext cx="1797050" cy="279400"/>
                          </a:xfrm>
                          <a:prstGeom prst="rect">
                            <a:avLst/>
                          </a:prstGeom>
                          <a:solidFill>
                            <a:srgbClr val="FFFFFF"/>
                          </a:solidFill>
                          <a:ln w="6350" cap="flat" cmpd="sng">
                            <a:solidFill>
                              <a:srgbClr val="000000">
                                <a:alpha val="98822"/>
                              </a:srgbClr>
                            </a:solidFill>
                            <a:prstDash val="solid"/>
                            <a:miter/>
                            <a:headEnd type="none" w="med" len="med"/>
                            <a:tailEnd type="none" w="med" len="med"/>
                          </a:ln>
                        </wps:spPr>
                        <wps:txbx>
                          <w:txbxContent>
                            <w:p w14:paraId="03916275">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突发环境事件现场处置预案</w:t>
                              </w:r>
                            </w:p>
                          </w:txbxContent>
                        </wps:txbx>
                        <wps:bodyPr upright="1"/>
                      </wps:wsp>
                      <wps:wsp>
                        <wps:cNvPr id="141" name="文本框 141"/>
                        <wps:cNvSpPr txBox="1"/>
                        <wps:spPr>
                          <a:xfrm>
                            <a:off x="152400" y="1740535"/>
                            <a:ext cx="1809750" cy="43624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666CDAC">
                              <w:pPr>
                                <w:spacing w:line="260" w:lineRule="exact"/>
                                <w:ind w:firstLine="0" w:firstLineChars="0"/>
                                <w:jc w:val="center"/>
                                <w:rPr>
                                  <w:rFonts w:hint="eastAsia" w:ascii="仿宋" w:hAnsi="仿宋" w:eastAsia="仿宋"/>
                                  <w:sz w:val="21"/>
                                  <w:szCs w:val="21"/>
                                </w:rPr>
                              </w:pPr>
                              <w:r>
                                <w:rPr>
                                  <w:rFonts w:hint="eastAsia" w:ascii="仿宋" w:hAnsi="仿宋" w:eastAsia="仿宋"/>
                                  <w:sz w:val="21"/>
                                  <w:szCs w:val="21"/>
                                </w:rPr>
                                <w:fldChar w:fldCharType="begin"/>
                              </w:r>
                              <w:r>
                                <w:rPr>
                                  <w:rFonts w:hint="eastAsia" w:ascii="仿宋" w:hAnsi="仿宋" w:eastAsia="仿宋"/>
                                  <w:sz w:val="21"/>
                                  <w:szCs w:val="21"/>
                                </w:rPr>
                                <w:instrText xml:space="preserve"> HYPERLINK "javascript:zxtb('XZXKTYPE_A','暂存','card1','fc5c1215140948f896b26e64c489f794','readonly')" </w:instrText>
                              </w:r>
                              <w:r>
                                <w:rPr>
                                  <w:rFonts w:hint="eastAsia" w:ascii="仿宋" w:hAnsi="仿宋" w:eastAsia="仿宋"/>
                                  <w:sz w:val="21"/>
                                  <w:szCs w:val="21"/>
                                </w:rPr>
                                <w:fldChar w:fldCharType="separate"/>
                              </w:r>
                              <w:r>
                                <w:rPr>
                                  <w:rFonts w:hint="eastAsia" w:ascii="仿宋" w:hAnsi="仿宋" w:eastAsia="仿宋"/>
                                  <w:sz w:val="21"/>
                                  <w:szCs w:val="21"/>
                                  <w:lang w:eastAsia="zh-CN"/>
                                </w:rPr>
                                <w:t>南通奥庭建材有限公司</w:t>
                              </w:r>
                              <w:r>
                                <w:rPr>
                                  <w:rFonts w:hint="eastAsia" w:ascii="仿宋" w:hAnsi="仿宋" w:eastAsia="仿宋"/>
                                  <w:sz w:val="21"/>
                                  <w:szCs w:val="21"/>
                                </w:rPr>
                                <w:fldChar w:fldCharType="end"/>
                              </w:r>
                              <w:r>
                                <w:rPr>
                                  <w:rFonts w:hint="eastAsia" w:ascii="仿宋" w:hAnsi="仿宋" w:eastAsia="仿宋"/>
                                  <w:sz w:val="21"/>
                                  <w:szCs w:val="21"/>
                                </w:rPr>
                                <w:t>生产安全事故应急预案</w:t>
                              </w:r>
                            </w:p>
                          </w:txbxContent>
                        </wps:txbx>
                        <wps:bodyPr upright="1"/>
                      </wps:wsp>
                      <wps:wsp>
                        <wps:cNvPr id="142" name="直接箭头连接符 142"/>
                        <wps:cNvCnPr/>
                        <wps:spPr>
                          <a:xfrm>
                            <a:off x="1974850" y="1948180"/>
                            <a:ext cx="247650" cy="0"/>
                          </a:xfrm>
                          <a:prstGeom prst="straightConnector1">
                            <a:avLst/>
                          </a:prstGeom>
                          <a:ln w="0" cap="flat" cmpd="sng">
                            <a:solidFill>
                              <a:srgbClr val="000000"/>
                            </a:solidFill>
                            <a:prstDash val="solid"/>
                            <a:headEnd type="none" w="med" len="med"/>
                            <a:tailEnd type="triangle" w="med" len="med"/>
                          </a:ln>
                        </wps:spPr>
                        <wps:bodyPr/>
                      </wps:wsp>
                      <wps:wsp>
                        <wps:cNvPr id="143" name="直接箭头连接符 143"/>
                        <wps:cNvCnPr/>
                        <wps:spPr>
                          <a:xfrm flipH="1">
                            <a:off x="1955800" y="2075180"/>
                            <a:ext cx="234950" cy="0"/>
                          </a:xfrm>
                          <a:prstGeom prst="straightConnector1">
                            <a:avLst/>
                          </a:prstGeom>
                          <a:ln w="0" cap="flat" cmpd="sng">
                            <a:solidFill>
                              <a:srgbClr val="000000"/>
                            </a:solidFill>
                            <a:prstDash val="solid"/>
                            <a:headEnd type="none" w="med" len="med"/>
                            <a:tailEnd type="triangle" w="med" len="med"/>
                          </a:ln>
                        </wps:spPr>
                        <wps:bodyPr/>
                      </wps:wsp>
                      <wps:wsp>
                        <wps:cNvPr id="144" name="直接连接符 144"/>
                        <wps:cNvCnPr/>
                        <wps:spPr>
                          <a:xfrm>
                            <a:off x="1143000" y="2322830"/>
                            <a:ext cx="4064000" cy="0"/>
                          </a:xfrm>
                          <a:prstGeom prst="line">
                            <a:avLst/>
                          </a:prstGeom>
                          <a:ln w="0" cap="flat" cmpd="sng">
                            <a:solidFill>
                              <a:srgbClr val="000000"/>
                            </a:solidFill>
                            <a:prstDash val="solid"/>
                            <a:headEnd type="none" w="med" len="med"/>
                            <a:tailEnd type="none" w="med" len="med"/>
                          </a:ln>
                        </wps:spPr>
                        <wps:bodyPr upright="1"/>
                      </wps:wsp>
                      <wps:wsp>
                        <wps:cNvPr id="28" name="直接箭头连接符 145"/>
                        <wps:cNvCnPr/>
                        <wps:spPr>
                          <a:xfrm flipH="1">
                            <a:off x="1141730" y="2316480"/>
                            <a:ext cx="1270" cy="184150"/>
                          </a:xfrm>
                          <a:prstGeom prst="straightConnector1">
                            <a:avLst/>
                          </a:prstGeom>
                          <a:ln w="0" cap="flat" cmpd="sng">
                            <a:solidFill>
                              <a:srgbClr val="000000"/>
                            </a:solidFill>
                            <a:prstDash val="solid"/>
                            <a:headEnd type="none" w="med" len="med"/>
                            <a:tailEnd type="triangle" w="med" len="med"/>
                          </a:ln>
                        </wps:spPr>
                        <wps:bodyPr/>
                      </wps:wsp>
                      <wps:wsp>
                        <wps:cNvPr id="30" name="直接箭头连接符 146"/>
                        <wps:cNvCnPr/>
                        <wps:spPr>
                          <a:xfrm>
                            <a:off x="5200650" y="2310130"/>
                            <a:ext cx="0" cy="203200"/>
                          </a:xfrm>
                          <a:prstGeom prst="straightConnector1">
                            <a:avLst/>
                          </a:prstGeom>
                          <a:ln w="0" cap="flat" cmpd="sng">
                            <a:solidFill>
                              <a:srgbClr val="000000"/>
                            </a:solidFill>
                            <a:prstDash val="solid"/>
                            <a:headEnd type="none" w="med" len="med"/>
                            <a:tailEnd type="triangle" w="med" len="med"/>
                          </a:ln>
                        </wps:spPr>
                        <wps:bodyPr/>
                      </wps:wsp>
                      <wps:wsp>
                        <wps:cNvPr id="3" name="直接箭头连接符 3"/>
                        <wps:cNvCnPr/>
                        <wps:spPr>
                          <a:xfrm>
                            <a:off x="1180465" y="2768600"/>
                            <a:ext cx="0" cy="215900"/>
                          </a:xfrm>
                          <a:prstGeom prst="straightConnector1">
                            <a:avLst/>
                          </a:prstGeom>
                          <a:ln w="0" cap="flat" cmpd="sng">
                            <a:solidFill>
                              <a:srgbClr val="000000"/>
                            </a:solidFill>
                            <a:prstDash val="solid"/>
                            <a:headEnd type="none" w="med" len="med"/>
                            <a:tailEnd type="triangle" w="med" len="med"/>
                          </a:ln>
                        </wps:spPr>
                        <wps:bodyPr/>
                      </wps:wsp>
                      <wps:wsp>
                        <wps:cNvPr id="10" name="文本框 10"/>
                        <wps:cNvSpPr txBox="1"/>
                        <wps:spPr>
                          <a:xfrm>
                            <a:off x="705485" y="2986405"/>
                            <a:ext cx="966470" cy="279400"/>
                          </a:xfrm>
                          <a:prstGeom prst="rect">
                            <a:avLst/>
                          </a:prstGeom>
                          <a:solidFill>
                            <a:srgbClr val="FFFFFF"/>
                          </a:solidFill>
                          <a:ln w="6350" cap="flat" cmpd="sng">
                            <a:solidFill>
                              <a:srgbClr val="000000">
                                <a:alpha val="98822"/>
                              </a:srgbClr>
                            </a:solidFill>
                            <a:prstDash val="solid"/>
                            <a:miter/>
                            <a:headEnd type="none" w="med" len="med"/>
                            <a:tailEnd type="none" w="med" len="med"/>
                          </a:ln>
                        </wps:spPr>
                        <wps:txbx>
                          <w:txbxContent>
                            <w:p w14:paraId="26229030">
                              <w:pPr>
                                <w:spacing w:line="260" w:lineRule="exact"/>
                                <w:ind w:firstLine="0" w:firstLineChars="0"/>
                                <w:jc w:val="center"/>
                                <w:rPr>
                                  <w:rFonts w:ascii="仿宋" w:hAnsi="仿宋" w:eastAsia="仿宋"/>
                                  <w:sz w:val="21"/>
                                  <w:szCs w:val="21"/>
                                </w:rPr>
                              </w:pPr>
                              <w:r>
                                <w:rPr>
                                  <w:rFonts w:hint="eastAsia" w:ascii="仿宋" w:hAnsi="仿宋" w:eastAsia="仿宋"/>
                                  <w:sz w:val="21"/>
                                  <w:szCs w:val="21"/>
                                  <w:lang w:val="en-US" w:eastAsia="zh-CN"/>
                                </w:rPr>
                                <w:t>专项</w:t>
                              </w:r>
                              <w:r>
                                <w:rPr>
                                  <w:rFonts w:hint="eastAsia" w:ascii="仿宋" w:hAnsi="仿宋" w:eastAsia="仿宋"/>
                                  <w:sz w:val="21"/>
                                  <w:szCs w:val="21"/>
                                </w:rPr>
                                <w:t>预案</w:t>
                              </w:r>
                            </w:p>
                          </w:txbxContent>
                        </wps:txbx>
                        <wps:bodyPr lIns="0" tIns="45720" rIns="0" bIns="45720" upright="1"/>
                      </wps:wsp>
                      <wps:wsp>
                        <wps:cNvPr id="11" name="直接箭头连接符 11"/>
                        <wps:cNvCnPr/>
                        <wps:spPr>
                          <a:xfrm>
                            <a:off x="4514850" y="2768600"/>
                            <a:ext cx="0" cy="215900"/>
                          </a:xfrm>
                          <a:prstGeom prst="straightConnector1">
                            <a:avLst/>
                          </a:prstGeom>
                          <a:ln w="0" cap="flat" cmpd="sng">
                            <a:solidFill>
                              <a:srgbClr val="000000"/>
                            </a:solidFill>
                            <a:prstDash val="solid"/>
                            <a:headEnd type="none" w="med" len="med"/>
                            <a:tailEnd type="triangle" w="med" len="med"/>
                          </a:ln>
                        </wps:spPr>
                        <wps:bodyPr/>
                      </wps:wsp>
                      <wps:wsp>
                        <wps:cNvPr id="13" name="文本框 13"/>
                        <wps:cNvSpPr txBox="1"/>
                        <wps:spPr>
                          <a:xfrm>
                            <a:off x="4039870" y="2986405"/>
                            <a:ext cx="966470" cy="279400"/>
                          </a:xfrm>
                          <a:prstGeom prst="rect">
                            <a:avLst/>
                          </a:prstGeom>
                          <a:solidFill>
                            <a:srgbClr val="FFFFFF"/>
                          </a:solidFill>
                          <a:ln w="6350" cap="flat" cmpd="sng">
                            <a:solidFill>
                              <a:srgbClr val="000000">
                                <a:alpha val="98822"/>
                              </a:srgbClr>
                            </a:solidFill>
                            <a:prstDash val="solid"/>
                            <a:miter/>
                            <a:headEnd type="none" w="med" len="med"/>
                            <a:tailEnd type="none" w="med" len="med"/>
                          </a:ln>
                        </wps:spPr>
                        <wps:txbx>
                          <w:txbxContent>
                            <w:p w14:paraId="568000C6">
                              <w:pPr>
                                <w:spacing w:line="260" w:lineRule="exact"/>
                                <w:ind w:firstLine="0" w:firstLineChars="0"/>
                                <w:jc w:val="center"/>
                                <w:rPr>
                                  <w:rFonts w:ascii="仿宋" w:hAnsi="仿宋" w:eastAsia="仿宋"/>
                                  <w:sz w:val="21"/>
                                  <w:szCs w:val="21"/>
                                </w:rPr>
                              </w:pPr>
                              <w:r>
                                <w:rPr>
                                  <w:rFonts w:hint="eastAsia" w:ascii="仿宋" w:hAnsi="仿宋" w:eastAsia="仿宋"/>
                                  <w:sz w:val="21"/>
                                  <w:szCs w:val="21"/>
                                  <w:lang w:val="en-US" w:eastAsia="zh-CN"/>
                                </w:rPr>
                                <w:t>现场处置</w:t>
                              </w:r>
                              <w:r>
                                <w:rPr>
                                  <w:rFonts w:hint="eastAsia" w:ascii="仿宋" w:hAnsi="仿宋" w:eastAsia="仿宋"/>
                                  <w:sz w:val="21"/>
                                  <w:szCs w:val="21"/>
                                </w:rPr>
                                <w:t>预案</w:t>
                              </w:r>
                            </w:p>
                          </w:txbxContent>
                        </wps:txbx>
                        <wps:bodyPr lIns="0" tIns="45720" rIns="0" bIns="45720" upright="1"/>
                      </wps:wsp>
                      <wps:wsp>
                        <wps:cNvPr id="14" name="直接箭头连接符 14"/>
                        <wps:cNvCnPr/>
                        <wps:spPr>
                          <a:xfrm>
                            <a:off x="5575935" y="2768600"/>
                            <a:ext cx="0" cy="215900"/>
                          </a:xfrm>
                          <a:prstGeom prst="straightConnector1">
                            <a:avLst/>
                          </a:prstGeom>
                          <a:ln w="0" cap="flat" cmpd="sng">
                            <a:solidFill>
                              <a:srgbClr val="000000"/>
                            </a:solidFill>
                            <a:prstDash val="solid"/>
                            <a:headEnd type="none" w="med" len="med"/>
                            <a:tailEnd type="triangle" w="med" len="med"/>
                          </a:ln>
                        </wps:spPr>
                        <wps:bodyPr/>
                      </wps:wsp>
                      <wps:wsp>
                        <wps:cNvPr id="15" name="文本框 15"/>
                        <wps:cNvSpPr txBox="1"/>
                        <wps:spPr>
                          <a:xfrm>
                            <a:off x="5100320" y="2986405"/>
                            <a:ext cx="966470" cy="279400"/>
                          </a:xfrm>
                          <a:prstGeom prst="rect">
                            <a:avLst/>
                          </a:prstGeom>
                          <a:solidFill>
                            <a:srgbClr val="FFFFFF"/>
                          </a:solidFill>
                          <a:ln w="6350" cap="flat" cmpd="sng">
                            <a:solidFill>
                              <a:srgbClr val="000000">
                                <a:alpha val="98822"/>
                              </a:srgbClr>
                            </a:solidFill>
                            <a:prstDash val="solid"/>
                            <a:miter/>
                            <a:headEnd type="none" w="med" len="med"/>
                            <a:tailEnd type="none" w="med" len="med"/>
                          </a:ln>
                        </wps:spPr>
                        <wps:txbx>
                          <w:txbxContent>
                            <w:p w14:paraId="65A25DCD">
                              <w:pPr>
                                <w:spacing w:line="260" w:lineRule="exact"/>
                                <w:ind w:firstLine="0" w:firstLineChars="0"/>
                                <w:jc w:val="center"/>
                                <w:rPr>
                                  <w:rFonts w:hint="default" w:ascii="仿宋" w:hAnsi="仿宋" w:eastAsia="仿宋"/>
                                  <w:sz w:val="21"/>
                                  <w:szCs w:val="21"/>
                                  <w:lang w:val="en-US"/>
                                </w:rPr>
                              </w:pPr>
                              <w:r>
                                <w:rPr>
                                  <w:rFonts w:hint="eastAsia" w:ascii="仿宋" w:hAnsi="仿宋" w:eastAsia="仿宋"/>
                                  <w:sz w:val="21"/>
                                  <w:szCs w:val="21"/>
                                  <w:lang w:val="en-US" w:eastAsia="zh-CN"/>
                                </w:rPr>
                                <w:t>应急处置卡</w:t>
                              </w:r>
                            </w:p>
                          </w:txbxContent>
                        </wps:txbx>
                        <wps:bodyPr lIns="0" tIns="45720" rIns="0" bIns="45720" upright="1"/>
                      </wps:wsp>
                      <wps:wsp>
                        <wps:cNvPr id="1" name="文本框 1"/>
                        <wps:cNvSpPr txBox="1"/>
                        <wps:spPr>
                          <a:xfrm>
                            <a:off x="2296160" y="1005205"/>
                            <a:ext cx="1593850" cy="406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6F32FF1">
                              <w:pPr>
                                <w:spacing w:line="260" w:lineRule="exact"/>
                                <w:ind w:firstLine="0" w:firstLineChars="0"/>
                                <w:jc w:val="center"/>
                                <w:rPr>
                                  <w:rFonts w:ascii="仿宋" w:hAnsi="仿宋" w:eastAsia="仿宋"/>
                                  <w:sz w:val="21"/>
                                  <w:szCs w:val="21"/>
                                </w:rPr>
                              </w:pPr>
                              <w:r>
                                <w:rPr>
                                  <w:rFonts w:hint="eastAsia" w:ascii="仿宋" w:hAnsi="仿宋" w:eastAsia="仿宋" w:cs="宋体"/>
                                  <w:b w:val="0"/>
                                  <w:bCs w:val="0"/>
                                  <w:i w:val="0"/>
                                  <w:iCs w:val="0"/>
                                  <w:caps w:val="0"/>
                                  <w:color w:val="auto"/>
                                  <w:spacing w:val="0"/>
                                  <w:sz w:val="21"/>
                                  <w:szCs w:val="21"/>
                                  <w:shd w:val="clear" w:fill="auto"/>
                                  <w:lang w:eastAsia="zh-CN"/>
                                </w:rPr>
                                <w:t>高新区</w:t>
                              </w:r>
                              <w:r>
                                <w:rPr>
                                  <w:rFonts w:hint="eastAsia" w:ascii="仿宋" w:hAnsi="仿宋" w:eastAsia="仿宋" w:cs="宋体"/>
                                  <w:b w:val="0"/>
                                  <w:bCs w:val="0"/>
                                  <w:i w:val="0"/>
                                  <w:iCs w:val="0"/>
                                  <w:caps w:val="0"/>
                                  <w:color w:val="auto"/>
                                  <w:spacing w:val="0"/>
                                  <w:sz w:val="21"/>
                                  <w:szCs w:val="21"/>
                                  <w:shd w:val="clear" w:fill="auto"/>
                                </w:rPr>
                                <w:t>（</w:t>
                              </w:r>
                              <w:r>
                                <w:rPr>
                                  <w:rFonts w:hint="eastAsia" w:ascii="仿宋" w:hAnsi="仿宋" w:eastAsia="仿宋" w:cs="宋体"/>
                                  <w:b w:val="0"/>
                                  <w:bCs w:val="0"/>
                                  <w:i w:val="0"/>
                                  <w:iCs w:val="0"/>
                                  <w:caps w:val="0"/>
                                  <w:color w:val="auto"/>
                                  <w:spacing w:val="0"/>
                                  <w:sz w:val="21"/>
                                  <w:szCs w:val="21"/>
                                  <w:shd w:val="clear" w:fill="auto"/>
                                  <w:lang w:eastAsia="zh-CN"/>
                                </w:rPr>
                                <w:t>高新区</w:t>
                              </w:r>
                              <w:r>
                                <w:rPr>
                                  <w:rFonts w:hint="eastAsia" w:ascii="仿宋" w:hAnsi="仿宋" w:eastAsia="仿宋" w:cs="宋体"/>
                                  <w:b w:val="0"/>
                                  <w:bCs w:val="0"/>
                                  <w:i w:val="0"/>
                                  <w:iCs w:val="0"/>
                                  <w:caps w:val="0"/>
                                  <w:color w:val="auto"/>
                                  <w:spacing w:val="0"/>
                                  <w:sz w:val="21"/>
                                  <w:szCs w:val="21"/>
                                  <w:shd w:val="clear" w:fill="auto"/>
                                </w:rPr>
                                <w:t>）重污染天气应急预案</w:t>
                              </w:r>
                            </w:p>
                          </w:txbxContent>
                        </wps:txbx>
                        <wps:bodyPr upright="1"/>
                      </wps:wsp>
                      <wps:wsp>
                        <wps:cNvPr id="2" name="直接箭头连接符 2"/>
                        <wps:cNvCnPr/>
                        <wps:spPr>
                          <a:xfrm>
                            <a:off x="3128010" y="1416050"/>
                            <a:ext cx="0" cy="298450"/>
                          </a:xfrm>
                          <a:prstGeom prst="straightConnector1">
                            <a:avLst/>
                          </a:prstGeom>
                          <a:ln w="0" cap="flat" cmpd="sng">
                            <a:solidFill>
                              <a:srgbClr val="000000"/>
                            </a:solidFill>
                            <a:prstDash val="solid"/>
                            <a:headEnd type="none" w="med" len="med"/>
                            <a:tailEnd type="triangle" w="med" len="med"/>
                          </a:ln>
                        </wps:spPr>
                        <wps:bodyPr/>
                      </wps:wsp>
                    </wpc:wpc>
                  </a:graphicData>
                </a:graphic>
              </wp:anchor>
            </w:drawing>
          </mc:Choice>
          <mc:Fallback>
            <w:pict>
              <v:group id="_x0000_s1026" o:spid="_x0000_s1026" o:spt="203" style="position:absolute;left:0pt;margin-left:-6.75pt;margin-top:-8.9pt;height:261.05pt;width:478.65pt;mso-position-horizontal-relative:margin;mso-wrap-distance-bottom:0pt;mso-wrap-distance-top:0pt;z-index:251664384;mso-width-relative:page;mso-height-relative:page;" coordsize="6078855,3315335" editas="canvas" o:gfxdata="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">
                <o:lock v:ext="edit" aspectratio="f"/>
                <v:shape id="_x0000_s1026" o:spid="_x0000_s1026" style="position:absolute;left:0;top:0;height:3315335;width:6078855;" fillcolor="#FFFFFF" filled="t" stroked="f" coordsize="21600,21600" o:gfxdata="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">
                  <v:fill on="t" focussize="0,0"/>
                  <v:stroke on="f"/>
                  <v:imagedata o:title=""/>
                  <o:lock v:ext="edit" aspectratio="t"/>
                </v:shape>
                <v:shape id="_x0000_s1026" o:spid="_x0000_s1026" o:spt="202" type="#_x0000_t202" style="position:absolute;left:2313305;top:248285;height:406400;width:159385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6ux7jXAAAACwEAAA8AAAAA&#10;AAAAAQAgAAAAIgAAAGRycy9kb3ducmV2LnhtbFBLAQIUABQAAAAIAIdO4kA1wAhrFQIAAEUEAAAO&#10;AAAAAAAAAAEAIAAAACYBAABkcnMvZTJvRG9jLnhtbFBLBQYAAAAABgAGAFkBAACtBQAAAAA=&#10;">
                  <v:fill on="t" focussize="0,0"/>
                  <v:stroke weight="0.5pt" color="#000000" joinstyle="miter"/>
                  <v:imagedata o:title=""/>
                  <o:lock v:ext="edit" aspectratio="f"/>
                  <v:textbox>
                    <w:txbxContent>
                      <w:p w14:paraId="13B24F28">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海安市突发环境事件应急预案</w:t>
                        </w:r>
                      </w:p>
                    </w:txbxContent>
                  </v:textbox>
                </v:shape>
                <v:shape id="_x0000_s1026" o:spid="_x0000_s1026" o:spt="32" type="#_x0000_t32" style="position:absolute;left:3145155;top:659130;height:29845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nJeeraAAAACwEAAA8AAAAAAAAA&#10;AQAgAAAAIgAAAGRycy9kb3ducmV2LnhtbFBLAQIUABQAAAAIAIdO4kA1kn5TDwIAAPsDAAAOAAAA&#10;AAAAAAEAIAAAACkBAABkcnMvZTJvRG9jLnhtbFBLBQYAAAAABgAGAFkBAACqBQAAAAA=&#10;">
                  <v:fill on="f" focussize="0,0"/>
                  <v:stroke weight="0pt" color="#000000" joinstyle="round" endarrow="block"/>
                  <v:imagedata o:title=""/>
                  <o:lock v:ext="edit" aspectratio="f"/>
                </v:shape>
                <v:shape id="_x0000_s1026" o:spid="_x0000_s1026" o:spt="202" type="#_x0000_t202" style="position:absolute;left:2209800;top:1747520;height:437515;width:186055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q7HuNcAAAALAQAADwAAAAAA&#10;AAABACAAAAAiAAAAZHJzL2Rvd25yZXYueG1sUEsBAhQAFAAAAAgAh07iQO+FKX4UAgAARgQAAA4A&#10;AAAAAAAAAQAgAAAAJgEAAGRycy9lMm9Eb2MueG1sUEsFBgAAAAAGAAYAWQEAAKwFAAAAAA==&#10;">
                  <v:fill on="t" focussize="0,0"/>
                  <v:stroke weight="0.5pt" color="#000000" joinstyle="miter"/>
                  <v:imagedata o:title=""/>
                  <o:lock v:ext="edit" aspectratio="f"/>
                  <v:textbox>
                    <w:txbxContent>
                      <w:p w14:paraId="2CBFF62F">
                        <w:pPr>
                          <w:spacing w:line="260" w:lineRule="exact"/>
                          <w:ind w:firstLine="0" w:firstLineChars="0"/>
                          <w:jc w:val="center"/>
                          <w:rPr>
                            <w:rFonts w:ascii="仿宋" w:hAnsi="仿宋" w:eastAsia="仿宋"/>
                            <w:sz w:val="21"/>
                            <w:szCs w:val="21"/>
                          </w:rPr>
                        </w:pPr>
                        <w:r>
                          <w:rPr>
                            <w:rFonts w:hint="eastAsia" w:ascii="仿宋" w:hAnsi="仿宋" w:eastAsia="仿宋"/>
                            <w:sz w:val="21"/>
                            <w:szCs w:val="21"/>
                          </w:rPr>
                          <w:fldChar w:fldCharType="begin"/>
                        </w:r>
                        <w:r>
                          <w:rPr>
                            <w:rFonts w:hint="eastAsia" w:ascii="仿宋" w:hAnsi="仿宋" w:eastAsia="仿宋"/>
                            <w:sz w:val="21"/>
                            <w:szCs w:val="21"/>
                          </w:rPr>
                          <w:instrText xml:space="preserve"> HYPERLINK "javascript:zxtb('XZXKTYPE_A','暂存','card1','fc5c1215140948f896b26e64c489f794','readonly')" </w:instrText>
                        </w:r>
                        <w:r>
                          <w:rPr>
                            <w:rFonts w:hint="eastAsia" w:ascii="仿宋" w:hAnsi="仿宋" w:eastAsia="仿宋"/>
                            <w:sz w:val="21"/>
                            <w:szCs w:val="21"/>
                          </w:rPr>
                          <w:fldChar w:fldCharType="separate"/>
                        </w:r>
                        <w:r>
                          <w:rPr>
                            <w:rFonts w:hint="eastAsia" w:ascii="仿宋" w:hAnsi="仿宋" w:eastAsia="仿宋"/>
                            <w:sz w:val="21"/>
                            <w:szCs w:val="21"/>
                            <w:lang w:eastAsia="zh-CN"/>
                          </w:rPr>
                          <w:t>南通奥庭建材有限公司</w:t>
                        </w:r>
                        <w:r>
                          <w:rPr>
                            <w:rFonts w:hint="eastAsia" w:ascii="仿宋" w:hAnsi="仿宋" w:eastAsia="仿宋"/>
                            <w:sz w:val="21"/>
                            <w:szCs w:val="21"/>
                          </w:rPr>
                          <w:fldChar w:fldCharType="end"/>
                        </w:r>
                        <w:r>
                          <w:rPr>
                            <w:rFonts w:hint="eastAsia" w:ascii="仿宋" w:hAnsi="仿宋" w:eastAsia="仿宋"/>
                            <w:sz w:val="21"/>
                            <w:szCs w:val="21"/>
                          </w:rPr>
                          <w:t>突发环境事件应急预案</w:t>
                        </w:r>
                      </w:p>
                    </w:txbxContent>
                  </v:textbox>
                </v:shape>
                <v:shape id="_x0000_s1026" o:spid="_x0000_s1026" o:spt="32" type="#_x0000_t32" style="position:absolute;left:3159760;top:2189480;height:29845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nJeeraAAAACwEAAA8AAAAAAAAA&#10;AQAgAAAAIgAAAGRycy9kb3ducmV2LnhtbFBLAQIUABQAAAAIAIdO4kAbCQPGDwIAAPwDAAAOAAAA&#10;AAAAAAEAIAAAACkBAABkcnMvZTJvRG9jLnhtbFBLBQYAAAAABgAGAFkBAACqBQAAAAA=&#10;">
                  <v:fill on="f" focussize="0,0"/>
                  <v:stroke weight="0pt" color="#000000" joinstyle="round" endarrow="block"/>
                  <v:imagedata o:title=""/>
                  <o:lock v:ext="edit" aspectratio="f"/>
                </v:shape>
                <v:shape id="_x0000_s1026" o:spid="_x0000_s1026" o:spt="202" type="#_x0000_t202" style="position:absolute;left:2260600;top:2496185;height:264795;width:180340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6ux7jXAAAACwEAAA8AAAAA&#10;AAAAAQAgAAAAIgAAAGRycy9kb3ducmV2LnhtbFBLAQIUABQAAAAIAIdO4kCKo0XtFQIAAEYEAAAO&#10;AAAAAAAAAAEAIAAAACYBAABkcnMvZTJvRG9jLnhtbFBLBQYAAAAABgAGAFkBAACtBQAAAAA=&#10;">
                  <v:fill on="t" focussize="0,0"/>
                  <v:stroke weight="0.5pt" color="#000000" joinstyle="miter"/>
                  <v:imagedata o:title=""/>
                  <o:lock v:ext="edit" aspectratio="f"/>
                  <v:textbox>
                    <w:txbxContent>
                      <w:p w14:paraId="479737F7">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突发环境事件综合应急预案</w:t>
                        </w:r>
                      </w:p>
                      <w:p w14:paraId="25A47F5A">
                        <w:pPr>
                          <w:ind w:firstLine="480"/>
                          <w:jc w:val="center"/>
                          <w:rPr>
                            <w:kern w:val="0"/>
                            <w:sz w:val="24"/>
                            <w:szCs w:val="24"/>
                          </w:rPr>
                        </w:pPr>
                      </w:p>
                    </w:txbxContent>
                  </v:textbox>
                </v:shape>
                <v:shape id="_x0000_s1026" o:spid="_x0000_s1026" o:spt="202" type="#_x0000_t202" style="position:absolute;left:211455;top:2500630;height:266700;width:186055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q7HuNcAAAALAQAADwAAAAAA&#10;AAABACAAAAAiAAAAZHJzL2Rvd25yZXYueG1sUEsBAhQAFAAAAAgAh07iQG6tZpEUAgAARQQAAA4A&#10;AAAAAAAAAQAgAAAAJgEAAGRycy9lMm9Eb2MueG1sUEsFBgAAAAAGAAYAWQEAAKwFAAAAAA==&#10;">
                  <v:fill on="t" focussize="0,0"/>
                  <v:stroke weight="0.5pt" color="#000000" joinstyle="miter"/>
                  <v:imagedata o:title=""/>
                  <o:lock v:ext="edit" aspectratio="f"/>
                  <v:textbox>
                    <w:txbxContent>
                      <w:p w14:paraId="6F714CC0">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突发环境事件专项应急预案</w:t>
                        </w:r>
                      </w:p>
                      <w:p w14:paraId="45C96487">
                        <w:pPr>
                          <w:ind w:firstLine="480"/>
                          <w:jc w:val="center"/>
                          <w:rPr>
                            <w:kern w:val="0"/>
                            <w:sz w:val="24"/>
                            <w:szCs w:val="24"/>
                          </w:rPr>
                        </w:pPr>
                      </w:p>
                    </w:txbxContent>
                  </v:textbox>
                </v:shape>
                <v:shape id="_x0000_s1026" o:spid="_x0000_s1026" o:spt="202" type="#_x0000_t202" style="position:absolute;left:4260850;top:2487930;height:279400;width:1797050;" fillcolor="#FFFFFF" filled="t" stroked="t" coordsize="21600,21600" o:gfxdata="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DOhCR2gAAAAsBAAAPAAAAAAAAAAEAIAAAACIAAABkcnMvZG93bnJldi54bWxQSwECFAAUAAAA&#10;CACHTuJAZk9UFyUCAABnBAAADgAAAAAAAAABACAAAAApAQAAZHJzL2Uyb0RvYy54bWxQSwUGAAAA&#10;AAYABgBZAQAAwAUAAAAA&#10;">
                  <v:fill on="t" focussize="0,0"/>
                  <v:stroke weight="0.5pt" color="#000000" opacity="64763f" joinstyle="miter"/>
                  <v:imagedata o:title=""/>
                  <o:lock v:ext="edit" aspectratio="f"/>
                  <v:textbox>
                    <w:txbxContent>
                      <w:p w14:paraId="03916275">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突发环境事件现场处置预案</w:t>
                        </w:r>
                      </w:p>
                    </w:txbxContent>
                  </v:textbox>
                </v:shape>
                <v:shape id="_x0000_s1026" o:spid="_x0000_s1026" o:spt="202" type="#_x0000_t202" style="position:absolute;left:152400;top:1740535;height:436245;width:180975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q7HuNcAAAALAQAADwAAAAAA&#10;AAABACAAAAAiAAAAZHJzL2Rvd25yZXYueG1sUEsBAhQAFAAAAAgAh07iQLd+C/wUAgAARQQAAA4A&#10;AAAAAAAAAQAgAAAAJgEAAGRycy9lMm9Eb2MueG1sUEsFBgAAAAAGAAYAWQEAAKwFAAAAAA==&#10;">
                  <v:fill on="t" focussize="0,0"/>
                  <v:stroke weight="0.5pt" color="#000000" joinstyle="miter"/>
                  <v:imagedata o:title=""/>
                  <o:lock v:ext="edit" aspectratio="f"/>
                  <v:textbox>
                    <w:txbxContent>
                      <w:p w14:paraId="7666CDAC">
                        <w:pPr>
                          <w:spacing w:line="260" w:lineRule="exact"/>
                          <w:ind w:firstLine="0" w:firstLineChars="0"/>
                          <w:jc w:val="center"/>
                          <w:rPr>
                            <w:rFonts w:hint="eastAsia" w:ascii="仿宋" w:hAnsi="仿宋" w:eastAsia="仿宋"/>
                            <w:sz w:val="21"/>
                            <w:szCs w:val="21"/>
                          </w:rPr>
                        </w:pPr>
                        <w:r>
                          <w:rPr>
                            <w:rFonts w:hint="eastAsia" w:ascii="仿宋" w:hAnsi="仿宋" w:eastAsia="仿宋"/>
                            <w:sz w:val="21"/>
                            <w:szCs w:val="21"/>
                          </w:rPr>
                          <w:fldChar w:fldCharType="begin"/>
                        </w:r>
                        <w:r>
                          <w:rPr>
                            <w:rFonts w:hint="eastAsia" w:ascii="仿宋" w:hAnsi="仿宋" w:eastAsia="仿宋"/>
                            <w:sz w:val="21"/>
                            <w:szCs w:val="21"/>
                          </w:rPr>
                          <w:instrText xml:space="preserve"> HYPERLINK "javascript:zxtb('XZXKTYPE_A','暂存','card1','fc5c1215140948f896b26e64c489f794','readonly')" </w:instrText>
                        </w:r>
                        <w:r>
                          <w:rPr>
                            <w:rFonts w:hint="eastAsia" w:ascii="仿宋" w:hAnsi="仿宋" w:eastAsia="仿宋"/>
                            <w:sz w:val="21"/>
                            <w:szCs w:val="21"/>
                          </w:rPr>
                          <w:fldChar w:fldCharType="separate"/>
                        </w:r>
                        <w:r>
                          <w:rPr>
                            <w:rFonts w:hint="eastAsia" w:ascii="仿宋" w:hAnsi="仿宋" w:eastAsia="仿宋"/>
                            <w:sz w:val="21"/>
                            <w:szCs w:val="21"/>
                            <w:lang w:eastAsia="zh-CN"/>
                          </w:rPr>
                          <w:t>南通奥庭建材有限公司</w:t>
                        </w:r>
                        <w:r>
                          <w:rPr>
                            <w:rFonts w:hint="eastAsia" w:ascii="仿宋" w:hAnsi="仿宋" w:eastAsia="仿宋"/>
                            <w:sz w:val="21"/>
                            <w:szCs w:val="21"/>
                          </w:rPr>
                          <w:fldChar w:fldCharType="end"/>
                        </w:r>
                        <w:r>
                          <w:rPr>
                            <w:rFonts w:hint="eastAsia" w:ascii="仿宋" w:hAnsi="仿宋" w:eastAsia="仿宋"/>
                            <w:sz w:val="21"/>
                            <w:szCs w:val="21"/>
                          </w:rPr>
                          <w:t>生产安全事故应急预案</w:t>
                        </w:r>
                      </w:p>
                    </w:txbxContent>
                  </v:textbox>
                </v:shape>
                <v:shape id="_x0000_s1026" o:spid="_x0000_s1026" o:spt="32" type="#_x0000_t32" style="position:absolute;left:1974850;top:1948180;height:0;width:24765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pyXnq2gAAAAsBAAAPAAAAAAAAAAEA&#10;IAAAACIAAABkcnMvZG93bnJldi54bWxQSwECFAAUAAAACACHTuJAnIVxtQ0CAAD8AwAADgAAAAAA&#10;AAABACAAAAApAQAAZHJzL2Uyb0RvYy54bWxQSwUGAAAAAAYABgBZAQAAqAUAAAAA&#10;">
                  <v:fill on="f" focussize="0,0"/>
                  <v:stroke weight="0pt" color="#000000" joinstyle="round" endarrow="block"/>
                  <v:imagedata o:title=""/>
                  <o:lock v:ext="edit" aspectratio="f"/>
                </v:shape>
                <v:shape id="_x0000_s1026" o:spid="_x0000_s1026" o:spt="32" type="#_x0000_t32" style="position:absolute;left:1955800;top:2075180;flip:x;height:0;width:234950;" filled="f" stroked="t" coordsize="21600,21600" o:gfxdata="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sjKmPYAAAACwEAAA8A&#10;AAAAAAAAAQAgAAAAIgAAAGRycy9kb3ducmV2LnhtbFBLAQIUABQAAAAIAIdO4kDH7DzRFwIAAAYE&#10;AAAOAAAAAAAAAAEAIAAAACcBAABkcnMvZTJvRG9jLnhtbFBLBQYAAAAABgAGAFkBAACwBQAAAAA=&#10;">
                  <v:fill on="f" focussize="0,0"/>
                  <v:stroke weight="0pt" color="#000000" joinstyle="round" endarrow="block"/>
                  <v:imagedata o:title=""/>
                  <o:lock v:ext="edit" aspectratio="f"/>
                </v:shape>
                <v:line id="_x0000_s1026" o:spid="_x0000_s1026" o:spt="20" style="position:absolute;left:1143000;top:2322830;height:0;width:4064000;" filled="f" stroked="t" coordsize="21600,21600" o:gfxdata="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CsEOV2QAAAAsBAAAPAAAAAAAAAAEAIAAAACIAAABkcnMvZG93&#10;bnJldi54bWxQSwECFAAUAAAACACHTuJAgQPpWP8BAADxAwAADgAAAAAAAAABACAAAAAoAQAAZHJz&#10;L2Uyb0RvYy54bWxQSwUGAAAAAAYABgBZAQAAmQUAAAAA&#10;">
                  <v:fill on="f" focussize="0,0"/>
                  <v:stroke weight="0pt" color="#000000" joinstyle="round"/>
                  <v:imagedata o:title=""/>
                  <o:lock v:ext="edit" aspectratio="f"/>
                </v:line>
                <v:shape id="直接箭头连接符 145" o:spid="_x0000_s1026" o:spt="32" type="#_x0000_t32" style="position:absolute;left:1141730;top:2316480;flip:x;height:184150;width:1270;" filled="f" stroked="t" coordsize="21600,21600" o:gfxdata="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yMqY9gAAAALAQAA&#10;DwAAAAAAAAABACAAAAAiAAAAZHJzL2Rvd25yZXYueG1sUEsBAhQAFAAAAAgAh07iQAZwPJMZAgAA&#10;CAQAAA4AAAAAAAAAAQAgAAAAJwEAAGRycy9lMm9Eb2MueG1sUEsFBgAAAAAGAAYAWQEAALIFAAAA&#10;AA==&#10;">
                  <v:fill on="f" focussize="0,0"/>
                  <v:stroke weight="0pt" color="#000000" joinstyle="round" endarrow="block"/>
                  <v:imagedata o:title=""/>
                  <o:lock v:ext="edit" aspectratio="f"/>
                </v:shape>
                <v:shape id="直接箭头连接符 146" o:spid="_x0000_s1026" o:spt="32" type="#_x0000_t32" style="position:absolute;left:5200650;top:2310130;height:20320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nJeeraAAAACwEAAA8AAAAAAAAAAQAgAAAA&#10;IgAAAGRycy9kb3ducmV2LnhtbFBLAQIUABQAAAAIAIdO4kBg3MFeCQIAAPsDAAAOAAAAAAAAAAEA&#10;IAAAACkBAABkcnMvZTJvRG9jLnhtbFBLBQYAAAAABgAGAFkBAACkBQAAAAA=&#10;">
                  <v:fill on="f" focussize="0,0"/>
                  <v:stroke weight="0pt" color="#000000" joinstyle="round" endarrow="block"/>
                  <v:imagedata o:title=""/>
                  <o:lock v:ext="edit" aspectratio="f"/>
                </v:shape>
                <v:shape id="_x0000_s1026" o:spid="_x0000_s1026" o:spt="32" type="#_x0000_t32" style="position:absolute;left:1180465;top:2768600;height:21590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nJeeraAAAACwEAAA8AAAAAAAAAAQAg&#10;AAAAIgAAAGRycy9kb3ducmV2LnhtbFBLAQIUABQAAAAIAIdO4kC6skDyDAIAAPgDAAAOAAAAAAAA&#10;AAEAIAAAACkBAABkcnMvZTJvRG9jLnhtbFBLBQYAAAAABgAGAFkBAACnBQAAAAA=&#10;">
                  <v:fill on="f" focussize="0,0"/>
                  <v:stroke weight="0pt" color="#000000" joinstyle="round" endarrow="block"/>
                  <v:imagedata o:title=""/>
                  <o:lock v:ext="edit" aspectratio="f"/>
                </v:shape>
                <v:shape id="_x0000_s1026" o:spid="_x0000_s1026" o:spt="202" type="#_x0000_t202" style="position:absolute;left:705485;top:2986405;height:279400;width:966470;" fillcolor="#FFFFFF" filled="t" stroked="t" coordsize="21600,21600" o:gfxdata="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6+4sidsAAAALAQAADwAAAAAAAAABACAAAAAiAAAAZHJz&#10;L2Rvd25yZXYueG1sUEsBAhQAFAAAAAgAh07iQNhAiU06AgAAjwQAAA4AAAAAAAAAAQAgAAAAKgEA&#10;AGRycy9lMm9Eb2MueG1sUEsFBgAAAAAGAAYAWQEAANYFAAAAAA==&#10;">
                  <v:fill on="t" focussize="0,0"/>
                  <v:stroke weight="0.5pt" color="#000000" opacity="64763f" joinstyle="miter"/>
                  <v:imagedata o:title=""/>
                  <o:lock v:ext="edit" aspectratio="f"/>
                  <v:textbox inset="0mm,1.27mm,0mm,1.27mm">
                    <w:txbxContent>
                      <w:p w14:paraId="26229030">
                        <w:pPr>
                          <w:spacing w:line="260" w:lineRule="exact"/>
                          <w:ind w:firstLine="0" w:firstLineChars="0"/>
                          <w:jc w:val="center"/>
                          <w:rPr>
                            <w:rFonts w:ascii="仿宋" w:hAnsi="仿宋" w:eastAsia="仿宋"/>
                            <w:sz w:val="21"/>
                            <w:szCs w:val="21"/>
                          </w:rPr>
                        </w:pPr>
                        <w:r>
                          <w:rPr>
                            <w:rFonts w:hint="eastAsia" w:ascii="仿宋" w:hAnsi="仿宋" w:eastAsia="仿宋"/>
                            <w:sz w:val="21"/>
                            <w:szCs w:val="21"/>
                            <w:lang w:val="en-US" w:eastAsia="zh-CN"/>
                          </w:rPr>
                          <w:t>专项</w:t>
                        </w:r>
                        <w:r>
                          <w:rPr>
                            <w:rFonts w:hint="eastAsia" w:ascii="仿宋" w:hAnsi="仿宋" w:eastAsia="仿宋"/>
                            <w:sz w:val="21"/>
                            <w:szCs w:val="21"/>
                          </w:rPr>
                          <w:t>预案</w:t>
                        </w:r>
                      </w:p>
                    </w:txbxContent>
                  </v:textbox>
                </v:shape>
                <v:shape id="_x0000_s1026" o:spid="_x0000_s1026" o:spt="32" type="#_x0000_t32" style="position:absolute;left:4514850;top:2768600;height:21590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pyXnq2gAAAAsBAAAPAAAAAAAAAAEA&#10;IAAAACIAAABkcnMvZG93bnJldi54bWxQSwECFAAUAAAACACHTuJAX+z9ag0CAAD6AwAADgAAAAAA&#10;AAABACAAAAApAQAAZHJzL2Uyb0RvYy54bWxQSwUGAAAAAAYABgBZAQAAqAUAAAAA&#10;">
                  <v:fill on="f" focussize="0,0"/>
                  <v:stroke weight="0pt" color="#000000" joinstyle="round" endarrow="block"/>
                  <v:imagedata o:title=""/>
                  <o:lock v:ext="edit" aspectratio="f"/>
                </v:shape>
                <v:shape id="_x0000_s1026" o:spid="_x0000_s1026" o:spt="202" type="#_x0000_t202" style="position:absolute;left:4039870;top:2986405;height:279400;width:966470;" fillcolor="#FFFFFF" filled="t" stroked="t" coordsize="21600,21600" o:gfxdata="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6+4sidsAAAALAQAADwAAAAAAAAABACAAAAAiAAAAZHJz&#10;L2Rvd25yZXYueG1sUEsBAhQAFAAAAAgAh07iQMtkE7k6AgAAkAQAAA4AAAAAAAAAAQAgAAAAKgEA&#10;AGRycy9lMm9Eb2MueG1sUEsFBgAAAAAGAAYAWQEAANYFAAAAAA==&#10;">
                  <v:fill on="t" focussize="0,0"/>
                  <v:stroke weight="0.5pt" color="#000000" opacity="64763f" joinstyle="miter"/>
                  <v:imagedata o:title=""/>
                  <o:lock v:ext="edit" aspectratio="f"/>
                  <v:textbox inset="0mm,1.27mm,0mm,1.27mm">
                    <w:txbxContent>
                      <w:p w14:paraId="568000C6">
                        <w:pPr>
                          <w:spacing w:line="260" w:lineRule="exact"/>
                          <w:ind w:firstLine="0" w:firstLineChars="0"/>
                          <w:jc w:val="center"/>
                          <w:rPr>
                            <w:rFonts w:ascii="仿宋" w:hAnsi="仿宋" w:eastAsia="仿宋"/>
                            <w:sz w:val="21"/>
                            <w:szCs w:val="21"/>
                          </w:rPr>
                        </w:pPr>
                        <w:r>
                          <w:rPr>
                            <w:rFonts w:hint="eastAsia" w:ascii="仿宋" w:hAnsi="仿宋" w:eastAsia="仿宋"/>
                            <w:sz w:val="21"/>
                            <w:szCs w:val="21"/>
                            <w:lang w:val="en-US" w:eastAsia="zh-CN"/>
                          </w:rPr>
                          <w:t>现场处置</w:t>
                        </w:r>
                        <w:r>
                          <w:rPr>
                            <w:rFonts w:hint="eastAsia" w:ascii="仿宋" w:hAnsi="仿宋" w:eastAsia="仿宋"/>
                            <w:sz w:val="21"/>
                            <w:szCs w:val="21"/>
                          </w:rPr>
                          <w:t>预案</w:t>
                        </w:r>
                      </w:p>
                    </w:txbxContent>
                  </v:textbox>
                </v:shape>
                <v:shape id="_x0000_s1026" o:spid="_x0000_s1026" o:spt="32" type="#_x0000_t32" style="position:absolute;left:5575935;top:2768600;height:21590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cl56toAAAALAQAADwAAAAAAAAAB&#10;ACAAAAAiAAAAZHJzL2Rvd25yZXYueG1sUEsBAhQAFAAAAAgAh07iQOX/YVMOAgAA+gMAAA4AAAAA&#10;AAAAAQAgAAAAKQEAAGRycy9lMm9Eb2MueG1sUEsFBgAAAAAGAAYAWQEAAKkFAAAAAA==&#10;">
                  <v:fill on="f" focussize="0,0"/>
                  <v:stroke weight="0pt" color="#000000" joinstyle="round" endarrow="block"/>
                  <v:imagedata o:title=""/>
                  <o:lock v:ext="edit" aspectratio="f"/>
                </v:shape>
                <v:shape id="_x0000_s1026" o:spid="_x0000_s1026" o:spt="202" type="#_x0000_t202" style="position:absolute;left:5100320;top:2986405;height:279400;width:966470;" fillcolor="#FFFFFF" filled="t" stroked="t" coordsize="21600,21600" o:gfxdata="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&#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vuLInbAAAACwEAAA8AAAAAAAAAAQAgAAAAIgAAAGRy&#10;cy9kb3ducmV2LnhtbFBLAQIUABQAAAAIAIdO4kCcUbIeOwIAAJAEAAAOAAAAAAAAAAEAIAAAACoB&#10;AABkcnMvZTJvRG9jLnhtbFBLBQYAAAAABgAGAFkBAADXBQAAAAA=&#10;">
                  <v:fill on="t" focussize="0,0"/>
                  <v:stroke weight="0.5pt" color="#000000" opacity="64763f" joinstyle="miter"/>
                  <v:imagedata o:title=""/>
                  <o:lock v:ext="edit" aspectratio="f"/>
                  <v:textbox inset="0mm,1.27mm,0mm,1.27mm">
                    <w:txbxContent>
                      <w:p w14:paraId="65A25DCD">
                        <w:pPr>
                          <w:spacing w:line="260" w:lineRule="exact"/>
                          <w:ind w:firstLine="0" w:firstLineChars="0"/>
                          <w:jc w:val="center"/>
                          <w:rPr>
                            <w:rFonts w:hint="default" w:ascii="仿宋" w:hAnsi="仿宋" w:eastAsia="仿宋"/>
                            <w:sz w:val="21"/>
                            <w:szCs w:val="21"/>
                            <w:lang w:val="en-US"/>
                          </w:rPr>
                        </w:pPr>
                        <w:r>
                          <w:rPr>
                            <w:rFonts w:hint="eastAsia" w:ascii="仿宋" w:hAnsi="仿宋" w:eastAsia="仿宋"/>
                            <w:sz w:val="21"/>
                            <w:szCs w:val="21"/>
                            <w:lang w:val="en-US" w:eastAsia="zh-CN"/>
                          </w:rPr>
                          <w:t>应急处置卡</w:t>
                        </w:r>
                      </w:p>
                    </w:txbxContent>
                  </v:textbox>
                </v:shape>
                <v:shape id="_x0000_s1026" o:spid="_x0000_s1026" o:spt="202" type="#_x0000_t202" style="position:absolute;left:2296160;top:1005205;height:406400;width:1593850;" fillcolor="#FFFFFF" filled="t" stroked="t" coordsize="21600,21600" o:gfxdata="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6ux7jXAAAACwEAAA8AAAAA&#10;AAAAAQAgAAAAIgAAAGRycy9kb3ducmV2LnhtbFBLAQIUABQAAAAIAIdO4kCQ/r3sFQIAAEIEAAAO&#10;AAAAAAAAAAEAIAAAACYBAABkcnMvZTJvRG9jLnhtbFBLBQYAAAAABgAGAFkBAACtBQAAAAA=&#10;">
                  <v:fill on="t" focussize="0,0"/>
                  <v:stroke weight="0.5pt" color="#000000" joinstyle="miter"/>
                  <v:imagedata o:title=""/>
                  <o:lock v:ext="edit" aspectratio="f"/>
                  <v:textbox>
                    <w:txbxContent>
                      <w:p w14:paraId="06F32FF1">
                        <w:pPr>
                          <w:spacing w:line="260" w:lineRule="exact"/>
                          <w:ind w:firstLine="0" w:firstLineChars="0"/>
                          <w:jc w:val="center"/>
                          <w:rPr>
                            <w:rFonts w:ascii="仿宋" w:hAnsi="仿宋" w:eastAsia="仿宋"/>
                            <w:sz w:val="21"/>
                            <w:szCs w:val="21"/>
                          </w:rPr>
                        </w:pPr>
                        <w:r>
                          <w:rPr>
                            <w:rFonts w:hint="eastAsia" w:ascii="仿宋" w:hAnsi="仿宋" w:eastAsia="仿宋" w:cs="宋体"/>
                            <w:b w:val="0"/>
                            <w:bCs w:val="0"/>
                            <w:i w:val="0"/>
                            <w:iCs w:val="0"/>
                            <w:caps w:val="0"/>
                            <w:color w:val="auto"/>
                            <w:spacing w:val="0"/>
                            <w:sz w:val="21"/>
                            <w:szCs w:val="21"/>
                            <w:shd w:val="clear" w:fill="auto"/>
                            <w:lang w:eastAsia="zh-CN"/>
                          </w:rPr>
                          <w:t>高新区</w:t>
                        </w:r>
                        <w:r>
                          <w:rPr>
                            <w:rFonts w:hint="eastAsia" w:ascii="仿宋" w:hAnsi="仿宋" w:eastAsia="仿宋" w:cs="宋体"/>
                            <w:b w:val="0"/>
                            <w:bCs w:val="0"/>
                            <w:i w:val="0"/>
                            <w:iCs w:val="0"/>
                            <w:caps w:val="0"/>
                            <w:color w:val="auto"/>
                            <w:spacing w:val="0"/>
                            <w:sz w:val="21"/>
                            <w:szCs w:val="21"/>
                            <w:shd w:val="clear" w:fill="auto"/>
                          </w:rPr>
                          <w:t>（</w:t>
                        </w:r>
                        <w:r>
                          <w:rPr>
                            <w:rFonts w:hint="eastAsia" w:ascii="仿宋" w:hAnsi="仿宋" w:eastAsia="仿宋" w:cs="宋体"/>
                            <w:b w:val="0"/>
                            <w:bCs w:val="0"/>
                            <w:i w:val="0"/>
                            <w:iCs w:val="0"/>
                            <w:caps w:val="0"/>
                            <w:color w:val="auto"/>
                            <w:spacing w:val="0"/>
                            <w:sz w:val="21"/>
                            <w:szCs w:val="21"/>
                            <w:shd w:val="clear" w:fill="auto"/>
                            <w:lang w:eastAsia="zh-CN"/>
                          </w:rPr>
                          <w:t>高新区</w:t>
                        </w:r>
                        <w:r>
                          <w:rPr>
                            <w:rFonts w:hint="eastAsia" w:ascii="仿宋" w:hAnsi="仿宋" w:eastAsia="仿宋" w:cs="宋体"/>
                            <w:b w:val="0"/>
                            <w:bCs w:val="0"/>
                            <w:i w:val="0"/>
                            <w:iCs w:val="0"/>
                            <w:caps w:val="0"/>
                            <w:color w:val="auto"/>
                            <w:spacing w:val="0"/>
                            <w:sz w:val="21"/>
                            <w:szCs w:val="21"/>
                            <w:shd w:val="clear" w:fill="auto"/>
                          </w:rPr>
                          <w:t>）重污染天气应急预案</w:t>
                        </w:r>
                      </w:p>
                    </w:txbxContent>
                  </v:textbox>
                </v:shape>
                <v:shape id="_x0000_s1026" o:spid="_x0000_s1026" o:spt="32" type="#_x0000_t32" style="position:absolute;left:3128010;top:1416050;height:298450;width:0;" filled="f" stroked="t" coordsize="21600,21600" o:gfxdata="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cl56toAAAALAQAADwAAAAAAAAABACAA&#10;AAAiAAAAZHJzL2Rvd25yZXYueG1sUEsBAhQAFAAAAAgAh07iQItxM5oLAgAA+AMAAA4AAAAAAAAA&#10;AQAgAAAAKQEAAGRycy9lMm9Eb2MueG1sUEsFBgAAAAAGAAYAWQEAAKYFAAAAAA==&#10;">
                  <v:fill on="f" focussize="0,0"/>
                  <v:stroke weight="0pt" color="#000000" joinstyle="round" endarrow="block"/>
                  <v:imagedata o:title=""/>
                  <o:lock v:ext="edit" aspectratio="f"/>
                </v:shape>
                <w10:wrap type="topAndBottom"/>
              </v:group>
            </w:pict>
          </mc:Fallback>
        </mc:AlternateContent>
      </w:r>
      <w:r>
        <w:rPr>
          <w:rFonts w:hint="default" w:ascii="Times New Roman" w:hAnsi="Times New Roman" w:cs="Times New Roman" w:eastAsiaTheme="minorEastAsia"/>
          <w:b/>
          <w:color w:val="auto"/>
          <w:sz w:val="24"/>
          <w:szCs w:val="24"/>
          <w:highlight w:val="none"/>
        </w:rPr>
        <w:t>图1-2 公司应急预案体系图</w:t>
      </w:r>
      <w:bookmarkStart w:id="96" w:name="_Toc275330206"/>
      <w:bookmarkStart w:id="97" w:name="_Toc275938112"/>
      <w:bookmarkStart w:id="98" w:name="_Toc496886994"/>
      <w:bookmarkStart w:id="99" w:name="_Toc9510"/>
      <w:bookmarkStart w:id="100" w:name="_Toc25011"/>
      <w:bookmarkStart w:id="101" w:name="_Toc276118345"/>
    </w:p>
    <w:p w14:paraId="2FF7BA14">
      <w:pPr>
        <w:pStyle w:val="13"/>
        <w:pageBreakBefore w:val="0"/>
        <w:kinsoku/>
        <w:overflowPunct/>
        <w:bidi w:val="0"/>
        <w:spacing w:after="0" w:line="500" w:lineRule="exact"/>
        <w:ind w:firstLine="0" w:firstLineChars="0"/>
        <w:jc w:val="center"/>
        <w:rPr>
          <w:rFonts w:hint="eastAsia" w:cs="Times New Roman"/>
          <w:b/>
          <w:color w:val="auto"/>
          <w:sz w:val="24"/>
          <w:szCs w:val="24"/>
          <w:highlight w:val="none"/>
          <w:lang w:val="en-US" w:eastAsia="zh-CN"/>
        </w:rPr>
      </w:pPr>
      <w:r>
        <w:rPr>
          <w:rFonts w:hint="eastAsia" w:cs="Times New Roman"/>
          <w:b/>
          <w:color w:val="auto"/>
          <w:sz w:val="24"/>
          <w:szCs w:val="24"/>
          <w:highlight w:val="none"/>
          <w:lang w:val="en-US" w:eastAsia="zh-CN"/>
        </w:rPr>
        <w:t>表1-1 上一级应急救援预案一览表</w:t>
      </w:r>
    </w:p>
    <w:tbl>
      <w:tblPr>
        <w:tblStyle w:val="34"/>
        <w:tblW w:w="4999"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848"/>
        <w:gridCol w:w="3385"/>
        <w:gridCol w:w="4821"/>
      </w:tblGrid>
      <w:tr w14:paraId="70F0B6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8" w:type="pct"/>
            <w:tcBorders>
              <w:tl2br w:val="nil"/>
              <w:tr2bl w:val="nil"/>
            </w:tcBorders>
          </w:tcPr>
          <w:p w14:paraId="631AEDF7">
            <w:pPr>
              <w:pStyle w:val="159"/>
              <w:spacing w:before="73"/>
              <w:ind w:left="160" w:right="130"/>
              <w:rPr>
                <w:rFonts w:hint="default" w:ascii="Times New Roman" w:hAnsi="Times New Roman" w:eastAsia="宋体" w:cs="Times New Roman"/>
                <w:b/>
                <w:sz w:val="21"/>
                <w:szCs w:val="20"/>
              </w:rPr>
            </w:pPr>
            <w:r>
              <w:rPr>
                <w:rFonts w:hint="default" w:ascii="Times New Roman" w:hAnsi="Times New Roman" w:eastAsia="宋体" w:cs="Times New Roman"/>
                <w:b/>
                <w:sz w:val="21"/>
                <w:szCs w:val="20"/>
              </w:rPr>
              <w:t>序号</w:t>
            </w:r>
          </w:p>
        </w:tc>
        <w:tc>
          <w:tcPr>
            <w:tcW w:w="1869" w:type="pct"/>
            <w:tcBorders>
              <w:tl2br w:val="nil"/>
              <w:tr2bl w:val="nil"/>
            </w:tcBorders>
          </w:tcPr>
          <w:p w14:paraId="12023A19">
            <w:pPr>
              <w:pStyle w:val="159"/>
              <w:spacing w:before="73"/>
              <w:ind w:left="419" w:right="386"/>
              <w:rPr>
                <w:rFonts w:hint="default" w:ascii="Times New Roman" w:hAnsi="Times New Roman" w:eastAsia="宋体" w:cs="Times New Roman"/>
                <w:b/>
                <w:sz w:val="21"/>
                <w:szCs w:val="20"/>
              </w:rPr>
            </w:pPr>
            <w:r>
              <w:rPr>
                <w:rFonts w:hint="default" w:ascii="Times New Roman" w:hAnsi="Times New Roman" w:eastAsia="宋体" w:cs="Times New Roman"/>
                <w:b/>
                <w:sz w:val="21"/>
                <w:szCs w:val="20"/>
              </w:rPr>
              <w:t>相衔接的部门</w:t>
            </w:r>
          </w:p>
        </w:tc>
        <w:tc>
          <w:tcPr>
            <w:tcW w:w="2662" w:type="pct"/>
            <w:tcBorders>
              <w:tl2br w:val="nil"/>
              <w:tr2bl w:val="nil"/>
            </w:tcBorders>
          </w:tcPr>
          <w:p w14:paraId="1C744DB9">
            <w:pPr>
              <w:pStyle w:val="159"/>
              <w:spacing w:before="73"/>
              <w:ind w:left="272" w:right="235"/>
              <w:rPr>
                <w:rFonts w:hint="default" w:ascii="Times New Roman" w:hAnsi="Times New Roman" w:eastAsia="宋体" w:cs="Times New Roman"/>
                <w:b/>
                <w:sz w:val="21"/>
                <w:szCs w:val="20"/>
              </w:rPr>
            </w:pPr>
            <w:r>
              <w:rPr>
                <w:rFonts w:hint="default" w:ascii="Times New Roman" w:hAnsi="Times New Roman" w:eastAsia="宋体" w:cs="Times New Roman"/>
                <w:b/>
                <w:sz w:val="21"/>
                <w:szCs w:val="20"/>
              </w:rPr>
              <w:t>与本预案相衔接的应急救援预案</w:t>
            </w:r>
          </w:p>
        </w:tc>
      </w:tr>
      <w:tr w14:paraId="6D8A99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68" w:type="pct"/>
            <w:tcBorders>
              <w:tl2br w:val="nil"/>
              <w:tr2bl w:val="nil"/>
            </w:tcBorders>
          </w:tcPr>
          <w:p w14:paraId="5CD8BD6A">
            <w:pPr>
              <w:pStyle w:val="159"/>
              <w:spacing w:before="90"/>
              <w:ind w:left="30"/>
              <w:rPr>
                <w:rFonts w:hint="default" w:ascii="Times New Roman" w:hAnsi="Times New Roman" w:eastAsia="宋体" w:cs="Times New Roman"/>
                <w:sz w:val="21"/>
                <w:szCs w:val="20"/>
              </w:rPr>
            </w:pPr>
            <w:r>
              <w:rPr>
                <w:rFonts w:hint="default" w:ascii="Times New Roman" w:hAnsi="Times New Roman" w:eastAsia="宋体" w:cs="Times New Roman"/>
                <w:sz w:val="21"/>
                <w:szCs w:val="20"/>
              </w:rPr>
              <w:t>1</w:t>
            </w:r>
          </w:p>
        </w:tc>
        <w:tc>
          <w:tcPr>
            <w:tcW w:w="1869" w:type="pct"/>
            <w:tcBorders>
              <w:tl2br w:val="nil"/>
              <w:tr2bl w:val="nil"/>
            </w:tcBorders>
          </w:tcPr>
          <w:p w14:paraId="3E05DD9E">
            <w:pPr>
              <w:pStyle w:val="159"/>
              <w:spacing w:before="74"/>
              <w:ind w:left="419" w:right="391"/>
              <w:rPr>
                <w:rFonts w:hint="default" w:ascii="Times New Roman" w:hAnsi="Times New Roman" w:eastAsia="宋体" w:cs="Times New Roman"/>
                <w:sz w:val="21"/>
                <w:szCs w:val="20"/>
              </w:rPr>
            </w:pPr>
            <w:r>
              <w:rPr>
                <w:rFonts w:hint="default" w:ascii="Times New Roman" w:hAnsi="Times New Roman" w:eastAsia="宋体" w:cs="Times New Roman"/>
                <w:sz w:val="21"/>
                <w:szCs w:val="20"/>
              </w:rPr>
              <w:t>海安市人民政府</w:t>
            </w:r>
          </w:p>
        </w:tc>
        <w:tc>
          <w:tcPr>
            <w:tcW w:w="2662" w:type="pct"/>
            <w:tcBorders>
              <w:tl2br w:val="nil"/>
              <w:tr2bl w:val="nil"/>
            </w:tcBorders>
          </w:tcPr>
          <w:p w14:paraId="263BB201">
            <w:pPr>
              <w:pStyle w:val="159"/>
              <w:spacing w:before="74"/>
              <w:ind w:left="272" w:right="247"/>
              <w:rPr>
                <w:rFonts w:hint="default" w:ascii="Times New Roman" w:hAnsi="Times New Roman" w:eastAsia="宋体" w:cs="Times New Roman"/>
                <w:sz w:val="21"/>
                <w:szCs w:val="20"/>
              </w:rPr>
            </w:pPr>
            <w:r>
              <w:rPr>
                <w:rFonts w:hint="default" w:ascii="Times New Roman" w:hAnsi="Times New Roman" w:eastAsia="宋体" w:cs="Times New Roman"/>
                <w:sz w:val="21"/>
                <w:szCs w:val="20"/>
              </w:rPr>
              <w:t>海安市突发公共事件总体应急预案</w:t>
            </w:r>
          </w:p>
        </w:tc>
      </w:tr>
      <w:tr w14:paraId="740DF9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8" w:type="pct"/>
            <w:tcBorders>
              <w:tl2br w:val="nil"/>
              <w:tr2bl w:val="nil"/>
            </w:tcBorders>
          </w:tcPr>
          <w:p w14:paraId="10E9FE79">
            <w:pPr>
              <w:pStyle w:val="159"/>
              <w:spacing w:before="89"/>
              <w:ind w:left="30"/>
              <w:rPr>
                <w:rFonts w:hint="default" w:ascii="Times New Roman" w:hAnsi="Times New Roman" w:eastAsia="宋体" w:cs="Times New Roman"/>
                <w:sz w:val="21"/>
                <w:szCs w:val="20"/>
              </w:rPr>
            </w:pPr>
            <w:r>
              <w:rPr>
                <w:rFonts w:hint="default" w:ascii="Times New Roman" w:hAnsi="Times New Roman" w:eastAsia="宋体" w:cs="Times New Roman"/>
                <w:sz w:val="21"/>
                <w:szCs w:val="20"/>
              </w:rPr>
              <w:t>2</w:t>
            </w:r>
          </w:p>
        </w:tc>
        <w:tc>
          <w:tcPr>
            <w:tcW w:w="1869" w:type="pct"/>
            <w:tcBorders>
              <w:tl2br w:val="nil"/>
              <w:tr2bl w:val="nil"/>
            </w:tcBorders>
          </w:tcPr>
          <w:p w14:paraId="50C2DFFE">
            <w:pPr>
              <w:pStyle w:val="159"/>
              <w:spacing w:before="73"/>
              <w:ind w:left="419" w:right="391"/>
              <w:rPr>
                <w:rFonts w:hint="default" w:ascii="Times New Roman" w:hAnsi="Times New Roman" w:eastAsia="宋体" w:cs="Times New Roman"/>
                <w:sz w:val="21"/>
                <w:szCs w:val="20"/>
              </w:rPr>
            </w:pPr>
            <w:r>
              <w:rPr>
                <w:rFonts w:hint="default" w:ascii="Times New Roman" w:hAnsi="Times New Roman" w:eastAsia="宋体" w:cs="Times New Roman"/>
                <w:sz w:val="21"/>
                <w:szCs w:val="20"/>
              </w:rPr>
              <w:t>海安市应急管理局</w:t>
            </w:r>
          </w:p>
        </w:tc>
        <w:tc>
          <w:tcPr>
            <w:tcW w:w="2662" w:type="pct"/>
            <w:tcBorders>
              <w:tl2br w:val="nil"/>
              <w:tr2bl w:val="nil"/>
            </w:tcBorders>
          </w:tcPr>
          <w:p w14:paraId="68230D1C">
            <w:pPr>
              <w:pStyle w:val="159"/>
              <w:spacing w:before="73"/>
              <w:ind w:left="272" w:right="247"/>
              <w:rPr>
                <w:rFonts w:hint="default" w:ascii="Times New Roman" w:hAnsi="Times New Roman" w:eastAsia="宋体" w:cs="Times New Roman"/>
                <w:sz w:val="21"/>
                <w:szCs w:val="20"/>
              </w:rPr>
            </w:pPr>
            <w:r>
              <w:rPr>
                <w:rFonts w:hint="default" w:ascii="Times New Roman" w:hAnsi="Times New Roman" w:eastAsia="宋体" w:cs="Times New Roman"/>
                <w:sz w:val="21"/>
                <w:szCs w:val="20"/>
              </w:rPr>
              <w:t>海安市危险化学品事故应急预案</w:t>
            </w:r>
          </w:p>
        </w:tc>
      </w:tr>
      <w:tr w14:paraId="0E2F0B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8" w:type="pct"/>
            <w:tcBorders>
              <w:tl2br w:val="nil"/>
              <w:tr2bl w:val="nil"/>
            </w:tcBorders>
          </w:tcPr>
          <w:p w14:paraId="184956BD">
            <w:pPr>
              <w:pStyle w:val="159"/>
              <w:spacing w:before="88"/>
              <w:ind w:left="30"/>
              <w:rPr>
                <w:rFonts w:hint="default" w:ascii="Times New Roman" w:hAnsi="Times New Roman" w:eastAsia="宋体" w:cs="Times New Roman"/>
                <w:sz w:val="21"/>
                <w:szCs w:val="20"/>
              </w:rPr>
            </w:pPr>
            <w:r>
              <w:rPr>
                <w:rFonts w:hint="default" w:ascii="Times New Roman" w:hAnsi="Times New Roman" w:eastAsia="宋体" w:cs="Times New Roman"/>
                <w:sz w:val="21"/>
                <w:szCs w:val="20"/>
              </w:rPr>
              <w:t>3</w:t>
            </w:r>
          </w:p>
        </w:tc>
        <w:tc>
          <w:tcPr>
            <w:tcW w:w="1869" w:type="pct"/>
            <w:tcBorders>
              <w:tl2br w:val="nil"/>
              <w:tr2bl w:val="nil"/>
            </w:tcBorders>
          </w:tcPr>
          <w:p w14:paraId="30E6DAE9">
            <w:pPr>
              <w:pStyle w:val="159"/>
              <w:spacing w:before="72"/>
              <w:ind w:left="419" w:right="391"/>
              <w:rPr>
                <w:rFonts w:hint="default" w:ascii="Times New Roman" w:hAnsi="Times New Roman" w:eastAsia="宋体" w:cs="Times New Roman"/>
                <w:sz w:val="21"/>
                <w:szCs w:val="20"/>
              </w:rPr>
            </w:pPr>
            <w:r>
              <w:rPr>
                <w:rFonts w:hint="default" w:ascii="Times New Roman" w:hAnsi="Times New Roman" w:eastAsia="宋体" w:cs="Times New Roman"/>
                <w:sz w:val="21"/>
                <w:szCs w:val="20"/>
              </w:rPr>
              <w:t>南通市海安生态环境局</w:t>
            </w:r>
          </w:p>
        </w:tc>
        <w:tc>
          <w:tcPr>
            <w:tcW w:w="2662" w:type="pct"/>
            <w:tcBorders>
              <w:tl2br w:val="nil"/>
              <w:tr2bl w:val="nil"/>
            </w:tcBorders>
          </w:tcPr>
          <w:p w14:paraId="22287FD4">
            <w:pPr>
              <w:pStyle w:val="159"/>
              <w:spacing w:before="72"/>
              <w:ind w:left="272" w:right="247"/>
              <w:rPr>
                <w:rFonts w:hint="default" w:ascii="Times New Roman" w:hAnsi="Times New Roman" w:eastAsia="宋体" w:cs="Times New Roman"/>
                <w:sz w:val="21"/>
                <w:szCs w:val="20"/>
              </w:rPr>
            </w:pPr>
            <w:r>
              <w:rPr>
                <w:rFonts w:hint="default" w:ascii="Times New Roman" w:hAnsi="Times New Roman" w:eastAsia="宋体" w:cs="Times New Roman"/>
                <w:sz w:val="21"/>
                <w:szCs w:val="20"/>
              </w:rPr>
              <w:t>海安市突发环境事件应急预案</w:t>
            </w:r>
          </w:p>
        </w:tc>
      </w:tr>
      <w:tr w14:paraId="10A5AC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68" w:type="pct"/>
            <w:tcBorders>
              <w:tl2br w:val="nil"/>
              <w:tr2bl w:val="nil"/>
            </w:tcBorders>
          </w:tcPr>
          <w:p w14:paraId="223A7A72">
            <w:pPr>
              <w:pStyle w:val="159"/>
              <w:spacing w:before="90"/>
              <w:ind w:left="30"/>
              <w:rPr>
                <w:rFonts w:hint="default" w:ascii="Times New Roman" w:hAnsi="Times New Roman" w:eastAsia="宋体" w:cs="Times New Roman"/>
                <w:sz w:val="21"/>
                <w:szCs w:val="20"/>
              </w:rPr>
            </w:pPr>
            <w:r>
              <w:rPr>
                <w:rFonts w:hint="default" w:ascii="Times New Roman" w:hAnsi="Times New Roman" w:eastAsia="宋体" w:cs="Times New Roman"/>
                <w:sz w:val="21"/>
                <w:szCs w:val="20"/>
              </w:rPr>
              <w:t>4</w:t>
            </w:r>
          </w:p>
        </w:tc>
        <w:tc>
          <w:tcPr>
            <w:tcW w:w="1869" w:type="pct"/>
            <w:tcBorders>
              <w:tl2br w:val="nil"/>
              <w:tr2bl w:val="nil"/>
            </w:tcBorders>
          </w:tcPr>
          <w:p w14:paraId="5D1F0B7E">
            <w:pPr>
              <w:pStyle w:val="159"/>
              <w:spacing w:before="74"/>
              <w:ind w:left="419" w:right="391"/>
              <w:rPr>
                <w:rFonts w:hint="eastAsia" w:ascii="Times New Roman" w:hAnsi="Times New Roman" w:eastAsia="宋体" w:cs="Times New Roman"/>
                <w:sz w:val="21"/>
                <w:szCs w:val="20"/>
                <w:lang w:eastAsia="zh-CN"/>
              </w:rPr>
            </w:pPr>
            <w:r>
              <w:rPr>
                <w:rFonts w:hint="eastAsia" w:ascii="Times New Roman" w:hAnsi="Times New Roman" w:eastAsia="宋体" w:cs="Times New Roman"/>
                <w:sz w:val="21"/>
                <w:szCs w:val="20"/>
                <w:lang w:eastAsia="zh-CN"/>
              </w:rPr>
              <w:t>海安大公镇</w:t>
            </w:r>
          </w:p>
        </w:tc>
        <w:tc>
          <w:tcPr>
            <w:tcW w:w="2662" w:type="pct"/>
            <w:tcBorders>
              <w:tl2br w:val="nil"/>
              <w:tr2bl w:val="nil"/>
            </w:tcBorders>
          </w:tcPr>
          <w:p w14:paraId="116C9F87">
            <w:pPr>
              <w:pStyle w:val="159"/>
              <w:spacing w:before="74"/>
              <w:ind w:left="272" w:right="247"/>
              <w:rPr>
                <w:rFonts w:hint="default" w:ascii="Times New Roman" w:hAnsi="Times New Roman" w:eastAsia="宋体" w:cs="Times New Roman"/>
                <w:sz w:val="21"/>
                <w:szCs w:val="20"/>
              </w:rPr>
            </w:pPr>
            <w:r>
              <w:rPr>
                <w:rFonts w:hint="eastAsia" w:ascii="Times New Roman" w:hAnsi="Times New Roman" w:eastAsia="宋体" w:cs="Times New Roman"/>
                <w:sz w:val="21"/>
                <w:szCs w:val="20"/>
                <w:lang w:eastAsia="zh-CN"/>
              </w:rPr>
              <w:t>高新区</w:t>
            </w:r>
            <w:r>
              <w:rPr>
                <w:rFonts w:hint="default" w:ascii="Times New Roman" w:hAnsi="Times New Roman" w:eastAsia="宋体" w:cs="Times New Roman"/>
                <w:sz w:val="21"/>
                <w:szCs w:val="20"/>
              </w:rPr>
              <w:t>（</w:t>
            </w:r>
            <w:r>
              <w:rPr>
                <w:rFonts w:hint="eastAsia" w:ascii="Times New Roman" w:hAnsi="Times New Roman" w:eastAsia="宋体" w:cs="Times New Roman"/>
                <w:sz w:val="21"/>
                <w:szCs w:val="20"/>
                <w:lang w:eastAsia="zh-CN"/>
              </w:rPr>
              <w:t>高新区</w:t>
            </w:r>
            <w:r>
              <w:rPr>
                <w:rFonts w:hint="default" w:ascii="Times New Roman" w:hAnsi="Times New Roman" w:eastAsia="宋体" w:cs="Times New Roman"/>
                <w:sz w:val="21"/>
                <w:szCs w:val="20"/>
              </w:rPr>
              <w:t>）重污染天气应急预案</w:t>
            </w:r>
          </w:p>
        </w:tc>
      </w:tr>
    </w:tbl>
    <w:p w14:paraId="69D5CE93">
      <w:pPr>
        <w:pStyle w:val="4"/>
        <w:pageBreakBefore w:val="0"/>
        <w:widowControl w:val="0"/>
        <w:kinsoku/>
        <w:wordWrap/>
        <w:overflowPunct/>
        <w:topLinePunct w:val="0"/>
        <w:autoSpaceDE/>
        <w:autoSpaceDN/>
        <w:bidi w:val="0"/>
        <w:spacing w:before="0" w:beforeAutospacing="0" w:after="0" w:afterAutospacing="0" w:line="500" w:lineRule="exact"/>
        <w:ind w:firstLine="0" w:firstLineChars="0"/>
        <w:textAlignment w:val="auto"/>
        <w:rPr>
          <w:rFonts w:hint="default" w:ascii="Times New Roman" w:hAnsi="Times New Roman" w:cs="Times New Roman" w:eastAsiaTheme="minorEastAsia"/>
          <w:color w:val="auto"/>
          <w:sz w:val="24"/>
          <w:szCs w:val="24"/>
          <w:highlight w:val="none"/>
        </w:rPr>
      </w:pPr>
      <w:bookmarkStart w:id="102" w:name="_Toc29752"/>
      <w:bookmarkStart w:id="103" w:name="_Toc21248"/>
      <w:bookmarkStart w:id="104" w:name="_Toc11223"/>
      <w:bookmarkStart w:id="105" w:name="_Toc32682"/>
      <w:r>
        <w:rPr>
          <w:rFonts w:hint="default" w:ascii="Times New Roman" w:hAnsi="Times New Roman" w:cs="Times New Roman"/>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5工作原则</w:t>
      </w:r>
      <w:bookmarkEnd w:id="96"/>
      <w:bookmarkEnd w:id="97"/>
      <w:bookmarkEnd w:id="98"/>
      <w:bookmarkEnd w:id="99"/>
      <w:bookmarkEnd w:id="100"/>
      <w:bookmarkEnd w:id="101"/>
      <w:bookmarkEnd w:id="102"/>
      <w:bookmarkEnd w:id="103"/>
      <w:bookmarkEnd w:id="104"/>
      <w:bookmarkEnd w:id="105"/>
    </w:p>
    <w:p w14:paraId="03AC9B8D">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bookmarkStart w:id="106" w:name="_Toc375081722"/>
      <w:bookmarkStart w:id="107" w:name="_Toc4360"/>
      <w:bookmarkStart w:id="108" w:name="_Toc18864"/>
      <w:bookmarkStart w:id="109" w:name="_Toc275938113"/>
      <w:bookmarkStart w:id="110" w:name="_Toc276118346"/>
      <w:r>
        <w:rPr>
          <w:rFonts w:hint="default" w:ascii="Times New Roman" w:hAnsi="Times New Roman" w:cs="Times New Roman" w:eastAsiaTheme="minorEastAsia"/>
          <w:color w:val="auto"/>
          <w:sz w:val="24"/>
          <w:szCs w:val="24"/>
          <w:highlight w:val="none"/>
        </w:rPr>
        <w:t>本预案以符合《中华人民共和国突发事件应对法》、《中华人民共和国环境保护法》，江苏省、南通市有关环保和应急法规要求为前提，以将突发环境事件影响降至最低为目标，结合公司应急工作实际，遵循以下原则开展：</w:t>
      </w:r>
    </w:p>
    <w:bookmarkEnd w:id="106"/>
    <w:p w14:paraId="53DE7F2B">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（1）以人为本</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安全第一</w:t>
      </w:r>
      <w:r>
        <w:rPr>
          <w:rFonts w:hint="default" w:ascii="Times New Roman" w:hAnsi="Times New Roman" w:cs="Times New Roman" w:eastAsiaTheme="minorEastAsia"/>
          <w:color w:val="auto"/>
          <w:sz w:val="24"/>
          <w:szCs w:val="24"/>
          <w:highlight w:val="none"/>
        </w:rPr>
        <w:t>。高度重视环境安全，常备不懈，防患于未然。增强忧患意识，坚持预防与应急相结合，常态与非常态相结合，重视专家在环境应急工作中的作用，加大投入，积极做好应对突发环境事件的思想准备、物资准备、技术准备等日常准备工作，强化突发环境事件预防、预警能力。</w:t>
      </w:r>
    </w:p>
    <w:p w14:paraId="2A2E3276">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救人第一、环境优先。把保障公众健康和生命财产作为首要任务，并优先采取措施减少突发环境事件对环境的危害。</w:t>
      </w:r>
    </w:p>
    <w:p w14:paraId="51D3121B">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先期处置，防止危害扩大。加强全员应急知识的培训和应急处置队伍的建设，提高突发环境事件的先期处置能力。充分发挥公司应急救援第一响应者的作用，防止危害扩大。以自救为主，社会救援为辅。</w:t>
      </w:r>
    </w:p>
    <w:p w14:paraId="1960EB62">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快速响应、科学应对。根据相关法规要求，建立联动协调制度，形成统一指挥、反应灵敏、功能齐全、协调有序、运转高效的应急处置机制。根据不同污染源所造成的环境事件的严重性、可控性、所需动用资源、影响范围等因素，分级设定和启动预案。</w:t>
      </w:r>
    </w:p>
    <w:p w14:paraId="2F6E471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预防为主，平战结合。贯彻落实“安全第一，预防为主，综合治理”的方针，坚持事故灾难应急与预防工作相结合。做好预防、预测、预警和预报工作，做好常态下的风险管理、物资储备、队伍建设、装备完善、预案演练等工作。</w:t>
      </w:r>
    </w:p>
    <w:p w14:paraId="1075F1C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自救与属地管理相结合原则。突发环境事件应急救援遵循</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自救和属地政府救援相结合的原则，建立统一指挥、反应敏捷、功能齐全、协调有序、运转高效的应急管理机制，充分发挥</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和属地政府应急资源的作用，确保一旦出现事故，能够快速反应、及时、果断处置工作。</w:t>
      </w:r>
    </w:p>
    <w:p w14:paraId="45B1FCDE">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br w:type="page"/>
      </w:r>
    </w:p>
    <w:p w14:paraId="3B301D7B">
      <w:pPr>
        <w:pStyle w:val="3"/>
        <w:pageBreakBefore w:val="0"/>
        <w:kinsoku/>
        <w:overflowPunct/>
        <w:bidi w:val="0"/>
        <w:spacing w:beforeLines="0" w:afterLines="0" w:line="500" w:lineRule="exact"/>
        <w:ind w:left="0" w:leftChars="0" w:firstLine="0" w:firstLineChars="0"/>
        <w:jc w:val="both"/>
        <w:rPr>
          <w:rFonts w:hint="default" w:ascii="Times New Roman" w:hAnsi="Times New Roman" w:cs="Times New Roman" w:eastAsiaTheme="minorEastAsia"/>
          <w:color w:val="auto"/>
          <w:sz w:val="28"/>
          <w:szCs w:val="28"/>
          <w:highlight w:val="yellow"/>
        </w:rPr>
      </w:pPr>
      <w:bookmarkStart w:id="111" w:name="_Toc22971"/>
      <w:bookmarkStart w:id="112" w:name="_Toc10079"/>
      <w:bookmarkStart w:id="113" w:name="_Toc7404"/>
      <w:bookmarkStart w:id="114" w:name="_Toc16886"/>
      <w:r>
        <w:rPr>
          <w:rFonts w:hint="default" w:ascii="Times New Roman" w:hAnsi="Times New Roman" w:cs="Times New Roman" w:eastAsiaTheme="minorEastAsia"/>
          <w:color w:val="auto"/>
          <w:sz w:val="28"/>
          <w:szCs w:val="28"/>
          <w:highlight w:val="none"/>
        </w:rPr>
        <w:t xml:space="preserve">2 </w:t>
      </w:r>
      <w:bookmarkEnd w:id="107"/>
      <w:bookmarkEnd w:id="108"/>
      <w:bookmarkEnd w:id="109"/>
      <w:bookmarkEnd w:id="110"/>
      <w:r>
        <w:rPr>
          <w:rFonts w:hint="default" w:ascii="Times New Roman" w:hAnsi="Times New Roman" w:cs="Times New Roman" w:eastAsiaTheme="minorEastAsia"/>
          <w:color w:val="auto"/>
          <w:sz w:val="28"/>
          <w:szCs w:val="28"/>
          <w:highlight w:val="none"/>
        </w:rPr>
        <w:t>组织机构及职责</w:t>
      </w:r>
      <w:bookmarkEnd w:id="111"/>
      <w:bookmarkEnd w:id="112"/>
      <w:bookmarkEnd w:id="113"/>
      <w:bookmarkEnd w:id="114"/>
    </w:p>
    <w:p w14:paraId="79A2F0B0">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15" w:name="_Toc276118347"/>
      <w:bookmarkStart w:id="116" w:name="_Toc275938114"/>
      <w:bookmarkStart w:id="117" w:name="_Toc15115"/>
      <w:bookmarkStart w:id="118" w:name="_Toc1343"/>
      <w:bookmarkStart w:id="119" w:name="_Toc25403"/>
      <w:bookmarkStart w:id="120" w:name="_Toc5429"/>
      <w:bookmarkStart w:id="121" w:name="_Toc21786"/>
      <w:bookmarkStart w:id="122" w:name="_Toc15884"/>
      <w:r>
        <w:rPr>
          <w:rFonts w:hint="default" w:ascii="Times New Roman" w:hAnsi="Times New Roman" w:cs="Times New Roman" w:eastAsiaTheme="minorEastAsia"/>
          <w:color w:val="auto"/>
          <w:sz w:val="24"/>
          <w:szCs w:val="24"/>
          <w:highlight w:val="none"/>
        </w:rPr>
        <w:t xml:space="preserve">2.1 </w:t>
      </w:r>
      <w:bookmarkEnd w:id="115"/>
      <w:bookmarkEnd w:id="116"/>
      <w:bookmarkEnd w:id="117"/>
      <w:bookmarkEnd w:id="118"/>
      <w:bookmarkStart w:id="123" w:name="_Toc22112"/>
      <w:bookmarkStart w:id="124" w:name="_Toc30052"/>
      <w:r>
        <w:rPr>
          <w:rFonts w:hint="eastAsia" w:cs="Times New Roman"/>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织指挥体系</w:t>
      </w:r>
      <w:bookmarkEnd w:id="119"/>
      <w:bookmarkEnd w:id="120"/>
      <w:bookmarkEnd w:id="121"/>
      <w:bookmarkEnd w:id="122"/>
      <w:bookmarkEnd w:id="123"/>
      <w:bookmarkEnd w:id="124"/>
    </w:p>
    <w:p w14:paraId="6C11BD5D">
      <w:pPr>
        <w:pageBreakBefore w:val="0"/>
        <w:kinsoku/>
        <w:overflowPunct/>
        <w:bidi w:val="0"/>
        <w:spacing w:line="500" w:lineRule="exact"/>
        <w:ind w:firstLine="560"/>
        <w:jc w:val="left"/>
        <w:rPr>
          <w:rFonts w:hint="default" w:ascii="Times New Roman" w:hAnsi="Times New Roman" w:cs="Times New Roman" w:eastAsia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为能有效预防突发事件发生，并能做到在事件发生后能迅速有效地实现控制和处理，最大程度地减少事件所带来的损失，我公司按照“预防为主、自救为主、统一指挥、分工负责”的原则成立</w:t>
      </w:r>
      <w:r>
        <w:rPr>
          <w:rFonts w:hint="eastAsia" w:asciiTheme="minorEastAsia" w:hAnsiTheme="minorEastAsia" w:eastAsiaTheme="minorEastAsia" w:cstheme="minorEastAsia"/>
          <w:color w:val="auto"/>
          <w:sz w:val="24"/>
          <w:szCs w:val="24"/>
          <w:highlight w:val="none"/>
          <w:lang w:eastAsia="zh-CN"/>
        </w:rPr>
        <w:t>应急救援指挥组。</w:t>
      </w:r>
      <w:r>
        <w:rPr>
          <w:rFonts w:hint="eastAsia" w:asciiTheme="minorEastAsia" w:hAnsiTheme="minorEastAsia" w:eastAsiaTheme="minorEastAsia" w:cstheme="minorEastAsia"/>
          <w:color w:val="auto"/>
          <w:sz w:val="24"/>
          <w:szCs w:val="24"/>
          <w:highlight w:val="none"/>
          <w:lang w:val="en-US" w:eastAsia="zh-CN"/>
        </w:rPr>
        <w:t>应急救援指挥组分为</w:t>
      </w:r>
      <w:r>
        <w:rPr>
          <w:rFonts w:hint="eastAsia" w:asciiTheme="minorEastAsia" w:hAnsiTheme="minorEastAsia" w:eastAsiaTheme="minorEastAsia" w:cstheme="minorEastAsia"/>
          <w:color w:val="auto"/>
          <w:sz w:val="24"/>
          <w:szCs w:val="24"/>
          <w:highlight w:val="none"/>
          <w:lang w:val="zh-CN"/>
        </w:rPr>
        <w:t>指挥</w:t>
      </w:r>
      <w:r>
        <w:rPr>
          <w:rFonts w:hint="eastAsia" w:asciiTheme="minorEastAsia" w:hAnsiTheme="minorEastAsia" w:eastAsiaTheme="minorEastAsia" w:cstheme="minorEastAsia"/>
          <w:color w:val="auto"/>
          <w:sz w:val="24"/>
          <w:szCs w:val="24"/>
          <w:highlight w:val="none"/>
          <w:lang w:val="en-US" w:eastAsia="zh-CN"/>
        </w:rPr>
        <w:t>组</w:t>
      </w:r>
      <w:r>
        <w:rPr>
          <w:rFonts w:hint="eastAsia" w:asciiTheme="minorEastAsia" w:hAnsiTheme="minorEastAsia" w:eastAsiaTheme="minorEastAsia" w:cstheme="minorEastAsia"/>
          <w:color w:val="auto"/>
          <w:sz w:val="24"/>
          <w:szCs w:val="24"/>
          <w:highlight w:val="none"/>
          <w:lang w:val="zh-CN"/>
        </w:rPr>
        <w:t>和</w:t>
      </w:r>
      <w:r>
        <w:rPr>
          <w:rFonts w:hint="eastAsia" w:asciiTheme="minorEastAsia" w:hAnsiTheme="minorEastAsia" w:eastAsiaTheme="minorEastAsia" w:cstheme="minorEastAsia"/>
          <w:color w:val="auto"/>
          <w:sz w:val="24"/>
          <w:szCs w:val="24"/>
          <w:highlight w:val="none"/>
          <w:lang w:val="en-US" w:eastAsia="zh-CN"/>
        </w:rPr>
        <w:t>各</w:t>
      </w:r>
      <w:r>
        <w:rPr>
          <w:rFonts w:hint="eastAsia" w:asciiTheme="minorEastAsia" w:hAnsiTheme="minorEastAsia" w:eastAsiaTheme="minorEastAsia" w:cstheme="minorEastAsia"/>
          <w:color w:val="auto"/>
          <w:sz w:val="24"/>
          <w:szCs w:val="24"/>
          <w:highlight w:val="none"/>
          <w:lang w:val="zh-CN"/>
        </w:rPr>
        <w:t>救援组。指挥</w:t>
      </w:r>
      <w:r>
        <w:rPr>
          <w:rFonts w:hint="eastAsia" w:asciiTheme="minorEastAsia" w:hAnsiTheme="minorEastAsia" w:eastAsiaTheme="minorEastAsia" w:cstheme="minorEastAsia"/>
          <w:color w:val="auto"/>
          <w:sz w:val="24"/>
          <w:szCs w:val="24"/>
          <w:highlight w:val="none"/>
          <w:lang w:val="en-US" w:eastAsia="zh-CN"/>
        </w:rPr>
        <w:t>组</w:t>
      </w:r>
      <w:r>
        <w:rPr>
          <w:rFonts w:hint="eastAsia" w:asciiTheme="minorEastAsia" w:hAnsiTheme="minorEastAsia" w:eastAsiaTheme="minorEastAsia" w:cstheme="minorEastAsia"/>
          <w:color w:val="auto"/>
          <w:sz w:val="24"/>
          <w:szCs w:val="24"/>
          <w:highlight w:val="none"/>
          <w:lang w:val="zh-CN"/>
        </w:rPr>
        <w:t>负责现场全面指挥；</w:t>
      </w:r>
      <w:r>
        <w:rPr>
          <w:rFonts w:hint="eastAsia" w:asciiTheme="minorEastAsia" w:hAnsiTheme="minorEastAsia" w:eastAsiaTheme="minorEastAsia" w:cstheme="minorEastAsia"/>
          <w:color w:val="auto"/>
          <w:sz w:val="24"/>
          <w:szCs w:val="24"/>
          <w:highlight w:val="none"/>
          <w:lang w:val="en-US" w:eastAsia="zh-CN"/>
        </w:rPr>
        <w:t>各</w:t>
      </w:r>
      <w:r>
        <w:rPr>
          <w:rFonts w:hint="eastAsia" w:asciiTheme="minorEastAsia" w:hAnsiTheme="minorEastAsia" w:eastAsiaTheme="minorEastAsia" w:cstheme="minorEastAsia"/>
          <w:color w:val="auto"/>
          <w:sz w:val="24"/>
          <w:szCs w:val="24"/>
          <w:highlight w:val="none"/>
          <w:lang w:val="zh-CN"/>
        </w:rPr>
        <w:t>救援组责事故控制、</w:t>
      </w:r>
      <w:r>
        <w:rPr>
          <w:rFonts w:hint="eastAsia" w:asciiTheme="minorEastAsia" w:hAnsiTheme="minorEastAsia" w:eastAsiaTheme="minorEastAsia" w:cstheme="minorEastAsia"/>
          <w:color w:val="auto"/>
          <w:sz w:val="24"/>
          <w:szCs w:val="24"/>
          <w:highlight w:val="none"/>
          <w:lang w:val="en-US" w:eastAsia="zh-CN"/>
        </w:rPr>
        <w:t>应急</w:t>
      </w:r>
      <w:r>
        <w:rPr>
          <w:rFonts w:hint="eastAsia" w:asciiTheme="minorEastAsia" w:hAnsiTheme="minorEastAsia" w:eastAsiaTheme="minorEastAsia" w:cstheme="minorEastAsia"/>
          <w:color w:val="auto"/>
          <w:sz w:val="24"/>
          <w:szCs w:val="24"/>
          <w:highlight w:val="none"/>
          <w:lang w:val="zh-CN"/>
        </w:rPr>
        <w:t>救援、善后处理</w:t>
      </w:r>
      <w:r>
        <w:rPr>
          <w:rFonts w:hint="eastAsia" w:asciiTheme="minorEastAsia" w:hAnsiTheme="minorEastAsia" w:eastAsiaTheme="minorEastAsia" w:cstheme="minorEastAsia"/>
          <w:color w:val="auto"/>
          <w:sz w:val="24"/>
          <w:szCs w:val="24"/>
          <w:highlight w:val="none"/>
          <w:lang w:val="en-US" w:eastAsia="zh-CN"/>
        </w:rPr>
        <w:t>和应急监测等</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救援组又编为</w:t>
      </w:r>
      <w:r>
        <w:rPr>
          <w:rFonts w:hint="eastAsia" w:asciiTheme="minorEastAsia" w:hAnsiTheme="minorEastAsia" w:eastAsiaTheme="minorEastAsia" w:cstheme="minorEastAsia"/>
          <w:color w:val="auto"/>
          <w:sz w:val="24"/>
          <w:szCs w:val="24"/>
          <w:highlight w:val="none"/>
          <w:lang w:val="en-US" w:eastAsia="zh-CN"/>
        </w:rPr>
        <w:t>综合协调主要、现场处置组、应急保障组、医疗救治组和应急监测组，</w:t>
      </w:r>
      <w:r>
        <w:rPr>
          <w:rFonts w:hint="eastAsia" w:asciiTheme="minorEastAsia" w:hAnsiTheme="minorEastAsia" w:eastAsiaTheme="minorEastAsia" w:cstheme="minorEastAsia"/>
          <w:color w:val="auto"/>
          <w:sz w:val="24"/>
          <w:szCs w:val="24"/>
          <w:highlight w:val="none"/>
        </w:rPr>
        <w:t>具体组详</w:t>
      </w:r>
      <w:r>
        <w:rPr>
          <w:rFonts w:hint="default" w:ascii="Times New Roman" w:hAnsi="Times New Roman" w:cs="Times New Roman" w:eastAsiaTheme="minorEastAsia"/>
          <w:color w:val="auto"/>
          <w:sz w:val="24"/>
          <w:szCs w:val="24"/>
          <w:highlight w:val="none"/>
        </w:rPr>
        <w:t>细</w:t>
      </w:r>
      <w:r>
        <w:rPr>
          <w:rFonts w:hint="eastAsia" w:ascii="Times New Roman" w:hAnsi="Times New Roman" w:cs="Times New Roman" w:eastAsiaTheme="minorEastAsia"/>
          <w:color w:val="auto"/>
          <w:sz w:val="24"/>
          <w:szCs w:val="24"/>
          <w:highlight w:val="none"/>
          <w:lang w:val="en-US" w:eastAsia="zh-CN"/>
        </w:rPr>
        <w:t>应急救援组织架构</w:t>
      </w:r>
      <w:r>
        <w:rPr>
          <w:rFonts w:hint="default" w:ascii="Times New Roman" w:hAnsi="Times New Roman" w:cs="Times New Roman" w:eastAsiaTheme="minorEastAsia"/>
          <w:color w:val="auto"/>
          <w:sz w:val="24"/>
          <w:szCs w:val="24"/>
          <w:highlight w:val="none"/>
        </w:rPr>
        <w:t>见图2-1。</w:t>
      </w:r>
    </w:p>
    <w:p w14:paraId="63E16BB6">
      <w:pPr>
        <w:pageBreakBefore w:val="0"/>
        <w:kinsoku/>
        <w:overflowPunct/>
        <w:bidi w:val="0"/>
        <w:spacing w:line="500" w:lineRule="exact"/>
        <w:jc w:val="center"/>
        <w:rPr>
          <w:rFonts w:hint="eastAsia" w:ascii="宋体" w:hAnsi="宋体" w:eastAsia="宋体" w:cs="宋体"/>
          <w:color w:val="auto"/>
          <w:sz w:val="24"/>
          <w:szCs w:val="24"/>
          <w:highlight w:val="none"/>
        </w:rPr>
        <w:sectPr>
          <w:footerReference r:id="rId13" w:type="default"/>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r>
        <w:rPr>
          <w:rFonts w:hint="default" w:ascii="Times New Roman" w:hAnsi="Times New Roman" w:cs="Times New Roman" w:eastAsiaTheme="minorEastAsia"/>
          <w:b/>
          <w:color w:val="auto"/>
          <w:sz w:val="24"/>
          <w:szCs w:val="24"/>
          <w:highlight w:val="none"/>
        </w:rPr>
        <mc:AlternateContent>
          <mc:Choice Requires="wpc">
            <w:drawing>
              <wp:anchor distT="0" distB="0" distL="0" distR="0" simplePos="0" relativeHeight="251665408" behindDoc="0" locked="0" layoutInCell="1" allowOverlap="1">
                <wp:simplePos x="0" y="0"/>
                <wp:positionH relativeFrom="column">
                  <wp:posOffset>-15875</wp:posOffset>
                </wp:positionH>
                <wp:positionV relativeFrom="paragraph">
                  <wp:posOffset>149860</wp:posOffset>
                </wp:positionV>
                <wp:extent cx="5652770" cy="2522220"/>
                <wp:effectExtent l="0" t="0" r="0" b="0"/>
                <wp:wrapTopAndBottom/>
                <wp:docPr id="196" name="画布 188"/>
                <wp:cNvGraphicFramePr/>
                <a:graphic xmlns:a="http://schemas.openxmlformats.org/drawingml/2006/main">
                  <a:graphicData uri="http://schemas.microsoft.com/office/word/2010/wordprocessingCanvas">
                    <wpc:wpc>
                      <wpc:bg>
                        <a:noFill/>
                      </wpc:bg>
                      <wpc:whole/>
                      <wps:wsp>
                        <wps:cNvPr id="224" name="文本框 212367"/>
                        <wps:cNvSpPr txBox="1">
                          <a:spLocks noChangeArrowheads="1"/>
                        </wps:cNvSpPr>
                        <wps:spPr bwMode="auto">
                          <a:xfrm>
                            <a:off x="2368550" y="27940"/>
                            <a:ext cx="1140460" cy="333375"/>
                          </a:xfrm>
                          <a:prstGeom prst="rect">
                            <a:avLst/>
                          </a:prstGeom>
                          <a:solidFill>
                            <a:srgbClr val="FFFFFF"/>
                          </a:solidFill>
                          <a:ln w="9525">
                            <a:solidFill>
                              <a:srgbClr val="000000"/>
                            </a:solidFill>
                            <a:miter lim="800000"/>
                          </a:ln>
                        </wps:spPr>
                        <wps:txbx>
                          <w:txbxContent>
                            <w:p w14:paraId="5FE64F2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仿宋_GB2312"/>
                                  <w:lang w:val="en-US" w:eastAsia="zh-CN"/>
                                </w:rPr>
                              </w:pPr>
                              <w:r>
                                <w:rPr>
                                  <w:rFonts w:hint="eastAsia" w:ascii="Times New Roman" w:hAnsi="Times New Roman" w:eastAsia="宋体" w:cs="Times New Roman"/>
                                  <w:sz w:val="21"/>
                                  <w:szCs w:val="21"/>
                                  <w:lang w:val="en-US" w:eastAsia="zh-CN"/>
                                </w:rPr>
                                <w:t>应急指挥组</w:t>
                              </w:r>
                            </w:p>
                          </w:txbxContent>
                        </wps:txbx>
                        <wps:bodyPr rot="0" vert="horz" wrap="square" lIns="67666" tIns="33833" rIns="67666" bIns="33833" anchor="t" anchorCtr="0" upright="1">
                          <a:noAutofit/>
                        </wps:bodyPr>
                      </wps:wsp>
                      <wps:wsp>
                        <wps:cNvPr id="225" name="直线 212375"/>
                        <wps:cNvCnPr>
                          <a:cxnSpLocks noChangeShapeType="1"/>
                        </wps:cNvCnPr>
                        <wps:spPr bwMode="auto">
                          <a:xfrm>
                            <a:off x="696595" y="724535"/>
                            <a:ext cx="635" cy="432435"/>
                          </a:xfrm>
                          <a:prstGeom prst="line">
                            <a:avLst/>
                          </a:prstGeom>
                          <a:noFill/>
                          <a:ln w="9525">
                            <a:solidFill>
                              <a:srgbClr val="000000"/>
                            </a:solidFill>
                            <a:round/>
                            <a:tailEnd type="stealth" w="med" len="lg"/>
                          </a:ln>
                        </wps:spPr>
                        <wps:bodyPr/>
                      </wps:wsp>
                      <wps:wsp>
                        <wps:cNvPr id="226" name="文本框 128"/>
                        <wps:cNvSpPr txBox="1"/>
                        <wps:spPr>
                          <a:xfrm>
                            <a:off x="508000" y="1187450"/>
                            <a:ext cx="371475" cy="1057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9CE6A80">
                              <w:pPr>
                                <w:rPr>
                                  <w:rFonts w:hint="default" w:ascii="宋体" w:eastAsia="宋体"/>
                                  <w:sz w:val="21"/>
                                  <w:szCs w:val="21"/>
                                  <w:lang w:val="en-US" w:eastAsia="zh-CN"/>
                                </w:rPr>
                              </w:pPr>
                              <w:r>
                                <w:rPr>
                                  <w:rFonts w:hint="eastAsia" w:ascii="宋体" w:eastAsia="宋体"/>
                                  <w:sz w:val="21"/>
                                  <w:szCs w:val="21"/>
                                  <w:lang w:val="en-US" w:eastAsia="zh-CN"/>
                                </w:rPr>
                                <w:t>综合协调组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9" name="直线 212375"/>
                        <wps:cNvCnPr>
                          <a:cxnSpLocks noChangeShapeType="1"/>
                        </wps:cNvCnPr>
                        <wps:spPr bwMode="auto">
                          <a:xfrm flipH="1">
                            <a:off x="2959735" y="349250"/>
                            <a:ext cx="0" cy="810260"/>
                          </a:xfrm>
                          <a:prstGeom prst="line">
                            <a:avLst/>
                          </a:prstGeom>
                          <a:noFill/>
                          <a:ln w="9525">
                            <a:solidFill>
                              <a:srgbClr val="000000"/>
                            </a:solidFill>
                            <a:round/>
                            <a:tailEnd type="stealth" w="med" len="lg"/>
                          </a:ln>
                        </wps:spPr>
                        <wps:bodyPr/>
                      </wps:wsp>
                      <wps:wsp>
                        <wps:cNvPr id="231" name="文本框 154"/>
                        <wps:cNvSpPr txBox="1"/>
                        <wps:spPr>
                          <a:xfrm>
                            <a:off x="2770505" y="1189990"/>
                            <a:ext cx="371475" cy="1057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F75B970">
                              <w:pPr>
                                <w:rPr>
                                  <w:rFonts w:hint="eastAsia" w:ascii="宋体" w:hAnsi="宋体" w:eastAsia="宋体" w:cs="宋体"/>
                                  <w:sz w:val="21"/>
                                  <w:szCs w:val="21"/>
                                  <w:lang w:val="en-US" w:eastAsia="zh-CN"/>
                                </w:rPr>
                              </w:pPr>
                              <w:r>
                                <w:rPr>
                                  <w:rFonts w:hint="eastAsia" w:ascii="宋体" w:eastAsia="宋体" w:cs="宋体"/>
                                  <w:sz w:val="21"/>
                                  <w:szCs w:val="21"/>
                                  <w:lang w:val="en-US" w:eastAsia="zh-CN"/>
                                </w:rPr>
                                <w:t>应急保障</w:t>
                              </w:r>
                              <w:r>
                                <w:rPr>
                                  <w:rFonts w:hint="eastAsia" w:ascii="宋体" w:hAnsi="宋体" w:eastAsia="宋体" w:cs="宋体"/>
                                  <w:sz w:val="21"/>
                                  <w:szCs w:val="21"/>
                                  <w:lang w:val="en-US" w:eastAsia="zh-CN"/>
                                </w:rPr>
                                <w:t>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4" name="直线 212375"/>
                        <wps:cNvCnPr>
                          <a:cxnSpLocks noChangeShapeType="1"/>
                        </wps:cNvCnPr>
                        <wps:spPr bwMode="auto">
                          <a:xfrm flipH="1">
                            <a:off x="5154930" y="742315"/>
                            <a:ext cx="6985" cy="464820"/>
                          </a:xfrm>
                          <a:prstGeom prst="line">
                            <a:avLst/>
                          </a:prstGeom>
                          <a:noFill/>
                          <a:ln w="9525">
                            <a:solidFill>
                              <a:srgbClr val="000000"/>
                            </a:solidFill>
                            <a:round/>
                            <a:tailEnd type="stealth" w="med" len="lg"/>
                          </a:ln>
                        </wps:spPr>
                        <wps:bodyPr/>
                      </wps:wsp>
                      <wps:wsp>
                        <wps:cNvPr id="239" name="文本框 160"/>
                        <wps:cNvSpPr txBox="1"/>
                        <wps:spPr>
                          <a:xfrm>
                            <a:off x="4965700" y="1237615"/>
                            <a:ext cx="371475" cy="1057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09343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应急监测组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7" name="直线 212375"/>
                        <wps:cNvCnPr>
                          <a:cxnSpLocks noChangeShapeType="1"/>
                        </wps:cNvCnPr>
                        <wps:spPr bwMode="auto">
                          <a:xfrm>
                            <a:off x="1868170" y="739140"/>
                            <a:ext cx="635" cy="432435"/>
                          </a:xfrm>
                          <a:prstGeom prst="line">
                            <a:avLst/>
                          </a:prstGeom>
                          <a:noFill/>
                          <a:ln w="9525">
                            <a:solidFill>
                              <a:srgbClr val="000000"/>
                            </a:solidFill>
                            <a:round/>
                            <a:tailEnd type="stealth" w="med" len="lg"/>
                          </a:ln>
                        </wps:spPr>
                        <wps:bodyPr/>
                      </wps:wsp>
                      <wps:wsp>
                        <wps:cNvPr id="269" name="文本框 165"/>
                        <wps:cNvSpPr txBox="1"/>
                        <wps:spPr>
                          <a:xfrm>
                            <a:off x="1679575" y="1202055"/>
                            <a:ext cx="371475" cy="1057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BA2A070">
                              <w:pPr>
                                <w:rPr>
                                  <w:rFonts w:hint="default" w:ascii="宋体" w:hAnsi="宋体" w:eastAsia="宋体" w:cs="宋体"/>
                                  <w:sz w:val="21"/>
                                  <w:szCs w:val="21"/>
                                  <w:lang w:val="en-US" w:eastAsia="zh-CN"/>
                                </w:rPr>
                              </w:pPr>
                              <w:r>
                                <w:rPr>
                                  <w:rFonts w:hint="eastAsia" w:ascii="宋体" w:eastAsia="宋体" w:cs="宋体"/>
                                  <w:sz w:val="21"/>
                                  <w:szCs w:val="21"/>
                                  <w:lang w:val="en-US" w:eastAsia="zh-CN"/>
                                </w:rPr>
                                <w:t>应急处置组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8" name="直线 212375"/>
                        <wps:cNvCnPr>
                          <a:cxnSpLocks noChangeShapeType="1"/>
                        </wps:cNvCnPr>
                        <wps:spPr bwMode="auto">
                          <a:xfrm>
                            <a:off x="4051935" y="739140"/>
                            <a:ext cx="635" cy="432435"/>
                          </a:xfrm>
                          <a:prstGeom prst="line">
                            <a:avLst/>
                          </a:prstGeom>
                          <a:noFill/>
                          <a:ln w="9525">
                            <a:solidFill>
                              <a:srgbClr val="000000"/>
                            </a:solidFill>
                            <a:round/>
                            <a:tailEnd type="stealth" w="med" len="lg"/>
                          </a:ln>
                        </wps:spPr>
                        <wps:bodyPr/>
                      </wps:wsp>
                      <wps:wsp>
                        <wps:cNvPr id="365" name="文本框 169"/>
                        <wps:cNvSpPr txBox="1"/>
                        <wps:spPr>
                          <a:xfrm>
                            <a:off x="3863340" y="1202055"/>
                            <a:ext cx="371475" cy="1057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C1C1504">
                              <w:pPr>
                                <w:rPr>
                                  <w:rFonts w:hint="eastAsia" w:ascii="宋体" w:hAnsi="宋体" w:eastAsia="宋体" w:cs="宋体"/>
                                  <w:sz w:val="21"/>
                                  <w:szCs w:val="21"/>
                                  <w:lang w:val="en-US" w:eastAsia="zh-CN"/>
                                </w:rPr>
                              </w:pPr>
                              <w:r>
                                <w:rPr>
                                  <w:rFonts w:hint="eastAsia" w:ascii="宋体" w:eastAsia="宋体" w:cs="宋体"/>
                                  <w:sz w:val="21"/>
                                  <w:szCs w:val="21"/>
                                  <w:lang w:val="en-US" w:eastAsia="zh-CN"/>
                                </w:rPr>
                                <w:t>医疗救治</w:t>
                              </w:r>
                              <w:r>
                                <w:rPr>
                                  <w:rFonts w:hint="eastAsia" w:ascii="宋体" w:hAnsi="宋体" w:eastAsia="宋体" w:cs="宋体"/>
                                  <w:sz w:val="21"/>
                                  <w:szCs w:val="21"/>
                                  <w:lang w:val="en-US" w:eastAsia="zh-CN"/>
                                </w:rPr>
                                <w:t>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9" name="直接连接符 174"/>
                        <wps:cNvCnPr/>
                        <wps:spPr>
                          <a:xfrm>
                            <a:off x="697230" y="730250"/>
                            <a:ext cx="4488815" cy="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anchor>
            </w:drawing>
          </mc:Choice>
          <mc:Fallback>
            <w:pict>
              <v:group id="画布 188" o:spid="_x0000_s1026" o:spt="203" style="position:absolute;left:0pt;margin-left:-1.25pt;margin-top:11.8pt;height:198.6pt;width:445.1pt;mso-wrap-distance-bottom:0pt;mso-wrap-distance-top:0pt;z-index:251665408;mso-width-relative:page;mso-height-relative:page;" coordsize="5652770,2522220" editas="canvas" o:gfxdata="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">
                <o:lock v:ext="edit" aspectratio="f"/>
                <v:shape id="画布 188" o:spid="_x0000_s1026" style="position:absolute;left:0;top:0;height:2522220;width:5652770;" filled="f" stroked="f" coordsize="21600,21600" o:gfxdata="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">
                  <v:fill on="f" focussize="0,0"/>
                  <v:stroke on="f"/>
                  <v:imagedata o:title=""/>
                  <o:lock v:ext="edit" aspectratio="f"/>
                </v:shape>
                <v:shape id="文本框 212367" o:spid="_x0000_s1026" o:spt="202" type="#_x0000_t202" style="position:absolute;left:2368550;top:27940;height:333375;width:1140460;" fillcolor="#FFFFFF" filled="t" stroked="t" coordsize="21600,21600" o:gfxdata="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mzkzzcAAAACQEA&#10;AA8AAAAAAAAAAQAgAAAAIgAAAGRycy9kb3ducmV2LnhtbFBLAQIUABQAAAAIAIdO4kDLN14eTwIA&#10;AJgEAAAOAAAAAAAAAAEAIAAAACsBAABkcnMvZTJvRG9jLnhtbFBLBQYAAAAABgAGAFkBAADsBQAA&#10;AAA=&#10;">
                  <v:fill on="t" focussize="0,0"/>
                  <v:stroke color="#000000" miterlimit="8" joinstyle="miter"/>
                  <v:imagedata o:title=""/>
                  <o:lock v:ext="edit" aspectratio="f"/>
                  <v:textbox inset="5.32803149606299pt,2.6640157480315pt,5.32803149606299pt,2.6640157480315pt">
                    <w:txbxContent>
                      <w:p w14:paraId="5FE64F2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仿宋_GB2312"/>
                            <w:lang w:val="en-US" w:eastAsia="zh-CN"/>
                          </w:rPr>
                        </w:pPr>
                        <w:r>
                          <w:rPr>
                            <w:rFonts w:hint="eastAsia" w:ascii="Times New Roman" w:hAnsi="Times New Roman" w:eastAsia="宋体" w:cs="Times New Roman"/>
                            <w:sz w:val="21"/>
                            <w:szCs w:val="21"/>
                            <w:lang w:val="en-US" w:eastAsia="zh-CN"/>
                          </w:rPr>
                          <w:t>应急指挥组</w:t>
                        </w:r>
                      </w:p>
                    </w:txbxContent>
                  </v:textbox>
                </v:shape>
                <v:line id="直线 212375" o:spid="_x0000_s1026" o:spt="20" style="position:absolute;left:696595;top:724535;height:432435;width:635;" filled="f" stroked="t" coordsize="21600,21600" o:gfxdata="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Hg0DzYAAAACQEAAA8AAAAAAAAAAQAgAAAAIgAAAGRycy9kb3du&#10;cmV2LnhtbFBLAQIUABQAAAAIAIdO4kD7ykeS/wEAAN8DAAAOAAAAAAAAAAEAIAAAACcBAABkcnMv&#10;ZTJvRG9jLnhtbFBLBQYAAAAABgAGAFkBAACYBQAAAAA=&#10;">
                  <v:fill on="f" focussize="0,0"/>
                  <v:stroke color="#000000" joinstyle="round" endarrow="classic" endarrowlength="long"/>
                  <v:imagedata o:title=""/>
                  <o:lock v:ext="edit" aspectratio="f"/>
                </v:line>
                <v:shape id="文本框 128" o:spid="_x0000_s1026" o:spt="202" type="#_x0000_t202" style="position:absolute;left:508000;top:1187450;height:1057275;width:371475;v-text-anchor:middle;" fillcolor="#FFFFFF [3201]" filled="t" stroked="t" coordsize="21600,21600" o:gfxdata="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BFtojZAAAACQEAAA8AAAAAAAAAAQAgAAAAIgAAAGRycy9kb3ducmV2LnhtbFBLAQIU&#10;ABQAAAAIAIdO4kBIAssTZAIAAMgEAAAOAAAAAAAAAAEAIAAAACgBAABkcnMvZTJvRG9jLnhtbFBL&#10;BQYAAAAABgAGAFkBAAD+BQAAAAA=&#10;">
                  <v:fill on="t" focussize="0,0"/>
                  <v:stroke weight="0.5pt" color="#000000 [3204]" joinstyle="round"/>
                  <v:imagedata o:title=""/>
                  <o:lock v:ext="edit" aspectratio="f"/>
                  <v:textbox>
                    <w:txbxContent>
                      <w:p w14:paraId="29CE6A80">
                        <w:pPr>
                          <w:rPr>
                            <w:rFonts w:hint="default" w:ascii="宋体" w:eastAsia="宋体"/>
                            <w:sz w:val="21"/>
                            <w:szCs w:val="21"/>
                            <w:lang w:val="en-US" w:eastAsia="zh-CN"/>
                          </w:rPr>
                        </w:pPr>
                        <w:r>
                          <w:rPr>
                            <w:rFonts w:hint="eastAsia" w:ascii="宋体" w:eastAsia="宋体"/>
                            <w:sz w:val="21"/>
                            <w:szCs w:val="21"/>
                            <w:lang w:val="en-US" w:eastAsia="zh-CN"/>
                          </w:rPr>
                          <w:t>综合协调组</w:t>
                        </w:r>
                      </w:p>
                    </w:txbxContent>
                  </v:textbox>
                </v:shape>
                <v:line id="直线 212375" o:spid="_x0000_s1026" o:spt="20" style="position:absolute;left:2959735;top:349250;flip:x;height:810260;width:0;" filled="f" stroked="t" coordsize="21600,21600" o:gfxdata="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YGp1raAAAACQEAAA8AAAAAAAAAAQAgAAAA&#10;IgAAAGRycy9kb3ducmV2LnhtbFBLAQIUABQAAAAIAIdO4kB5xTRyCQIAAOgDAAAOAAAAAAAAAAEA&#10;IAAAACkBAABkcnMvZTJvRG9jLnhtbFBLBQYAAAAABgAGAFkBAACkBQAAAAA=&#10;">
                  <v:fill on="f" focussize="0,0"/>
                  <v:stroke color="#000000" joinstyle="round" endarrow="classic" endarrowlength="long"/>
                  <v:imagedata o:title=""/>
                  <o:lock v:ext="edit" aspectratio="f"/>
                </v:line>
                <v:shape id="文本框 154" o:spid="_x0000_s1026" o:spt="202" type="#_x0000_t202" style="position:absolute;left:2770505;top:1189990;height:1057275;width:371475;v-text-anchor:middle;" fillcolor="#FFFFFF [3201]" filled="t" stroked="t" coordsize="21600,21600" o:gfxdata="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EW2iNkAAAAJAQAADwAAAAAAAAABACAAAAAiAAAAZHJzL2Rvd25yZXYueG1sUEsB&#10;AhQAFAAAAAgAh07iQOoJohtmAgAAyQQAAA4AAAAAAAAAAQAgAAAAKAEAAGRycy9lMm9Eb2MueG1s&#10;UEsFBgAAAAAGAAYAWQEAAAAGAAAAAA==&#10;">
                  <v:fill on="t" focussize="0,0"/>
                  <v:stroke weight="0.5pt" color="#000000 [3204]" joinstyle="round"/>
                  <v:imagedata o:title=""/>
                  <o:lock v:ext="edit" aspectratio="f"/>
                  <v:textbox>
                    <w:txbxContent>
                      <w:p w14:paraId="7F75B970">
                        <w:pPr>
                          <w:rPr>
                            <w:rFonts w:hint="eastAsia" w:ascii="宋体" w:hAnsi="宋体" w:eastAsia="宋体" w:cs="宋体"/>
                            <w:sz w:val="21"/>
                            <w:szCs w:val="21"/>
                            <w:lang w:val="en-US" w:eastAsia="zh-CN"/>
                          </w:rPr>
                        </w:pPr>
                        <w:r>
                          <w:rPr>
                            <w:rFonts w:hint="eastAsia" w:ascii="宋体" w:eastAsia="宋体" w:cs="宋体"/>
                            <w:sz w:val="21"/>
                            <w:szCs w:val="21"/>
                            <w:lang w:val="en-US" w:eastAsia="zh-CN"/>
                          </w:rPr>
                          <w:t>应急保障</w:t>
                        </w:r>
                        <w:r>
                          <w:rPr>
                            <w:rFonts w:hint="eastAsia" w:ascii="宋体" w:hAnsi="宋体" w:eastAsia="宋体" w:cs="宋体"/>
                            <w:sz w:val="21"/>
                            <w:szCs w:val="21"/>
                            <w:lang w:val="en-US" w:eastAsia="zh-CN"/>
                          </w:rPr>
                          <w:t>组</w:t>
                        </w:r>
                      </w:p>
                    </w:txbxContent>
                  </v:textbox>
                </v:shape>
                <v:line id="直线 212375" o:spid="_x0000_s1026" o:spt="20" style="position:absolute;left:5154930;top:742315;flip:x;height:464820;width:6985;" filled="f" stroked="t" coordsize="21600,21600" o:gfxdata="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ganWtoAAAAJAQAADwAAAAAAAAAB&#10;ACAAAAAiAAAAZHJzL2Rvd25yZXYueG1sUEsBAhQAFAAAAAgAh07iQEbIbv8OAgAA6wMAAA4AAAAA&#10;AAAAAQAgAAAAKQEAAGRycy9lMm9Eb2MueG1sUEsFBgAAAAAGAAYAWQEAAKkFAAAAAA==&#10;">
                  <v:fill on="f" focussize="0,0"/>
                  <v:stroke color="#000000" joinstyle="round" endarrow="classic" endarrowlength="long"/>
                  <v:imagedata o:title=""/>
                  <o:lock v:ext="edit" aspectratio="f"/>
                </v:line>
                <v:shape id="文本框 160" o:spid="_x0000_s1026" o:spt="202" type="#_x0000_t202" style="position:absolute;left:4965700;top:1237615;height:1057275;width:371475;v-text-anchor:middle;" fillcolor="#FFFFFF [3201]" filled="t" stroked="t" coordsize="21600,21600" o:gfxdata="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ARbaI2QAAAAkBAAAPAAAAAAAAAAEAIAAAACIAAABkcnMvZG93bnJldi54bWxQSwEC&#10;FAAUAAAACACHTuJARbXCcmUCAADJBAAADgAAAAAAAAABACAAAAAoAQAAZHJzL2Uyb0RvYy54bWxQ&#10;SwUGAAAAAAYABgBZAQAA/wUAAAAA&#10;">
                  <v:fill on="t" focussize="0,0"/>
                  <v:stroke weight="0.5pt" color="#000000 [3204]" joinstyle="round"/>
                  <v:imagedata o:title=""/>
                  <o:lock v:ext="edit" aspectratio="f"/>
                  <v:textbox>
                    <w:txbxContent>
                      <w:p w14:paraId="2E09343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应急监测组</w:t>
                        </w:r>
                      </w:p>
                    </w:txbxContent>
                  </v:textbox>
                </v:shape>
                <v:line id="直线 212375" o:spid="_x0000_s1026" o:spt="20" style="position:absolute;left:1868170;top:739140;height:432435;width:635;" filled="f" stroked="t" coordsize="21600,21600" o:gfxdata="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eDQPNgAAAAJAQAADwAAAAAAAAABACAAAAAiAAAAZHJz&#10;L2Rvd25yZXYueG1sUEsBAhQAFAAAAAgAh07iQLuUiUsEAgAA4AMAAA4AAAAAAAAAAQAgAAAAJwEA&#10;AGRycy9lMm9Eb2MueG1sUEsFBgAAAAAGAAYAWQEAAJ0FAAAAAA==&#10;">
                  <v:fill on="f" focussize="0,0"/>
                  <v:stroke color="#000000" joinstyle="round" endarrow="classic" endarrowlength="long"/>
                  <v:imagedata o:title=""/>
                  <o:lock v:ext="edit" aspectratio="f"/>
                </v:line>
                <v:shape id="文本框 165" o:spid="_x0000_s1026" o:spt="202" type="#_x0000_t202" style="position:absolute;left:1679575;top:1202055;height:1057275;width:371475;v-text-anchor:middle;" fillcolor="#FFFFFF [3201]" filled="t" stroked="t" coordsize="21600,21600" o:gfxdata="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EW2iNkAAAAJAQAADwAAAAAAAAABACAAAAAiAAAAZHJzL2Rvd25yZXYueG1sUEsB&#10;AhQAFAAAAAgAh07iQDCLaqVmAgAAyQQAAA4AAAAAAAAAAQAgAAAAKAEAAGRycy9lMm9Eb2MueG1s&#10;UEsFBgAAAAAGAAYAWQEAAAAGAAAAAA==&#10;">
                  <v:fill on="t" focussize="0,0"/>
                  <v:stroke weight="0.5pt" color="#000000 [3204]" joinstyle="round"/>
                  <v:imagedata o:title=""/>
                  <o:lock v:ext="edit" aspectratio="f"/>
                  <v:textbox>
                    <w:txbxContent>
                      <w:p w14:paraId="7BA2A070">
                        <w:pPr>
                          <w:rPr>
                            <w:rFonts w:hint="default" w:ascii="宋体" w:hAnsi="宋体" w:eastAsia="宋体" w:cs="宋体"/>
                            <w:sz w:val="21"/>
                            <w:szCs w:val="21"/>
                            <w:lang w:val="en-US" w:eastAsia="zh-CN"/>
                          </w:rPr>
                        </w:pPr>
                        <w:r>
                          <w:rPr>
                            <w:rFonts w:hint="eastAsia" w:ascii="宋体" w:eastAsia="宋体" w:cs="宋体"/>
                            <w:sz w:val="21"/>
                            <w:szCs w:val="21"/>
                            <w:lang w:val="en-US" w:eastAsia="zh-CN"/>
                          </w:rPr>
                          <w:t>应急处置组</w:t>
                        </w:r>
                      </w:p>
                    </w:txbxContent>
                  </v:textbox>
                </v:shape>
                <v:line id="直线 212375" o:spid="_x0000_s1026" o:spt="20" style="position:absolute;left:4051935;top:739140;height:432435;width:635;" filled="f" stroked="t" coordsize="21600,21600" o:gfxdata="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h4NA82AAAAAkBAAAPAAAAAAAAAAEAIAAAACIAAABkcnMv&#10;ZG93bnJldi54bWxQSwECFAAUAAAACACHTuJAO7mmhwMCAADgAwAADgAAAAAAAAABACAAAAAnAQAA&#10;ZHJzL2Uyb0RvYy54bWxQSwUGAAAAAAYABgBZAQAAnAUAAAAA&#10;">
                  <v:fill on="f" focussize="0,0"/>
                  <v:stroke color="#000000" joinstyle="round" endarrow="classic" endarrowlength="long"/>
                  <v:imagedata o:title=""/>
                  <o:lock v:ext="edit" aspectratio="f"/>
                </v:line>
                <v:shape id="文本框 169" o:spid="_x0000_s1026" o:spt="202" type="#_x0000_t202" style="position:absolute;left:3863340;top:1202055;height:1057275;width:371475;v-text-anchor:middle;" fillcolor="#FFFFFF [3201]" filled="t" stroked="t" coordsize="21600,21600" o:gfxdata="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ARbaI2QAAAAkBAAAPAAAAAAAAAAEAIAAAACIAAABkcnMvZG93bnJldi54bWxQSwEC&#10;FAAUAAAACACHTuJArSMpK2UCAADJBAAADgAAAAAAAAABACAAAAAoAQAAZHJzL2Uyb0RvYy54bWxQ&#10;SwUGAAAAAAYABgBZAQAA/wUAAAAA&#10;">
                  <v:fill on="t" focussize="0,0"/>
                  <v:stroke weight="0.5pt" color="#000000 [3204]" joinstyle="round"/>
                  <v:imagedata o:title=""/>
                  <o:lock v:ext="edit" aspectratio="f"/>
                  <v:textbox>
                    <w:txbxContent>
                      <w:p w14:paraId="7C1C1504">
                        <w:pPr>
                          <w:rPr>
                            <w:rFonts w:hint="eastAsia" w:ascii="宋体" w:hAnsi="宋体" w:eastAsia="宋体" w:cs="宋体"/>
                            <w:sz w:val="21"/>
                            <w:szCs w:val="21"/>
                            <w:lang w:val="en-US" w:eastAsia="zh-CN"/>
                          </w:rPr>
                        </w:pPr>
                        <w:r>
                          <w:rPr>
                            <w:rFonts w:hint="eastAsia" w:ascii="宋体" w:eastAsia="宋体" w:cs="宋体"/>
                            <w:sz w:val="21"/>
                            <w:szCs w:val="21"/>
                            <w:lang w:val="en-US" w:eastAsia="zh-CN"/>
                          </w:rPr>
                          <w:t>医疗救治</w:t>
                        </w:r>
                        <w:r>
                          <w:rPr>
                            <w:rFonts w:hint="eastAsia" w:ascii="宋体" w:hAnsi="宋体" w:eastAsia="宋体" w:cs="宋体"/>
                            <w:sz w:val="21"/>
                            <w:szCs w:val="21"/>
                            <w:lang w:val="en-US" w:eastAsia="zh-CN"/>
                          </w:rPr>
                          <w:t>组</w:t>
                        </w:r>
                      </w:p>
                    </w:txbxContent>
                  </v:textbox>
                </v:shape>
                <v:line id="直接连接符 174" o:spid="_x0000_s1026" o:spt="20" style="position:absolute;left:697230;top:730250;height:0;width:4488815;" filled="f" stroked="t" coordsize="21600,21600" o:gfxdata="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A4gY/YAAAACQEAAA8AAAAAAAAAAQAgAAAAIgAAAGRycy9kb3du&#10;cmV2LnhtbFBLAQIUABQAAAAIAIdO4kCks1CW/wEAAOEDAAAOAAAAAAAAAAEAIAAAACcBAABkcnMv&#10;ZTJvRG9jLnhtbFBLBQYAAAAABgAGAFkBAACYBQAAAAA=&#10;">
                  <v:fill on="f" focussize="0,0"/>
                  <v:stroke color="#000000 [3200]" joinstyle="round"/>
                  <v:imagedata o:title=""/>
                  <o:lock v:ext="edit" aspectratio="f"/>
                </v:line>
                <w10:wrap type="topAndBottom"/>
              </v:group>
            </w:pict>
          </mc:Fallback>
        </mc:AlternateContent>
      </w:r>
      <w:r>
        <w:rPr>
          <w:rFonts w:hint="default" w:ascii="Times New Roman" w:hAnsi="Times New Roman" w:cs="Times New Roman" w:eastAsiaTheme="minorEastAsia"/>
          <w:b/>
          <w:color w:val="auto"/>
          <w:sz w:val="24"/>
          <w:szCs w:val="24"/>
          <w:highlight w:val="none"/>
        </w:rPr>
        <w:t>图2</w:t>
      </w:r>
      <w:r>
        <w:rPr>
          <w:rFonts w:hint="default" w:ascii="Times New Roman" w:hAnsi="Times New Roman" w:cs="Times New Roman" w:eastAsiaTheme="minorEastAsia"/>
          <w:b/>
          <w:color w:val="auto"/>
          <w:sz w:val="24"/>
          <w:szCs w:val="24"/>
          <w:highlight w:val="none"/>
        </w:rPr>
        <w:noBreakHyphen/>
      </w:r>
      <w:r>
        <w:rPr>
          <w:rFonts w:hint="default" w:ascii="Times New Roman" w:hAnsi="Times New Roman" w:cs="Times New Roman" w:eastAsiaTheme="minorEastAsia"/>
          <w:b/>
          <w:color w:val="auto"/>
          <w:sz w:val="24"/>
          <w:szCs w:val="24"/>
          <w:highlight w:val="none"/>
        </w:rPr>
        <w:fldChar w:fldCharType="begin"/>
      </w:r>
      <w:r>
        <w:rPr>
          <w:rFonts w:hint="default" w:ascii="Times New Roman" w:hAnsi="Times New Roman" w:cs="Times New Roman" w:eastAsiaTheme="minorEastAsia"/>
          <w:b/>
          <w:color w:val="auto"/>
          <w:sz w:val="24"/>
          <w:szCs w:val="24"/>
          <w:highlight w:val="none"/>
        </w:rPr>
        <w:instrText xml:space="preserve"> SEQ 图 \* ARABIC \s 1 </w:instrText>
      </w:r>
      <w:r>
        <w:rPr>
          <w:rFonts w:hint="default" w:ascii="Times New Roman" w:hAnsi="Times New Roman" w:cs="Times New Roman" w:eastAsiaTheme="minorEastAsia"/>
          <w:b/>
          <w:color w:val="auto"/>
          <w:sz w:val="24"/>
          <w:szCs w:val="24"/>
          <w:highlight w:val="none"/>
        </w:rPr>
        <w:fldChar w:fldCharType="separate"/>
      </w:r>
      <w:r>
        <w:rPr>
          <w:rFonts w:hint="default" w:ascii="Times New Roman" w:hAnsi="Times New Roman" w:cs="Times New Roman" w:eastAsiaTheme="minorEastAsia"/>
          <w:b/>
          <w:color w:val="auto"/>
          <w:sz w:val="24"/>
          <w:szCs w:val="24"/>
          <w:highlight w:val="none"/>
        </w:rPr>
        <w:t>1</w:t>
      </w:r>
      <w:r>
        <w:rPr>
          <w:rFonts w:hint="default" w:ascii="Times New Roman" w:hAnsi="Times New Roman" w:cs="Times New Roman" w:eastAsiaTheme="minorEastAsia"/>
          <w:b/>
          <w:color w:val="auto"/>
          <w:sz w:val="24"/>
          <w:szCs w:val="24"/>
          <w:highlight w:val="none"/>
        </w:rPr>
        <w:fldChar w:fldCharType="end"/>
      </w:r>
      <w:r>
        <w:rPr>
          <w:rFonts w:hint="default" w:ascii="Times New Roman" w:hAnsi="Times New Roman" w:cs="Times New Roman" w:eastAsiaTheme="minorEastAsia"/>
          <w:b/>
          <w:color w:val="auto"/>
          <w:sz w:val="24"/>
          <w:szCs w:val="24"/>
          <w:highlight w:val="none"/>
        </w:rPr>
        <w:t xml:space="preserve"> </w:t>
      </w:r>
      <w:r>
        <w:rPr>
          <w:rFonts w:hint="eastAsia" w:ascii="宋体" w:hAnsi="宋体" w:eastAsia="宋体" w:cs="宋体"/>
          <w:b/>
          <w:bCs/>
          <w:color w:val="auto"/>
          <w:sz w:val="21"/>
          <w:szCs w:val="21"/>
          <w:highlight w:val="none"/>
          <w:lang w:val="en-US" w:eastAsia="zh-CN"/>
        </w:rPr>
        <w:t>本公司</w:t>
      </w:r>
      <w:r>
        <w:rPr>
          <w:rFonts w:hint="eastAsia" w:ascii="宋体" w:hAnsi="宋体" w:eastAsia="宋体" w:cs="宋体"/>
          <w:b/>
          <w:bCs/>
          <w:color w:val="auto"/>
          <w:sz w:val="21"/>
          <w:szCs w:val="21"/>
          <w:highlight w:val="none"/>
        </w:rPr>
        <w:t>突发环境事件应急救援组织</w:t>
      </w:r>
      <w:r>
        <w:rPr>
          <w:rFonts w:hint="eastAsia" w:ascii="宋体" w:hAnsi="宋体" w:eastAsia="宋体" w:cs="宋体"/>
          <w:b/>
          <w:bCs/>
          <w:color w:val="auto"/>
          <w:sz w:val="21"/>
          <w:szCs w:val="21"/>
          <w:highlight w:val="none"/>
          <w:lang w:val="en-US" w:eastAsia="zh-CN"/>
        </w:rPr>
        <w:t>架构</w:t>
      </w:r>
    </w:p>
    <w:p w14:paraId="70A96965">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25" w:name="_Toc275938142"/>
      <w:bookmarkStart w:id="126" w:name="_Toc21684"/>
      <w:bookmarkStart w:id="127" w:name="_Toc10098"/>
      <w:bookmarkStart w:id="128" w:name="_Toc16002"/>
      <w:bookmarkStart w:id="129" w:name="_Toc276118385"/>
      <w:bookmarkStart w:id="130" w:name="_Toc10742"/>
      <w:bookmarkStart w:id="131" w:name="_Toc15030"/>
      <w:bookmarkStart w:id="132" w:name="_Toc11705"/>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 xml:space="preserve"> </w:t>
      </w:r>
      <w:r>
        <w:rPr>
          <w:rFonts w:hint="eastAsia" w:cs="Times New Roman"/>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成员及主要职责</w:t>
      </w:r>
      <w:bookmarkEnd w:id="125"/>
      <w:bookmarkEnd w:id="126"/>
      <w:bookmarkEnd w:id="127"/>
      <w:bookmarkEnd w:id="128"/>
      <w:bookmarkEnd w:id="129"/>
      <w:bookmarkEnd w:id="130"/>
      <w:bookmarkEnd w:id="131"/>
      <w:bookmarkEnd w:id="132"/>
    </w:p>
    <w:p w14:paraId="4394D7D4">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33" w:name="_Toc275938143"/>
      <w:bookmarkStart w:id="134" w:name="_Toc21644"/>
      <w:bookmarkStart w:id="135" w:name="_Toc4122"/>
      <w:bookmarkStart w:id="136" w:name="_Toc16348"/>
      <w:bookmarkStart w:id="137" w:name="_Toc32020"/>
      <w:bookmarkStart w:id="138" w:name="_Toc276118386"/>
      <w:bookmarkStart w:id="139" w:name="_Toc15812"/>
      <w:bookmarkStart w:id="140" w:name="_Toc25959"/>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 xml:space="preserve">.1 </w:t>
      </w:r>
      <w:r>
        <w:rPr>
          <w:rFonts w:hint="eastAsia" w:cs="Times New Roman"/>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成员</w:t>
      </w:r>
      <w:bookmarkEnd w:id="133"/>
      <w:bookmarkEnd w:id="134"/>
      <w:bookmarkEnd w:id="135"/>
      <w:bookmarkEnd w:id="136"/>
      <w:bookmarkEnd w:id="137"/>
      <w:bookmarkEnd w:id="138"/>
      <w:bookmarkEnd w:id="139"/>
      <w:bookmarkEnd w:id="140"/>
    </w:p>
    <w:p w14:paraId="0035BB12">
      <w:pPr>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eastAsia="zh-CN"/>
        </w:rPr>
      </w:pPr>
      <w:bookmarkStart w:id="141" w:name="_Toc276118387"/>
      <w:bookmarkStart w:id="142" w:name="_Toc275938144"/>
      <w:r>
        <w:rPr>
          <w:rFonts w:hint="default" w:ascii="Times New Roman" w:hAnsi="Times New Roman" w:cs="Times New Roman" w:eastAsiaTheme="minorEastAsia"/>
          <w:color w:val="auto"/>
          <w:sz w:val="24"/>
          <w:szCs w:val="24"/>
          <w:highlight w:val="none"/>
        </w:rPr>
        <w:t>总指挥：</w:t>
      </w:r>
      <w:r>
        <w:rPr>
          <w:rFonts w:hint="eastAsia" w:ascii="Times New Roman" w:hAnsi="Times New Roman" w:cs="Times New Roman" w:eastAsiaTheme="minorEastAsia"/>
          <w:color w:val="auto"/>
          <w:sz w:val="24"/>
          <w:szCs w:val="24"/>
          <w:highlight w:val="none"/>
          <w:lang w:val="en-US" w:eastAsia="zh-CN"/>
        </w:rPr>
        <w:t>总经理</w:t>
      </w:r>
    </w:p>
    <w:p w14:paraId="03219585">
      <w:pPr>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yellow"/>
          <w:lang w:val="en-US" w:eastAsia="zh-CN"/>
        </w:rPr>
      </w:pPr>
      <w:r>
        <w:rPr>
          <w:rFonts w:hint="eastAsia" w:ascii="Times New Roman" w:hAnsi="Times New Roman" w:cs="Times New Roman" w:eastAsiaTheme="minorEastAsia"/>
          <w:color w:val="auto"/>
          <w:sz w:val="24"/>
          <w:szCs w:val="24"/>
          <w:highlight w:val="none"/>
          <w:lang w:val="en-US" w:eastAsia="zh-CN"/>
        </w:rPr>
        <w:t>副总指挥：生产经理</w:t>
      </w:r>
    </w:p>
    <w:p w14:paraId="6A2639E1">
      <w:pPr>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成员：</w:t>
      </w:r>
      <w:r>
        <w:rPr>
          <w:rFonts w:hint="eastAsia" w:ascii="Times New Roman" w:hAnsi="Times New Roman" w:cs="Times New Roman" w:eastAsiaTheme="minorEastAsia"/>
          <w:color w:val="auto"/>
          <w:sz w:val="24"/>
          <w:szCs w:val="24"/>
          <w:highlight w:val="none"/>
          <w:lang w:val="en-US" w:eastAsia="zh-CN"/>
        </w:rPr>
        <w:t>各部门主管及</w:t>
      </w:r>
      <w:r>
        <w:rPr>
          <w:rFonts w:hint="default" w:ascii="Times New Roman" w:hAnsi="Times New Roman" w:cs="Times New Roman" w:eastAsiaTheme="minorEastAsia"/>
          <w:color w:val="auto"/>
          <w:sz w:val="24"/>
          <w:szCs w:val="24"/>
          <w:highlight w:val="none"/>
        </w:rPr>
        <w:t>员工</w:t>
      </w:r>
    </w:p>
    <w:p w14:paraId="140F8B7D">
      <w:pPr>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应急救援负责人联系方式、职务情况详见表2-</w:t>
      </w:r>
      <w:r>
        <w:rPr>
          <w:rFonts w:hint="eastAsia"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w:t>
      </w:r>
    </w:p>
    <w:p w14:paraId="577E8B80">
      <w:pPr>
        <w:pageBreakBefore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default" w:ascii="Times New Roman" w:hAnsi="Times New Roman" w:eastAsia="宋体" w:cs="Times New Roman"/>
          <w:b/>
          <w:bCs/>
          <w:sz w:val="24"/>
          <w:szCs w:val="24"/>
        </w:rPr>
      </w:pPr>
      <w:bookmarkStart w:id="143" w:name="_Toc4183"/>
      <w:bookmarkStart w:id="144" w:name="_Toc30469"/>
      <w:bookmarkStart w:id="145" w:name="_Toc24568"/>
      <w:r>
        <w:rPr>
          <w:rFonts w:hint="default" w:ascii="Times New Roman" w:hAnsi="Times New Roman" w:eastAsia="宋体" w:cs="Times New Roman"/>
          <w:b/>
          <w:bCs/>
          <w:sz w:val="24"/>
          <w:szCs w:val="24"/>
          <w:highlight w:val="none"/>
        </w:rPr>
        <w:t>表2-</w:t>
      </w:r>
      <w:r>
        <w:rPr>
          <w:rFonts w:hint="default" w:ascii="Times New Roman" w:hAnsi="Times New Roman" w:eastAsia="宋体" w:cs="Times New Roman"/>
          <w:b/>
          <w:bCs/>
          <w:sz w:val="24"/>
          <w:szCs w:val="24"/>
          <w:highlight w:val="none"/>
          <w:lang w:val="en-US" w:eastAsia="zh-CN"/>
        </w:rPr>
        <w:t>1</w:t>
      </w:r>
      <w:r>
        <w:rPr>
          <w:rFonts w:hint="default" w:ascii="Times New Roman" w:hAnsi="Times New Roman" w:eastAsia="宋体" w:cs="Times New Roman"/>
          <w:b/>
          <w:bCs/>
          <w:sz w:val="24"/>
          <w:szCs w:val="24"/>
          <w:highlight w:val="none"/>
        </w:rPr>
        <w:t xml:space="preserve"> </w:t>
      </w:r>
      <w:r>
        <w:rPr>
          <w:rFonts w:hint="default" w:ascii="Times New Roman" w:hAnsi="Times New Roman" w:eastAsia="宋体" w:cs="Times New Roman"/>
          <w:b/>
          <w:bCs/>
          <w:sz w:val="24"/>
          <w:szCs w:val="24"/>
          <w:highlight w:val="none"/>
          <w:lang w:eastAsia="zh-CN"/>
        </w:rPr>
        <w:t>应急救援指挥组</w:t>
      </w:r>
      <w:r>
        <w:rPr>
          <w:rFonts w:hint="default" w:ascii="Times New Roman" w:hAnsi="Times New Roman" w:eastAsia="宋体" w:cs="Times New Roman"/>
          <w:b/>
          <w:bCs/>
          <w:sz w:val="24"/>
          <w:szCs w:val="24"/>
          <w:highlight w:val="none"/>
        </w:rPr>
        <w:t>通讯联络号码</w:t>
      </w:r>
      <w:bookmarkEnd w:id="143"/>
      <w:bookmarkEnd w:id="144"/>
      <w:bookmarkEnd w:id="145"/>
    </w:p>
    <w:tbl>
      <w:tblPr>
        <w:tblStyle w:val="34"/>
        <w:tblW w:w="551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35"/>
        <w:gridCol w:w="3039"/>
        <w:gridCol w:w="1993"/>
        <w:gridCol w:w="2019"/>
        <w:gridCol w:w="1997"/>
      </w:tblGrid>
      <w:tr w14:paraId="49C559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468" w:type="pct"/>
            <w:tcBorders>
              <w:tl2br w:val="nil"/>
              <w:tr2bl w:val="nil"/>
            </w:tcBorders>
            <w:noWrap w:val="0"/>
            <w:vAlign w:val="center"/>
          </w:tcPr>
          <w:p w14:paraId="599D2AB3">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522" w:type="pct"/>
            <w:tcBorders>
              <w:tl2br w:val="nil"/>
              <w:tr2bl w:val="nil"/>
            </w:tcBorders>
            <w:noWrap w:val="0"/>
            <w:vAlign w:val="center"/>
          </w:tcPr>
          <w:p w14:paraId="49E6DC2C">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职务</w:t>
            </w:r>
          </w:p>
        </w:tc>
        <w:tc>
          <w:tcPr>
            <w:tcW w:w="998" w:type="pct"/>
            <w:tcBorders>
              <w:tl2br w:val="nil"/>
              <w:tr2bl w:val="nil"/>
            </w:tcBorders>
            <w:noWrap w:val="0"/>
            <w:vAlign w:val="center"/>
          </w:tcPr>
          <w:p w14:paraId="1597381B">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来自部门</w:t>
            </w:r>
          </w:p>
        </w:tc>
        <w:tc>
          <w:tcPr>
            <w:tcW w:w="1010" w:type="pct"/>
            <w:tcBorders>
              <w:tl2br w:val="nil"/>
              <w:tr2bl w:val="nil"/>
            </w:tcBorders>
            <w:noWrap w:val="0"/>
            <w:vAlign w:val="center"/>
          </w:tcPr>
          <w:p w14:paraId="0E16C036">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姓名</w:t>
            </w:r>
          </w:p>
        </w:tc>
        <w:tc>
          <w:tcPr>
            <w:tcW w:w="1000" w:type="pct"/>
            <w:tcBorders>
              <w:tl2br w:val="nil"/>
              <w:tr2bl w:val="nil"/>
            </w:tcBorders>
            <w:noWrap w:val="0"/>
            <w:vAlign w:val="center"/>
          </w:tcPr>
          <w:p w14:paraId="7D906FA4">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联系方式</w:t>
            </w:r>
          </w:p>
        </w:tc>
      </w:tr>
      <w:tr w14:paraId="5C4766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134C0911">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522" w:type="pct"/>
            <w:tcBorders>
              <w:tl2br w:val="nil"/>
              <w:tr2bl w:val="nil"/>
            </w:tcBorders>
            <w:noWrap w:val="0"/>
            <w:vAlign w:val="center"/>
          </w:tcPr>
          <w:p w14:paraId="7159C455">
            <w:pPr>
              <w:pStyle w:val="143"/>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sz w:val="21"/>
                <w:szCs w:val="21"/>
              </w:rPr>
              <w:t>指挥部总指挥</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A</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1282194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总经理</w:t>
            </w:r>
          </w:p>
        </w:tc>
        <w:tc>
          <w:tcPr>
            <w:tcW w:w="1010" w:type="pct"/>
            <w:tcBorders>
              <w:tl2br w:val="nil"/>
              <w:tr2bl w:val="nil"/>
            </w:tcBorders>
            <w:noWrap w:val="0"/>
            <w:vAlign w:val="center"/>
          </w:tcPr>
          <w:p w14:paraId="30ECE46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sz w:val="21"/>
                <w:szCs w:val="21"/>
                <w:lang w:val="en-US" w:eastAsia="zh-CN"/>
              </w:rPr>
              <w:t>邹志文</w:t>
            </w:r>
          </w:p>
        </w:tc>
        <w:tc>
          <w:tcPr>
            <w:tcW w:w="1000" w:type="pct"/>
            <w:tcBorders>
              <w:tl2br w:val="nil"/>
              <w:tr2bl w:val="nil"/>
            </w:tcBorders>
            <w:noWrap w:val="0"/>
            <w:vAlign w:val="center"/>
          </w:tcPr>
          <w:p w14:paraId="338CBDAE">
            <w:pPr>
              <w:pStyle w:val="143"/>
              <w:pageBreakBefore w:val="0"/>
              <w:kinsoku/>
              <w:overflowPunct/>
              <w:bidi w:val="0"/>
              <w:adjustRightInd w:val="0"/>
              <w:snapToGrid w:val="0"/>
              <w:spacing w:line="240" w:lineRule="auto"/>
              <w:ind w:left="0" w:leftChars="0" w:right="0" w:rightChars="0"/>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13913779608</w:t>
            </w:r>
          </w:p>
        </w:tc>
      </w:tr>
      <w:tr w14:paraId="7F6209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637FD12B">
            <w:pPr>
              <w:pStyle w:val="143"/>
              <w:pageBreakBefore w:val="0"/>
              <w:kinsoku/>
              <w:overflowPunct/>
              <w:bidi w:val="0"/>
              <w:adjustRightInd w:val="0"/>
              <w:snapToGrid w:val="0"/>
              <w:spacing w:line="240" w:lineRule="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1522" w:type="pct"/>
            <w:tcBorders>
              <w:tl2br w:val="nil"/>
              <w:tr2bl w:val="nil"/>
            </w:tcBorders>
            <w:noWrap w:val="0"/>
            <w:vAlign w:val="center"/>
          </w:tcPr>
          <w:p w14:paraId="7F7E3859">
            <w:pPr>
              <w:pStyle w:val="143"/>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sz w:val="21"/>
                <w:szCs w:val="21"/>
              </w:rPr>
              <w:t>指挥部副总指挥</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B</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46ED05F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生产经理</w:t>
            </w:r>
          </w:p>
        </w:tc>
        <w:tc>
          <w:tcPr>
            <w:tcW w:w="1010" w:type="pct"/>
            <w:tcBorders>
              <w:tl2br w:val="nil"/>
              <w:tr2bl w:val="nil"/>
            </w:tcBorders>
            <w:noWrap w:val="0"/>
            <w:vAlign w:val="center"/>
          </w:tcPr>
          <w:p w14:paraId="14CDFBE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sz w:val="21"/>
                <w:szCs w:val="21"/>
                <w:lang w:val="en-US" w:eastAsia="zh-CN"/>
              </w:rPr>
              <w:t>张义国</w:t>
            </w:r>
          </w:p>
        </w:tc>
        <w:tc>
          <w:tcPr>
            <w:tcW w:w="1000" w:type="pct"/>
            <w:tcBorders>
              <w:tl2br w:val="nil"/>
              <w:tr2bl w:val="nil"/>
            </w:tcBorders>
            <w:noWrap w:val="0"/>
            <w:vAlign w:val="center"/>
          </w:tcPr>
          <w:p w14:paraId="69646195">
            <w:pPr>
              <w:pStyle w:val="143"/>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13962607921</w:t>
            </w:r>
          </w:p>
        </w:tc>
      </w:tr>
      <w:tr w14:paraId="247DAB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3F760A3E">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522" w:type="pct"/>
            <w:tcBorders>
              <w:tl2br w:val="nil"/>
              <w:tr2bl w:val="nil"/>
            </w:tcBorders>
            <w:noWrap w:val="0"/>
            <w:vAlign w:val="center"/>
          </w:tcPr>
          <w:p w14:paraId="0B048B48">
            <w:pPr>
              <w:pStyle w:val="143"/>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sz w:val="21"/>
                <w:szCs w:val="21"/>
                <w:lang w:val="en-US" w:eastAsia="zh-CN"/>
              </w:rPr>
              <w:t>综合协调</w:t>
            </w:r>
            <w:r>
              <w:rPr>
                <w:rFonts w:hint="default" w:ascii="Times New Roman" w:hAnsi="Times New Roman" w:eastAsia="宋体" w:cs="Times New Roman"/>
                <w:b w:val="0"/>
                <w:bCs w:val="0"/>
                <w:color w:val="auto"/>
                <w:sz w:val="21"/>
                <w:szCs w:val="21"/>
              </w:rPr>
              <w:t>组组长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A</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6BB045A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木工主管</w:t>
            </w:r>
          </w:p>
        </w:tc>
        <w:tc>
          <w:tcPr>
            <w:tcW w:w="1010" w:type="pct"/>
            <w:tcBorders>
              <w:tl2br w:val="nil"/>
              <w:tr2bl w:val="nil"/>
            </w:tcBorders>
            <w:noWrap w:val="0"/>
            <w:vAlign w:val="center"/>
          </w:tcPr>
          <w:p w14:paraId="678D603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sz w:val="21"/>
                <w:szCs w:val="21"/>
                <w:lang w:val="en-US" w:eastAsia="zh-CN"/>
              </w:rPr>
              <w:t>周小华</w:t>
            </w:r>
          </w:p>
        </w:tc>
        <w:tc>
          <w:tcPr>
            <w:tcW w:w="1000" w:type="pct"/>
            <w:tcBorders>
              <w:tl2br w:val="nil"/>
              <w:tr2bl w:val="nil"/>
            </w:tcBorders>
            <w:noWrap w:val="0"/>
            <w:vAlign w:val="center"/>
          </w:tcPr>
          <w:p w14:paraId="3D6236A4">
            <w:pPr>
              <w:pStyle w:val="143"/>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13003572857</w:t>
            </w:r>
          </w:p>
        </w:tc>
      </w:tr>
      <w:tr w14:paraId="190CBC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5B5480AC">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522" w:type="pct"/>
            <w:tcBorders>
              <w:tl2br w:val="nil"/>
              <w:tr2bl w:val="nil"/>
            </w:tcBorders>
            <w:noWrap w:val="0"/>
            <w:vAlign w:val="center"/>
          </w:tcPr>
          <w:p w14:paraId="63B98538">
            <w:pPr>
              <w:pStyle w:val="143"/>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sz w:val="21"/>
                <w:szCs w:val="21"/>
                <w:lang w:val="en-US" w:eastAsia="zh-CN"/>
              </w:rPr>
              <w:t>综合协调</w:t>
            </w:r>
            <w:r>
              <w:rPr>
                <w:rFonts w:hint="default" w:ascii="Times New Roman" w:hAnsi="Times New Roman" w:eastAsia="宋体" w:cs="Times New Roman"/>
                <w:b w:val="0"/>
                <w:bCs w:val="0"/>
                <w:color w:val="auto"/>
                <w:sz w:val="21"/>
                <w:szCs w:val="21"/>
              </w:rPr>
              <w:t>组</w:t>
            </w:r>
            <w:r>
              <w:rPr>
                <w:rFonts w:hint="default" w:ascii="Times New Roman" w:hAnsi="Times New Roman" w:eastAsia="宋体" w:cs="Times New Roman"/>
                <w:b w:val="0"/>
                <w:bCs w:val="0"/>
                <w:color w:val="auto"/>
                <w:sz w:val="21"/>
                <w:szCs w:val="21"/>
                <w:lang w:val="en-US" w:eastAsia="zh-CN"/>
              </w:rPr>
              <w:t>副组长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B</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0D61DE8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木工</w:t>
            </w:r>
          </w:p>
        </w:tc>
        <w:tc>
          <w:tcPr>
            <w:tcW w:w="1010" w:type="pct"/>
            <w:tcBorders>
              <w:tl2br w:val="nil"/>
              <w:tr2bl w:val="nil"/>
            </w:tcBorders>
            <w:noWrap w:val="0"/>
            <w:vAlign w:val="center"/>
          </w:tcPr>
          <w:p w14:paraId="16037C5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sz w:val="21"/>
                <w:szCs w:val="21"/>
                <w:lang w:eastAsia="zh-CN"/>
              </w:rPr>
              <w:t>黄长先</w:t>
            </w:r>
          </w:p>
        </w:tc>
        <w:tc>
          <w:tcPr>
            <w:tcW w:w="1000" w:type="pct"/>
            <w:tcBorders>
              <w:tl2br w:val="nil"/>
              <w:tr2bl w:val="nil"/>
            </w:tcBorders>
            <w:noWrap w:val="0"/>
            <w:vAlign w:val="center"/>
          </w:tcPr>
          <w:p w14:paraId="68E3401E">
            <w:pPr>
              <w:pStyle w:val="143"/>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15996677788</w:t>
            </w:r>
          </w:p>
        </w:tc>
      </w:tr>
      <w:tr w14:paraId="7C4390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171639D5">
            <w:pPr>
              <w:pStyle w:val="143"/>
              <w:pageBreakBefore w:val="0"/>
              <w:kinsoku/>
              <w:overflowPunct/>
              <w:bidi w:val="0"/>
              <w:adjustRightInd w:val="0"/>
              <w:snapToGrid w:val="0"/>
              <w:spacing w:line="240" w:lineRule="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5</w:t>
            </w:r>
          </w:p>
        </w:tc>
        <w:tc>
          <w:tcPr>
            <w:tcW w:w="1522" w:type="pct"/>
            <w:tcBorders>
              <w:tl2br w:val="nil"/>
              <w:tr2bl w:val="nil"/>
            </w:tcBorders>
            <w:noWrap w:val="0"/>
            <w:vAlign w:val="center"/>
          </w:tcPr>
          <w:p w14:paraId="68AE387E">
            <w:pPr>
              <w:pStyle w:val="143"/>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sz w:val="21"/>
                <w:szCs w:val="21"/>
                <w:lang w:val="en-US" w:eastAsia="zh-CN"/>
              </w:rPr>
              <w:t>现场处置</w:t>
            </w:r>
            <w:r>
              <w:rPr>
                <w:rFonts w:hint="default" w:ascii="Times New Roman" w:hAnsi="Times New Roman" w:eastAsia="宋体" w:cs="Times New Roman"/>
                <w:b w:val="0"/>
                <w:bCs w:val="0"/>
                <w:color w:val="auto"/>
                <w:sz w:val="21"/>
                <w:szCs w:val="21"/>
              </w:rPr>
              <w:t>组组</w:t>
            </w:r>
            <w:r>
              <w:rPr>
                <w:rFonts w:hint="default" w:ascii="Times New Roman" w:hAnsi="Times New Roman" w:eastAsia="宋体" w:cs="Times New Roman"/>
                <w:b w:val="0"/>
                <w:bCs w:val="0"/>
                <w:color w:val="auto"/>
                <w:sz w:val="21"/>
                <w:szCs w:val="21"/>
                <w:lang w:val="en-US" w:eastAsia="zh-CN"/>
              </w:rPr>
              <w:t>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A</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6F3B4CD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包装主管</w:t>
            </w:r>
          </w:p>
        </w:tc>
        <w:tc>
          <w:tcPr>
            <w:tcW w:w="1010" w:type="pct"/>
            <w:tcBorders>
              <w:tl2br w:val="nil"/>
              <w:tr2bl w:val="nil"/>
            </w:tcBorders>
            <w:noWrap w:val="0"/>
            <w:vAlign w:val="center"/>
          </w:tcPr>
          <w:p w14:paraId="682987E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sz w:val="21"/>
                <w:szCs w:val="21"/>
                <w:lang w:val="en-US" w:eastAsia="zh-CN"/>
              </w:rPr>
              <w:t>李士超</w:t>
            </w:r>
          </w:p>
        </w:tc>
        <w:tc>
          <w:tcPr>
            <w:tcW w:w="1000" w:type="pct"/>
            <w:tcBorders>
              <w:tl2br w:val="nil"/>
              <w:tr2bl w:val="nil"/>
            </w:tcBorders>
            <w:noWrap w:val="0"/>
            <w:vAlign w:val="center"/>
          </w:tcPr>
          <w:p w14:paraId="3FACBA83">
            <w:pPr>
              <w:pStyle w:val="143"/>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15938506639</w:t>
            </w:r>
          </w:p>
        </w:tc>
      </w:tr>
      <w:tr w14:paraId="514D09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3D98D1FC">
            <w:pPr>
              <w:pStyle w:val="143"/>
              <w:pageBreakBefore w:val="0"/>
              <w:kinsoku/>
              <w:overflowPunct/>
              <w:bidi w:val="0"/>
              <w:adjustRightInd w:val="0"/>
              <w:snapToGrid w:val="0"/>
              <w:spacing w:line="240" w:lineRule="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6</w:t>
            </w:r>
          </w:p>
        </w:tc>
        <w:tc>
          <w:tcPr>
            <w:tcW w:w="1522" w:type="pct"/>
            <w:tcBorders>
              <w:tl2br w:val="nil"/>
              <w:tr2bl w:val="nil"/>
            </w:tcBorders>
            <w:noWrap w:val="0"/>
            <w:vAlign w:val="center"/>
          </w:tcPr>
          <w:p w14:paraId="6A5A9AFF">
            <w:pPr>
              <w:pStyle w:val="143"/>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sz w:val="21"/>
                <w:szCs w:val="21"/>
                <w:lang w:val="en-US" w:eastAsia="zh-CN"/>
              </w:rPr>
              <w:t>现场处置组副组长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B</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7DA16AB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包装</w:t>
            </w:r>
          </w:p>
        </w:tc>
        <w:tc>
          <w:tcPr>
            <w:tcW w:w="1010" w:type="pct"/>
            <w:tcBorders>
              <w:tl2br w:val="nil"/>
              <w:tr2bl w:val="nil"/>
            </w:tcBorders>
            <w:noWrap w:val="0"/>
            <w:vAlign w:val="center"/>
          </w:tcPr>
          <w:p w14:paraId="0F3E833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sz w:val="21"/>
                <w:szCs w:val="21"/>
                <w:lang w:val="en-US" w:eastAsia="zh-CN"/>
              </w:rPr>
              <w:t>朱广林</w:t>
            </w:r>
          </w:p>
        </w:tc>
        <w:tc>
          <w:tcPr>
            <w:tcW w:w="1000" w:type="pct"/>
            <w:tcBorders>
              <w:tl2br w:val="nil"/>
              <w:tr2bl w:val="nil"/>
            </w:tcBorders>
            <w:noWrap w:val="0"/>
            <w:vAlign w:val="center"/>
          </w:tcPr>
          <w:p w14:paraId="5A580A33">
            <w:pPr>
              <w:pStyle w:val="143"/>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18806277349</w:t>
            </w:r>
          </w:p>
        </w:tc>
      </w:tr>
      <w:tr w14:paraId="7DEC33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46F0C51E">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w:t>
            </w:r>
          </w:p>
        </w:tc>
        <w:tc>
          <w:tcPr>
            <w:tcW w:w="1522" w:type="pct"/>
            <w:tcBorders>
              <w:tl2br w:val="nil"/>
              <w:tr2bl w:val="nil"/>
            </w:tcBorders>
            <w:noWrap w:val="0"/>
            <w:vAlign w:val="center"/>
          </w:tcPr>
          <w:p w14:paraId="17DEEDD2">
            <w:pPr>
              <w:pStyle w:val="143"/>
              <w:pageBreakBefore w:val="0"/>
              <w:kinsoku/>
              <w:overflowPunct/>
              <w:bidi w:val="0"/>
              <w:adjustRightInd w:val="0"/>
              <w:snapToGrid w:val="0"/>
              <w:spacing w:line="240" w:lineRule="auto"/>
              <w:ind w:left="0" w:leftChars="0" w:right="0" w:rightChars="0"/>
              <w:rPr>
                <w:rFonts w:hint="eastAsia"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val="en-US" w:eastAsia="zh-CN"/>
              </w:rPr>
              <w:t>应急保障</w:t>
            </w:r>
            <w:r>
              <w:rPr>
                <w:rFonts w:hint="default" w:ascii="Times New Roman" w:hAnsi="Times New Roman" w:eastAsia="宋体" w:cs="Times New Roman"/>
                <w:b w:val="0"/>
                <w:bCs w:val="0"/>
                <w:color w:val="auto"/>
                <w:sz w:val="21"/>
                <w:szCs w:val="21"/>
              </w:rPr>
              <w:t>组组长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A</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44A8142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仓管</w:t>
            </w:r>
          </w:p>
        </w:tc>
        <w:tc>
          <w:tcPr>
            <w:tcW w:w="1010" w:type="pct"/>
            <w:tcBorders>
              <w:tl2br w:val="nil"/>
              <w:tr2bl w:val="nil"/>
            </w:tcBorders>
            <w:noWrap w:val="0"/>
            <w:vAlign w:val="center"/>
          </w:tcPr>
          <w:p w14:paraId="0421A4E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孟素琴</w:t>
            </w:r>
          </w:p>
        </w:tc>
        <w:tc>
          <w:tcPr>
            <w:tcW w:w="1000" w:type="pct"/>
            <w:tcBorders>
              <w:tl2br w:val="nil"/>
              <w:tr2bl w:val="nil"/>
            </w:tcBorders>
            <w:noWrap w:val="0"/>
            <w:vAlign w:val="center"/>
          </w:tcPr>
          <w:p w14:paraId="3DE6BDE8">
            <w:pPr>
              <w:pStyle w:val="143"/>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15396820909</w:t>
            </w:r>
          </w:p>
        </w:tc>
      </w:tr>
      <w:tr w14:paraId="3CB8A5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554E47BF">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w:t>
            </w:r>
          </w:p>
        </w:tc>
        <w:tc>
          <w:tcPr>
            <w:tcW w:w="1522" w:type="pct"/>
            <w:tcBorders>
              <w:tl2br w:val="nil"/>
              <w:tr2bl w:val="nil"/>
            </w:tcBorders>
            <w:noWrap w:val="0"/>
            <w:vAlign w:val="center"/>
          </w:tcPr>
          <w:p w14:paraId="3472CC7D">
            <w:pPr>
              <w:pStyle w:val="143"/>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val="en-US" w:eastAsia="zh-CN"/>
              </w:rPr>
              <w:t>应急保障</w:t>
            </w:r>
            <w:r>
              <w:rPr>
                <w:rFonts w:hint="default" w:ascii="Times New Roman" w:hAnsi="Times New Roman" w:eastAsia="宋体" w:cs="Times New Roman"/>
                <w:b w:val="0"/>
                <w:bCs w:val="0"/>
                <w:color w:val="auto"/>
                <w:sz w:val="21"/>
                <w:szCs w:val="21"/>
              </w:rPr>
              <w:t>组</w:t>
            </w:r>
            <w:r>
              <w:rPr>
                <w:rFonts w:hint="default" w:ascii="Times New Roman" w:hAnsi="Times New Roman" w:eastAsia="宋体" w:cs="Times New Roman"/>
                <w:b w:val="0"/>
                <w:bCs w:val="0"/>
                <w:color w:val="auto"/>
                <w:sz w:val="21"/>
                <w:szCs w:val="21"/>
                <w:lang w:val="en-US" w:eastAsia="zh-CN"/>
              </w:rPr>
              <w:t>副组长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B</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58325E1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木工</w:t>
            </w:r>
          </w:p>
        </w:tc>
        <w:tc>
          <w:tcPr>
            <w:tcW w:w="1010" w:type="pct"/>
            <w:tcBorders>
              <w:tl2br w:val="nil"/>
              <w:tr2bl w:val="nil"/>
            </w:tcBorders>
            <w:noWrap w:val="0"/>
            <w:vAlign w:val="center"/>
          </w:tcPr>
          <w:p w14:paraId="1171C77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kern w:val="2"/>
                <w:sz w:val="21"/>
                <w:szCs w:val="21"/>
                <w:lang w:val="en-US" w:eastAsia="zh-CN" w:bidi="ar-SA"/>
              </w:rPr>
              <w:t>潘永秀</w:t>
            </w:r>
          </w:p>
        </w:tc>
        <w:tc>
          <w:tcPr>
            <w:tcW w:w="1000" w:type="pct"/>
            <w:tcBorders>
              <w:tl2br w:val="nil"/>
              <w:tr2bl w:val="nil"/>
            </w:tcBorders>
            <w:noWrap w:val="0"/>
            <w:vAlign w:val="center"/>
          </w:tcPr>
          <w:p w14:paraId="20A5DECA">
            <w:pPr>
              <w:pStyle w:val="143"/>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18806277349</w:t>
            </w:r>
          </w:p>
        </w:tc>
      </w:tr>
      <w:tr w14:paraId="0DC24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0E29846C">
            <w:pPr>
              <w:pStyle w:val="143"/>
              <w:pageBreakBefore w:val="0"/>
              <w:kinsoku/>
              <w:overflowPunct/>
              <w:bidi w:val="0"/>
              <w:adjustRightInd w:val="0"/>
              <w:snapToGrid w:val="0"/>
              <w:spacing w:line="240" w:lineRule="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9</w:t>
            </w:r>
          </w:p>
        </w:tc>
        <w:tc>
          <w:tcPr>
            <w:tcW w:w="1522" w:type="pct"/>
            <w:tcBorders>
              <w:tl2br w:val="nil"/>
              <w:tr2bl w:val="nil"/>
            </w:tcBorders>
            <w:noWrap w:val="0"/>
            <w:vAlign w:val="center"/>
          </w:tcPr>
          <w:p w14:paraId="635C6BEE">
            <w:pPr>
              <w:pStyle w:val="143"/>
              <w:pageBreakBefore w:val="0"/>
              <w:kinsoku/>
              <w:overflowPunct/>
              <w:bidi w:val="0"/>
              <w:adjustRightInd w:val="0"/>
              <w:snapToGrid w:val="0"/>
              <w:spacing w:line="240" w:lineRule="auto"/>
              <w:ind w:left="0" w:leftChars="0" w:right="0" w:rightChars="0"/>
              <w:rPr>
                <w:rFonts w:hint="eastAsia"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val="en-US" w:eastAsia="zh-CN"/>
              </w:rPr>
              <w:t>医疗救治组组长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A</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1B8E3EF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安全员</w:t>
            </w:r>
          </w:p>
        </w:tc>
        <w:tc>
          <w:tcPr>
            <w:tcW w:w="1010" w:type="pct"/>
            <w:tcBorders>
              <w:tl2br w:val="nil"/>
              <w:tr2bl w:val="nil"/>
            </w:tcBorders>
            <w:noWrap w:val="0"/>
            <w:vAlign w:val="center"/>
          </w:tcPr>
          <w:p w14:paraId="5051B08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sz w:val="21"/>
                <w:szCs w:val="21"/>
                <w:lang w:val="en-US" w:eastAsia="zh-CN"/>
              </w:rPr>
              <w:t>张丹</w:t>
            </w:r>
          </w:p>
        </w:tc>
        <w:tc>
          <w:tcPr>
            <w:tcW w:w="1000" w:type="pct"/>
            <w:tcBorders>
              <w:tl2br w:val="nil"/>
              <w:tr2bl w:val="nil"/>
            </w:tcBorders>
            <w:noWrap w:val="0"/>
            <w:vAlign w:val="center"/>
          </w:tcPr>
          <w:p w14:paraId="30C59A26">
            <w:pPr>
              <w:pStyle w:val="143"/>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18962604986</w:t>
            </w:r>
          </w:p>
        </w:tc>
      </w:tr>
      <w:tr w14:paraId="66378B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6BBCF082">
            <w:pPr>
              <w:pStyle w:val="143"/>
              <w:pageBreakBefore w:val="0"/>
              <w:kinsoku/>
              <w:overflowPunct/>
              <w:bidi w:val="0"/>
              <w:adjustRightInd w:val="0"/>
              <w:snapToGrid w:val="0"/>
              <w:spacing w:line="240" w:lineRule="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1522" w:type="pct"/>
            <w:tcBorders>
              <w:tl2br w:val="nil"/>
              <w:tr2bl w:val="nil"/>
            </w:tcBorders>
            <w:noWrap w:val="0"/>
            <w:vAlign w:val="center"/>
          </w:tcPr>
          <w:p w14:paraId="430206A9">
            <w:pPr>
              <w:pStyle w:val="143"/>
              <w:pageBreakBefore w:val="0"/>
              <w:kinsoku/>
              <w:overflowPunct/>
              <w:bidi w:val="0"/>
              <w:adjustRightInd w:val="0"/>
              <w:snapToGrid w:val="0"/>
              <w:spacing w:line="240" w:lineRule="auto"/>
              <w:ind w:left="0" w:leftChars="0" w:right="0" w:rightChars="0"/>
              <w:rPr>
                <w:rFonts w:hint="eastAsia"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val="en-US" w:eastAsia="zh-CN"/>
              </w:rPr>
              <w:t>医疗救治组副组长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B</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21BD630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木工</w:t>
            </w:r>
          </w:p>
        </w:tc>
        <w:tc>
          <w:tcPr>
            <w:tcW w:w="1010" w:type="pct"/>
            <w:tcBorders>
              <w:tl2br w:val="nil"/>
              <w:tr2bl w:val="nil"/>
            </w:tcBorders>
            <w:noWrap w:val="0"/>
            <w:vAlign w:val="center"/>
          </w:tcPr>
          <w:p w14:paraId="1674DE8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sz w:val="21"/>
                <w:szCs w:val="21"/>
                <w:lang w:val="en-US" w:eastAsia="zh-CN"/>
              </w:rPr>
              <w:t>谢友民</w:t>
            </w:r>
          </w:p>
        </w:tc>
        <w:tc>
          <w:tcPr>
            <w:tcW w:w="1000" w:type="pct"/>
            <w:tcBorders>
              <w:tl2br w:val="nil"/>
              <w:tr2bl w:val="nil"/>
            </w:tcBorders>
            <w:noWrap w:val="0"/>
            <w:vAlign w:val="center"/>
          </w:tcPr>
          <w:p w14:paraId="7C88BB43">
            <w:pPr>
              <w:pStyle w:val="143"/>
              <w:pageBreakBefore w:val="0"/>
              <w:kinsoku/>
              <w:overflowPunct/>
              <w:bidi w:val="0"/>
              <w:adjustRightInd w:val="0"/>
              <w:snapToGrid w:val="0"/>
              <w:spacing w:line="240" w:lineRule="auto"/>
              <w:ind w:left="0" w:leftChars="0" w:right="0" w:rightChars="0"/>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13580185524</w:t>
            </w:r>
          </w:p>
        </w:tc>
      </w:tr>
      <w:tr w14:paraId="157D2A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330A7506">
            <w:pPr>
              <w:pStyle w:val="143"/>
              <w:pageBreakBefore w:val="0"/>
              <w:kinsoku/>
              <w:overflowPunct/>
              <w:bidi w:val="0"/>
              <w:adjustRightInd w:val="0"/>
              <w:snapToGrid w:val="0"/>
              <w:spacing w:line="240" w:lineRule="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w:t>
            </w:r>
          </w:p>
        </w:tc>
        <w:tc>
          <w:tcPr>
            <w:tcW w:w="1522" w:type="pct"/>
            <w:tcBorders>
              <w:tl2br w:val="nil"/>
              <w:tr2bl w:val="nil"/>
            </w:tcBorders>
            <w:noWrap w:val="0"/>
            <w:vAlign w:val="center"/>
          </w:tcPr>
          <w:p w14:paraId="1053D41F">
            <w:pPr>
              <w:pStyle w:val="143"/>
              <w:pageBreakBefore w:val="0"/>
              <w:kinsoku/>
              <w:overflowPunct/>
              <w:bidi w:val="0"/>
              <w:adjustRightInd w:val="0"/>
              <w:snapToGrid w:val="0"/>
              <w:spacing w:line="240" w:lineRule="auto"/>
              <w:ind w:left="0" w:leftChars="0" w:right="0" w:rightChars="0"/>
              <w:rPr>
                <w:rFonts w:hint="eastAsia"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val="en-US" w:eastAsia="zh-CN"/>
              </w:rPr>
              <w:t>应急监测组组长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A</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1E98680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财务</w:t>
            </w:r>
          </w:p>
        </w:tc>
        <w:tc>
          <w:tcPr>
            <w:tcW w:w="1010" w:type="pct"/>
            <w:tcBorders>
              <w:tl2br w:val="nil"/>
              <w:tr2bl w:val="nil"/>
            </w:tcBorders>
            <w:noWrap w:val="0"/>
            <w:vAlign w:val="center"/>
          </w:tcPr>
          <w:p w14:paraId="437F447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sz w:val="21"/>
                <w:szCs w:val="21"/>
                <w:lang w:val="en-US" w:eastAsia="zh-CN"/>
              </w:rPr>
              <w:t>吉明珠</w:t>
            </w:r>
          </w:p>
        </w:tc>
        <w:tc>
          <w:tcPr>
            <w:tcW w:w="1000" w:type="pct"/>
            <w:tcBorders>
              <w:tl2br w:val="nil"/>
              <w:tr2bl w:val="nil"/>
            </w:tcBorders>
            <w:noWrap w:val="0"/>
            <w:vAlign w:val="center"/>
          </w:tcPr>
          <w:p w14:paraId="3993620D">
            <w:pPr>
              <w:pStyle w:val="143"/>
              <w:pageBreakBefore w:val="0"/>
              <w:kinsoku/>
              <w:overflowPunct/>
              <w:bidi w:val="0"/>
              <w:adjustRightInd w:val="0"/>
              <w:snapToGrid w:val="0"/>
              <w:spacing w:line="240" w:lineRule="auto"/>
              <w:ind w:left="0" w:leftChars="0" w:right="0" w:rightChars="0"/>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18795731058</w:t>
            </w:r>
          </w:p>
        </w:tc>
      </w:tr>
      <w:tr w14:paraId="112F04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124632DE">
            <w:pPr>
              <w:pStyle w:val="143"/>
              <w:pageBreakBefore w:val="0"/>
              <w:kinsoku/>
              <w:overflowPunct/>
              <w:bidi w:val="0"/>
              <w:adjustRightInd w:val="0"/>
              <w:snapToGrid w:val="0"/>
              <w:spacing w:line="240" w:lineRule="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522" w:type="pct"/>
            <w:tcBorders>
              <w:tl2br w:val="nil"/>
              <w:tr2bl w:val="nil"/>
            </w:tcBorders>
            <w:noWrap w:val="0"/>
            <w:vAlign w:val="center"/>
          </w:tcPr>
          <w:p w14:paraId="5CC374AD">
            <w:pPr>
              <w:pStyle w:val="143"/>
              <w:pageBreakBefore w:val="0"/>
              <w:kinsoku/>
              <w:overflowPunct/>
              <w:bidi w:val="0"/>
              <w:adjustRightInd w:val="0"/>
              <w:snapToGrid w:val="0"/>
              <w:spacing w:line="240" w:lineRule="auto"/>
              <w:ind w:left="0" w:leftChars="0" w:right="0" w:rightChars="0"/>
              <w:rPr>
                <w:rFonts w:hint="eastAsia"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val="en-US" w:eastAsia="zh-CN"/>
              </w:rPr>
              <w:t>应急监测组副组长</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B</w:t>
            </w:r>
            <w:r>
              <w:rPr>
                <w:rFonts w:hint="default" w:ascii="Times New Roman" w:hAnsi="Times New Roman" w:eastAsia="宋体" w:cs="Times New Roman"/>
                <w:b w:val="0"/>
                <w:bCs w:val="0"/>
                <w:color w:val="auto"/>
                <w:sz w:val="21"/>
                <w:szCs w:val="21"/>
                <w:lang w:eastAsia="zh-CN"/>
              </w:rPr>
              <w:t>）</w:t>
            </w:r>
          </w:p>
        </w:tc>
        <w:tc>
          <w:tcPr>
            <w:tcW w:w="998" w:type="pct"/>
            <w:tcBorders>
              <w:tl2br w:val="nil"/>
              <w:tr2bl w:val="nil"/>
            </w:tcBorders>
            <w:noWrap w:val="0"/>
            <w:vAlign w:val="center"/>
          </w:tcPr>
          <w:p w14:paraId="6A7FBB1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涂装</w:t>
            </w:r>
          </w:p>
        </w:tc>
        <w:tc>
          <w:tcPr>
            <w:tcW w:w="1010" w:type="pct"/>
            <w:tcBorders>
              <w:tl2br w:val="nil"/>
              <w:tr2bl w:val="nil"/>
            </w:tcBorders>
            <w:noWrap w:val="0"/>
            <w:vAlign w:val="center"/>
          </w:tcPr>
          <w:p w14:paraId="36A522A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eastAsia="宋体" w:cs="Times New Roman"/>
                <w:b w:val="0"/>
                <w:bCs w:val="0"/>
                <w:color w:val="000000"/>
                <w:sz w:val="21"/>
                <w:szCs w:val="21"/>
                <w:lang w:val="en-US" w:eastAsia="zh-CN"/>
              </w:rPr>
              <w:t xml:space="preserve">于俊芳  </w:t>
            </w:r>
          </w:p>
        </w:tc>
        <w:tc>
          <w:tcPr>
            <w:tcW w:w="1000" w:type="pct"/>
            <w:tcBorders>
              <w:tl2br w:val="nil"/>
              <w:tr2bl w:val="nil"/>
            </w:tcBorders>
            <w:noWrap w:val="0"/>
            <w:vAlign w:val="center"/>
          </w:tcPr>
          <w:p w14:paraId="1C6BF46B">
            <w:pPr>
              <w:pStyle w:val="143"/>
              <w:pageBreakBefore w:val="0"/>
              <w:kinsoku/>
              <w:overflowPunct/>
              <w:bidi w:val="0"/>
              <w:adjustRightInd w:val="0"/>
              <w:snapToGrid w:val="0"/>
              <w:spacing w:line="240" w:lineRule="auto"/>
              <w:ind w:left="0" w:leftChars="0" w:right="0" w:rightChars="0"/>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13218434032</w:t>
            </w:r>
          </w:p>
        </w:tc>
      </w:tr>
      <w:tr w14:paraId="0632CF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8" w:type="pct"/>
            <w:tcBorders>
              <w:tl2br w:val="nil"/>
              <w:tr2bl w:val="nil"/>
            </w:tcBorders>
            <w:noWrap w:val="0"/>
            <w:vAlign w:val="center"/>
          </w:tcPr>
          <w:p w14:paraId="7A74E0C8">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13</w:t>
            </w:r>
          </w:p>
        </w:tc>
        <w:tc>
          <w:tcPr>
            <w:tcW w:w="3531" w:type="pct"/>
            <w:gridSpan w:val="3"/>
            <w:tcBorders>
              <w:tl2br w:val="nil"/>
              <w:tr2bl w:val="nil"/>
            </w:tcBorders>
            <w:noWrap w:val="0"/>
            <w:vAlign w:val="center"/>
          </w:tcPr>
          <w:p w14:paraId="054C41DF">
            <w:pPr>
              <w:pStyle w:val="143"/>
              <w:pageBreakBefore w:val="0"/>
              <w:kinsoku/>
              <w:overflowPunct/>
              <w:bidi w:val="0"/>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公司值班电话</w:t>
            </w:r>
          </w:p>
        </w:tc>
        <w:tc>
          <w:tcPr>
            <w:tcW w:w="1000" w:type="pct"/>
            <w:tcBorders>
              <w:tl2br w:val="nil"/>
              <w:tr2bl w:val="nil"/>
            </w:tcBorders>
            <w:noWrap w:val="0"/>
            <w:vAlign w:val="center"/>
          </w:tcPr>
          <w:p w14:paraId="2A54FE0C">
            <w:pPr>
              <w:pStyle w:val="143"/>
              <w:pageBreakBefore w:val="0"/>
              <w:kinsoku/>
              <w:overflowPunct/>
              <w:bidi w:val="0"/>
              <w:adjustRightInd w:val="0"/>
              <w:snapToGrid w:val="0"/>
              <w:spacing w:line="240" w:lineRule="auto"/>
              <w:ind w:left="0" w:leftChars="0" w:right="0" w:rightChars="0"/>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13218434032</w:t>
            </w:r>
          </w:p>
        </w:tc>
      </w:tr>
      <w:bookmarkEnd w:id="141"/>
      <w:bookmarkEnd w:id="142"/>
    </w:tbl>
    <w:p w14:paraId="2FF19167">
      <w:pPr>
        <w:pStyle w:val="2"/>
        <w:pageBreakBefore w:val="0"/>
        <w:tabs>
          <w:tab w:val="left" w:pos="5184"/>
        </w:tabs>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146" w:name="_Toc16727"/>
      <w:bookmarkStart w:id="147" w:name="_Toc266"/>
      <w:bookmarkStart w:id="148" w:name="_Toc535504497"/>
      <w:bookmarkStart w:id="149" w:name="_Toc27318"/>
      <w:bookmarkStart w:id="150" w:name="_Toc13629"/>
      <w:bookmarkStart w:id="151" w:name="_Toc534199362"/>
      <w:bookmarkStart w:id="152" w:name="_Toc275938146"/>
      <w:bookmarkStart w:id="153" w:name="_Toc276118389"/>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.2 指挥机构的主要职责</w:t>
      </w:r>
      <w:bookmarkEnd w:id="146"/>
      <w:bookmarkEnd w:id="147"/>
      <w:bookmarkEnd w:id="148"/>
      <w:bookmarkEnd w:id="149"/>
      <w:bookmarkEnd w:id="150"/>
      <w:bookmarkEnd w:id="151"/>
    </w:p>
    <w:p w14:paraId="1906F28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（1）贯彻执行国家、当地政府、上级有关部门关于环境安全的方针、政策及规定；</w:t>
      </w:r>
    </w:p>
    <w:p w14:paraId="6211A10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（2）组织制定突发环境事件应急预案；</w:t>
      </w:r>
    </w:p>
    <w:p w14:paraId="6FD4862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（3）组建突发环境事件应急救援队伍；</w:t>
      </w:r>
    </w:p>
    <w:p w14:paraId="016739B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（4）负责应急防范设施（备）（如堵漏器材、环境应急池、应急监测仪器、防护器材、救援器材和应急交通工具等）的建设；以及应急救援物资，特别是处理泄漏物、消解和吸收污染物的</w:t>
      </w:r>
      <w:r>
        <w:rPr>
          <w:rFonts w:hint="eastAsia" w:ascii="Times New Roman" w:hAnsi="Times New Roman" w:cs="Times New Roman" w:eastAsiaTheme="minorEastAsia"/>
          <w:bCs/>
          <w:color w:val="auto"/>
          <w:sz w:val="24"/>
          <w:szCs w:val="24"/>
          <w:highlight w:val="none"/>
          <w:lang w:eastAsia="zh-CN"/>
        </w:rPr>
        <w:t>化学物质等</w:t>
      </w:r>
      <w:r>
        <w:rPr>
          <w:rFonts w:hint="default" w:ascii="Times New Roman" w:hAnsi="Times New Roman" w:cs="Times New Roman" w:eastAsiaTheme="minorEastAsia"/>
          <w:bCs/>
          <w:color w:val="auto"/>
          <w:sz w:val="24"/>
          <w:szCs w:val="24"/>
          <w:highlight w:val="none"/>
        </w:rPr>
        <w:t>物资（如活性炭、木屑和石灰等）的储备；</w:t>
      </w:r>
    </w:p>
    <w:p w14:paraId="7B8C486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（5）检查、督促做好突发环境事件的预防措施和应急救援的各项准备工作，督促、协助有关部门及时消除有毒有害物质的跑、冒、滴、漏；</w:t>
      </w:r>
    </w:p>
    <w:p w14:paraId="4E514C0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（6）负责组织预案的审批与更新（</w:t>
      </w:r>
      <w:r>
        <w:rPr>
          <w:rFonts w:hint="eastAsia" w:ascii="Times New Roman" w:hAnsi="Times New Roman" w:cs="Times New Roman" w:eastAsiaTheme="minorEastAsia"/>
          <w:bCs/>
          <w:color w:val="auto"/>
          <w:sz w:val="24"/>
          <w:szCs w:val="24"/>
          <w:highlight w:val="none"/>
          <w:lang w:eastAsia="zh-CN"/>
        </w:rPr>
        <w:t>公司应急救援指挥组</w:t>
      </w:r>
      <w:r>
        <w:rPr>
          <w:rFonts w:hint="default" w:ascii="Times New Roman" w:hAnsi="Times New Roman" w:cs="Times New Roman" w:eastAsiaTheme="minorEastAsia"/>
          <w:bCs/>
          <w:color w:val="auto"/>
          <w:sz w:val="24"/>
          <w:szCs w:val="24"/>
          <w:highlight w:val="none"/>
        </w:rPr>
        <w:t>负责审定</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内部各级应急预案）；</w:t>
      </w:r>
    </w:p>
    <w:p w14:paraId="42376DD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（7）负责组织外部评审；</w:t>
      </w:r>
    </w:p>
    <w:p w14:paraId="6E05BEB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（8）批准本预案的启动与终止；</w:t>
      </w:r>
    </w:p>
    <w:p w14:paraId="6C44030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（9）协调事件现场有关工作；</w:t>
      </w:r>
    </w:p>
    <w:p w14:paraId="44E18A0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（10）负责应急队伍的调动和资源配置；</w:t>
      </w:r>
    </w:p>
    <w:p w14:paraId="3BCB89B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（11）突发环境事件信息的上报及</w:t>
      </w:r>
      <w:r>
        <w:rPr>
          <w:rFonts w:hint="default" w:ascii="Times New Roman" w:hAnsi="Times New Roman" w:cs="Times New Roman" w:eastAsiaTheme="minorEastAsia"/>
          <w:bCs/>
          <w:color w:val="auto"/>
          <w:sz w:val="24"/>
          <w:szCs w:val="24"/>
          <w:highlight w:val="none"/>
          <w:lang w:eastAsia="zh-CN"/>
        </w:rPr>
        <w:t>配合相关部门向</w:t>
      </w:r>
      <w:r>
        <w:rPr>
          <w:rFonts w:hint="default" w:ascii="Times New Roman" w:hAnsi="Times New Roman" w:cs="Times New Roman" w:eastAsiaTheme="minorEastAsia"/>
          <w:bCs/>
          <w:color w:val="auto"/>
          <w:sz w:val="24"/>
          <w:szCs w:val="24"/>
          <w:highlight w:val="none"/>
        </w:rPr>
        <w:t>可能受影响区域的通报工作；</w:t>
      </w:r>
    </w:p>
    <w:p w14:paraId="429BD1A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（12）负责应急状态下请求外部救援力量的决策；</w:t>
      </w:r>
    </w:p>
    <w:p w14:paraId="0B02B45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rPr>
        <w:t>（13）接受上级应急救援指挥机构的指令和调动，协助事件的处理；配合有关部门对环境进行修复、事件调查、经验教训总结；</w:t>
      </w:r>
    </w:p>
    <w:p w14:paraId="36E3CFB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（14）负责保护事件现场及相关数据；</w:t>
      </w:r>
    </w:p>
    <w:p w14:paraId="070E83C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（15）有计划地组织实施突发环境事件应急救援的培训，根据应急预案进行演练，向周边</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提供本单位有关危险物质特性、救援知识等宣传材料；</w:t>
      </w:r>
    </w:p>
    <w:p w14:paraId="4C2E31C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（16）总指挥在接到事件报警后，决定启动公司环境应急预案，通知应急救援的相关部门做好应急准备，并负责应急救援的统一指挥。根据事件发生、发展的情况决定是否请求上级</w:t>
      </w:r>
      <w:r>
        <w:rPr>
          <w:rFonts w:hint="eastAsia" w:ascii="Times New Roman" w:hAnsi="Times New Roman" w:cs="Times New Roman" w:eastAsiaTheme="minorEastAsia"/>
          <w:bCs/>
          <w:color w:val="auto"/>
          <w:sz w:val="24"/>
          <w:szCs w:val="24"/>
          <w:highlight w:val="none"/>
          <w:lang w:eastAsia="zh-CN"/>
        </w:rPr>
        <w:t>应急救援指挥组</w:t>
      </w:r>
      <w:r>
        <w:rPr>
          <w:rFonts w:hint="default" w:ascii="Times New Roman" w:hAnsi="Times New Roman" w:cs="Times New Roman" w:eastAsiaTheme="minorEastAsia"/>
          <w:bCs/>
          <w:color w:val="auto"/>
          <w:sz w:val="24"/>
          <w:szCs w:val="24"/>
          <w:highlight w:val="none"/>
        </w:rPr>
        <w:t>给予支援，成员协助总指挥负责应急救援的具体指挥工作。</w:t>
      </w:r>
    </w:p>
    <w:p w14:paraId="4784C1D2">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54" w:name="_Toc534199363"/>
      <w:bookmarkStart w:id="155" w:name="_Toc17112"/>
      <w:bookmarkStart w:id="156" w:name="_Toc12033"/>
      <w:bookmarkStart w:id="157" w:name="_Toc535504498"/>
      <w:bookmarkStart w:id="158" w:name="_Toc21125"/>
      <w:bookmarkStart w:id="159" w:name="_Toc12160"/>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.3 各</w:t>
      </w:r>
      <w:r>
        <w:rPr>
          <w:rFonts w:hint="eastAsia" w:cs="Times New Roman"/>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主要职责</w:t>
      </w:r>
      <w:bookmarkEnd w:id="154"/>
      <w:bookmarkEnd w:id="155"/>
      <w:bookmarkEnd w:id="156"/>
      <w:bookmarkEnd w:id="157"/>
      <w:bookmarkEnd w:id="158"/>
      <w:bookmarkEnd w:id="159"/>
    </w:p>
    <w:p w14:paraId="01F90222">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在发生事故时，总指挥和各</w:t>
      </w:r>
      <w:r>
        <w:rPr>
          <w:rFonts w:hint="eastAsia" w:ascii="Times New Roman" w:hAnsi="Times New Roman" w:cs="Times New Roman" w:eastAsiaTheme="minorEastAsia"/>
          <w:color w:val="auto"/>
          <w:sz w:val="24"/>
          <w:szCs w:val="24"/>
          <w:highlight w:val="none"/>
          <w:lang w:val="zh-CN"/>
        </w:rPr>
        <w:t>应急小组</w:t>
      </w:r>
      <w:r>
        <w:rPr>
          <w:rFonts w:hint="default" w:ascii="Times New Roman" w:hAnsi="Times New Roman" w:cs="Times New Roman" w:eastAsiaTheme="minorEastAsia"/>
          <w:color w:val="auto"/>
          <w:sz w:val="24"/>
          <w:szCs w:val="24"/>
          <w:highlight w:val="none"/>
          <w:lang w:val="zh-CN"/>
        </w:rPr>
        <w:t>按各自职责分工开展应急救援工作。通过平时的演习、训练，完善事故应急预案。各应急救援组主要职责如下：</w:t>
      </w:r>
    </w:p>
    <w:p w14:paraId="50979DBE">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rPr>
        <w:t>(1)</w:t>
      </w:r>
      <w:r>
        <w:rPr>
          <w:rFonts w:hint="eastAsia" w:ascii="Times New Roman" w:hAnsi="Times New Roman" w:cs="Times New Roman" w:eastAsiaTheme="minorEastAsia"/>
          <w:color w:val="auto"/>
          <w:sz w:val="24"/>
          <w:szCs w:val="24"/>
          <w:highlight w:val="none"/>
          <w:lang w:val="en-US" w:eastAsia="zh-CN"/>
        </w:rPr>
        <w:t>指挥部</w:t>
      </w:r>
    </w:p>
    <w:p w14:paraId="0FC81513">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zh-CN"/>
        </w:rPr>
        <w:t>负责人及电话：总指挥</w:t>
      </w:r>
      <w:r>
        <w:rPr>
          <w:rFonts w:hint="eastAsia" w:ascii="Times New Roman" w:hAnsi="Times New Roman" w:cs="Times New Roman" w:eastAsiaTheme="minorEastAsia"/>
          <w:color w:val="auto"/>
          <w:sz w:val="24"/>
          <w:szCs w:val="24"/>
          <w:highlight w:val="none"/>
          <w:lang w:val="zh-CN" w:eastAsia="zh-CN"/>
        </w:rPr>
        <w:t>邹志文</w:t>
      </w: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13913779608</w:t>
      </w:r>
    </w:p>
    <w:p w14:paraId="4B39D036">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cs="Times New Roman" w:eastAsiaTheme="minorEastAsia"/>
          <w:color w:val="auto"/>
          <w:sz w:val="24"/>
          <w:szCs w:val="24"/>
          <w:highlight w:val="none"/>
          <w:lang w:val="zh-CN"/>
        </w:rPr>
        <w:t>副总指</w:t>
      </w:r>
      <w:r>
        <w:rPr>
          <w:rFonts w:hint="eastAsia" w:ascii="Times New Roman" w:hAnsi="Times New Roman" w:cs="Times New Roman" w:eastAsiaTheme="minorEastAsia"/>
          <w:color w:val="auto"/>
          <w:sz w:val="24"/>
          <w:szCs w:val="24"/>
          <w:highlight w:val="none"/>
          <w:lang w:val="en-US" w:eastAsia="zh-CN"/>
        </w:rPr>
        <w:t>挥：张义国，13962607921</w:t>
      </w:r>
    </w:p>
    <w:p w14:paraId="3BFFCB95">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0B5C16B1">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1）总指挥: </w:t>
      </w:r>
    </w:p>
    <w:p w14:paraId="44D15600">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①第一时间接警，甄别是一般还是较大环境污染事故，并根据事故等级，下达启动应急预案指令，同时向相关职能管理部门上报事故发生情况； </w:t>
      </w:r>
    </w:p>
    <w:p w14:paraId="4501D9A7">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②组织建立救援队伍，定期组织应急预案的培训和演练，检查督促做好重大环境事件预防措施和救援的各项准备工作，发生事件时，批准预案的启动和终止； </w:t>
      </w:r>
    </w:p>
    <w:p w14:paraId="5A9BD039">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③负责制定环境污染事故的应急方案并组织现场实施； </w:t>
      </w:r>
    </w:p>
    <w:p w14:paraId="05A0FC7C">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④负责开展企业应急响应水平的应急救援行动，下达进入应急救援状态的命令，指挥协调应急救援反应行动； </w:t>
      </w:r>
    </w:p>
    <w:p w14:paraId="5B92A840">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⑤调查和预测事件可能的发展方向。当响应级别上升为社会应急，负责向政府有关部门提出应急救援请求； </w:t>
      </w:r>
    </w:p>
    <w:p w14:paraId="44E03540">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⑥应急救援终止后，组织事件调查，总结经验教训，下达事件现场的善后处理工作，注意保护事件发生后的相关证据； </w:t>
      </w:r>
    </w:p>
    <w:p w14:paraId="2FD2B91D">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⑦总指挥负责与生态环境局工作对接，同时负责现场信息控制工作，防止应急组人员随意发布信息，防止谣言、造成恐慌，限制无关人员进入，公司的信息需统一经过总指挥的确认无误后方可发布； </w:t>
      </w:r>
    </w:p>
    <w:p w14:paraId="022356F5">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⑧负责编制环境污染事故报告，将事故报告向上级部门汇报，并开展总结批评及奖赏大会，并组织全体人员共同学习经验教训。 </w:t>
      </w:r>
    </w:p>
    <w:p w14:paraId="660BC267">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2）副总指挥：</w:t>
      </w:r>
    </w:p>
    <w:p w14:paraId="3FCA5BDF">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①协助总指挥领导救援工作，总指挥不在时代行总指挥职权； </w:t>
      </w:r>
    </w:p>
    <w:p w14:paraId="5E98A113">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②向应急指挥部提供事故部位的周边平面图布置图，设备平面布置图、带控制点的工艺流程图； </w:t>
      </w:r>
    </w:p>
    <w:p w14:paraId="7172625F">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③及时向场外传达指挥信息，收集救援动态，提出救援对策和建议； </w:t>
      </w:r>
    </w:p>
    <w:p w14:paraId="69D02196">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④具体负责善后处理工作； </w:t>
      </w:r>
    </w:p>
    <w:p w14:paraId="0FFB408E">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⑤进行环境污染事故经济损失评估，并对应急预案进行及时总结，协助公司领导完成应急预案的修改或完善工作。</w:t>
      </w:r>
    </w:p>
    <w:p w14:paraId="13309915">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 xml:space="preserve">(2) </w:t>
      </w:r>
      <w:r>
        <w:rPr>
          <w:rFonts w:hint="eastAsia" w:ascii="Times New Roman" w:hAnsi="Times New Roman" w:cs="Times New Roman" w:eastAsiaTheme="minorEastAsia"/>
          <w:color w:val="auto"/>
          <w:sz w:val="24"/>
          <w:szCs w:val="24"/>
          <w:highlight w:val="none"/>
          <w:lang w:val="en-US" w:eastAsia="zh-CN"/>
        </w:rPr>
        <w:t>综合协调</w:t>
      </w:r>
      <w:r>
        <w:rPr>
          <w:rFonts w:hint="default" w:ascii="Times New Roman" w:hAnsi="Times New Roman" w:cs="Times New Roman" w:eastAsiaTheme="minorEastAsia"/>
          <w:color w:val="auto"/>
          <w:sz w:val="24"/>
          <w:szCs w:val="24"/>
          <w:highlight w:val="none"/>
          <w:lang w:val="zh-CN"/>
        </w:rPr>
        <w:t>组</w:t>
      </w:r>
    </w:p>
    <w:p w14:paraId="2A9FDB42">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组长及电话：</w:t>
      </w:r>
      <w:r>
        <w:rPr>
          <w:rFonts w:hint="eastAsia" w:ascii="Times New Roman" w:hAnsi="Times New Roman" w:cs="Times New Roman" w:eastAsiaTheme="minorEastAsia"/>
          <w:color w:val="auto"/>
          <w:sz w:val="24"/>
          <w:szCs w:val="24"/>
          <w:highlight w:val="none"/>
          <w:lang w:val="en-US" w:eastAsia="zh-CN"/>
        </w:rPr>
        <w:t>周小华</w:t>
      </w:r>
      <w:r>
        <w:rPr>
          <w:rFonts w:hint="default" w:ascii="Times New Roman" w:hAnsi="Times New Roman" w:cs="Times New Roman" w:eastAsiaTheme="minorEastAsia"/>
          <w:color w:val="auto"/>
          <w:sz w:val="24"/>
          <w:szCs w:val="24"/>
          <w:highlight w:val="none"/>
          <w:lang w:val="zh-CN" w:eastAsia="zh-CN"/>
        </w:rPr>
        <w:t>，</w:t>
      </w:r>
      <w:r>
        <w:rPr>
          <w:rFonts w:hint="eastAsia" w:ascii="Times New Roman" w:hAnsi="Times New Roman" w:cs="Times New Roman" w:eastAsiaTheme="minorEastAsia"/>
          <w:color w:val="auto"/>
          <w:sz w:val="24"/>
          <w:szCs w:val="24"/>
          <w:highlight w:val="none"/>
          <w:lang w:val="en-US" w:eastAsia="zh-CN"/>
        </w:rPr>
        <w:t>13003572857</w:t>
      </w:r>
    </w:p>
    <w:p w14:paraId="024B91C7">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副组长：</w:t>
      </w:r>
      <w:r>
        <w:rPr>
          <w:rFonts w:hint="eastAsia" w:ascii="Times New Roman" w:hAnsi="Times New Roman" w:cs="Times New Roman" w:eastAsiaTheme="minorEastAsia"/>
          <w:color w:val="auto"/>
          <w:sz w:val="24"/>
          <w:szCs w:val="24"/>
          <w:highlight w:val="none"/>
          <w:lang w:val="en-US" w:eastAsia="zh-CN"/>
        </w:rPr>
        <w:t>黄长先</w:t>
      </w:r>
      <w:r>
        <w:rPr>
          <w:rFonts w:hint="default" w:ascii="Times New Roman" w:hAnsi="Times New Roman" w:cs="Times New Roman" w:eastAsiaTheme="minorEastAsia"/>
          <w:color w:val="auto"/>
          <w:sz w:val="24"/>
          <w:szCs w:val="24"/>
          <w:highlight w:val="none"/>
          <w:lang w:val="zh-CN" w:eastAsia="zh-CN"/>
        </w:rPr>
        <w:t>，</w:t>
      </w:r>
      <w:r>
        <w:rPr>
          <w:rFonts w:hint="eastAsia" w:ascii="Times New Roman" w:hAnsi="Times New Roman" w:cs="Times New Roman" w:eastAsiaTheme="minorEastAsia"/>
          <w:color w:val="auto"/>
          <w:sz w:val="24"/>
          <w:szCs w:val="24"/>
          <w:highlight w:val="none"/>
          <w:lang w:val="en-US" w:eastAsia="zh-CN"/>
        </w:rPr>
        <w:t>15996677788</w:t>
      </w:r>
    </w:p>
    <w:p w14:paraId="3EA619A6">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689D7CE8">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bookmarkStart w:id="160" w:name="_Hlk22139678"/>
      <w:r>
        <w:rPr>
          <w:rFonts w:hint="default" w:ascii="Times New Roman" w:hAnsi="Times New Roman" w:cs="Times New Roman" w:eastAsiaTheme="minorEastAsia"/>
          <w:color w:val="auto"/>
          <w:sz w:val="24"/>
          <w:szCs w:val="24"/>
          <w:highlight w:val="none"/>
          <w:lang w:val="zh-CN" w:eastAsia="zh-CN"/>
        </w:rPr>
        <w:t xml:space="preserve">①负责将情况汇报给应急指挥组总指挥，并负责召集应急指挥机构成员，反映各小组进展情况，及时向各小组传达领导小组的指令，同时负责与外部企业、居民、学校、消防、医疗、交通、环境监测等部门的联系； </w:t>
      </w:r>
    </w:p>
    <w:p w14:paraId="6DA4CF8C">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eastAsia="zh-CN"/>
        </w:rPr>
        <w:t xml:space="preserve">②承担与当地区域或各职能管理部门的应急指挥机构的联系工作，及时将事故发生情况及最新进展向有关部门汇报，并将上级指挥机构的命令及时向应急指挥组汇报； </w:t>
      </w:r>
    </w:p>
    <w:p w14:paraId="1E35A836">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eastAsia="zh-CN"/>
        </w:rPr>
        <w:t xml:space="preserve">③负责联络相邻工厂，请求支援，若发生较大事故，负责告知周边大气环境风险受体及时撤离； </w:t>
      </w:r>
    </w:p>
    <w:p w14:paraId="529E6242">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④负责工厂正门的警戒和警卫，根据应急总指挥指定的危险区范围设置警戒绳进行警戒，不允许应急行动组或互救单位以外的人员进入警戒区，做好互救单位联合义务消防组的引导工作；</w:t>
      </w:r>
    </w:p>
    <w:p w14:paraId="136B9D6E">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eastAsia="zh-CN"/>
        </w:rPr>
        <w:t>⑤疏通事发现场道路，保证救援工作顺利进行，并对外援人员进行引导，使其进入现场，将闲杂人员阻挡在厂门以外，负责厂内车辆及装备的调度；</w:t>
      </w:r>
    </w:p>
    <w:p w14:paraId="22698C41">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eastAsia="zh-CN"/>
        </w:rPr>
        <w:t xml:space="preserve">⑥对火灾发生时就已停在危险区的车辆进行引导，使其撤出危险区； </w:t>
      </w:r>
    </w:p>
    <w:p w14:paraId="79B2D321">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eastAsia="zh-CN"/>
        </w:rPr>
        <w:t xml:space="preserve">⑦负责厂区内的治安警戒、治安管理和安全保卫工作，预防和打击违法犯罪活动，维护厂内交通秩序； </w:t>
      </w:r>
    </w:p>
    <w:p w14:paraId="29DB658F">
      <w:pPr>
        <w:widowControl/>
        <w:tabs>
          <w:tab w:val="left" w:pos="2130"/>
          <w:tab w:val="center" w:pos="4396"/>
        </w:tabs>
        <w:spacing w:line="500" w:lineRule="exact"/>
        <w:ind w:firstLine="480"/>
        <w:rPr>
          <w:rFonts w:hint="default"/>
          <w:lang w:val="zh-CN"/>
        </w:rPr>
      </w:pPr>
      <w:r>
        <w:rPr>
          <w:rFonts w:hint="default" w:ascii="Times New Roman" w:hAnsi="Times New Roman" w:cs="Times New Roman" w:eastAsiaTheme="minorEastAsia"/>
          <w:color w:val="auto"/>
          <w:sz w:val="24"/>
          <w:szCs w:val="24"/>
          <w:highlight w:val="none"/>
          <w:lang w:val="zh-CN" w:eastAsia="zh-CN"/>
        </w:rPr>
        <w:t>⑧</w:t>
      </w:r>
      <w:r>
        <w:rPr>
          <w:rFonts w:hint="eastAsia" w:ascii="宋体" w:eastAsia="宋体" w:cs="宋体"/>
          <w:sz w:val="24"/>
          <w:szCs w:val="24"/>
          <w:lang w:val="en-US" w:eastAsia="zh-CN"/>
        </w:rPr>
        <w:t>当综合协调</w:t>
      </w:r>
      <w:r>
        <w:rPr>
          <w:rFonts w:hint="eastAsia" w:ascii="宋体" w:hAnsi="宋体" w:eastAsia="宋体" w:cs="宋体"/>
          <w:sz w:val="24"/>
          <w:szCs w:val="24"/>
          <w:lang w:val="en-US" w:eastAsia="zh-CN"/>
        </w:rPr>
        <w:t>组</w:t>
      </w:r>
      <w:r>
        <w:rPr>
          <w:rFonts w:hint="eastAsia" w:ascii="宋体" w:eastAsia="宋体" w:cs="宋体"/>
          <w:sz w:val="24"/>
          <w:szCs w:val="24"/>
          <w:lang w:val="en-US" w:eastAsia="zh-CN"/>
        </w:rPr>
        <w:t>组长</w:t>
      </w:r>
      <w:r>
        <w:rPr>
          <w:rFonts w:hint="eastAsia" w:ascii="宋体" w:hAnsi="宋体" w:eastAsia="宋体" w:cs="宋体"/>
          <w:sz w:val="24"/>
          <w:szCs w:val="24"/>
          <w:lang w:val="en-US" w:eastAsia="zh-CN"/>
        </w:rPr>
        <w:t>不在岗时，</w:t>
      </w:r>
      <w:r>
        <w:rPr>
          <w:rFonts w:hint="eastAsia" w:ascii="宋体" w:eastAsia="宋体" w:cs="宋体"/>
          <w:sz w:val="24"/>
          <w:szCs w:val="24"/>
          <w:lang w:val="en-US" w:eastAsia="zh-CN"/>
        </w:rPr>
        <w:t>由综合协调组</w:t>
      </w:r>
      <w:r>
        <w:rPr>
          <w:rFonts w:hint="default" w:ascii="宋体" w:eastAsia="宋体" w:cs="宋体"/>
          <w:sz w:val="24"/>
          <w:szCs w:val="24"/>
          <w:lang w:val="en-US" w:eastAsia="zh-CN"/>
        </w:rPr>
        <w:t>副组长</w:t>
      </w:r>
      <w:r>
        <w:rPr>
          <w:rFonts w:hint="eastAsia" w:ascii="宋体" w:hAnsi="宋体" w:eastAsia="宋体" w:cs="宋体"/>
          <w:sz w:val="24"/>
          <w:szCs w:val="24"/>
          <w:lang w:val="en-US" w:eastAsia="zh-CN"/>
        </w:rPr>
        <w:t>自动代位履行</w:t>
      </w:r>
      <w:r>
        <w:rPr>
          <w:rFonts w:hint="eastAsia" w:ascii="宋体" w:eastAsia="宋体" w:cs="宋体"/>
          <w:sz w:val="24"/>
          <w:szCs w:val="24"/>
          <w:lang w:val="en-US" w:eastAsia="zh-CN"/>
        </w:rPr>
        <w:t>组长</w:t>
      </w:r>
      <w:r>
        <w:rPr>
          <w:rFonts w:hint="default" w:ascii="宋体" w:eastAsia="宋体" w:cs="宋体"/>
          <w:sz w:val="24"/>
          <w:szCs w:val="24"/>
          <w:lang w:eastAsia="zh-CN"/>
        </w:rPr>
        <w:t>应急</w:t>
      </w:r>
      <w:r>
        <w:rPr>
          <w:rFonts w:hint="eastAsia" w:ascii="宋体" w:hAnsi="宋体" w:eastAsia="宋体" w:cs="宋体"/>
          <w:sz w:val="24"/>
          <w:szCs w:val="24"/>
          <w:lang w:val="en-US" w:eastAsia="zh-CN"/>
        </w:rPr>
        <w:t>工作职责。</w:t>
      </w:r>
    </w:p>
    <w:bookmarkEnd w:id="160"/>
    <w:p w14:paraId="6C763230">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 xml:space="preserve">(3) </w:t>
      </w:r>
      <w:r>
        <w:rPr>
          <w:rFonts w:hint="eastAsia" w:ascii="Times New Roman" w:hAnsi="Times New Roman" w:cs="Times New Roman" w:eastAsiaTheme="minorEastAsia"/>
          <w:color w:val="auto"/>
          <w:sz w:val="24"/>
          <w:szCs w:val="24"/>
          <w:highlight w:val="none"/>
          <w:lang w:val="en-US" w:eastAsia="zh-CN"/>
        </w:rPr>
        <w:t>现场处置</w:t>
      </w:r>
      <w:r>
        <w:rPr>
          <w:rFonts w:hint="default" w:ascii="Times New Roman" w:hAnsi="Times New Roman" w:cs="Times New Roman" w:eastAsiaTheme="minorEastAsia"/>
          <w:color w:val="auto"/>
          <w:sz w:val="24"/>
          <w:szCs w:val="24"/>
          <w:highlight w:val="none"/>
          <w:lang w:val="zh-CN"/>
        </w:rPr>
        <w:t>组</w:t>
      </w:r>
    </w:p>
    <w:p w14:paraId="23BE22A0">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rPr>
        <w:t>组长及电话：</w:t>
      </w:r>
      <w:r>
        <w:rPr>
          <w:rFonts w:hint="eastAsia" w:ascii="Times New Roman" w:hAnsi="Times New Roman" w:cs="Times New Roman" w:eastAsiaTheme="minorEastAsia"/>
          <w:color w:val="auto"/>
          <w:sz w:val="24"/>
          <w:szCs w:val="24"/>
          <w:highlight w:val="none"/>
          <w:lang w:val="en-US" w:eastAsia="zh-CN"/>
        </w:rPr>
        <w:t>李士超</w:t>
      </w:r>
      <w:r>
        <w:rPr>
          <w:rFonts w:hint="default" w:ascii="Times New Roman" w:hAnsi="Times New Roman" w:cs="Times New Roman" w:eastAsiaTheme="minorEastAsia"/>
          <w:color w:val="auto"/>
          <w:sz w:val="24"/>
          <w:szCs w:val="24"/>
          <w:highlight w:val="none"/>
          <w:lang w:val="zh-CN" w:eastAsia="zh-CN"/>
        </w:rPr>
        <w:t>，</w:t>
      </w:r>
      <w:r>
        <w:rPr>
          <w:rFonts w:hint="eastAsia" w:ascii="Times New Roman" w:hAnsi="Times New Roman" w:cs="Times New Roman" w:eastAsiaTheme="minorEastAsia"/>
          <w:color w:val="auto"/>
          <w:sz w:val="24"/>
          <w:szCs w:val="24"/>
          <w:highlight w:val="none"/>
          <w:lang w:val="en-US" w:eastAsia="zh-CN"/>
        </w:rPr>
        <w:t>15938506639</w:t>
      </w:r>
    </w:p>
    <w:p w14:paraId="5B5A1B33">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副组长：</w:t>
      </w:r>
      <w:r>
        <w:rPr>
          <w:rFonts w:hint="eastAsia" w:ascii="Times New Roman" w:hAnsi="Times New Roman" w:cs="Times New Roman" w:eastAsiaTheme="minorEastAsia"/>
          <w:color w:val="auto"/>
          <w:sz w:val="24"/>
          <w:szCs w:val="24"/>
          <w:highlight w:val="none"/>
          <w:lang w:val="en-US" w:eastAsia="zh-CN"/>
        </w:rPr>
        <w:t>朱广林</w:t>
      </w:r>
      <w:r>
        <w:rPr>
          <w:rFonts w:hint="default" w:ascii="Times New Roman" w:hAnsi="Times New Roman" w:cs="Times New Roman" w:eastAsiaTheme="minorEastAsia"/>
          <w:color w:val="auto"/>
          <w:sz w:val="24"/>
          <w:szCs w:val="24"/>
          <w:highlight w:val="none"/>
          <w:lang w:val="zh-CN" w:eastAsia="zh-CN"/>
        </w:rPr>
        <w:t>，</w:t>
      </w:r>
      <w:r>
        <w:rPr>
          <w:rFonts w:hint="eastAsia" w:ascii="Times New Roman" w:hAnsi="Times New Roman" w:cs="Times New Roman" w:eastAsiaTheme="minorEastAsia"/>
          <w:color w:val="auto"/>
          <w:sz w:val="24"/>
          <w:szCs w:val="24"/>
          <w:highlight w:val="none"/>
          <w:lang w:val="en-US" w:eastAsia="zh-CN"/>
        </w:rPr>
        <w:t>18806277349</w:t>
      </w:r>
    </w:p>
    <w:p w14:paraId="17B92A5F">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1F070669">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 xml:space="preserve">①现场处置组负责事故区域的消火活动；负责公共区域、电气、保安设施的运行，自配电的启动，各设施的检修； </w:t>
      </w:r>
    </w:p>
    <w:p w14:paraId="1684FE23">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②在事故发生后，迅速派出人员进行抢险救灾</w:t>
      </w:r>
      <w:r>
        <w:rPr>
          <w:rFonts w:hint="eastAsia" w:ascii="Times New Roman" w:hAnsi="Times New Roman" w:cs="Times New Roman" w:eastAsiaTheme="minorEastAsia"/>
          <w:color w:val="auto"/>
          <w:sz w:val="24"/>
          <w:szCs w:val="24"/>
          <w:highlight w:val="none"/>
          <w:lang w:val="zh-CN" w:eastAsia="zh-CN"/>
        </w:rPr>
        <w:t>，</w:t>
      </w:r>
      <w:r>
        <w:rPr>
          <w:rFonts w:hint="eastAsia" w:ascii="宋体" w:hAnsi="宋体" w:eastAsia="宋体" w:cs="宋体"/>
          <w:sz w:val="24"/>
          <w:szCs w:val="24"/>
          <w:lang w:val="en-US" w:eastAsia="zh-CN"/>
        </w:rPr>
        <w:t>安排组员去切断雨水排口截流阀门</w:t>
      </w:r>
      <w:r>
        <w:rPr>
          <w:rFonts w:hint="eastAsia" w:ascii="宋体" w:eastAsia="宋体" w:cs="宋体"/>
          <w:sz w:val="24"/>
          <w:szCs w:val="24"/>
          <w:lang w:val="en-US" w:eastAsia="zh-CN"/>
        </w:rPr>
        <w:t>，打开应急池阀门，</w:t>
      </w:r>
      <w:r>
        <w:rPr>
          <w:rFonts w:hint="default" w:ascii="Times New Roman" w:hAnsi="Times New Roman" w:cs="Times New Roman" w:eastAsiaTheme="minorEastAsia"/>
          <w:color w:val="auto"/>
          <w:sz w:val="24"/>
          <w:szCs w:val="24"/>
          <w:highlight w:val="none"/>
          <w:lang w:val="zh-CN" w:eastAsia="zh-CN"/>
        </w:rPr>
        <w:t xml:space="preserve">在保证人员安全的情况下，对泄漏源进行堵漏、截流； </w:t>
      </w:r>
    </w:p>
    <w:p w14:paraId="4779F00C">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 xml:space="preserve">③负责停止生产，用沙袋堆积防止泄漏物料扩散，将成品、原料转移到安全区域并停止装卸作业； </w:t>
      </w:r>
    </w:p>
    <w:p w14:paraId="2863EB91">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④负责在专业消防队伍来到之前，进行火灾预防和扑救，尽可能减少损失；</w:t>
      </w:r>
    </w:p>
    <w:p w14:paraId="6D6A3750">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 xml:space="preserve">⑤在专业消防队伍来到后，按专业消防队伍的指挥员要求，配合进行工程抢险或火灾扑救； </w:t>
      </w:r>
    </w:p>
    <w:p w14:paraId="414ED8B0">
      <w:pPr>
        <w:widowControl/>
        <w:tabs>
          <w:tab w:val="left" w:pos="2130"/>
          <w:tab w:val="center" w:pos="4396"/>
        </w:tabs>
        <w:spacing w:line="500" w:lineRule="exact"/>
        <w:ind w:firstLine="480" w:firstLineChars="200"/>
        <w:jc w:val="left"/>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 xml:space="preserve">⑥火灾扑灭后，尽快组织力量抢修厂内的供电、供水等重要设施，尽快恢复功能。 </w:t>
      </w:r>
    </w:p>
    <w:p w14:paraId="1B19B9FA">
      <w:pPr>
        <w:widowControl/>
        <w:tabs>
          <w:tab w:val="left" w:pos="2130"/>
          <w:tab w:val="center" w:pos="4396"/>
        </w:tabs>
        <w:spacing w:line="500" w:lineRule="exact"/>
        <w:ind w:firstLine="480" w:firstLineChars="200"/>
        <w:jc w:val="left"/>
        <w:rPr>
          <w:rFonts w:hint="eastAsia" w:ascii="Times New Roman" w:hAnsi="Times New Roman" w:cs="Times New Roman"/>
          <w:sz w:val="24"/>
          <w:szCs w:val="24"/>
          <w:lang w:val="en-US" w:eastAsia="zh-CN"/>
        </w:rPr>
      </w:pPr>
      <w:r>
        <w:rPr>
          <w:rFonts w:hint="default" w:ascii="Times New Roman" w:hAnsi="Times New Roman" w:cs="Times New Roman" w:eastAsiaTheme="minorEastAsia"/>
          <w:color w:val="auto"/>
          <w:sz w:val="24"/>
          <w:szCs w:val="24"/>
          <w:highlight w:val="none"/>
          <w:lang w:val="zh-CN" w:eastAsia="zh-CN"/>
        </w:rPr>
        <w:t>⑦负责事故现场的洗消工作。</w:t>
      </w:r>
    </w:p>
    <w:p w14:paraId="0AD1AA65">
      <w:pPr>
        <w:spacing w:line="500" w:lineRule="exact"/>
        <w:ind w:firstLine="480"/>
        <w:rPr>
          <w:rFonts w:hint="default"/>
          <w:lang w:val="zh-CN"/>
        </w:rPr>
      </w:pPr>
      <w:r>
        <w:rPr>
          <w:rFonts w:hint="eastAsia" w:ascii="宋体" w:hAnsi="宋体" w:eastAsia="宋体" w:cs="宋体"/>
          <w:sz w:val="24"/>
          <w:szCs w:val="24"/>
          <w:lang w:val="en-US" w:eastAsia="zh-CN"/>
        </w:rPr>
        <w:t>⑧</w:t>
      </w:r>
      <w:r>
        <w:rPr>
          <w:rFonts w:hint="eastAsia" w:ascii="宋体" w:eastAsia="宋体" w:cs="宋体"/>
          <w:sz w:val="24"/>
          <w:szCs w:val="24"/>
          <w:lang w:val="en-US" w:eastAsia="zh-CN"/>
        </w:rPr>
        <w:t>当现场处置</w:t>
      </w:r>
      <w:r>
        <w:rPr>
          <w:rFonts w:hint="eastAsia" w:ascii="宋体" w:hAnsi="宋体" w:eastAsia="宋体" w:cs="宋体"/>
          <w:sz w:val="24"/>
          <w:szCs w:val="24"/>
          <w:lang w:val="en-US" w:eastAsia="zh-CN"/>
        </w:rPr>
        <w:t>组</w:t>
      </w:r>
      <w:r>
        <w:rPr>
          <w:rFonts w:hint="eastAsia" w:ascii="宋体" w:eastAsia="宋体" w:cs="宋体"/>
          <w:sz w:val="24"/>
          <w:szCs w:val="24"/>
          <w:lang w:val="en-US" w:eastAsia="zh-CN"/>
        </w:rPr>
        <w:t>组长</w:t>
      </w:r>
      <w:r>
        <w:rPr>
          <w:rFonts w:hint="eastAsia" w:ascii="宋体" w:hAnsi="宋体" w:eastAsia="宋体" w:cs="宋体"/>
          <w:sz w:val="24"/>
          <w:szCs w:val="24"/>
          <w:lang w:val="en-US" w:eastAsia="zh-CN"/>
        </w:rPr>
        <w:t>不在岗时，</w:t>
      </w:r>
      <w:r>
        <w:rPr>
          <w:rFonts w:hint="eastAsia" w:ascii="宋体" w:eastAsia="宋体" w:cs="宋体"/>
          <w:sz w:val="24"/>
          <w:szCs w:val="24"/>
          <w:lang w:val="en-US" w:eastAsia="zh-CN"/>
        </w:rPr>
        <w:t>由现场处置组</w:t>
      </w:r>
      <w:r>
        <w:rPr>
          <w:rFonts w:hint="default" w:ascii="宋体" w:eastAsia="宋体" w:cs="宋体"/>
          <w:sz w:val="24"/>
          <w:szCs w:val="24"/>
          <w:lang w:val="en-US" w:eastAsia="zh-CN"/>
        </w:rPr>
        <w:t>副组长</w:t>
      </w:r>
      <w:r>
        <w:rPr>
          <w:rFonts w:hint="eastAsia" w:ascii="宋体" w:hAnsi="宋体" w:eastAsia="宋体" w:cs="宋体"/>
          <w:sz w:val="24"/>
          <w:szCs w:val="24"/>
          <w:lang w:val="en-US" w:eastAsia="zh-CN"/>
        </w:rPr>
        <w:t>自动代位履行</w:t>
      </w:r>
      <w:r>
        <w:rPr>
          <w:rFonts w:hint="eastAsia" w:ascii="宋体" w:eastAsia="宋体" w:cs="宋体"/>
          <w:sz w:val="24"/>
          <w:szCs w:val="24"/>
          <w:lang w:val="en-US" w:eastAsia="zh-CN"/>
        </w:rPr>
        <w:t>组长</w:t>
      </w:r>
      <w:r>
        <w:rPr>
          <w:rFonts w:hint="default" w:ascii="宋体" w:eastAsia="宋体" w:cs="宋体"/>
          <w:sz w:val="24"/>
          <w:szCs w:val="24"/>
          <w:lang w:eastAsia="zh-CN"/>
        </w:rPr>
        <w:t>应急</w:t>
      </w:r>
      <w:r>
        <w:rPr>
          <w:rFonts w:hint="eastAsia" w:ascii="宋体" w:hAnsi="宋体" w:eastAsia="宋体" w:cs="宋体"/>
          <w:sz w:val="24"/>
          <w:szCs w:val="24"/>
          <w:lang w:val="en-US" w:eastAsia="zh-CN"/>
        </w:rPr>
        <w:t>工作职责。</w:t>
      </w:r>
    </w:p>
    <w:p w14:paraId="63CF93AF">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 xml:space="preserve">(4) </w:t>
      </w:r>
      <w:r>
        <w:rPr>
          <w:rFonts w:hint="eastAsia" w:ascii="Times New Roman" w:hAnsi="Times New Roman" w:cs="Times New Roman" w:eastAsiaTheme="minorEastAsia"/>
          <w:color w:val="auto"/>
          <w:sz w:val="24"/>
          <w:szCs w:val="24"/>
          <w:highlight w:val="none"/>
          <w:lang w:val="en-US" w:eastAsia="zh-CN"/>
        </w:rPr>
        <w:t>应急</w:t>
      </w:r>
      <w:r>
        <w:rPr>
          <w:rFonts w:hint="default" w:ascii="Times New Roman" w:hAnsi="Times New Roman" w:cs="Times New Roman" w:eastAsiaTheme="minorEastAsia"/>
          <w:color w:val="auto"/>
          <w:sz w:val="24"/>
          <w:szCs w:val="24"/>
          <w:highlight w:val="none"/>
          <w:lang w:val="zh-CN"/>
        </w:rPr>
        <w:t>保障组</w:t>
      </w:r>
    </w:p>
    <w:p w14:paraId="2561F4F8">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eastAsia="宋体" w:cs="宋体"/>
          <w:color w:val="auto"/>
          <w:sz w:val="24"/>
          <w:szCs w:val="22"/>
          <w:highlight w:val="none"/>
          <w:lang w:val="zh-CN" w:eastAsia="zh-CN" w:bidi="zh-CN"/>
        </w:rPr>
        <w:t>组长及电话：</w:t>
      </w:r>
      <w:r>
        <w:rPr>
          <w:rFonts w:hint="eastAsia" w:ascii="Times New Roman" w:hAnsi="Times New Roman" w:cs="Times New Roman" w:eastAsiaTheme="minorEastAsia"/>
          <w:color w:val="auto"/>
          <w:sz w:val="24"/>
          <w:szCs w:val="24"/>
          <w:highlight w:val="none"/>
          <w:lang w:val="en-US" w:eastAsia="zh-CN"/>
        </w:rPr>
        <w:t>孟素琴</w:t>
      </w:r>
      <w:r>
        <w:rPr>
          <w:rFonts w:hint="default" w:ascii="Times New Roman" w:hAnsi="Times New Roman" w:cs="Times New Roman" w:eastAsiaTheme="minorEastAsia"/>
          <w:color w:val="auto"/>
          <w:sz w:val="24"/>
          <w:szCs w:val="24"/>
          <w:highlight w:val="none"/>
          <w:lang w:val="zh-CN" w:eastAsia="zh-CN"/>
        </w:rPr>
        <w:t>，</w:t>
      </w:r>
      <w:r>
        <w:rPr>
          <w:rFonts w:hint="eastAsia" w:ascii="Times New Roman" w:hAnsi="Times New Roman" w:cs="Times New Roman" w:eastAsiaTheme="minorEastAsia"/>
          <w:color w:val="auto"/>
          <w:sz w:val="24"/>
          <w:szCs w:val="24"/>
          <w:highlight w:val="none"/>
          <w:lang w:val="en-US" w:eastAsia="zh-CN"/>
        </w:rPr>
        <w:t>15396820909</w:t>
      </w:r>
    </w:p>
    <w:p w14:paraId="5A425915">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eastAsia="zh-CN"/>
        </w:rPr>
        <w:t>副组长：</w:t>
      </w:r>
      <w:r>
        <w:rPr>
          <w:rFonts w:hint="eastAsia" w:ascii="Times New Roman" w:hAnsi="Times New Roman" w:cs="Times New Roman" w:eastAsiaTheme="minorEastAsia"/>
          <w:color w:val="auto"/>
          <w:sz w:val="24"/>
          <w:szCs w:val="24"/>
          <w:highlight w:val="none"/>
          <w:lang w:val="en-US" w:eastAsia="zh-CN"/>
        </w:rPr>
        <w:t>潘永秀</w:t>
      </w:r>
      <w:r>
        <w:rPr>
          <w:rFonts w:hint="default" w:ascii="Times New Roman" w:hAnsi="Times New Roman" w:cs="Times New Roman" w:eastAsiaTheme="minorEastAsia"/>
          <w:color w:val="auto"/>
          <w:sz w:val="24"/>
          <w:szCs w:val="24"/>
          <w:highlight w:val="none"/>
          <w:lang w:val="zh-CN" w:eastAsia="zh-CN"/>
        </w:rPr>
        <w:t>，</w:t>
      </w:r>
      <w:r>
        <w:rPr>
          <w:rFonts w:hint="eastAsia" w:ascii="Times New Roman" w:hAnsi="Times New Roman" w:cs="Times New Roman" w:eastAsiaTheme="minorEastAsia"/>
          <w:color w:val="auto"/>
          <w:sz w:val="24"/>
          <w:szCs w:val="24"/>
          <w:highlight w:val="none"/>
          <w:lang w:val="en-US" w:eastAsia="zh-CN"/>
        </w:rPr>
        <w:t>18806277349</w:t>
      </w:r>
    </w:p>
    <w:p w14:paraId="62DB44FB">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0B3F4BE2">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①负责应急设施或装备的购置和妥善存放保管； </w:t>
      </w:r>
    </w:p>
    <w:p w14:paraId="256F4D29">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②为救援行动提供物质保障（包括应急抢险器材和消防器材），在事故发生时及时将有关应急装备、安全防护品、现场应急处置材料等应急物资运送到事故现场； </w:t>
      </w:r>
    </w:p>
    <w:p w14:paraId="1522E8E8">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③配合现场处置组修复事件或事故破坏的设备、设施，防止事件/事故进一步扩大； </w:t>
      </w:r>
    </w:p>
    <w:p w14:paraId="2E4E0F0D">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④配合现场处置组修复用电设施，提供抢险临时用电，保证通讯、交通设施正常使用； </w:t>
      </w:r>
    </w:p>
    <w:p w14:paraId="23C9ACC0">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⑤若发生火灾责负责火灾现场供水工作。</w:t>
      </w:r>
    </w:p>
    <w:p w14:paraId="4EEA6F52">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w:t>
      </w:r>
      <w:r>
        <w:rPr>
          <w:rFonts w:hint="default" w:ascii="宋体" w:eastAsia="宋体" w:cs="宋体"/>
          <w:sz w:val="24"/>
          <w:szCs w:val="24"/>
          <w:lang w:eastAsia="zh-CN"/>
        </w:rPr>
        <w:t>当</w:t>
      </w:r>
      <w:r>
        <w:rPr>
          <w:rFonts w:hint="eastAsia" w:ascii="宋体" w:eastAsia="宋体" w:cs="宋体"/>
          <w:sz w:val="24"/>
          <w:szCs w:val="24"/>
          <w:lang w:val="en-US" w:eastAsia="zh-CN"/>
        </w:rPr>
        <w:t>应急保障</w:t>
      </w:r>
      <w:r>
        <w:rPr>
          <w:rFonts w:hint="eastAsia" w:ascii="宋体" w:hAnsi="宋体" w:eastAsia="宋体" w:cs="宋体"/>
          <w:sz w:val="24"/>
          <w:szCs w:val="24"/>
          <w:lang w:val="en-US" w:eastAsia="zh-CN"/>
        </w:rPr>
        <w:t>组</w:t>
      </w:r>
      <w:r>
        <w:rPr>
          <w:rFonts w:hint="default" w:ascii="宋体" w:eastAsia="宋体" w:cs="宋体"/>
          <w:sz w:val="24"/>
          <w:szCs w:val="24"/>
          <w:lang w:eastAsia="zh-CN"/>
        </w:rPr>
        <w:t>组长</w:t>
      </w:r>
      <w:r>
        <w:rPr>
          <w:rFonts w:hint="eastAsia" w:ascii="宋体" w:hAnsi="宋体" w:eastAsia="宋体" w:cs="宋体"/>
          <w:sz w:val="24"/>
          <w:szCs w:val="24"/>
          <w:lang w:val="en-US" w:eastAsia="zh-CN"/>
        </w:rPr>
        <w:t>不在岗时，</w:t>
      </w:r>
      <w:r>
        <w:rPr>
          <w:rFonts w:hint="default" w:ascii="宋体" w:eastAsia="宋体" w:cs="宋体"/>
          <w:sz w:val="24"/>
          <w:szCs w:val="24"/>
          <w:lang w:eastAsia="zh-CN"/>
        </w:rPr>
        <w:t>由</w:t>
      </w:r>
      <w:r>
        <w:rPr>
          <w:rFonts w:hint="eastAsia" w:ascii="宋体" w:eastAsia="宋体" w:cs="宋体"/>
          <w:sz w:val="24"/>
          <w:szCs w:val="24"/>
          <w:lang w:val="en-US" w:eastAsia="zh-CN"/>
        </w:rPr>
        <w:t>应急</w:t>
      </w:r>
      <w:r>
        <w:rPr>
          <w:rFonts w:hint="default" w:ascii="宋体" w:eastAsia="宋体" w:cs="宋体"/>
          <w:sz w:val="24"/>
          <w:szCs w:val="24"/>
          <w:lang w:eastAsia="zh-CN"/>
        </w:rPr>
        <w:t>保障组</w:t>
      </w:r>
      <w:r>
        <w:rPr>
          <w:rFonts w:hint="default" w:ascii="宋体" w:eastAsia="宋体" w:cs="宋体"/>
          <w:sz w:val="24"/>
          <w:szCs w:val="24"/>
          <w:lang w:val="en-US" w:eastAsia="zh-CN"/>
        </w:rPr>
        <w:t>副组长</w:t>
      </w:r>
      <w:r>
        <w:rPr>
          <w:rFonts w:hint="eastAsia" w:ascii="宋体" w:hAnsi="宋体" w:eastAsia="宋体" w:cs="宋体"/>
          <w:sz w:val="24"/>
          <w:szCs w:val="24"/>
          <w:lang w:val="en-US" w:eastAsia="zh-CN"/>
        </w:rPr>
        <w:t>自动代位履行</w:t>
      </w:r>
      <w:r>
        <w:rPr>
          <w:rFonts w:hint="default" w:ascii="宋体" w:eastAsia="宋体" w:cs="宋体"/>
          <w:sz w:val="24"/>
          <w:szCs w:val="24"/>
          <w:lang w:eastAsia="zh-CN"/>
        </w:rPr>
        <w:t>组长</w:t>
      </w:r>
      <w:r>
        <w:rPr>
          <w:rFonts w:hint="eastAsia" w:ascii="宋体" w:eastAsia="宋体" w:cs="宋体"/>
          <w:sz w:val="24"/>
          <w:szCs w:val="24"/>
          <w:lang w:val="en-US" w:eastAsia="zh-CN"/>
        </w:rPr>
        <w:t>应急</w:t>
      </w:r>
      <w:r>
        <w:rPr>
          <w:rFonts w:hint="eastAsia" w:ascii="宋体" w:hAnsi="宋体" w:eastAsia="宋体" w:cs="宋体"/>
          <w:sz w:val="24"/>
          <w:szCs w:val="24"/>
          <w:lang w:val="en-US" w:eastAsia="zh-CN"/>
        </w:rPr>
        <w:t>工作职责。</w:t>
      </w:r>
    </w:p>
    <w:p w14:paraId="3714FD3E">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lang w:val="zh-CN"/>
        </w:rPr>
        <w:t xml:space="preserve">) </w:t>
      </w:r>
      <w:r>
        <w:rPr>
          <w:rFonts w:hint="eastAsia" w:ascii="Times New Roman" w:hAnsi="Times New Roman" w:cs="Times New Roman" w:eastAsiaTheme="minorEastAsia"/>
          <w:color w:val="auto"/>
          <w:sz w:val="24"/>
          <w:szCs w:val="24"/>
          <w:highlight w:val="none"/>
          <w:lang w:val="en-US" w:eastAsia="zh-CN"/>
        </w:rPr>
        <w:t>医疗救治</w:t>
      </w:r>
      <w:r>
        <w:rPr>
          <w:rFonts w:hint="default" w:ascii="Times New Roman" w:hAnsi="Times New Roman" w:cs="Times New Roman" w:eastAsiaTheme="minorEastAsia"/>
          <w:color w:val="auto"/>
          <w:sz w:val="24"/>
          <w:szCs w:val="24"/>
          <w:highlight w:val="none"/>
          <w:lang w:val="zh-CN"/>
        </w:rPr>
        <w:t>组</w:t>
      </w:r>
    </w:p>
    <w:p w14:paraId="7D2C52E7">
      <w:pPr>
        <w:spacing w:line="500" w:lineRule="exact"/>
        <w:ind w:firstLine="480"/>
        <w:rPr>
          <w:rFonts w:hint="default" w:ascii="宋体" w:eastAsia="宋体"/>
          <w:sz w:val="24"/>
          <w:szCs w:val="24"/>
          <w:lang w:val="zh-CN" w:eastAsia="zh-CN"/>
        </w:rPr>
      </w:pPr>
      <w:r>
        <w:rPr>
          <w:rFonts w:hint="default" w:ascii="Times New Roman" w:hAnsi="Times New Roman" w:eastAsia="宋体" w:cs="宋体"/>
          <w:color w:val="auto"/>
          <w:sz w:val="24"/>
          <w:szCs w:val="22"/>
          <w:highlight w:val="none"/>
          <w:lang w:val="zh-CN" w:eastAsia="zh-CN" w:bidi="zh-CN"/>
        </w:rPr>
        <w:t>组长及电话：</w:t>
      </w:r>
      <w:r>
        <w:rPr>
          <w:rFonts w:hint="eastAsia" w:ascii="宋体" w:eastAsia="宋体"/>
          <w:sz w:val="24"/>
          <w:szCs w:val="24"/>
          <w:lang w:val="en-US" w:eastAsia="zh-CN"/>
        </w:rPr>
        <w:t>张丹</w:t>
      </w:r>
      <w:r>
        <w:rPr>
          <w:rFonts w:hint="default" w:ascii="宋体" w:eastAsia="宋体"/>
          <w:sz w:val="24"/>
          <w:szCs w:val="24"/>
          <w:lang w:val="zh-CN" w:eastAsia="zh-CN"/>
        </w:rPr>
        <w:t>，</w:t>
      </w:r>
      <w:r>
        <w:rPr>
          <w:rFonts w:hint="eastAsia" w:ascii="宋体" w:eastAsia="宋体"/>
          <w:sz w:val="24"/>
          <w:szCs w:val="24"/>
          <w:lang w:val="en-US" w:eastAsia="zh-CN"/>
        </w:rPr>
        <w:t>18962604986</w:t>
      </w:r>
    </w:p>
    <w:p w14:paraId="676E016A">
      <w:pPr>
        <w:spacing w:line="500" w:lineRule="exact"/>
        <w:ind w:firstLine="480"/>
        <w:rPr>
          <w:rFonts w:hint="eastAsia" w:ascii="宋体" w:eastAsia="宋体"/>
          <w:sz w:val="24"/>
          <w:szCs w:val="24"/>
          <w:lang w:val="en-US" w:eastAsia="zh-CN"/>
        </w:rPr>
      </w:pPr>
      <w:r>
        <w:rPr>
          <w:rFonts w:hint="default" w:ascii="宋体" w:eastAsia="宋体"/>
          <w:sz w:val="24"/>
          <w:szCs w:val="24"/>
          <w:lang w:val="zh-CN" w:eastAsia="zh-CN"/>
        </w:rPr>
        <w:t>副组长：</w:t>
      </w:r>
      <w:r>
        <w:rPr>
          <w:rFonts w:hint="eastAsia" w:ascii="宋体" w:eastAsia="宋体"/>
          <w:sz w:val="24"/>
          <w:szCs w:val="24"/>
          <w:lang w:val="en-US" w:eastAsia="zh-CN"/>
        </w:rPr>
        <w:t>谢友民</w:t>
      </w:r>
      <w:r>
        <w:rPr>
          <w:rFonts w:hint="default" w:ascii="宋体" w:eastAsia="宋体"/>
          <w:sz w:val="24"/>
          <w:szCs w:val="24"/>
          <w:lang w:val="zh-CN" w:eastAsia="zh-CN"/>
        </w:rPr>
        <w:t>，</w:t>
      </w:r>
      <w:r>
        <w:rPr>
          <w:rFonts w:hint="eastAsia" w:ascii="宋体" w:eastAsia="宋体"/>
          <w:sz w:val="24"/>
          <w:szCs w:val="24"/>
          <w:lang w:val="en-US" w:eastAsia="zh-CN"/>
        </w:rPr>
        <w:t>13580185524</w:t>
      </w:r>
    </w:p>
    <w:p w14:paraId="07EA91A5">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3704DF31">
      <w:pPr>
        <w:spacing w:line="500" w:lineRule="exact"/>
        <w:ind w:firstLine="480"/>
        <w:rPr>
          <w:rFonts w:hint="eastAsia" w:ascii="宋体" w:eastAsia="宋体"/>
          <w:sz w:val="24"/>
          <w:szCs w:val="24"/>
          <w:lang w:val="en-US"/>
        </w:rPr>
      </w:pPr>
      <w:bookmarkStart w:id="161" w:name="_Hlk22198791"/>
      <w:r>
        <w:rPr>
          <w:rFonts w:hint="eastAsia" w:ascii="宋体" w:eastAsia="宋体"/>
          <w:sz w:val="24"/>
          <w:szCs w:val="24"/>
          <w:lang w:val="en-US" w:eastAsia="zh-CN"/>
        </w:rPr>
        <w:t xml:space="preserve">①负责事故现场的伤员转移、救助工作，联系救护车到公司（电话号码：120）； </w:t>
      </w:r>
    </w:p>
    <w:p w14:paraId="64F84A5F">
      <w:pPr>
        <w:spacing w:line="500" w:lineRule="exact"/>
        <w:ind w:firstLine="480"/>
        <w:rPr>
          <w:rFonts w:hint="eastAsia" w:ascii="宋体" w:eastAsia="宋体"/>
          <w:sz w:val="24"/>
          <w:szCs w:val="24"/>
          <w:lang w:val="en-US"/>
        </w:rPr>
      </w:pPr>
      <w:r>
        <w:rPr>
          <w:rFonts w:hint="eastAsia" w:ascii="宋体" w:eastAsia="宋体"/>
          <w:sz w:val="24"/>
          <w:szCs w:val="24"/>
          <w:lang w:val="en-US" w:eastAsia="zh-CN"/>
        </w:rPr>
        <w:t xml:space="preserve">②协助医疗救护部门将伤员护送到相关单位进行抢救和安置； </w:t>
      </w:r>
    </w:p>
    <w:p w14:paraId="1C6A3F8E">
      <w:pPr>
        <w:spacing w:line="500" w:lineRule="exact"/>
        <w:ind w:firstLine="480"/>
        <w:rPr>
          <w:rFonts w:hint="eastAsia" w:ascii="宋体" w:eastAsia="宋体"/>
          <w:sz w:val="24"/>
          <w:szCs w:val="24"/>
          <w:lang w:val="en-US"/>
        </w:rPr>
      </w:pPr>
      <w:r>
        <w:rPr>
          <w:rFonts w:hint="eastAsia" w:ascii="宋体" w:eastAsia="宋体"/>
          <w:sz w:val="24"/>
          <w:szCs w:val="24"/>
          <w:lang w:val="en-US" w:eastAsia="zh-CN"/>
        </w:rPr>
        <w:t>③发生重大污染事故时，组织厂区人员安全撤离现场；</w:t>
      </w:r>
      <w:r>
        <w:rPr>
          <w:rFonts w:hint="default" w:ascii="Times New Roman" w:hAnsi="Times New Roman" w:cs="Times New Roman" w:eastAsiaTheme="minorEastAsia"/>
          <w:color w:val="auto"/>
          <w:sz w:val="24"/>
          <w:szCs w:val="24"/>
          <w:highlight w:val="none"/>
          <w:lang w:val="zh-CN" w:eastAsia="zh-CN"/>
        </w:rPr>
        <w:t>引导撤出人员按照疏散路线进行疏散，并到集合地点集合，并应清点撤离人数，检查确认区域内确无任何人滞留。</w:t>
      </w:r>
      <w:r>
        <w:rPr>
          <w:rFonts w:hint="eastAsia" w:ascii="宋体" w:eastAsia="宋体"/>
          <w:sz w:val="24"/>
          <w:szCs w:val="24"/>
          <w:lang w:val="en-US" w:eastAsia="zh-CN"/>
        </w:rPr>
        <w:t xml:space="preserve"> </w:t>
      </w:r>
    </w:p>
    <w:p w14:paraId="0DCD977F">
      <w:pPr>
        <w:spacing w:line="500" w:lineRule="exact"/>
        <w:ind w:firstLine="480"/>
        <w:rPr>
          <w:rFonts w:hint="eastAsia" w:ascii="宋体" w:eastAsia="宋体"/>
          <w:sz w:val="24"/>
          <w:szCs w:val="24"/>
          <w:lang w:val="en-US"/>
        </w:rPr>
      </w:pPr>
      <w:r>
        <w:rPr>
          <w:rFonts w:hint="eastAsia" w:ascii="宋体" w:eastAsia="宋体"/>
          <w:sz w:val="24"/>
          <w:szCs w:val="24"/>
          <w:lang w:val="en-US" w:eastAsia="zh-CN"/>
        </w:rPr>
        <w:t>④协助领导组做好死难者的善后工作。</w:t>
      </w:r>
    </w:p>
    <w:p w14:paraId="3C6631BD">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w:t>
      </w:r>
      <w:r>
        <w:rPr>
          <w:rFonts w:hint="default" w:ascii="宋体" w:eastAsia="宋体" w:cs="宋体"/>
          <w:sz w:val="24"/>
          <w:szCs w:val="24"/>
          <w:lang w:eastAsia="zh-CN"/>
        </w:rPr>
        <w:t>当</w:t>
      </w:r>
      <w:r>
        <w:rPr>
          <w:rFonts w:hint="eastAsia" w:ascii="宋体" w:eastAsia="宋体" w:cs="宋体"/>
          <w:sz w:val="24"/>
          <w:szCs w:val="24"/>
          <w:lang w:val="en-US" w:eastAsia="zh-CN"/>
        </w:rPr>
        <w:t>医疗救治</w:t>
      </w:r>
      <w:r>
        <w:rPr>
          <w:rFonts w:hint="eastAsia" w:ascii="宋体" w:hAnsi="宋体" w:eastAsia="宋体" w:cs="宋体"/>
          <w:sz w:val="24"/>
          <w:szCs w:val="24"/>
          <w:lang w:val="en-US" w:eastAsia="zh-CN"/>
        </w:rPr>
        <w:t>组</w:t>
      </w:r>
      <w:r>
        <w:rPr>
          <w:rFonts w:hint="default" w:ascii="宋体" w:eastAsia="宋体" w:cs="宋体"/>
          <w:sz w:val="24"/>
          <w:szCs w:val="24"/>
          <w:lang w:eastAsia="zh-CN"/>
        </w:rPr>
        <w:t>组长</w:t>
      </w:r>
      <w:r>
        <w:rPr>
          <w:rFonts w:hint="eastAsia" w:ascii="宋体" w:hAnsi="宋体" w:eastAsia="宋体" w:cs="宋体"/>
          <w:sz w:val="24"/>
          <w:szCs w:val="24"/>
          <w:lang w:val="en-US" w:eastAsia="zh-CN"/>
        </w:rPr>
        <w:t>不在岗时，</w:t>
      </w:r>
      <w:r>
        <w:rPr>
          <w:rFonts w:hint="default" w:ascii="宋体" w:eastAsia="宋体" w:cs="宋体"/>
          <w:sz w:val="24"/>
          <w:szCs w:val="24"/>
          <w:lang w:eastAsia="zh-CN"/>
        </w:rPr>
        <w:t>由</w:t>
      </w:r>
      <w:r>
        <w:rPr>
          <w:rFonts w:hint="eastAsia" w:ascii="宋体" w:eastAsia="宋体" w:cs="宋体"/>
          <w:sz w:val="24"/>
          <w:szCs w:val="24"/>
          <w:lang w:val="en-US" w:eastAsia="zh-CN"/>
        </w:rPr>
        <w:t>医疗救治</w:t>
      </w:r>
      <w:r>
        <w:rPr>
          <w:rFonts w:hint="default" w:ascii="宋体" w:eastAsia="宋体" w:cs="宋体"/>
          <w:sz w:val="24"/>
          <w:szCs w:val="24"/>
          <w:lang w:eastAsia="zh-CN"/>
        </w:rPr>
        <w:t>组</w:t>
      </w:r>
      <w:r>
        <w:rPr>
          <w:rFonts w:hint="default" w:ascii="宋体" w:eastAsia="宋体" w:cs="宋体"/>
          <w:sz w:val="24"/>
          <w:szCs w:val="24"/>
          <w:lang w:val="en-US" w:eastAsia="zh-CN"/>
        </w:rPr>
        <w:t>副组长</w:t>
      </w:r>
      <w:r>
        <w:rPr>
          <w:rFonts w:hint="eastAsia" w:ascii="宋体" w:hAnsi="宋体" w:eastAsia="宋体" w:cs="宋体"/>
          <w:sz w:val="24"/>
          <w:szCs w:val="24"/>
          <w:lang w:val="en-US" w:eastAsia="zh-CN"/>
        </w:rPr>
        <w:t>自动代位履行</w:t>
      </w:r>
      <w:r>
        <w:rPr>
          <w:rFonts w:hint="default" w:ascii="宋体" w:eastAsia="宋体" w:cs="宋体"/>
          <w:sz w:val="24"/>
          <w:szCs w:val="24"/>
          <w:lang w:eastAsia="zh-CN"/>
        </w:rPr>
        <w:t>组长</w:t>
      </w:r>
      <w:r>
        <w:rPr>
          <w:rFonts w:hint="eastAsia" w:ascii="宋体" w:eastAsia="宋体" w:cs="宋体"/>
          <w:sz w:val="24"/>
          <w:szCs w:val="24"/>
          <w:lang w:val="en-US" w:eastAsia="zh-CN"/>
        </w:rPr>
        <w:t>应急</w:t>
      </w:r>
      <w:r>
        <w:rPr>
          <w:rFonts w:hint="eastAsia" w:ascii="宋体" w:hAnsi="宋体" w:eastAsia="宋体" w:cs="宋体"/>
          <w:sz w:val="24"/>
          <w:szCs w:val="24"/>
          <w:lang w:val="en-US" w:eastAsia="zh-CN"/>
        </w:rPr>
        <w:t>工作职责。</w:t>
      </w:r>
    </w:p>
    <w:p w14:paraId="52C6D9C4">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6</w:t>
      </w:r>
      <w:r>
        <w:rPr>
          <w:rFonts w:hint="default" w:ascii="Times New Roman" w:hAnsi="Times New Roman" w:cs="Times New Roman" w:eastAsiaTheme="minorEastAsia"/>
          <w:color w:val="auto"/>
          <w:sz w:val="24"/>
          <w:szCs w:val="24"/>
          <w:highlight w:val="none"/>
          <w:lang w:val="zh-CN"/>
        </w:rPr>
        <w:t xml:space="preserve">) </w:t>
      </w:r>
      <w:r>
        <w:rPr>
          <w:rFonts w:hint="eastAsia" w:ascii="Times New Roman" w:hAnsi="Times New Roman" w:cs="Times New Roman" w:eastAsiaTheme="minorEastAsia"/>
          <w:color w:val="auto"/>
          <w:sz w:val="24"/>
          <w:szCs w:val="24"/>
          <w:highlight w:val="none"/>
          <w:lang w:val="en-US" w:eastAsia="zh-CN"/>
        </w:rPr>
        <w:t>应急监测组</w:t>
      </w:r>
    </w:p>
    <w:p w14:paraId="2C009820">
      <w:pPr>
        <w:spacing w:line="500" w:lineRule="exact"/>
        <w:ind w:firstLine="480"/>
        <w:rPr>
          <w:rFonts w:hint="default" w:ascii="宋体" w:eastAsia="宋体" w:cs="宋体"/>
          <w:sz w:val="24"/>
          <w:szCs w:val="24"/>
          <w:lang w:val="en-US" w:eastAsia="zh-CN"/>
        </w:rPr>
      </w:pPr>
      <w:r>
        <w:rPr>
          <w:rFonts w:hint="default" w:ascii="Times New Roman" w:hAnsi="Times New Roman" w:eastAsia="宋体" w:cs="宋体"/>
          <w:color w:val="auto"/>
          <w:sz w:val="24"/>
          <w:szCs w:val="22"/>
          <w:highlight w:val="none"/>
          <w:lang w:val="zh-CN" w:eastAsia="zh-CN" w:bidi="zh-CN"/>
        </w:rPr>
        <w:t>组长及电话：</w:t>
      </w:r>
      <w:r>
        <w:rPr>
          <w:rFonts w:hint="eastAsia" w:ascii="宋体" w:eastAsia="宋体" w:cs="宋体"/>
          <w:sz w:val="24"/>
          <w:szCs w:val="24"/>
          <w:lang w:val="en-US" w:eastAsia="zh-CN"/>
        </w:rPr>
        <w:t>吉明珠</w:t>
      </w:r>
      <w:r>
        <w:rPr>
          <w:rFonts w:hint="default" w:ascii="宋体" w:eastAsia="宋体" w:cs="宋体"/>
          <w:sz w:val="24"/>
          <w:szCs w:val="24"/>
          <w:lang w:val="zh-CN" w:eastAsia="zh-CN"/>
        </w:rPr>
        <w:t>，</w:t>
      </w:r>
      <w:r>
        <w:rPr>
          <w:rFonts w:hint="eastAsia" w:ascii="宋体" w:eastAsia="宋体" w:cs="宋体"/>
          <w:sz w:val="24"/>
          <w:szCs w:val="24"/>
          <w:lang w:val="en-US" w:eastAsia="zh-CN"/>
        </w:rPr>
        <w:t>18795731058</w:t>
      </w:r>
    </w:p>
    <w:p w14:paraId="633FDE02">
      <w:pPr>
        <w:spacing w:line="500" w:lineRule="exact"/>
        <w:ind w:firstLine="480"/>
        <w:rPr>
          <w:rFonts w:hint="default" w:ascii="宋体" w:eastAsia="宋体" w:cs="宋体"/>
          <w:sz w:val="24"/>
          <w:szCs w:val="24"/>
          <w:lang w:val="en-US" w:eastAsia="zh-CN"/>
        </w:rPr>
      </w:pPr>
      <w:r>
        <w:rPr>
          <w:rFonts w:hint="default" w:ascii="宋体" w:eastAsia="宋体" w:cs="宋体"/>
          <w:sz w:val="24"/>
          <w:szCs w:val="24"/>
          <w:lang w:val="zh-CN" w:eastAsia="zh-CN"/>
        </w:rPr>
        <w:t>副组长：</w:t>
      </w:r>
      <w:r>
        <w:rPr>
          <w:rFonts w:hint="eastAsia" w:ascii="宋体" w:eastAsia="宋体" w:cs="宋体"/>
          <w:sz w:val="24"/>
          <w:szCs w:val="24"/>
          <w:lang w:val="en-US" w:eastAsia="zh-CN"/>
        </w:rPr>
        <w:t>于俊芳  ，13218434032</w:t>
      </w:r>
    </w:p>
    <w:p w14:paraId="6910D760">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227D1354">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①负责废气</w:t>
      </w:r>
      <w:r>
        <w:rPr>
          <w:rFonts w:hint="eastAsia" w:ascii="宋体" w:eastAsia="宋体" w:cs="宋体"/>
          <w:sz w:val="24"/>
          <w:szCs w:val="24"/>
          <w:lang w:val="en-US" w:eastAsia="zh-CN"/>
        </w:rPr>
        <w:t>、废水</w:t>
      </w:r>
      <w:r>
        <w:rPr>
          <w:rFonts w:hint="eastAsia" w:ascii="宋体" w:hAnsi="宋体" w:eastAsia="宋体" w:cs="宋体"/>
          <w:sz w:val="24"/>
          <w:szCs w:val="24"/>
          <w:lang w:val="en-US" w:eastAsia="zh-CN"/>
        </w:rPr>
        <w:t xml:space="preserve">处理设施的日常维护和保养，保证设备正常运行； </w:t>
      </w:r>
    </w:p>
    <w:p w14:paraId="183E2DEF">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②负责在尽可能快的时间内查清主要污染源和主要污染物的种类和特性，以及污染物的浓度分布，为突发性环境污染事故处理提供技术支持； </w:t>
      </w:r>
    </w:p>
    <w:p w14:paraId="22C26596">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③参与应急监测方案的制定和现场监测方案的补充和修改； </w:t>
      </w:r>
    </w:p>
    <w:p w14:paraId="525BE8D6">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④配合第三方监测公司展开现场应急监测，并做好现场监测人员的人身防护工作； </w:t>
      </w:r>
    </w:p>
    <w:p w14:paraId="7AF504DB">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⑤协助环保部门做好突发环境事件的现场监测工作； </w:t>
      </w:r>
    </w:p>
    <w:p w14:paraId="5BCD0196">
      <w:pPr>
        <w:spacing w:line="5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⑥对短期内不能消除、降解的污染物进行跟踪监测与记录。</w:t>
      </w:r>
    </w:p>
    <w:p w14:paraId="39845753">
      <w:pPr>
        <w:spacing w:line="500" w:lineRule="exact"/>
        <w:ind w:firstLine="480"/>
        <w:rPr>
          <w:rFonts w:hint="default"/>
          <w:lang w:val="zh-CN"/>
        </w:rPr>
      </w:pPr>
      <w:r>
        <w:rPr>
          <w:rFonts w:hint="eastAsia" w:ascii="宋体" w:hAnsi="宋体" w:eastAsia="宋体" w:cs="宋体"/>
          <w:sz w:val="24"/>
          <w:szCs w:val="24"/>
          <w:lang w:val="en-US" w:eastAsia="zh-CN"/>
        </w:rPr>
        <w:t>⑦</w:t>
      </w:r>
      <w:r>
        <w:rPr>
          <w:rFonts w:hint="default" w:ascii="宋体" w:eastAsia="宋体" w:cs="宋体"/>
          <w:sz w:val="24"/>
          <w:szCs w:val="24"/>
          <w:lang w:eastAsia="zh-CN"/>
        </w:rPr>
        <w:t>当</w:t>
      </w:r>
      <w:r>
        <w:rPr>
          <w:rFonts w:hint="eastAsia" w:ascii="宋体" w:eastAsia="宋体" w:cs="宋体"/>
          <w:sz w:val="24"/>
          <w:szCs w:val="24"/>
          <w:lang w:val="en-US" w:eastAsia="zh-CN"/>
        </w:rPr>
        <w:t>应急监测</w:t>
      </w:r>
      <w:r>
        <w:rPr>
          <w:rFonts w:hint="eastAsia" w:ascii="宋体" w:hAnsi="宋体" w:eastAsia="宋体" w:cs="宋体"/>
          <w:sz w:val="24"/>
          <w:szCs w:val="24"/>
          <w:lang w:val="en-US" w:eastAsia="zh-CN"/>
        </w:rPr>
        <w:t>组</w:t>
      </w:r>
      <w:r>
        <w:rPr>
          <w:rFonts w:hint="default" w:ascii="宋体" w:eastAsia="宋体" w:cs="宋体"/>
          <w:sz w:val="24"/>
          <w:szCs w:val="24"/>
          <w:lang w:eastAsia="zh-CN"/>
        </w:rPr>
        <w:t>组长</w:t>
      </w:r>
      <w:r>
        <w:rPr>
          <w:rFonts w:hint="eastAsia" w:ascii="宋体" w:hAnsi="宋体" w:eastAsia="宋体" w:cs="宋体"/>
          <w:sz w:val="24"/>
          <w:szCs w:val="24"/>
          <w:lang w:val="en-US" w:eastAsia="zh-CN"/>
        </w:rPr>
        <w:t>不在岗时，</w:t>
      </w:r>
      <w:r>
        <w:rPr>
          <w:rFonts w:hint="default" w:ascii="宋体" w:eastAsia="宋体" w:cs="宋体"/>
          <w:sz w:val="24"/>
          <w:szCs w:val="24"/>
          <w:lang w:eastAsia="zh-CN"/>
        </w:rPr>
        <w:t>由</w:t>
      </w:r>
      <w:r>
        <w:rPr>
          <w:rFonts w:hint="eastAsia" w:ascii="宋体" w:eastAsia="宋体" w:cs="宋体"/>
          <w:sz w:val="24"/>
          <w:szCs w:val="24"/>
          <w:lang w:val="en-US" w:eastAsia="zh-CN"/>
        </w:rPr>
        <w:t>应急监测</w:t>
      </w:r>
      <w:r>
        <w:rPr>
          <w:rFonts w:hint="default" w:ascii="宋体" w:eastAsia="宋体" w:cs="宋体"/>
          <w:sz w:val="24"/>
          <w:szCs w:val="24"/>
          <w:lang w:eastAsia="zh-CN"/>
        </w:rPr>
        <w:t>组</w:t>
      </w:r>
      <w:r>
        <w:rPr>
          <w:rFonts w:hint="default" w:ascii="宋体" w:eastAsia="宋体" w:cs="宋体"/>
          <w:sz w:val="24"/>
          <w:szCs w:val="24"/>
          <w:lang w:val="en-US" w:eastAsia="zh-CN"/>
        </w:rPr>
        <w:t>副组长</w:t>
      </w:r>
      <w:r>
        <w:rPr>
          <w:rFonts w:hint="eastAsia" w:ascii="宋体" w:hAnsi="宋体" w:eastAsia="宋体" w:cs="宋体"/>
          <w:sz w:val="24"/>
          <w:szCs w:val="24"/>
          <w:lang w:val="en-US" w:eastAsia="zh-CN"/>
        </w:rPr>
        <w:t>自动代位履行</w:t>
      </w:r>
      <w:r>
        <w:rPr>
          <w:rFonts w:hint="default" w:ascii="宋体" w:eastAsia="宋体" w:cs="宋体"/>
          <w:sz w:val="24"/>
          <w:szCs w:val="24"/>
          <w:lang w:eastAsia="zh-CN"/>
        </w:rPr>
        <w:t>组长</w:t>
      </w:r>
      <w:r>
        <w:rPr>
          <w:rFonts w:hint="eastAsia" w:ascii="宋体" w:eastAsia="宋体" w:cs="宋体"/>
          <w:sz w:val="24"/>
          <w:szCs w:val="24"/>
          <w:lang w:val="en-US" w:eastAsia="zh-CN"/>
        </w:rPr>
        <w:t>应急</w:t>
      </w:r>
      <w:r>
        <w:rPr>
          <w:rFonts w:hint="eastAsia" w:ascii="宋体" w:hAnsi="宋体" w:eastAsia="宋体" w:cs="宋体"/>
          <w:sz w:val="24"/>
          <w:szCs w:val="24"/>
          <w:lang w:val="en-US" w:eastAsia="zh-CN"/>
        </w:rPr>
        <w:t>工作职责。</w:t>
      </w:r>
    </w:p>
    <w:bookmarkEnd w:id="161"/>
    <w:p w14:paraId="6DDB91EA">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62" w:name="_Toc12512"/>
      <w:bookmarkStart w:id="163" w:name="_Toc22965"/>
      <w:bookmarkStart w:id="164" w:name="_Toc29352"/>
      <w:bookmarkStart w:id="165" w:name="_Toc7909"/>
      <w:bookmarkStart w:id="166" w:name="_Toc535504499"/>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 xml:space="preserve"> 应急指挥、协调和决策程序</w:t>
      </w:r>
      <w:bookmarkEnd w:id="162"/>
      <w:bookmarkEnd w:id="163"/>
      <w:bookmarkEnd w:id="164"/>
      <w:bookmarkEnd w:id="165"/>
      <w:bookmarkEnd w:id="166"/>
    </w:p>
    <w:p w14:paraId="7E9F3D57">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突发事件现场情况复杂，救援任务艰巨，只有实行统一指挥，才能保证现场力量部署的整体性和救援行动的协调性，使之步调一致地贯彻执行灾害现场的总体决策，有效完成救援任务。根据公司突发环境事件等级划分，不同等级突发环境事件应急指挥、协调和决策程序如下：</w:t>
      </w:r>
    </w:p>
    <w:p w14:paraId="3BBE2F13">
      <w:pPr>
        <w:pStyle w:val="2"/>
        <w:pageBreakBefore w:val="0"/>
        <w:widowControl w:val="0"/>
        <w:kinsoku/>
        <w:overflowPunct/>
        <w:bidi w:val="0"/>
        <w:spacing w:line="500" w:lineRule="exact"/>
        <w:ind w:firstLine="0" w:firstLineChars="0"/>
        <w:jc w:val="left"/>
        <w:rPr>
          <w:rFonts w:hint="eastAsia"/>
          <w:sz w:val="24"/>
          <w:szCs w:val="28"/>
          <w:lang w:val="zh-CN"/>
        </w:rPr>
      </w:pPr>
      <w:bookmarkStart w:id="167" w:name="_TOC_250105"/>
      <w:bookmarkEnd w:id="167"/>
      <w:bookmarkStart w:id="168" w:name="_Toc14082"/>
      <w:bookmarkStart w:id="169" w:name="_Toc28933"/>
      <w:r>
        <w:rPr>
          <w:rFonts w:hint="eastAsia"/>
          <w:sz w:val="24"/>
          <w:szCs w:val="28"/>
          <w:lang w:val="en-US" w:eastAsia="zh-CN"/>
        </w:rPr>
        <w:t>2.3.1</w:t>
      </w:r>
      <w:r>
        <w:rPr>
          <w:rFonts w:hint="eastAsia"/>
          <w:sz w:val="24"/>
          <w:szCs w:val="28"/>
          <w:lang w:val="zh-CN"/>
        </w:rPr>
        <w:t>政府层面组织指挥机构</w:t>
      </w:r>
      <w:bookmarkEnd w:id="168"/>
      <w:bookmarkEnd w:id="169"/>
    </w:p>
    <w:p w14:paraId="2FEA6442">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初判为重大以</w:t>
      </w:r>
      <w:r>
        <w:rPr>
          <w:rFonts w:hint="default" w:ascii="Times New Roman" w:hAnsi="Times New Roman" w:cs="Times New Roman" w:eastAsiaTheme="minorEastAsia"/>
          <w:color w:val="auto"/>
          <w:sz w:val="24"/>
          <w:szCs w:val="24"/>
          <w:highlight w:val="none"/>
          <w:lang w:val="zh-CN"/>
        </w:rPr>
        <w:t>上（Ⅰ级）</w:t>
      </w:r>
      <w:r>
        <w:rPr>
          <w:rFonts w:hint="eastAsia" w:ascii="Times New Roman" w:hAnsi="Times New Roman" w:cs="Times New Roman" w:eastAsiaTheme="minorEastAsia"/>
          <w:color w:val="auto"/>
          <w:sz w:val="24"/>
          <w:szCs w:val="24"/>
          <w:highlight w:val="none"/>
          <w:lang w:val="zh-CN"/>
        </w:rPr>
        <w:t>突发环境事件公司</w:t>
      </w:r>
      <w:r>
        <w:rPr>
          <w:rFonts w:hint="eastAsia" w:ascii="Times New Roman" w:hAnsi="Times New Roman" w:cs="Times New Roman" w:eastAsiaTheme="minorEastAsia"/>
          <w:color w:val="auto"/>
          <w:sz w:val="24"/>
          <w:szCs w:val="24"/>
          <w:highlight w:val="none"/>
          <w:lang w:val="en-US" w:eastAsia="zh-CN"/>
        </w:rPr>
        <w:t>总经理</w:t>
      </w:r>
      <w:r>
        <w:rPr>
          <w:rFonts w:hint="eastAsia" w:ascii="Times New Roman" w:hAnsi="Times New Roman" w:cs="Times New Roman" w:eastAsiaTheme="minorEastAsia"/>
          <w:color w:val="auto"/>
          <w:sz w:val="24"/>
          <w:szCs w:val="24"/>
          <w:highlight w:val="none"/>
          <w:lang w:val="zh-CN"/>
        </w:rPr>
        <w:t>应立即上报，同时组织公司应急救援人员进行先期处置，控制事态扩大。上级政府主管部门（应急管理、消防救援、生态环境）人员到场后，由到场支援的级别最高领导负责指挥、协调和决策应急工作。必要时，成立应急指挥中心，由生态环境局到场的最高级别领导同志担任总指挥，统一领导、组织和指挥突发环境事件应急处置工作。</w:t>
      </w:r>
    </w:p>
    <w:p w14:paraId="3317D7B9">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政府救援力量抵达后，公司应急指挥部接受应急指挥中心的领导，在应急指挥中心的统一指挥下，配合专业救援力量开展应急救援、参与应急保障、人员疏散等工作。</w:t>
      </w:r>
      <w:r>
        <w:rPr>
          <w:rFonts w:hint="eastAsia" w:ascii="Times New Roman" w:hAnsi="Times New Roman" w:cs="Times New Roman" w:eastAsiaTheme="minorEastAsia"/>
          <w:color w:val="auto"/>
          <w:sz w:val="24"/>
          <w:szCs w:val="24"/>
          <w:highlight w:val="none"/>
          <w:lang w:val="en-US" w:eastAsia="zh-CN"/>
        </w:rPr>
        <w:t>总经理</w:t>
      </w:r>
      <w:r>
        <w:rPr>
          <w:rFonts w:hint="eastAsia" w:ascii="Times New Roman" w:hAnsi="Times New Roman" w:cs="Times New Roman" w:eastAsiaTheme="minorEastAsia"/>
          <w:color w:val="auto"/>
          <w:sz w:val="24"/>
          <w:szCs w:val="24"/>
          <w:highlight w:val="none"/>
          <w:lang w:val="zh-CN"/>
        </w:rPr>
        <w:t>向政府指挥人员汇报事故发生情况、目前的处置措施以及可能造成的影响初步评估情况，同时移交指挥权，提供救援所需的企业信息，如厂区布置图、重要保护目标、消防设施位置、参与救援人员信息等。</w:t>
      </w:r>
    </w:p>
    <w:p w14:paraId="76146211">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应急指挥中心指挥协调内容：</w:t>
      </w:r>
    </w:p>
    <w:p w14:paraId="30A875AA">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1</w:t>
      </w:r>
      <w:r>
        <w:rPr>
          <w:rFonts w:hint="eastAsia" w:ascii="Times New Roman" w:hAnsi="Times New Roman" w:cs="Times New Roman" w:eastAsiaTheme="minorEastAsia"/>
          <w:color w:val="auto"/>
          <w:sz w:val="24"/>
          <w:szCs w:val="24"/>
          <w:highlight w:val="none"/>
          <w:lang w:val="zh-CN"/>
        </w:rPr>
        <w:t>）提出现场应急行动原则要求；</w:t>
      </w:r>
    </w:p>
    <w:p w14:paraId="6AD65C07">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2</w:t>
      </w:r>
      <w:r>
        <w:rPr>
          <w:rFonts w:hint="eastAsia" w:ascii="Times New Roman" w:hAnsi="Times New Roman" w:cs="Times New Roman" w:eastAsiaTheme="minorEastAsia"/>
          <w:color w:val="auto"/>
          <w:sz w:val="24"/>
          <w:szCs w:val="24"/>
          <w:highlight w:val="none"/>
          <w:lang w:val="zh-CN"/>
        </w:rPr>
        <w:t>）调集专家人员参与现场应急救援指挥部的应急指挥工作；</w:t>
      </w:r>
    </w:p>
    <w:p w14:paraId="437B90F5">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3</w:t>
      </w:r>
      <w:r>
        <w:rPr>
          <w:rFonts w:hint="eastAsia" w:ascii="Times New Roman" w:hAnsi="Times New Roman" w:cs="Times New Roman" w:eastAsiaTheme="minorEastAsia"/>
          <w:color w:val="auto"/>
          <w:sz w:val="24"/>
          <w:szCs w:val="24"/>
          <w:highlight w:val="none"/>
          <w:lang w:val="zh-CN"/>
        </w:rPr>
        <w:t>）指挥各专业救援队实施应急救援行动；</w:t>
      </w:r>
    </w:p>
    <w:p w14:paraId="3681E455">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4</w:t>
      </w:r>
      <w:r>
        <w:rPr>
          <w:rFonts w:hint="eastAsia" w:ascii="Times New Roman" w:hAnsi="Times New Roman" w:cs="Times New Roman" w:eastAsiaTheme="minorEastAsia"/>
          <w:color w:val="auto"/>
          <w:sz w:val="24"/>
          <w:szCs w:val="24"/>
          <w:highlight w:val="none"/>
          <w:lang w:val="zh-CN"/>
        </w:rPr>
        <w:t>）建立现场警戒区和交通控制区域，必要时实施影响范围（包括厂外）内人员的紧急疏散和转移；</w:t>
      </w:r>
    </w:p>
    <w:p w14:paraId="45C2EBA5">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5</w:t>
      </w:r>
      <w:r>
        <w:rPr>
          <w:rFonts w:hint="eastAsia" w:ascii="Times New Roman" w:hAnsi="Times New Roman" w:cs="Times New Roman" w:eastAsiaTheme="minorEastAsia"/>
          <w:color w:val="auto"/>
          <w:sz w:val="24"/>
          <w:szCs w:val="24"/>
          <w:highlight w:val="none"/>
          <w:lang w:val="zh-CN"/>
        </w:rPr>
        <w:t>）确定重点防护区域，对重点危险源（包括相邻单位）实施监控；</w:t>
      </w:r>
    </w:p>
    <w:p w14:paraId="2018EBFA">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6</w:t>
      </w:r>
      <w:r>
        <w:rPr>
          <w:rFonts w:hint="eastAsia" w:ascii="Times New Roman" w:hAnsi="Times New Roman" w:cs="Times New Roman" w:eastAsiaTheme="minorEastAsia"/>
          <w:color w:val="auto"/>
          <w:sz w:val="24"/>
          <w:szCs w:val="24"/>
          <w:highlight w:val="none"/>
          <w:lang w:val="zh-CN"/>
        </w:rPr>
        <w:t>）协调专业监测队伍对受威协的周边地区进行应急监测；</w:t>
      </w:r>
    </w:p>
    <w:p w14:paraId="3E7717E5">
      <w:pPr>
        <w:pStyle w:val="2"/>
        <w:pageBreakBefore w:val="0"/>
        <w:widowControl w:val="0"/>
        <w:kinsoku/>
        <w:overflowPunct/>
        <w:bidi w:val="0"/>
        <w:spacing w:line="500" w:lineRule="exact"/>
        <w:ind w:firstLine="0" w:firstLineChars="0"/>
        <w:jc w:val="left"/>
        <w:rPr>
          <w:rFonts w:hint="eastAsia"/>
          <w:sz w:val="24"/>
          <w:szCs w:val="28"/>
          <w:lang w:val="zh-CN"/>
        </w:rPr>
      </w:pPr>
      <w:bookmarkStart w:id="170" w:name="_TOC_250104"/>
      <w:bookmarkEnd w:id="170"/>
      <w:bookmarkStart w:id="171" w:name="_Toc10830"/>
      <w:bookmarkStart w:id="172" w:name="_Toc16382"/>
      <w:r>
        <w:rPr>
          <w:rFonts w:hint="eastAsia"/>
          <w:sz w:val="24"/>
          <w:szCs w:val="28"/>
          <w:lang w:val="en-US" w:eastAsia="zh-CN"/>
        </w:rPr>
        <w:t>2.3.2</w:t>
      </w:r>
      <w:r>
        <w:rPr>
          <w:rFonts w:hint="eastAsia"/>
          <w:sz w:val="24"/>
          <w:szCs w:val="28"/>
          <w:lang w:val="zh-CN"/>
        </w:rPr>
        <w:t>公司层面组织指挥机构</w:t>
      </w:r>
      <w:bookmarkEnd w:id="171"/>
      <w:bookmarkEnd w:id="172"/>
    </w:p>
    <w:p w14:paraId="7C9E1CCB">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较</w:t>
      </w:r>
      <w:r>
        <w:rPr>
          <w:rFonts w:hint="default" w:ascii="Times New Roman" w:hAnsi="Times New Roman" w:cs="Times New Roman" w:eastAsiaTheme="minorEastAsia"/>
          <w:color w:val="auto"/>
          <w:sz w:val="24"/>
          <w:szCs w:val="24"/>
          <w:highlight w:val="none"/>
          <w:lang w:val="zh-CN"/>
        </w:rPr>
        <w:t>大（Ⅱ级）</w:t>
      </w:r>
      <w:r>
        <w:rPr>
          <w:rFonts w:hint="eastAsia" w:ascii="Times New Roman" w:hAnsi="Times New Roman" w:cs="Times New Roman" w:eastAsiaTheme="minorEastAsia"/>
          <w:color w:val="auto"/>
          <w:sz w:val="24"/>
          <w:szCs w:val="24"/>
          <w:highlight w:val="none"/>
          <w:lang w:val="zh-CN"/>
        </w:rPr>
        <w:t>突发环境事件由公司</w:t>
      </w:r>
      <w:r>
        <w:rPr>
          <w:rFonts w:hint="eastAsia" w:ascii="Times New Roman" w:hAnsi="Times New Roman" w:cs="Times New Roman" w:eastAsiaTheme="minorEastAsia"/>
          <w:color w:val="auto"/>
          <w:sz w:val="24"/>
          <w:szCs w:val="24"/>
          <w:highlight w:val="none"/>
          <w:lang w:val="en-US" w:eastAsia="zh-CN"/>
        </w:rPr>
        <w:t>总经理</w:t>
      </w:r>
      <w:r>
        <w:rPr>
          <w:rFonts w:hint="eastAsia" w:ascii="Times New Roman" w:hAnsi="Times New Roman" w:cs="Times New Roman" w:eastAsiaTheme="minorEastAsia"/>
          <w:color w:val="auto"/>
          <w:sz w:val="24"/>
          <w:szCs w:val="24"/>
          <w:highlight w:val="none"/>
          <w:lang w:val="zh-CN"/>
        </w:rPr>
        <w:t>负责应急指挥、协调和决策工作。必要时，成立应急救援指挥部，指挥部设总指挥一名，现场指挥一名。总指挥由</w:t>
      </w:r>
      <w:r>
        <w:rPr>
          <w:rFonts w:hint="eastAsia" w:ascii="Times New Roman" w:hAnsi="Times New Roman" w:cs="Times New Roman" w:eastAsiaTheme="minorEastAsia"/>
          <w:color w:val="auto"/>
          <w:sz w:val="24"/>
          <w:szCs w:val="24"/>
          <w:highlight w:val="none"/>
          <w:lang w:val="en-US" w:eastAsia="zh-CN"/>
        </w:rPr>
        <w:t>总经理</w:t>
      </w:r>
      <w:r>
        <w:rPr>
          <w:rFonts w:hint="eastAsia" w:ascii="Times New Roman" w:hAnsi="Times New Roman" w:cs="Times New Roman" w:eastAsiaTheme="minorEastAsia"/>
          <w:color w:val="auto"/>
          <w:sz w:val="24"/>
          <w:szCs w:val="24"/>
          <w:highlight w:val="none"/>
          <w:lang w:val="zh-CN"/>
        </w:rPr>
        <w:t>担任，统一领导、组织和指挥应急处置工作。现场指挥由</w:t>
      </w:r>
      <w:r>
        <w:rPr>
          <w:rFonts w:hint="eastAsia" w:ascii="Times New Roman" w:hAnsi="Times New Roman" w:cs="Times New Roman" w:eastAsiaTheme="minorEastAsia"/>
          <w:color w:val="auto"/>
          <w:sz w:val="24"/>
          <w:szCs w:val="24"/>
          <w:highlight w:val="none"/>
          <w:lang w:val="en-US" w:eastAsia="zh-CN"/>
        </w:rPr>
        <w:t>生产经理</w:t>
      </w:r>
      <w:r>
        <w:rPr>
          <w:rFonts w:hint="eastAsia" w:ascii="Times New Roman" w:hAnsi="Times New Roman" w:cs="Times New Roman" w:eastAsiaTheme="minorEastAsia"/>
          <w:color w:val="auto"/>
          <w:sz w:val="24"/>
          <w:szCs w:val="24"/>
          <w:highlight w:val="none"/>
          <w:lang w:val="zh-CN"/>
        </w:rPr>
        <w:t>担任，或由</w:t>
      </w:r>
      <w:r>
        <w:rPr>
          <w:rFonts w:hint="eastAsia" w:ascii="Times New Roman" w:hAnsi="Times New Roman" w:cs="Times New Roman" w:eastAsiaTheme="minorEastAsia"/>
          <w:color w:val="auto"/>
          <w:sz w:val="24"/>
          <w:szCs w:val="24"/>
          <w:highlight w:val="none"/>
          <w:lang w:val="en-US" w:eastAsia="zh-CN"/>
        </w:rPr>
        <w:t>总经理</w:t>
      </w:r>
      <w:r>
        <w:rPr>
          <w:rFonts w:hint="eastAsia" w:ascii="Times New Roman" w:hAnsi="Times New Roman" w:cs="Times New Roman" w:eastAsiaTheme="minorEastAsia"/>
          <w:color w:val="auto"/>
          <w:sz w:val="24"/>
          <w:szCs w:val="24"/>
          <w:highlight w:val="none"/>
          <w:lang w:val="zh-CN"/>
        </w:rPr>
        <w:t>临时任命。</w:t>
      </w:r>
    </w:p>
    <w:p w14:paraId="4AB80E23">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指挥部根据突发环境环境事件的险情通知有关部门、救援小组及协作单位，各应急机构接到通知信息后，应立即赶赳现场，在指挥部的统一指挥下，相互协同，密切配合，共同实施环境应急处置行动。</w:t>
      </w:r>
    </w:p>
    <w:p w14:paraId="3A929D02">
      <w:pPr>
        <w:pageBreakBefore w:val="0"/>
        <w:widowControl/>
        <w:kinsoku/>
        <w:overflowPunct/>
        <w:bidi w:val="0"/>
        <w:spacing w:line="500" w:lineRule="exact"/>
        <w:ind w:firstLine="560"/>
        <w:jc w:val="left"/>
        <w:rPr>
          <w:rFonts w:hint="eastAsia"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应急总指挥因故不在场时，由</w:t>
      </w:r>
      <w:r>
        <w:rPr>
          <w:rFonts w:hint="eastAsia" w:ascii="Times New Roman" w:hAnsi="Times New Roman" w:cs="Times New Roman" w:eastAsiaTheme="minorEastAsia"/>
          <w:color w:val="auto"/>
          <w:sz w:val="24"/>
          <w:szCs w:val="24"/>
          <w:highlight w:val="none"/>
          <w:lang w:val="en-US" w:eastAsia="zh-CN"/>
        </w:rPr>
        <w:t>生产经理</w:t>
      </w:r>
      <w:r>
        <w:rPr>
          <w:rFonts w:hint="eastAsia" w:ascii="Times New Roman" w:hAnsi="Times New Roman" w:cs="Times New Roman" w:eastAsiaTheme="minorEastAsia"/>
          <w:color w:val="auto"/>
          <w:sz w:val="24"/>
          <w:szCs w:val="24"/>
          <w:highlight w:val="none"/>
          <w:lang w:val="zh-CN"/>
        </w:rPr>
        <w:t>负责代理履行应急总指挥职责，或由总指挥指定人员代理履行应急职责，全权负责事件（事故）的应急救援指挥工作。夜间，指挥人员未到场时，由值班人员或作业现场负责人负责指挥。</w:t>
      </w:r>
    </w:p>
    <w:p w14:paraId="3274FEA6">
      <w:pPr>
        <w:pageBreakBefore w:val="0"/>
        <w:widowControl/>
        <w:kinsoku/>
        <w:overflowPunct/>
        <w:bidi w:val="0"/>
        <w:spacing w:line="500" w:lineRule="exact"/>
        <w:ind w:firstLine="560"/>
        <w:jc w:val="left"/>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应急救援指挥组</w:t>
      </w:r>
      <w:r>
        <w:rPr>
          <w:rFonts w:hint="default" w:ascii="Times New Roman" w:hAnsi="Times New Roman" w:cs="Times New Roman" w:eastAsiaTheme="minorEastAsia"/>
          <w:color w:val="auto"/>
          <w:sz w:val="24"/>
          <w:szCs w:val="24"/>
          <w:highlight w:val="none"/>
          <w:lang w:val="zh-CN"/>
        </w:rPr>
        <w:t>人员职责（见表2-</w:t>
      </w:r>
      <w:r>
        <w:rPr>
          <w:rFonts w:hint="eastAsia"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zh-CN"/>
        </w:rPr>
        <w:t>：</w:t>
      </w:r>
    </w:p>
    <w:p w14:paraId="556FCD39">
      <w:pPr>
        <w:pageBreakBefore w:val="0"/>
        <w:widowControl/>
        <w:tabs>
          <w:tab w:val="left" w:pos="2110"/>
          <w:tab w:val="center" w:pos="4396"/>
        </w:tabs>
        <w:kinsoku/>
        <w:overflowPunct/>
        <w:bidi w:val="0"/>
        <w:spacing w:line="500" w:lineRule="exact"/>
        <w:ind w:firstLine="562"/>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4"/>
          <w:szCs w:val="24"/>
          <w:highlight w:val="none"/>
        </w:rPr>
        <w:t>表2-</w:t>
      </w:r>
      <w:r>
        <w:rPr>
          <w:rFonts w:hint="eastAsia" w:ascii="Times New Roman" w:hAnsi="Times New Roman" w:cs="Times New Roman" w:eastAsiaTheme="minorEastAsia"/>
          <w:b/>
          <w:color w:val="auto"/>
          <w:sz w:val="24"/>
          <w:szCs w:val="24"/>
          <w:highlight w:val="none"/>
          <w:lang w:val="en-US" w:eastAsia="zh-CN"/>
        </w:rPr>
        <w:t>2</w:t>
      </w:r>
      <w:r>
        <w:rPr>
          <w:rFonts w:hint="default" w:ascii="Times New Roman" w:hAnsi="Times New Roman" w:cs="Times New Roman" w:eastAsiaTheme="minorEastAsia"/>
          <w:b/>
          <w:color w:val="auto"/>
          <w:sz w:val="24"/>
          <w:szCs w:val="24"/>
          <w:highlight w:val="none"/>
        </w:rPr>
        <w:t xml:space="preserve"> </w:t>
      </w:r>
      <w:r>
        <w:rPr>
          <w:rFonts w:hint="eastAsia" w:ascii="Times New Roman" w:hAnsi="Times New Roman" w:cs="Times New Roman" w:eastAsiaTheme="minorEastAsia"/>
          <w:b/>
          <w:color w:val="auto"/>
          <w:sz w:val="24"/>
          <w:szCs w:val="24"/>
          <w:highlight w:val="none"/>
          <w:lang w:eastAsia="zh-CN"/>
        </w:rPr>
        <w:t>应急救援指挥组</w:t>
      </w:r>
      <w:r>
        <w:rPr>
          <w:rFonts w:hint="default" w:ascii="Times New Roman" w:hAnsi="Times New Roman" w:cs="Times New Roman" w:eastAsiaTheme="minorEastAsia"/>
          <w:b/>
          <w:color w:val="auto"/>
          <w:sz w:val="24"/>
          <w:szCs w:val="24"/>
          <w:highlight w:val="none"/>
        </w:rPr>
        <w:t>人员职责</w:t>
      </w:r>
    </w:p>
    <w:tbl>
      <w:tblPr>
        <w:tblStyle w:val="34"/>
        <w:tblW w:w="5032"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469"/>
        <w:gridCol w:w="7645"/>
      </w:tblGrid>
      <w:tr w14:paraId="732063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806" w:type="pct"/>
            <w:tcBorders>
              <w:tl2br w:val="nil"/>
              <w:tr2bl w:val="nil"/>
            </w:tcBorders>
            <w:vAlign w:val="center"/>
          </w:tcPr>
          <w:p w14:paraId="2174F9BD">
            <w:pPr>
              <w:pageBreakBefore w:val="0"/>
              <w:kinsoku/>
              <w:overflowPunct/>
              <w:bidi w:val="0"/>
              <w:spacing w:line="500" w:lineRule="exac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职  位</w:t>
            </w:r>
          </w:p>
        </w:tc>
        <w:tc>
          <w:tcPr>
            <w:tcW w:w="4193" w:type="pct"/>
            <w:tcBorders>
              <w:tl2br w:val="nil"/>
              <w:tr2bl w:val="nil"/>
            </w:tcBorders>
            <w:vAlign w:val="center"/>
          </w:tcPr>
          <w:p w14:paraId="6A9BBE4F">
            <w:pPr>
              <w:pageBreakBefore w:val="0"/>
              <w:kinsoku/>
              <w:overflowPunct/>
              <w:bidi w:val="0"/>
              <w:spacing w:line="500" w:lineRule="exac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职                  责</w:t>
            </w:r>
          </w:p>
        </w:tc>
      </w:tr>
      <w:tr w14:paraId="1EA683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6" w:type="pct"/>
            <w:tcBorders>
              <w:tl2br w:val="nil"/>
              <w:tr2bl w:val="nil"/>
            </w:tcBorders>
            <w:vAlign w:val="center"/>
          </w:tcPr>
          <w:p w14:paraId="2978D001">
            <w:pPr>
              <w:pageBreakBefore w:val="0"/>
              <w:kinsoku/>
              <w:overflowPunct/>
              <w:bidi w:val="0"/>
              <w:spacing w:line="500" w:lineRule="exac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总指挥</w:t>
            </w:r>
          </w:p>
        </w:tc>
        <w:tc>
          <w:tcPr>
            <w:tcW w:w="4193" w:type="pct"/>
            <w:tcBorders>
              <w:tl2br w:val="nil"/>
              <w:tr2bl w:val="nil"/>
            </w:tcBorders>
            <w:vAlign w:val="center"/>
          </w:tcPr>
          <w:p w14:paraId="6014927B">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负责组织应急救援的实施工作；</w:t>
            </w:r>
          </w:p>
          <w:p w14:paraId="040AF2A1">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开设现场指挥机构，迅速响应，组织紧急评估，决策行动方案；</w:t>
            </w:r>
          </w:p>
          <w:p w14:paraId="56AED0BE">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合理高效地调配和使用应急资源；</w:t>
            </w:r>
          </w:p>
          <w:p w14:paraId="39412557">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直接监察应急操作行动，向当地政府机构报告应急救援行动方案和</w:t>
            </w:r>
            <w:r>
              <w:rPr>
                <w:rFonts w:hint="eastAsia" w:ascii="Times New Roman" w:hAnsi="Times New Roman" w:cs="Times New Roman" w:eastAsiaTheme="minorEastAsia"/>
                <w:color w:val="auto"/>
                <w:sz w:val="21"/>
                <w:szCs w:val="21"/>
                <w:highlight w:val="none"/>
                <w:lang w:val="en-US" w:eastAsia="zh-CN"/>
              </w:rPr>
              <w:t>配合政府部门</w:t>
            </w:r>
            <w:r>
              <w:rPr>
                <w:rFonts w:hint="default" w:ascii="Times New Roman" w:hAnsi="Times New Roman" w:cs="Times New Roman" w:eastAsiaTheme="minorEastAsia"/>
                <w:color w:val="auto"/>
                <w:sz w:val="21"/>
                <w:szCs w:val="21"/>
                <w:highlight w:val="none"/>
              </w:rPr>
              <w:t>向周边通报事故情况；提出要求支援的具体事宜；</w:t>
            </w:r>
          </w:p>
          <w:p w14:paraId="06D55F9C">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决定是否疏散和撤离，保证现场和</w:t>
            </w:r>
            <w:r>
              <w:rPr>
                <w:rFonts w:hint="eastAsia" w:ascii="Times New Roman" w:hAnsi="Times New Roman" w:cs="Times New Roman" w:eastAsiaTheme="minorEastAsia"/>
                <w:color w:val="auto"/>
                <w:sz w:val="21"/>
                <w:szCs w:val="21"/>
                <w:highlight w:val="none"/>
                <w:lang w:eastAsia="zh-CN"/>
              </w:rPr>
              <w:t>公司</w:t>
            </w:r>
            <w:r>
              <w:rPr>
                <w:rFonts w:hint="default" w:ascii="Times New Roman" w:hAnsi="Times New Roman" w:cs="Times New Roman" w:eastAsiaTheme="minorEastAsia"/>
                <w:color w:val="auto"/>
                <w:sz w:val="21"/>
                <w:szCs w:val="21"/>
                <w:highlight w:val="none"/>
              </w:rPr>
              <w:t>外来人员安全；</w:t>
            </w:r>
          </w:p>
          <w:p w14:paraId="28C179D1">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负责发布、启动或解除应急救援行动的信息；</w:t>
            </w:r>
          </w:p>
          <w:p w14:paraId="3ECA6D34">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负责组织、协调事故的善后处理。</w:t>
            </w:r>
          </w:p>
        </w:tc>
      </w:tr>
      <w:tr w14:paraId="01A761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6" w:type="pct"/>
            <w:tcBorders>
              <w:tl2br w:val="nil"/>
              <w:tr2bl w:val="nil"/>
            </w:tcBorders>
            <w:vAlign w:val="center"/>
          </w:tcPr>
          <w:p w14:paraId="7EFEDE7D">
            <w:pPr>
              <w:pageBreakBefore w:val="0"/>
              <w:kinsoku/>
              <w:overflowPunct/>
              <w:bidi w:val="0"/>
              <w:spacing w:line="500" w:lineRule="exact"/>
              <w:jc w:val="center"/>
              <w:rPr>
                <w:rFonts w:hint="eastAsia" w:ascii="Times New Roman" w:hAnsi="Times New Roman" w:cs="Times New Roman" w:eastAsiaTheme="minorEastAsia"/>
                <w:color w:val="auto"/>
                <w:sz w:val="21"/>
                <w:szCs w:val="21"/>
                <w:highlight w:val="none"/>
                <w:lang w:val="en-US" w:eastAsia="zh-CN"/>
              </w:rPr>
            </w:pPr>
            <w:bookmarkStart w:id="173" w:name="_Toc535504500"/>
            <w:bookmarkStart w:id="174" w:name="_Toc7773"/>
            <w:bookmarkStart w:id="175" w:name="_Toc16011"/>
            <w:r>
              <w:rPr>
                <w:rFonts w:hint="eastAsia" w:ascii="Times New Roman" w:hAnsi="Times New Roman" w:cs="Times New Roman" w:eastAsiaTheme="minorEastAsia"/>
                <w:color w:val="auto"/>
                <w:sz w:val="21"/>
                <w:szCs w:val="21"/>
                <w:highlight w:val="none"/>
                <w:lang w:val="en-US" w:eastAsia="zh-CN"/>
              </w:rPr>
              <w:t>指挥部成员</w:t>
            </w:r>
          </w:p>
        </w:tc>
        <w:tc>
          <w:tcPr>
            <w:tcW w:w="4193" w:type="pct"/>
            <w:tcBorders>
              <w:tl2br w:val="nil"/>
              <w:tr2bl w:val="nil"/>
            </w:tcBorders>
            <w:vAlign w:val="center"/>
          </w:tcPr>
          <w:p w14:paraId="7B32C23C">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协助总指挥做好应急救援的具体工作；</w:t>
            </w:r>
          </w:p>
          <w:p w14:paraId="21D78F1D">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 xml:space="preserve">向总指挥提出减缓事故后果的行动对策和建议； </w:t>
            </w:r>
          </w:p>
          <w:p w14:paraId="58EF2C0B">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以对应应急响应小组为落脚点，全力配合做好应急支援工作。</w:t>
            </w:r>
          </w:p>
        </w:tc>
      </w:tr>
    </w:tbl>
    <w:p w14:paraId="7D9DB70E">
      <w:pPr>
        <w:pStyle w:val="2"/>
        <w:numPr>
          <w:ilvl w:val="-1"/>
          <w:numId w:val="0"/>
        </w:numPr>
        <w:spacing w:before="0" w:after="0" w:line="500" w:lineRule="exact"/>
        <w:ind w:left="0" w:right="0" w:firstLine="0" w:firstLineChars="0"/>
        <w:jc w:val="left"/>
        <w:outlineLvl w:val="2"/>
        <w:rPr>
          <w:rFonts w:hint="default" w:ascii="Times New Roman" w:hAnsi="Times New Roman" w:eastAsia="宋体" w:cs="Times New Roman"/>
          <w:sz w:val="24"/>
          <w:szCs w:val="28"/>
        </w:rPr>
      </w:pPr>
      <w:bookmarkStart w:id="176" w:name="_Toc2041"/>
      <w:bookmarkStart w:id="177" w:name="_Toc22280"/>
      <w:r>
        <w:rPr>
          <w:rFonts w:hint="eastAsia" w:ascii="Times New Roman" w:hAnsi="Times New Roman" w:eastAsia="宋体" w:cs="Times New Roman"/>
          <w:sz w:val="24"/>
          <w:szCs w:val="28"/>
          <w:lang w:val="en-US" w:eastAsia="zh-CN"/>
        </w:rPr>
        <w:t>2.3.3</w:t>
      </w:r>
      <w:r>
        <w:rPr>
          <w:rFonts w:hint="default" w:ascii="Times New Roman" w:hAnsi="Times New Roman" w:eastAsia="宋体" w:cs="Times New Roman"/>
          <w:sz w:val="24"/>
          <w:szCs w:val="28"/>
        </w:rPr>
        <w:t>车间层面组织指挥机构</w:t>
      </w:r>
      <w:bookmarkEnd w:id="176"/>
      <w:bookmarkEnd w:id="177"/>
    </w:p>
    <w:p w14:paraId="67AEC76B">
      <w:pPr>
        <w:widowControl/>
        <w:spacing w:before="0" w:line="500" w:lineRule="exact"/>
        <w:ind w:left="0" w:right="0" w:firstLine="480" w:firstLineChars="200"/>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发生突发环境事件，无论大小，事发部门应立即组织生产现场人员进行先期处置，控制事态扩大。</w:t>
      </w:r>
    </w:p>
    <w:p w14:paraId="4F70F2D8">
      <w:pPr>
        <w:pageBreakBefore w:val="0"/>
        <w:widowControl/>
        <w:kinsoku/>
        <w:overflowPunct/>
        <w:bidi w:val="0"/>
        <w:spacing w:before="0" w:beforeAutospacing="0" w:after="0" w:afterAutospacing="0" w:line="500" w:lineRule="exact"/>
        <w:ind w:firstLine="480" w:firstLineChars="200"/>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初判为较大以上突发环境事件应立即上报</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color w:val="auto"/>
          <w:sz w:val="24"/>
          <w:szCs w:val="24"/>
          <w:highlight w:val="none"/>
          <w:lang w:val="zh-CN"/>
        </w:rPr>
        <w:t>到场后，交由</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color w:val="auto"/>
          <w:sz w:val="24"/>
          <w:szCs w:val="24"/>
          <w:highlight w:val="none"/>
          <w:lang w:val="zh-CN"/>
        </w:rPr>
        <w:t>负责指挥协调；初判为一般环境事件，现场处置由车间主任负责指挥协调工作，事后书面向公司生产部报告。</w:t>
      </w:r>
    </w:p>
    <w:p w14:paraId="734F44F6">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78" w:name="_Toc31953"/>
      <w:bookmarkStart w:id="179" w:name="_Toc18976"/>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外部应急/救援力量</w:t>
      </w:r>
      <w:bookmarkEnd w:id="173"/>
      <w:bookmarkEnd w:id="174"/>
      <w:bookmarkEnd w:id="175"/>
      <w:bookmarkEnd w:id="178"/>
      <w:bookmarkEnd w:id="179"/>
    </w:p>
    <w:p w14:paraId="30409E8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Ⅰ级响应等级措施启动后</w:t>
      </w:r>
      <w:r>
        <w:rPr>
          <w:rFonts w:hint="eastAsia" w:ascii="Times New Roman" w:hAnsi="Times New Roman" w:cs="Times New Roman" w:eastAsiaTheme="minorEastAsia"/>
          <w:color w:val="auto"/>
          <w:sz w:val="24"/>
          <w:szCs w:val="24"/>
          <w:highlight w:val="none"/>
          <w:lang w:val="zh-CN"/>
        </w:rPr>
        <w:t>，</w:t>
      </w:r>
      <w:r>
        <w:rPr>
          <w:rFonts w:hint="default" w:ascii="Times New Roman" w:hAnsi="Times New Roman" w:cs="Times New Roman" w:eastAsiaTheme="minorEastAsia"/>
          <w:color w:val="auto"/>
          <w:sz w:val="24"/>
          <w:szCs w:val="24"/>
          <w:highlight w:val="none"/>
          <w:lang w:val="zh-CN"/>
        </w:rPr>
        <w:t>公司可请求的外部应急救援力量主要包括：</w:t>
      </w:r>
      <w:r>
        <w:rPr>
          <w:rFonts w:hint="eastAsia" w:ascii="Times New Roman" w:hAnsi="Times New Roman" w:cs="Times New Roman" w:eastAsiaTheme="minorEastAsia"/>
          <w:color w:val="auto"/>
          <w:sz w:val="24"/>
          <w:szCs w:val="24"/>
          <w:highlight w:val="none"/>
          <w:lang w:val="en-US" w:eastAsia="zh-CN"/>
        </w:rPr>
        <w:t>海安大公镇、</w:t>
      </w:r>
      <w:r>
        <w:rPr>
          <w:rFonts w:hint="default" w:ascii="Times New Roman" w:hAnsi="Times New Roman" w:cs="Times New Roman" w:eastAsiaTheme="minorEastAsia"/>
          <w:color w:val="auto"/>
          <w:sz w:val="24"/>
          <w:szCs w:val="24"/>
          <w:highlight w:val="none"/>
          <w:lang w:val="zh-CN"/>
        </w:rPr>
        <w:t>南通市海安生态环境局、公安消防、安全生产、医疗卫生等主管部门</w:t>
      </w:r>
      <w:r>
        <w:rPr>
          <w:rFonts w:hint="eastAsia" w:ascii="Times New Roman" w:hAnsi="Times New Roman" w:cs="Times New Roman" w:eastAsiaTheme="minorEastAsia"/>
          <w:color w:val="auto"/>
          <w:sz w:val="24"/>
          <w:szCs w:val="24"/>
          <w:highlight w:val="none"/>
          <w:lang w:val="en-US" w:eastAsia="zh-CN"/>
        </w:rPr>
        <w:t>以及周边相邻单位</w:t>
      </w:r>
      <w:r>
        <w:rPr>
          <w:rFonts w:hint="eastAsia" w:ascii="Times New Roman" w:hAnsi="Times New Roman" w:cs="Times New Roman" w:eastAsiaTheme="minorEastAsia"/>
          <w:color w:val="auto"/>
          <w:sz w:val="24"/>
          <w:szCs w:val="24"/>
          <w:highlight w:val="none"/>
          <w:lang w:val="zh-CN"/>
        </w:rPr>
        <w:t>。</w:t>
      </w:r>
    </w:p>
    <w:p w14:paraId="391F5CA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为确保外部应急救援力量在需要时能够正常发挥作用，公司安全环保人员应保持与外部应急救援力量的沟通和联系，了解他们的应急能力和人员装备情况，介绍本单位有关设施、危险物质的特性等，并与相邻单位签署互助协议。</w:t>
      </w:r>
    </w:p>
    <w:p w14:paraId="6CD3ADB0">
      <w:pPr>
        <w:jc w:val="center"/>
        <w:rPr>
          <w:rFonts w:hint="default" w:eastAsiaTheme="minorEastAsia"/>
          <w:vertAlign w:val="baseline"/>
          <w:lang w:val="en-US" w:eastAsia="zh-CN"/>
        </w:rPr>
      </w:pPr>
      <w:r>
        <w:rPr>
          <w:rFonts w:hint="default" w:ascii="Times New Roman" w:hAnsi="Times New Roman" w:cs="Times New Roman" w:eastAsiaTheme="minorEastAsia"/>
          <w:b/>
          <w:color w:val="auto"/>
          <w:sz w:val="24"/>
          <w:szCs w:val="24"/>
          <w:highlight w:val="none"/>
        </w:rPr>
        <w:t>表2-</w:t>
      </w:r>
      <w:r>
        <w:rPr>
          <w:rFonts w:hint="eastAsia" w:ascii="Times New Roman" w:hAnsi="Times New Roman" w:cs="Times New Roman" w:eastAsiaTheme="minorEastAsia"/>
          <w:b/>
          <w:color w:val="auto"/>
          <w:sz w:val="24"/>
          <w:szCs w:val="24"/>
          <w:highlight w:val="none"/>
          <w:lang w:val="en-US" w:eastAsia="zh-CN"/>
        </w:rPr>
        <w:t>3</w:t>
      </w:r>
      <w:r>
        <w:rPr>
          <w:rFonts w:hint="default" w:ascii="Times New Roman" w:hAnsi="Times New Roman" w:cs="Times New Roman" w:eastAsiaTheme="minorEastAsia"/>
          <w:b/>
          <w:color w:val="auto"/>
          <w:sz w:val="24"/>
          <w:szCs w:val="24"/>
          <w:highlight w:val="none"/>
        </w:rPr>
        <w:t xml:space="preserve"> 外部应急救援</w:t>
      </w:r>
      <w:r>
        <w:rPr>
          <w:rFonts w:hint="eastAsia" w:ascii="Times New Roman" w:hAnsi="Times New Roman" w:cs="Times New Roman" w:eastAsiaTheme="minorEastAsia"/>
          <w:b/>
          <w:color w:val="auto"/>
          <w:sz w:val="24"/>
          <w:szCs w:val="24"/>
          <w:highlight w:val="none"/>
          <w:lang w:val="en-US" w:eastAsia="zh-CN"/>
        </w:rPr>
        <w:t>力量列表</w:t>
      </w:r>
    </w:p>
    <w:tbl>
      <w:tblPr>
        <w:tblStyle w:val="35"/>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97"/>
        <w:gridCol w:w="4762"/>
        <w:gridCol w:w="3176"/>
      </w:tblGrid>
      <w:tr w14:paraId="450E8B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452187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序号</w:t>
            </w:r>
          </w:p>
        </w:tc>
        <w:tc>
          <w:tcPr>
            <w:tcW w:w="2577" w:type="pct"/>
            <w:tcBorders>
              <w:tl2br w:val="nil"/>
              <w:tr2bl w:val="nil"/>
            </w:tcBorders>
            <w:vAlign w:val="center"/>
          </w:tcPr>
          <w:p w14:paraId="15AAF4A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应急救援单位</w:t>
            </w:r>
          </w:p>
        </w:tc>
        <w:tc>
          <w:tcPr>
            <w:tcW w:w="1719" w:type="pct"/>
            <w:tcBorders>
              <w:tl2br w:val="nil"/>
              <w:tr2bl w:val="nil"/>
            </w:tcBorders>
            <w:vAlign w:val="center"/>
          </w:tcPr>
          <w:p w14:paraId="545178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联系方式</w:t>
            </w:r>
          </w:p>
        </w:tc>
      </w:tr>
      <w:tr w14:paraId="445A8E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74A281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w:t>
            </w:r>
          </w:p>
        </w:tc>
        <w:tc>
          <w:tcPr>
            <w:tcW w:w="2577" w:type="pct"/>
            <w:tcBorders>
              <w:tl2br w:val="nil"/>
              <w:tr2bl w:val="nil"/>
            </w:tcBorders>
            <w:vAlign w:val="center"/>
          </w:tcPr>
          <w:p w14:paraId="76CED930">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南通市海安生态环境局</w:t>
            </w:r>
          </w:p>
        </w:tc>
        <w:tc>
          <w:tcPr>
            <w:tcW w:w="1719" w:type="pct"/>
            <w:tcBorders>
              <w:tl2br w:val="nil"/>
              <w:tr2bl w:val="nil"/>
            </w:tcBorders>
            <w:vAlign w:val="center"/>
          </w:tcPr>
          <w:p w14:paraId="36BA63B8">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0513-8</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812369</w:t>
            </w:r>
          </w:p>
        </w:tc>
      </w:tr>
      <w:tr w14:paraId="4226C8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471F23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2</w:t>
            </w:r>
          </w:p>
        </w:tc>
        <w:tc>
          <w:tcPr>
            <w:tcW w:w="2577" w:type="pct"/>
            <w:tcBorders>
              <w:tl2br w:val="nil"/>
              <w:tr2bl w:val="nil"/>
            </w:tcBorders>
            <w:vAlign w:val="center"/>
          </w:tcPr>
          <w:p w14:paraId="40BBAFE6">
            <w:pPr>
              <w:pageBreakBefore w:val="0"/>
              <w:kinsoku/>
              <w:overflowPunct/>
              <w:bidi w:val="0"/>
              <w:spacing w:line="240" w:lineRule="auto"/>
              <w:jc w:val="center"/>
              <w:rPr>
                <w:rFonts w:hint="default"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sz w:val="21"/>
                <w:szCs w:val="21"/>
                <w:lang w:val="en-US" w:eastAsia="zh-CN"/>
              </w:rPr>
              <w:t>海安市人民政府</w:t>
            </w:r>
          </w:p>
        </w:tc>
        <w:tc>
          <w:tcPr>
            <w:tcW w:w="1719" w:type="pct"/>
            <w:tcBorders>
              <w:tl2br w:val="nil"/>
              <w:tr2bl w:val="nil"/>
            </w:tcBorders>
            <w:vAlign w:val="center"/>
          </w:tcPr>
          <w:p w14:paraId="79F87A6D">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0513-81868035</w:t>
            </w:r>
          </w:p>
        </w:tc>
      </w:tr>
      <w:tr w14:paraId="0536D5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150EC7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3</w:t>
            </w:r>
          </w:p>
        </w:tc>
        <w:tc>
          <w:tcPr>
            <w:tcW w:w="2577" w:type="pct"/>
            <w:tcBorders>
              <w:tl2br w:val="nil"/>
              <w:tr2bl w:val="nil"/>
            </w:tcBorders>
            <w:vAlign w:val="center"/>
          </w:tcPr>
          <w:p w14:paraId="5BDE2C20">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海安市消防</w:t>
            </w:r>
            <w:r>
              <w:rPr>
                <w:rFonts w:hint="eastAsia" w:ascii="Times New Roman" w:hAnsi="Times New Roman" w:eastAsia="宋体" w:cs="Times New Roman"/>
                <w:sz w:val="21"/>
                <w:szCs w:val="21"/>
                <w:lang w:val="en-US" w:eastAsia="zh-CN"/>
              </w:rPr>
              <w:t>救援</w:t>
            </w:r>
            <w:r>
              <w:rPr>
                <w:rFonts w:hint="default" w:ascii="Times New Roman" w:hAnsi="Times New Roman" w:eastAsia="宋体" w:cs="Times New Roman"/>
                <w:sz w:val="21"/>
                <w:szCs w:val="21"/>
              </w:rPr>
              <w:t>大队</w:t>
            </w:r>
          </w:p>
        </w:tc>
        <w:tc>
          <w:tcPr>
            <w:tcW w:w="1719" w:type="pct"/>
            <w:tcBorders>
              <w:tl2br w:val="nil"/>
              <w:tr2bl w:val="nil"/>
            </w:tcBorders>
            <w:vAlign w:val="center"/>
          </w:tcPr>
          <w:p w14:paraId="74A551CB">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119</w:t>
            </w:r>
          </w:p>
        </w:tc>
      </w:tr>
      <w:tr w14:paraId="7F7F8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54C33C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4</w:t>
            </w:r>
          </w:p>
        </w:tc>
        <w:tc>
          <w:tcPr>
            <w:tcW w:w="2577" w:type="pct"/>
            <w:tcBorders>
              <w:tl2br w:val="nil"/>
              <w:tr2bl w:val="nil"/>
            </w:tcBorders>
            <w:vAlign w:val="center"/>
          </w:tcPr>
          <w:p w14:paraId="2F9BA850">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海安市应急管理局</w:t>
            </w:r>
          </w:p>
        </w:tc>
        <w:tc>
          <w:tcPr>
            <w:tcW w:w="1719" w:type="pct"/>
            <w:tcBorders>
              <w:tl2br w:val="nil"/>
              <w:tr2bl w:val="nil"/>
            </w:tcBorders>
            <w:vAlign w:val="center"/>
          </w:tcPr>
          <w:p w14:paraId="32D70203">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0513-88169805</w:t>
            </w:r>
          </w:p>
        </w:tc>
      </w:tr>
      <w:tr w14:paraId="7BADB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19E30F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5</w:t>
            </w:r>
          </w:p>
        </w:tc>
        <w:tc>
          <w:tcPr>
            <w:tcW w:w="2577" w:type="pct"/>
            <w:tcBorders>
              <w:tl2br w:val="nil"/>
              <w:tr2bl w:val="nil"/>
            </w:tcBorders>
            <w:vAlign w:val="center"/>
          </w:tcPr>
          <w:p w14:paraId="027FCBFC">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海安市公安局</w:t>
            </w:r>
          </w:p>
        </w:tc>
        <w:tc>
          <w:tcPr>
            <w:tcW w:w="1719" w:type="pct"/>
            <w:tcBorders>
              <w:tl2br w:val="nil"/>
              <w:tr2bl w:val="nil"/>
            </w:tcBorders>
            <w:vAlign w:val="center"/>
          </w:tcPr>
          <w:p w14:paraId="7ADC7ACD">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110</w:t>
            </w:r>
          </w:p>
        </w:tc>
      </w:tr>
      <w:tr w14:paraId="6D3811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3848EC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6</w:t>
            </w:r>
          </w:p>
        </w:tc>
        <w:tc>
          <w:tcPr>
            <w:tcW w:w="2577" w:type="pct"/>
            <w:tcBorders>
              <w:tl2br w:val="nil"/>
              <w:tr2bl w:val="nil"/>
            </w:tcBorders>
            <w:vAlign w:val="top"/>
          </w:tcPr>
          <w:p w14:paraId="636EE050">
            <w:pPr>
              <w:pStyle w:val="159"/>
              <w:spacing w:before="109"/>
              <w:ind w:left="437" w:leftChars="0" w:right="407"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海安市环境监测站</w:t>
            </w:r>
          </w:p>
        </w:tc>
        <w:tc>
          <w:tcPr>
            <w:tcW w:w="1719" w:type="pct"/>
            <w:tcBorders>
              <w:tl2br w:val="nil"/>
              <w:tr2bl w:val="nil"/>
            </w:tcBorders>
            <w:vAlign w:val="top"/>
          </w:tcPr>
          <w:p w14:paraId="42A4E733">
            <w:pPr>
              <w:pStyle w:val="159"/>
              <w:spacing w:before="125"/>
              <w:ind w:left="793" w:leftChars="0" w:right="773" w:rightChars="0"/>
              <w:rPr>
                <w:rFonts w:hint="default" w:ascii="Times New Roman" w:hAnsi="Times New Roman" w:eastAsia="宋体" w:cs="Times New Roman"/>
                <w:kern w:val="0"/>
                <w:sz w:val="21"/>
                <w:szCs w:val="20"/>
                <w:lang w:val="zh-CN" w:eastAsia="zh-CN" w:bidi="zh-CN"/>
              </w:rPr>
            </w:pPr>
            <w:r>
              <w:rPr>
                <w:rFonts w:hint="eastAsia" w:ascii="Times New Roman" w:hAnsi="Times New Roman" w:eastAsia="宋体" w:cs="Times New Roman"/>
                <w:sz w:val="21"/>
                <w:szCs w:val="20"/>
                <w:lang w:val="en-US" w:eastAsia="zh-CN"/>
              </w:rPr>
              <w:t>0513-</w:t>
            </w:r>
            <w:r>
              <w:rPr>
                <w:rFonts w:hint="default" w:ascii="Times New Roman" w:hAnsi="Times New Roman" w:eastAsia="宋体" w:cs="Times New Roman"/>
                <w:sz w:val="21"/>
                <w:szCs w:val="20"/>
              </w:rPr>
              <w:t>88813610</w:t>
            </w:r>
          </w:p>
        </w:tc>
      </w:tr>
      <w:tr w14:paraId="3DB9D5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1EE6E7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7</w:t>
            </w:r>
          </w:p>
        </w:tc>
        <w:tc>
          <w:tcPr>
            <w:tcW w:w="2577" w:type="pct"/>
            <w:tcBorders>
              <w:tl2br w:val="nil"/>
              <w:tr2bl w:val="nil"/>
            </w:tcBorders>
            <w:vAlign w:val="top"/>
          </w:tcPr>
          <w:p w14:paraId="08F9488F">
            <w:pPr>
              <w:pStyle w:val="159"/>
              <w:spacing w:before="72"/>
              <w:ind w:left="437" w:leftChars="0" w:right="407"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海安市急救中心</w:t>
            </w:r>
          </w:p>
        </w:tc>
        <w:tc>
          <w:tcPr>
            <w:tcW w:w="1719" w:type="pct"/>
            <w:tcBorders>
              <w:tl2br w:val="nil"/>
              <w:tr2bl w:val="nil"/>
            </w:tcBorders>
            <w:vAlign w:val="top"/>
          </w:tcPr>
          <w:p w14:paraId="169281C9">
            <w:pPr>
              <w:pStyle w:val="159"/>
              <w:spacing w:before="88"/>
              <w:ind w:left="793" w:leftChars="0" w:right="773"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120</w:t>
            </w:r>
          </w:p>
        </w:tc>
      </w:tr>
      <w:tr w14:paraId="17E92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739FE7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8</w:t>
            </w:r>
          </w:p>
        </w:tc>
        <w:tc>
          <w:tcPr>
            <w:tcW w:w="2577" w:type="pct"/>
            <w:tcBorders>
              <w:tl2br w:val="nil"/>
              <w:tr2bl w:val="nil"/>
            </w:tcBorders>
            <w:vAlign w:val="top"/>
          </w:tcPr>
          <w:p w14:paraId="1240B220">
            <w:pPr>
              <w:pStyle w:val="159"/>
              <w:spacing w:before="71"/>
              <w:ind w:left="437" w:leftChars="0" w:right="407"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政府热线</w:t>
            </w:r>
          </w:p>
        </w:tc>
        <w:tc>
          <w:tcPr>
            <w:tcW w:w="1719" w:type="pct"/>
            <w:tcBorders>
              <w:tl2br w:val="nil"/>
              <w:tr2bl w:val="nil"/>
            </w:tcBorders>
            <w:vAlign w:val="top"/>
          </w:tcPr>
          <w:p w14:paraId="23C1A68A">
            <w:pPr>
              <w:pStyle w:val="159"/>
              <w:spacing w:before="87"/>
              <w:ind w:left="793" w:leftChars="0" w:right="773"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12345</w:t>
            </w:r>
          </w:p>
        </w:tc>
      </w:tr>
      <w:tr w14:paraId="7F078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5FA6FD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9</w:t>
            </w:r>
          </w:p>
        </w:tc>
        <w:tc>
          <w:tcPr>
            <w:tcW w:w="2577" w:type="pct"/>
            <w:tcBorders>
              <w:tl2br w:val="nil"/>
              <w:tr2bl w:val="nil"/>
            </w:tcBorders>
            <w:vAlign w:val="top"/>
          </w:tcPr>
          <w:p w14:paraId="42FFE625">
            <w:pPr>
              <w:pStyle w:val="159"/>
              <w:spacing w:before="73"/>
              <w:ind w:left="437" w:leftChars="0" w:right="407"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环保热线</w:t>
            </w:r>
          </w:p>
        </w:tc>
        <w:tc>
          <w:tcPr>
            <w:tcW w:w="1719" w:type="pct"/>
            <w:tcBorders>
              <w:tl2br w:val="nil"/>
              <w:tr2bl w:val="nil"/>
            </w:tcBorders>
            <w:vAlign w:val="top"/>
          </w:tcPr>
          <w:p w14:paraId="4A0B448B">
            <w:pPr>
              <w:pStyle w:val="159"/>
              <w:spacing w:before="89"/>
              <w:ind w:left="793" w:leftChars="0" w:right="773"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12369</w:t>
            </w:r>
          </w:p>
        </w:tc>
      </w:tr>
      <w:tr w14:paraId="556587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199C9D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10</w:t>
            </w:r>
          </w:p>
        </w:tc>
        <w:tc>
          <w:tcPr>
            <w:tcW w:w="2577" w:type="pct"/>
            <w:tcBorders>
              <w:tl2br w:val="nil"/>
              <w:tr2bl w:val="nil"/>
            </w:tcBorders>
            <w:vAlign w:val="top"/>
          </w:tcPr>
          <w:p w14:paraId="04038588">
            <w:pPr>
              <w:pStyle w:val="159"/>
              <w:spacing w:before="72"/>
              <w:ind w:left="437" w:leftChars="0" w:right="407"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海安市卫健委</w:t>
            </w:r>
          </w:p>
        </w:tc>
        <w:tc>
          <w:tcPr>
            <w:tcW w:w="1719" w:type="pct"/>
            <w:tcBorders>
              <w:tl2br w:val="nil"/>
              <w:tr2bl w:val="nil"/>
            </w:tcBorders>
            <w:vAlign w:val="top"/>
          </w:tcPr>
          <w:p w14:paraId="22F8BC4C">
            <w:pPr>
              <w:pStyle w:val="159"/>
              <w:spacing w:before="88"/>
              <w:ind w:left="793" w:leftChars="0" w:right="773" w:rightChars="0"/>
              <w:rPr>
                <w:rFonts w:hint="default" w:ascii="Times New Roman" w:hAnsi="Times New Roman" w:eastAsia="宋体" w:cs="Times New Roman"/>
                <w:kern w:val="0"/>
                <w:sz w:val="21"/>
                <w:szCs w:val="20"/>
                <w:lang w:val="zh-CN" w:eastAsia="zh-CN" w:bidi="zh-CN"/>
              </w:rPr>
            </w:pPr>
            <w:r>
              <w:rPr>
                <w:rFonts w:hint="default" w:ascii="Times New Roman" w:hAnsi="Times New Roman" w:eastAsia="宋体" w:cs="Times New Roman"/>
                <w:sz w:val="21"/>
                <w:szCs w:val="20"/>
              </w:rPr>
              <w:t>88852279</w:t>
            </w:r>
          </w:p>
        </w:tc>
      </w:tr>
      <w:tr w14:paraId="670E08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4BE9D28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11</w:t>
            </w:r>
          </w:p>
        </w:tc>
        <w:tc>
          <w:tcPr>
            <w:tcW w:w="2577" w:type="pct"/>
            <w:tcBorders>
              <w:tl2br w:val="nil"/>
              <w:tr2bl w:val="nil"/>
            </w:tcBorders>
            <w:vAlign w:val="center"/>
          </w:tcPr>
          <w:p w14:paraId="3BD1F9B1">
            <w:pPr>
              <w:pStyle w:val="159"/>
              <w:rPr>
                <w:rFonts w:hint="default" w:ascii="Times New Roman" w:hAnsi="Times New Roman" w:eastAsia="宋体" w:cs="Times New Roman"/>
                <w:kern w:val="0"/>
                <w:sz w:val="21"/>
                <w:szCs w:val="21"/>
                <w:lang w:val="en-US" w:eastAsia="zh-CN" w:bidi="zh-CN"/>
              </w:rPr>
            </w:pPr>
            <w:r>
              <w:rPr>
                <w:rFonts w:hint="eastAsia" w:ascii="Times New Roman" w:hAnsi="Times New Roman" w:eastAsia="宋体" w:cs="Times New Roman"/>
                <w:sz w:val="21"/>
                <w:szCs w:val="21"/>
                <w:lang w:val="en-US" w:eastAsia="zh-CN"/>
              </w:rPr>
              <w:t>海安大公镇管委会</w:t>
            </w:r>
          </w:p>
        </w:tc>
        <w:tc>
          <w:tcPr>
            <w:tcW w:w="1719" w:type="pct"/>
            <w:tcBorders>
              <w:tl2br w:val="nil"/>
              <w:tr2bl w:val="nil"/>
            </w:tcBorders>
            <w:vAlign w:val="center"/>
          </w:tcPr>
          <w:p w14:paraId="2C93E565">
            <w:pPr>
              <w:pStyle w:val="159"/>
              <w:rPr>
                <w:rFonts w:hint="default" w:ascii="Times New Roman" w:hAnsi="Times New Roman" w:eastAsia="宋体" w:cs="Times New Roman"/>
                <w:kern w:val="0"/>
                <w:sz w:val="21"/>
                <w:szCs w:val="21"/>
                <w:lang w:val="en-US" w:eastAsia="zh-CN" w:bidi="zh-CN"/>
              </w:rPr>
            </w:pPr>
            <w:r>
              <w:rPr>
                <w:rFonts w:hint="eastAsia" w:ascii="Times New Roman" w:hAnsi="Times New Roman" w:eastAsia="宋体" w:cs="Times New Roman"/>
                <w:kern w:val="0"/>
                <w:sz w:val="21"/>
                <w:szCs w:val="21"/>
                <w:lang w:val="zh-CN" w:eastAsia="zh-CN" w:bidi="zh-CN"/>
              </w:rPr>
              <w:t>0513-88755101</w:t>
            </w:r>
          </w:p>
        </w:tc>
      </w:tr>
      <w:tr w14:paraId="66FC95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2B1A9D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bookmarkStart w:id="180" w:name="_Toc22843"/>
            <w:bookmarkStart w:id="181" w:name="_Toc31085"/>
            <w:bookmarkStart w:id="182" w:name="_Toc535504501"/>
            <w:bookmarkStart w:id="183" w:name="_Toc534201447"/>
            <w:r>
              <w:rPr>
                <w:rFonts w:hint="eastAsia" w:ascii="Times New Roman" w:hAnsi="Times New Roman" w:cs="Times New Roman" w:eastAsiaTheme="minorEastAsia"/>
                <w:color w:val="auto"/>
                <w:sz w:val="21"/>
                <w:szCs w:val="21"/>
                <w:highlight w:val="none"/>
                <w:lang w:val="en-US" w:eastAsia="zh-CN"/>
              </w:rPr>
              <w:t>12</w:t>
            </w:r>
          </w:p>
        </w:tc>
        <w:tc>
          <w:tcPr>
            <w:tcW w:w="2577" w:type="pct"/>
            <w:tcBorders>
              <w:tl2br w:val="nil"/>
              <w:tr2bl w:val="nil"/>
            </w:tcBorders>
            <w:vAlign w:val="center"/>
          </w:tcPr>
          <w:p w14:paraId="67F2FC74">
            <w:pPr>
              <w:pStyle w:val="159"/>
              <w:rPr>
                <w:rFonts w:hint="default" w:ascii="Times New Roman" w:hAnsi="Times New Roman" w:eastAsia="宋体" w:cs="Times New Roman"/>
                <w:sz w:val="21"/>
                <w:szCs w:val="21"/>
                <w:lang w:val="en-US" w:eastAsia="zh-CN"/>
              </w:rPr>
            </w:pPr>
            <w:r>
              <w:rPr>
                <w:rFonts w:hint="eastAsia" w:eastAsia="宋体" w:cs="Times New Roman"/>
                <w:color w:val="000000" w:themeColor="text1"/>
                <w:sz w:val="21"/>
                <w:szCs w:val="21"/>
                <w:highlight w:val="none"/>
                <w:lang w:val="en-US" w:eastAsia="zh-CN"/>
                <w14:textFill>
                  <w14:solidFill>
                    <w14:schemeClr w14:val="tx1"/>
                  </w14:solidFill>
                </w14:textFill>
              </w:rPr>
              <w:t>南通欣宇源环保科技有限公司</w:t>
            </w:r>
          </w:p>
        </w:tc>
        <w:tc>
          <w:tcPr>
            <w:tcW w:w="1719" w:type="pct"/>
            <w:tcBorders>
              <w:tl2br w:val="nil"/>
              <w:tr2bl w:val="nil"/>
            </w:tcBorders>
            <w:vAlign w:val="center"/>
          </w:tcPr>
          <w:p w14:paraId="37FE14F2">
            <w:pPr>
              <w:pStyle w:val="159"/>
              <w:rPr>
                <w:rFonts w:hint="default" w:ascii="Times New Roman" w:hAnsi="Times New Roman" w:eastAsia="宋体" w:cs="Times New Roman"/>
                <w:kern w:val="0"/>
                <w:sz w:val="21"/>
                <w:szCs w:val="21"/>
                <w:lang w:val="en-US" w:eastAsia="zh-CN" w:bidi="zh-CN"/>
              </w:rPr>
            </w:pPr>
            <w:r>
              <w:rPr>
                <w:rFonts w:hint="eastAsia" w:ascii="Times New Roman" w:hAnsi="Times New Roman" w:cs="Times New Roman" w:eastAsiaTheme="minorEastAsia"/>
                <w:color w:val="auto"/>
                <w:kern w:val="0"/>
                <w:sz w:val="21"/>
                <w:szCs w:val="21"/>
                <w:highlight w:val="none"/>
                <w:lang w:val="en-US" w:eastAsia="zh-CN"/>
              </w:rPr>
              <w:t>15190813589</w:t>
            </w:r>
          </w:p>
        </w:tc>
      </w:tr>
      <w:tr w14:paraId="32E4C2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1B22EF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13</w:t>
            </w:r>
          </w:p>
        </w:tc>
        <w:tc>
          <w:tcPr>
            <w:tcW w:w="2577" w:type="pct"/>
            <w:tcBorders>
              <w:tl2br w:val="nil"/>
              <w:tr2bl w:val="nil"/>
            </w:tcBorders>
            <w:vAlign w:val="center"/>
          </w:tcPr>
          <w:p w14:paraId="09D8B7B2">
            <w:pPr>
              <w:pStyle w:val="159"/>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江苏裕和检测技术有限公司</w:t>
            </w:r>
          </w:p>
        </w:tc>
        <w:tc>
          <w:tcPr>
            <w:tcW w:w="1719" w:type="pct"/>
            <w:tcBorders>
              <w:tl2br w:val="nil"/>
              <w:tr2bl w:val="nil"/>
            </w:tcBorders>
            <w:vAlign w:val="center"/>
          </w:tcPr>
          <w:p w14:paraId="1CD55704">
            <w:pPr>
              <w:pStyle w:val="159"/>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0513-55073526</w:t>
            </w:r>
          </w:p>
        </w:tc>
      </w:tr>
      <w:tr w14:paraId="09F328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50C509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14</w:t>
            </w:r>
          </w:p>
        </w:tc>
        <w:tc>
          <w:tcPr>
            <w:tcW w:w="2577" w:type="pct"/>
            <w:tcBorders>
              <w:tl2br w:val="nil"/>
              <w:tr2bl w:val="nil"/>
            </w:tcBorders>
            <w:vAlign w:val="center"/>
          </w:tcPr>
          <w:p w14:paraId="26C46B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kern w:val="2"/>
                <w:sz w:val="21"/>
                <w:szCs w:val="28"/>
                <w:highlight w:val="none"/>
                <w:lang w:val="en-US" w:eastAsia="zh-CN" w:bidi="zh-CN"/>
              </w:rPr>
            </w:pPr>
            <w:r>
              <w:rPr>
                <w:rFonts w:hint="eastAsia" w:ascii="宋体" w:eastAsia="宋体" w:cs="宋体"/>
                <w:kern w:val="2"/>
                <w:sz w:val="21"/>
                <w:highlight w:val="none"/>
                <w:lang w:val="en-US" w:eastAsia="zh-CN" w:bidi="zh-CN"/>
              </w:rPr>
              <w:t>海安市水务集团城市污水处理有限公司</w:t>
            </w:r>
          </w:p>
        </w:tc>
        <w:tc>
          <w:tcPr>
            <w:tcW w:w="1719" w:type="pct"/>
            <w:tcBorders>
              <w:tl2br w:val="nil"/>
              <w:tr2bl w:val="nil"/>
            </w:tcBorders>
            <w:vAlign w:val="center"/>
          </w:tcPr>
          <w:p w14:paraId="760AF9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0513-88826984</w:t>
            </w:r>
          </w:p>
        </w:tc>
      </w:tr>
      <w:tr w14:paraId="035338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tcBorders>
              <w:tl2br w:val="nil"/>
              <w:tr2bl w:val="nil"/>
            </w:tcBorders>
            <w:vAlign w:val="center"/>
          </w:tcPr>
          <w:p w14:paraId="3D2526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15</w:t>
            </w:r>
          </w:p>
        </w:tc>
        <w:tc>
          <w:tcPr>
            <w:tcW w:w="2577" w:type="pct"/>
            <w:tcBorders>
              <w:tl2br w:val="nil"/>
              <w:tr2bl w:val="nil"/>
            </w:tcBorders>
            <w:vAlign w:val="center"/>
          </w:tcPr>
          <w:p w14:paraId="2B47EC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eastAsia="宋体" w:cs="宋体"/>
                <w:kern w:val="2"/>
                <w:sz w:val="21"/>
                <w:highlight w:val="none"/>
                <w:lang w:val="en-US" w:eastAsia="zh-CN" w:bidi="zh-CN"/>
              </w:rPr>
            </w:pPr>
            <w:r>
              <w:rPr>
                <w:rFonts w:hint="eastAsia" w:ascii="宋体" w:eastAsia="宋体" w:cs="宋体"/>
                <w:kern w:val="2"/>
                <w:sz w:val="21"/>
                <w:highlight w:val="none"/>
                <w:lang w:val="en-US" w:eastAsia="zh-CN" w:bidi="zh-CN"/>
              </w:rPr>
              <w:t>海安市水利局</w:t>
            </w:r>
          </w:p>
        </w:tc>
        <w:tc>
          <w:tcPr>
            <w:tcW w:w="1719" w:type="pct"/>
            <w:tcBorders>
              <w:tl2br w:val="nil"/>
              <w:tr2bl w:val="nil"/>
            </w:tcBorders>
            <w:vAlign w:val="center"/>
          </w:tcPr>
          <w:p w14:paraId="174A40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0513-81868536</w:t>
            </w:r>
          </w:p>
        </w:tc>
      </w:tr>
    </w:tbl>
    <w:p w14:paraId="6EEDB0CF">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84" w:name="_Toc7587"/>
      <w:bookmarkStart w:id="185" w:name="_Toc13680"/>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.1 与政府及其有关部门指挥权衔接</w:t>
      </w:r>
      <w:bookmarkEnd w:id="180"/>
      <w:bookmarkEnd w:id="181"/>
      <w:bookmarkEnd w:id="182"/>
      <w:bookmarkEnd w:id="183"/>
      <w:bookmarkEnd w:id="184"/>
      <w:bookmarkEnd w:id="185"/>
    </w:p>
    <w:p w14:paraId="4929F8C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rPr>
        <w:t>当公司发生突发环境事件时，公司应履行先期处置的职责，当事故扩展到本公司</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Ⅰ级重大环境事件时，超出了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应急处置能力时，公司</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总指挥应第一时间要向上一级应急救援指挥机构移交指挥权，并及时承担起与各应急小组、当地区域各职能管理部门、上级应急救援指挥机构的联系工作，及时将事故发生情况及最新进展向有关部门汇报，并将上级指挥机构的命令及时向各</w:t>
      </w:r>
      <w:r>
        <w:rPr>
          <w:rFonts w:hint="eastAsia" w:ascii="Times New Roman" w:hAnsi="Times New Roman" w:cs="Times New Roman" w:eastAsiaTheme="minorEastAsia"/>
          <w:color w:val="auto"/>
          <w:sz w:val="24"/>
          <w:szCs w:val="24"/>
          <w:highlight w:val="none"/>
          <w:lang w:val="en-US" w:eastAsia="zh-CN"/>
        </w:rPr>
        <w:t>应急小</w:t>
      </w:r>
      <w:r>
        <w:rPr>
          <w:rFonts w:hint="eastAsia" w:ascii="Times New Roman" w:hAnsi="Times New Roman" w:cs="Times New Roman" w:eastAsiaTheme="minorEastAsia"/>
          <w:color w:val="auto"/>
          <w:sz w:val="24"/>
          <w:szCs w:val="24"/>
          <w:highlight w:val="none"/>
          <w:lang w:eastAsia="zh-CN"/>
        </w:rPr>
        <w:t>组</w:t>
      </w:r>
      <w:r>
        <w:rPr>
          <w:rFonts w:hint="eastAsia" w:ascii="Times New Roman" w:hAnsi="Times New Roman" w:cs="Times New Roman" w:eastAsiaTheme="minorEastAsia"/>
          <w:color w:val="auto"/>
          <w:sz w:val="24"/>
          <w:szCs w:val="24"/>
          <w:highlight w:val="none"/>
          <w:lang w:val="en-US" w:eastAsia="zh-CN"/>
        </w:rPr>
        <w:t>说明</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组织</w:t>
      </w:r>
      <w:r>
        <w:rPr>
          <w:rFonts w:hint="default" w:ascii="Times New Roman" w:hAnsi="Times New Roman" w:cs="Times New Roman" w:eastAsiaTheme="minorEastAsia"/>
          <w:color w:val="auto"/>
          <w:sz w:val="24"/>
          <w:szCs w:val="24"/>
          <w:highlight w:val="none"/>
        </w:rPr>
        <w:t>编制环境污染事故报告，并将报告向上级部门汇报。</w:t>
      </w:r>
    </w:p>
    <w:p w14:paraId="4199D56D">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86" w:name="_Toc1559"/>
      <w:bookmarkStart w:id="187" w:name="_Toc23655"/>
      <w:bookmarkStart w:id="188" w:name="_Toc534201448"/>
      <w:bookmarkStart w:id="189" w:name="_Toc4814"/>
      <w:bookmarkStart w:id="190" w:name="_Toc17422"/>
      <w:bookmarkStart w:id="191" w:name="_Toc535504502"/>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rPr>
        <w:t xml:space="preserve"> 专家组</w:t>
      </w:r>
      <w:bookmarkEnd w:id="186"/>
      <w:bookmarkEnd w:id="187"/>
      <w:bookmarkEnd w:id="188"/>
      <w:bookmarkEnd w:id="189"/>
      <w:bookmarkEnd w:id="190"/>
      <w:bookmarkEnd w:id="191"/>
    </w:p>
    <w:p w14:paraId="01265CE4">
      <w:pPr>
        <w:keepNext w:val="0"/>
        <w:keepLines w:val="0"/>
        <w:pageBreakBefore w:val="0"/>
        <w:widowControl/>
        <w:shd w:val="clear" w:color="auto" w:fill="FFFFFF"/>
        <w:tabs>
          <w:tab w:val="left" w:pos="960"/>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专家组为公司应急救援的参谋机构，由应急管理、工程技术、危险废物、安全生产、环境保护方面的人员组成。</w:t>
      </w:r>
    </w:p>
    <w:p w14:paraId="22E5DCB4">
      <w:pPr>
        <w:keepNext w:val="0"/>
        <w:keepLines w:val="0"/>
        <w:pageBreakBefore w:val="0"/>
        <w:widowControl/>
        <w:shd w:val="clear" w:color="auto" w:fill="FFFFFF"/>
        <w:tabs>
          <w:tab w:val="left" w:pos="960"/>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专家组的职责是为现场应急处置行动提供技术支持。应急状态时，专家组应迅速对事故信息进行分析、评估，提出应急对策和意见。根据事故应急救援进展情况，及时为</w:t>
      </w:r>
      <w:r>
        <w:rPr>
          <w:rFonts w:hint="eastAsia" w:ascii="Times New Roman" w:hAnsi="Times New Roman" w:cs="Times New Roman" w:eastAsiaTheme="minorEastAsia"/>
          <w:color w:val="auto"/>
          <w:sz w:val="24"/>
          <w:szCs w:val="24"/>
          <w:highlight w:val="none"/>
          <w:lang w:val="zh-CN"/>
        </w:rPr>
        <w:t>应急救援指挥组</w:t>
      </w:r>
      <w:r>
        <w:rPr>
          <w:rFonts w:hint="default" w:ascii="Times New Roman" w:hAnsi="Times New Roman" w:cs="Times New Roman" w:eastAsiaTheme="minorEastAsia"/>
          <w:color w:val="auto"/>
          <w:sz w:val="24"/>
          <w:szCs w:val="24"/>
          <w:highlight w:val="none"/>
          <w:lang w:val="zh-CN"/>
        </w:rPr>
        <w:t>提供方案。</w:t>
      </w:r>
    </w:p>
    <w:p w14:paraId="1D5818D0">
      <w:pPr>
        <w:keepNext w:val="0"/>
        <w:keepLines w:val="0"/>
        <w:pageBreakBefore w:val="0"/>
        <w:widowControl/>
        <w:shd w:val="clear" w:color="auto" w:fill="FFFFFF"/>
        <w:tabs>
          <w:tab w:val="left" w:pos="960"/>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应急救援（专家咨询）协作联系信息见表2-</w:t>
      </w:r>
      <w:r>
        <w:rPr>
          <w:rFonts w:hint="eastAsia"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lang w:val="zh-CN"/>
        </w:rPr>
        <w:t>。</w:t>
      </w:r>
    </w:p>
    <w:p w14:paraId="7CB96B19">
      <w:pPr>
        <w:pageBreakBefore w:val="0"/>
        <w:widowControl/>
        <w:tabs>
          <w:tab w:val="left" w:pos="2110"/>
          <w:tab w:val="center" w:pos="4396"/>
        </w:tabs>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表2-</w:t>
      </w:r>
      <w:r>
        <w:rPr>
          <w:rFonts w:hint="eastAsia" w:ascii="Times New Roman" w:hAnsi="Times New Roman" w:cs="Times New Roman" w:eastAsiaTheme="minorEastAsia"/>
          <w:b/>
          <w:color w:val="auto"/>
          <w:sz w:val="24"/>
          <w:szCs w:val="24"/>
          <w:highlight w:val="none"/>
          <w:lang w:val="en-US" w:eastAsia="zh-CN"/>
        </w:rPr>
        <w:t>4</w:t>
      </w:r>
      <w:r>
        <w:rPr>
          <w:rFonts w:hint="default" w:ascii="Times New Roman" w:hAnsi="Times New Roman" w:cs="Times New Roman" w:eastAsiaTheme="minorEastAsia"/>
          <w:b/>
          <w:color w:val="auto"/>
          <w:sz w:val="24"/>
          <w:szCs w:val="24"/>
          <w:highlight w:val="none"/>
        </w:rPr>
        <w:t xml:space="preserve"> 外部应急救援（专家咨询）协作网络通讯录</w:t>
      </w:r>
    </w:p>
    <w:tbl>
      <w:tblPr>
        <w:tblStyle w:val="34"/>
        <w:tblW w:w="514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244"/>
        <w:gridCol w:w="4353"/>
        <w:gridCol w:w="3723"/>
      </w:tblGrid>
      <w:tr w14:paraId="569024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667" w:type="pct"/>
            <w:tcBorders>
              <w:tl2br w:val="nil"/>
              <w:tr2bl w:val="nil"/>
            </w:tcBorders>
            <w:vAlign w:val="center"/>
          </w:tcPr>
          <w:p w14:paraId="16438A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2335" w:type="pct"/>
            <w:tcBorders>
              <w:tl2br w:val="nil"/>
              <w:tr2bl w:val="nil"/>
            </w:tcBorders>
            <w:vAlign w:val="center"/>
          </w:tcPr>
          <w:p w14:paraId="17F65B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专家咨询单位</w:t>
            </w:r>
          </w:p>
        </w:tc>
        <w:tc>
          <w:tcPr>
            <w:tcW w:w="1997" w:type="pct"/>
            <w:tcBorders>
              <w:tl2br w:val="nil"/>
              <w:tr2bl w:val="nil"/>
            </w:tcBorders>
            <w:vAlign w:val="center"/>
          </w:tcPr>
          <w:p w14:paraId="7686A5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应急咨询电话</w:t>
            </w:r>
          </w:p>
        </w:tc>
      </w:tr>
      <w:tr w14:paraId="6E0AE5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667" w:type="pct"/>
            <w:tcBorders>
              <w:tl2br w:val="nil"/>
              <w:tr2bl w:val="nil"/>
            </w:tcBorders>
            <w:vAlign w:val="center"/>
          </w:tcPr>
          <w:p w14:paraId="3EB5FB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2335" w:type="pct"/>
            <w:tcBorders>
              <w:tl2br w:val="nil"/>
              <w:tr2bl w:val="nil"/>
            </w:tcBorders>
            <w:vAlign w:val="center"/>
          </w:tcPr>
          <w:p w14:paraId="615DBC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997" w:type="pct"/>
            <w:tcBorders>
              <w:tl2br w:val="nil"/>
              <w:tr2bl w:val="nil"/>
            </w:tcBorders>
            <w:vAlign w:val="center"/>
          </w:tcPr>
          <w:p w14:paraId="0BEE62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r>
      <w:tr w14:paraId="66B7DA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667" w:type="pct"/>
            <w:tcBorders>
              <w:tl2br w:val="nil"/>
              <w:tr2bl w:val="nil"/>
            </w:tcBorders>
            <w:vAlign w:val="center"/>
          </w:tcPr>
          <w:p w14:paraId="672CF2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2</w:t>
            </w:r>
          </w:p>
        </w:tc>
        <w:tc>
          <w:tcPr>
            <w:tcW w:w="2335" w:type="pct"/>
            <w:tcBorders>
              <w:tl2br w:val="nil"/>
              <w:tr2bl w:val="nil"/>
            </w:tcBorders>
            <w:vAlign w:val="center"/>
          </w:tcPr>
          <w:p w14:paraId="532A01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宋体" w:eastAsia="宋体" w:cs="宋体"/>
                <w:kern w:val="2"/>
                <w:sz w:val="21"/>
                <w:highlight w:val="none"/>
                <w:lang w:val="en-US" w:eastAsia="zh-CN" w:bidi="zh-CN"/>
              </w:rPr>
              <w:t>海安市应急管理局</w:t>
            </w:r>
          </w:p>
        </w:tc>
        <w:tc>
          <w:tcPr>
            <w:tcW w:w="1997" w:type="pct"/>
            <w:tcBorders>
              <w:tl2br w:val="nil"/>
              <w:tr2bl w:val="nil"/>
            </w:tcBorders>
            <w:vAlign w:val="center"/>
          </w:tcPr>
          <w:p w14:paraId="340AD7B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0513-88169809</w:t>
            </w:r>
          </w:p>
        </w:tc>
      </w:tr>
    </w:tbl>
    <w:p w14:paraId="1F2FA204">
      <w:pPr>
        <w:pageBreakBefore w:val="0"/>
        <w:widowControl/>
        <w:tabs>
          <w:tab w:val="left" w:pos="2130"/>
          <w:tab w:val="center" w:pos="4396"/>
        </w:tabs>
        <w:kinsoku/>
        <w:overflowPunct/>
        <w:bidi w:val="0"/>
        <w:spacing w:line="500" w:lineRule="exact"/>
        <w:ind w:firstLine="560"/>
        <w:rPr>
          <w:rFonts w:hint="default" w:ascii="Times New Roman" w:hAnsi="Times New Roman" w:cs="Times New Roman" w:eastAsiaTheme="minorEastAsia"/>
          <w:color w:val="auto"/>
          <w:sz w:val="24"/>
          <w:szCs w:val="24"/>
          <w:highlight w:val="none"/>
          <w:lang w:val="zh-CN"/>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73CA1468">
      <w:pPr>
        <w:pStyle w:val="3"/>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192" w:name="_Toc194"/>
      <w:bookmarkStart w:id="193" w:name="_Toc19316"/>
      <w:bookmarkStart w:id="194" w:name="_Toc11579"/>
      <w:bookmarkStart w:id="195" w:name="_Toc31514"/>
      <w:bookmarkStart w:id="196" w:name="_Toc13554"/>
      <w:bookmarkStart w:id="197" w:name="_Toc29992"/>
      <w:r>
        <w:rPr>
          <w:rFonts w:hint="default" w:ascii="Times New Roman" w:hAnsi="Times New Roman" w:cs="Times New Roman" w:eastAsiaTheme="minorEastAsia"/>
          <w:color w:val="auto"/>
          <w:sz w:val="28"/>
          <w:szCs w:val="28"/>
          <w:highlight w:val="none"/>
        </w:rPr>
        <w:t xml:space="preserve">3 </w:t>
      </w:r>
      <w:bookmarkEnd w:id="152"/>
      <w:bookmarkEnd w:id="153"/>
      <w:bookmarkEnd w:id="192"/>
      <w:bookmarkEnd w:id="193"/>
      <w:r>
        <w:rPr>
          <w:rFonts w:hint="default" w:ascii="Times New Roman" w:hAnsi="Times New Roman" w:cs="Times New Roman" w:eastAsiaTheme="minorEastAsia"/>
          <w:color w:val="auto"/>
          <w:sz w:val="28"/>
          <w:szCs w:val="28"/>
          <w:highlight w:val="none"/>
        </w:rPr>
        <w:t>监控预警</w:t>
      </w:r>
      <w:bookmarkEnd w:id="194"/>
      <w:bookmarkEnd w:id="195"/>
      <w:bookmarkEnd w:id="196"/>
      <w:bookmarkEnd w:id="197"/>
    </w:p>
    <w:p w14:paraId="614BD017">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98" w:name="_Toc18596"/>
      <w:bookmarkStart w:id="199" w:name="_Toc276118390"/>
      <w:bookmarkStart w:id="200" w:name="_Toc12596"/>
      <w:bookmarkStart w:id="201" w:name="_Toc275938147"/>
      <w:bookmarkStart w:id="202" w:name="_Toc26858"/>
      <w:bookmarkStart w:id="203" w:name="_Toc7256"/>
      <w:bookmarkStart w:id="204" w:name="_Toc31103"/>
      <w:bookmarkStart w:id="205" w:name="_Toc11608"/>
      <w:r>
        <w:rPr>
          <w:rFonts w:hint="default" w:ascii="Times New Roman" w:hAnsi="Times New Roman" w:cs="Times New Roman" w:eastAsiaTheme="minorEastAsia"/>
          <w:color w:val="auto"/>
          <w:sz w:val="24"/>
          <w:szCs w:val="24"/>
          <w:highlight w:val="none"/>
        </w:rPr>
        <w:t xml:space="preserve">3.1 </w:t>
      </w:r>
      <w:bookmarkEnd w:id="198"/>
      <w:bookmarkEnd w:id="199"/>
      <w:bookmarkEnd w:id="200"/>
      <w:bookmarkEnd w:id="201"/>
      <w:r>
        <w:rPr>
          <w:rFonts w:hint="default" w:ascii="Times New Roman" w:hAnsi="Times New Roman" w:cs="Times New Roman" w:eastAsiaTheme="minorEastAsia"/>
          <w:color w:val="auto"/>
          <w:sz w:val="24"/>
          <w:szCs w:val="24"/>
          <w:highlight w:val="none"/>
        </w:rPr>
        <w:t>监控</w:t>
      </w:r>
      <w:bookmarkEnd w:id="202"/>
      <w:bookmarkEnd w:id="203"/>
      <w:bookmarkEnd w:id="204"/>
      <w:bookmarkEnd w:id="205"/>
    </w:p>
    <w:p w14:paraId="01A8EA52">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06" w:name="_Toc24025"/>
      <w:bookmarkStart w:id="207" w:name="_Toc496887020"/>
      <w:bookmarkStart w:id="208" w:name="_Toc23550"/>
      <w:bookmarkStart w:id="209" w:name="_Toc5801"/>
      <w:bookmarkStart w:id="210" w:name="_Toc32149"/>
      <w:bookmarkStart w:id="211" w:name="_Toc27622"/>
      <w:bookmarkStart w:id="212" w:name="_Toc7771"/>
      <w:r>
        <w:rPr>
          <w:rFonts w:hint="default" w:ascii="Times New Roman" w:hAnsi="Times New Roman" w:cs="Times New Roman" w:eastAsiaTheme="minorEastAsia"/>
          <w:color w:val="auto"/>
          <w:sz w:val="24"/>
          <w:szCs w:val="24"/>
          <w:highlight w:val="none"/>
        </w:rPr>
        <w:t>3.1.1 环境风险源监控措施</w:t>
      </w:r>
      <w:bookmarkEnd w:id="206"/>
      <w:bookmarkEnd w:id="207"/>
      <w:bookmarkEnd w:id="208"/>
      <w:bookmarkEnd w:id="209"/>
      <w:bookmarkEnd w:id="210"/>
      <w:bookmarkEnd w:id="211"/>
      <w:bookmarkEnd w:id="212"/>
    </w:p>
    <w:p w14:paraId="0095CFD5">
      <w:pPr>
        <w:pStyle w:val="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环境风险监测、监控是突发环境事件预报警工作的重要基础，特别是运用新的通讯网络技术对污染源及环境质量实施长期、连续、有效监测，对公司突发环境事件预报警管理工作有着特殊的意义。</w:t>
      </w:r>
    </w:p>
    <w:p w14:paraId="625A6A12">
      <w:pPr>
        <w:pStyle w:val="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厂区设置监控探头，</w:t>
      </w:r>
      <w:r>
        <w:rPr>
          <w:rFonts w:hint="default" w:ascii="Times New Roman" w:hAnsi="Times New Roman" w:cs="Times New Roman" w:eastAsiaTheme="minorEastAsia"/>
          <w:bCs/>
          <w:color w:val="auto"/>
          <w:sz w:val="24"/>
          <w:szCs w:val="24"/>
          <w:highlight w:val="none"/>
          <w:lang w:val="en-US" w:eastAsia="zh-CN"/>
        </w:rPr>
        <w:t>车间和仓库设置视频摄像装置，</w:t>
      </w:r>
      <w:r>
        <w:rPr>
          <w:rFonts w:hint="default" w:ascii="Times New Roman" w:hAnsi="Times New Roman" w:cs="Times New Roman" w:eastAsiaTheme="minorEastAsia"/>
          <w:bCs/>
          <w:color w:val="auto"/>
          <w:sz w:val="24"/>
          <w:szCs w:val="24"/>
          <w:highlight w:val="none"/>
        </w:rPr>
        <w:t>一旦出现异常时，控制中心可立刻采取相应措施。另外安排员工每4小时全厂定时巡检，及时发现和找出问题。</w:t>
      </w:r>
    </w:p>
    <w:p w14:paraId="617E006E">
      <w:pPr>
        <w:pStyle w:val="7"/>
        <w:keepNext w:val="0"/>
        <w:keepLines w:val="0"/>
        <w:pageBreakBefore w:val="0"/>
        <w:widowControl w:val="0"/>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根据公司《环境风险评估报告》，区域范围内的环境风险源主要是</w:t>
      </w:r>
      <w:r>
        <w:rPr>
          <w:rFonts w:hint="eastAsia" w:cs="Times New Roman"/>
          <w:bCs/>
          <w:color w:val="auto"/>
          <w:sz w:val="24"/>
          <w:szCs w:val="24"/>
          <w:highlight w:val="none"/>
          <w:lang w:val="en-US" w:eastAsia="zh-CN"/>
        </w:rPr>
        <w:t>水性漆仓库、生产车间</w:t>
      </w: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危废仓库、废气处理设施、废水处理设施、应急池及雨水排口</w:t>
      </w:r>
      <w:r>
        <w:rPr>
          <w:rFonts w:hint="default" w:ascii="Times New Roman" w:hAnsi="Times New Roman" w:cs="Times New Roman" w:eastAsiaTheme="minorEastAsia"/>
          <w:bCs/>
          <w:color w:val="auto"/>
          <w:sz w:val="24"/>
          <w:szCs w:val="24"/>
          <w:highlight w:val="none"/>
        </w:rPr>
        <w:t>等，应重点进行监测、监控。详见表3-1。</w:t>
      </w:r>
    </w:p>
    <w:p w14:paraId="0769638C">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4"/>
          <w:szCs w:val="24"/>
          <w:highlight w:val="none"/>
        </w:rPr>
        <w:t>表3-1 环境风险源监控一览表</w:t>
      </w:r>
    </w:p>
    <w:tbl>
      <w:tblPr>
        <w:tblStyle w:val="34"/>
        <w:tblW w:w="507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50"/>
        <w:gridCol w:w="1073"/>
        <w:gridCol w:w="1044"/>
        <w:gridCol w:w="891"/>
        <w:gridCol w:w="2410"/>
        <w:gridCol w:w="1382"/>
        <w:gridCol w:w="1371"/>
        <w:gridCol w:w="676"/>
      </w:tblGrid>
      <w:tr w14:paraId="72C15A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190" w:type="pct"/>
            <w:tcBorders>
              <w:tl2br w:val="nil"/>
              <w:tr2bl w:val="nil"/>
            </w:tcBorders>
            <w:vAlign w:val="center"/>
          </w:tcPr>
          <w:p w14:paraId="74B112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编号</w:t>
            </w:r>
          </w:p>
        </w:tc>
        <w:tc>
          <w:tcPr>
            <w:tcW w:w="583" w:type="pct"/>
            <w:tcBorders>
              <w:tl2br w:val="nil"/>
              <w:tr2bl w:val="nil"/>
            </w:tcBorders>
            <w:vAlign w:val="center"/>
          </w:tcPr>
          <w:p w14:paraId="3CC435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风险源</w:t>
            </w:r>
          </w:p>
        </w:tc>
        <w:tc>
          <w:tcPr>
            <w:tcW w:w="567" w:type="pct"/>
            <w:tcBorders>
              <w:tl2br w:val="nil"/>
              <w:tr2bl w:val="nil"/>
            </w:tcBorders>
            <w:vAlign w:val="center"/>
          </w:tcPr>
          <w:p w14:paraId="7A73DE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监控方式</w:t>
            </w:r>
          </w:p>
        </w:tc>
        <w:tc>
          <w:tcPr>
            <w:tcW w:w="484" w:type="pct"/>
            <w:tcBorders>
              <w:tl2br w:val="nil"/>
              <w:tr2bl w:val="nil"/>
            </w:tcBorders>
            <w:vAlign w:val="center"/>
          </w:tcPr>
          <w:p w14:paraId="4BC8DB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频次</w:t>
            </w:r>
          </w:p>
        </w:tc>
        <w:tc>
          <w:tcPr>
            <w:tcW w:w="1309" w:type="pct"/>
            <w:tcBorders>
              <w:tl2br w:val="nil"/>
              <w:tr2bl w:val="nil"/>
            </w:tcBorders>
            <w:vAlign w:val="center"/>
          </w:tcPr>
          <w:p w14:paraId="5D9ADA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预防措施/可利用资源</w:t>
            </w:r>
          </w:p>
        </w:tc>
        <w:tc>
          <w:tcPr>
            <w:tcW w:w="751" w:type="pct"/>
            <w:tcBorders>
              <w:tl2br w:val="nil"/>
              <w:tr2bl w:val="nil"/>
            </w:tcBorders>
            <w:vAlign w:val="center"/>
          </w:tcPr>
          <w:p w14:paraId="4A8506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监</w:t>
            </w:r>
            <w:r>
              <w:rPr>
                <w:rFonts w:hint="eastAsia" w:ascii="Times New Roman" w:hAnsi="Times New Roman" w:cs="Times New Roman" w:eastAsiaTheme="minorEastAsia"/>
                <w:color w:val="auto"/>
                <w:sz w:val="21"/>
                <w:szCs w:val="21"/>
                <w:highlight w:val="none"/>
                <w:lang w:val="en-US" w:eastAsia="zh-CN"/>
              </w:rPr>
              <w:t>控</w:t>
            </w:r>
            <w:r>
              <w:rPr>
                <w:rFonts w:hint="default" w:ascii="Times New Roman" w:hAnsi="Times New Roman" w:cs="Times New Roman" w:eastAsiaTheme="minorEastAsia"/>
                <w:color w:val="auto"/>
                <w:sz w:val="21"/>
                <w:szCs w:val="21"/>
                <w:highlight w:val="none"/>
              </w:rPr>
              <w:t>点</w:t>
            </w:r>
          </w:p>
          <w:p w14:paraId="0DC629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位置</w:t>
            </w:r>
          </w:p>
        </w:tc>
        <w:tc>
          <w:tcPr>
            <w:tcW w:w="745" w:type="pct"/>
            <w:tcBorders>
              <w:tl2br w:val="nil"/>
              <w:tr2bl w:val="nil"/>
            </w:tcBorders>
            <w:vAlign w:val="center"/>
          </w:tcPr>
          <w:p w14:paraId="1BB69A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预警条件</w:t>
            </w:r>
          </w:p>
        </w:tc>
        <w:tc>
          <w:tcPr>
            <w:tcW w:w="367" w:type="pct"/>
            <w:tcBorders>
              <w:tl2br w:val="nil"/>
              <w:tr2bl w:val="nil"/>
            </w:tcBorders>
            <w:vAlign w:val="center"/>
          </w:tcPr>
          <w:p w14:paraId="0A5E47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责任人</w:t>
            </w:r>
          </w:p>
        </w:tc>
      </w:tr>
      <w:tr w14:paraId="771CF8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190" w:type="pct"/>
            <w:tcBorders>
              <w:tl2br w:val="nil"/>
              <w:tr2bl w:val="nil"/>
            </w:tcBorders>
            <w:vAlign w:val="center"/>
          </w:tcPr>
          <w:p w14:paraId="777633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w:t>
            </w:r>
          </w:p>
        </w:tc>
        <w:tc>
          <w:tcPr>
            <w:tcW w:w="583" w:type="pct"/>
            <w:tcBorders>
              <w:tl2br w:val="nil"/>
              <w:tr2bl w:val="nil"/>
            </w:tcBorders>
            <w:vAlign w:val="center"/>
          </w:tcPr>
          <w:p w14:paraId="644147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水性漆仓库</w:t>
            </w:r>
          </w:p>
        </w:tc>
        <w:tc>
          <w:tcPr>
            <w:tcW w:w="567" w:type="pct"/>
            <w:tcBorders>
              <w:tl2br w:val="nil"/>
              <w:tr2bl w:val="nil"/>
            </w:tcBorders>
            <w:vAlign w:val="center"/>
          </w:tcPr>
          <w:p w14:paraId="405D60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人工巡检、监控</w:t>
            </w:r>
          </w:p>
        </w:tc>
        <w:tc>
          <w:tcPr>
            <w:tcW w:w="484" w:type="pct"/>
            <w:tcBorders>
              <w:tl2br w:val="nil"/>
              <w:tr2bl w:val="nil"/>
            </w:tcBorders>
            <w:vAlign w:val="center"/>
          </w:tcPr>
          <w:p w14:paraId="580D9B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rPr>
              <w:t>每4h巡查一次</w:t>
            </w:r>
          </w:p>
        </w:tc>
        <w:tc>
          <w:tcPr>
            <w:tcW w:w="1309" w:type="pct"/>
            <w:tcBorders>
              <w:tl2br w:val="nil"/>
              <w:tr2bl w:val="nil"/>
            </w:tcBorders>
            <w:vAlign w:val="center"/>
          </w:tcPr>
          <w:p w14:paraId="563F5E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rPr>
              <w:t>地面防渗处理/</w:t>
            </w:r>
            <w:r>
              <w:rPr>
                <w:rFonts w:hint="eastAsia" w:ascii="Times New Roman" w:hAnsi="Times New Roman" w:cs="Times New Roman" w:eastAsiaTheme="minorEastAsia"/>
                <w:color w:val="auto"/>
                <w:sz w:val="21"/>
                <w:szCs w:val="21"/>
                <w:highlight w:val="none"/>
                <w:lang w:val="en-US" w:eastAsia="zh-CN"/>
              </w:rPr>
              <w:t>定期巡检/设置警示标识</w:t>
            </w:r>
          </w:p>
        </w:tc>
        <w:tc>
          <w:tcPr>
            <w:tcW w:w="751" w:type="pct"/>
            <w:tcBorders>
              <w:tl2br w:val="nil"/>
              <w:tr2bl w:val="nil"/>
            </w:tcBorders>
            <w:vAlign w:val="center"/>
          </w:tcPr>
          <w:p w14:paraId="01C6D1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kern w:val="2"/>
                <w:sz w:val="21"/>
                <w:szCs w:val="21"/>
                <w:highlight w:val="none"/>
                <w:lang w:val="en-US" w:eastAsia="zh-CN" w:bidi="ar-SA"/>
              </w:rPr>
              <w:t>仓库内及门外</w:t>
            </w:r>
          </w:p>
        </w:tc>
        <w:tc>
          <w:tcPr>
            <w:tcW w:w="745" w:type="pct"/>
            <w:tcBorders>
              <w:tl2br w:val="nil"/>
              <w:tr2bl w:val="nil"/>
            </w:tcBorders>
            <w:vAlign w:val="center"/>
          </w:tcPr>
          <w:p w14:paraId="2B7560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发生泄漏、火灾、爆炸</w:t>
            </w:r>
          </w:p>
        </w:tc>
        <w:tc>
          <w:tcPr>
            <w:tcW w:w="367" w:type="pct"/>
            <w:tcBorders>
              <w:tl2br w:val="nil"/>
              <w:tr2bl w:val="nil"/>
            </w:tcBorders>
            <w:vAlign w:val="center"/>
          </w:tcPr>
          <w:p w14:paraId="4D85EE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邹志文</w:t>
            </w:r>
          </w:p>
        </w:tc>
      </w:tr>
      <w:tr w14:paraId="70BF8A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90" w:type="pct"/>
            <w:tcBorders>
              <w:tl2br w:val="nil"/>
              <w:tr2bl w:val="nil"/>
            </w:tcBorders>
            <w:vAlign w:val="center"/>
          </w:tcPr>
          <w:p w14:paraId="274DD8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2</w:t>
            </w:r>
          </w:p>
        </w:tc>
        <w:tc>
          <w:tcPr>
            <w:tcW w:w="583" w:type="pct"/>
            <w:tcBorders>
              <w:tl2br w:val="nil"/>
              <w:tr2bl w:val="nil"/>
            </w:tcBorders>
            <w:vAlign w:val="center"/>
          </w:tcPr>
          <w:p w14:paraId="0836E9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生产车间</w:t>
            </w:r>
          </w:p>
        </w:tc>
        <w:tc>
          <w:tcPr>
            <w:tcW w:w="567" w:type="pct"/>
            <w:tcBorders>
              <w:tl2br w:val="nil"/>
              <w:tr2bl w:val="nil"/>
            </w:tcBorders>
            <w:vAlign w:val="center"/>
          </w:tcPr>
          <w:p w14:paraId="4C40BA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人工巡检、监控</w:t>
            </w:r>
          </w:p>
        </w:tc>
        <w:tc>
          <w:tcPr>
            <w:tcW w:w="484" w:type="pct"/>
            <w:tcBorders>
              <w:tl2br w:val="nil"/>
              <w:tr2bl w:val="nil"/>
            </w:tcBorders>
            <w:vAlign w:val="center"/>
          </w:tcPr>
          <w:p w14:paraId="3035BD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每</w:t>
            </w:r>
            <w:r>
              <w:rPr>
                <w:rFonts w:hint="eastAsia"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rPr>
              <w:t>4h巡查一次</w:t>
            </w:r>
          </w:p>
        </w:tc>
        <w:tc>
          <w:tcPr>
            <w:tcW w:w="1309" w:type="pct"/>
            <w:tcBorders>
              <w:tl2br w:val="nil"/>
              <w:tr2bl w:val="nil"/>
            </w:tcBorders>
            <w:vAlign w:val="center"/>
          </w:tcPr>
          <w:p w14:paraId="2A1FE2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rPr>
              <w:t>地面防渗处理/</w:t>
            </w:r>
            <w:r>
              <w:rPr>
                <w:rFonts w:hint="eastAsia" w:ascii="Times New Roman" w:hAnsi="Times New Roman" w:cs="Times New Roman" w:eastAsiaTheme="minorEastAsia"/>
                <w:color w:val="auto"/>
                <w:sz w:val="21"/>
                <w:szCs w:val="21"/>
                <w:highlight w:val="none"/>
                <w:lang w:val="en-US" w:eastAsia="zh-CN"/>
              </w:rPr>
              <w:t>定期巡检/设置警示标识</w:t>
            </w:r>
          </w:p>
        </w:tc>
        <w:tc>
          <w:tcPr>
            <w:tcW w:w="751" w:type="pct"/>
            <w:tcBorders>
              <w:tl2br w:val="nil"/>
              <w:tr2bl w:val="nil"/>
            </w:tcBorders>
            <w:vAlign w:val="center"/>
          </w:tcPr>
          <w:p w14:paraId="607993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kern w:val="2"/>
                <w:sz w:val="21"/>
                <w:szCs w:val="21"/>
                <w:highlight w:val="none"/>
                <w:lang w:val="en-US" w:eastAsia="zh-CN" w:bidi="ar-SA"/>
              </w:rPr>
              <w:t>仓库内及门外</w:t>
            </w:r>
          </w:p>
        </w:tc>
        <w:tc>
          <w:tcPr>
            <w:tcW w:w="745" w:type="pct"/>
            <w:tcBorders>
              <w:tl2br w:val="nil"/>
              <w:tr2bl w:val="nil"/>
            </w:tcBorders>
            <w:vAlign w:val="center"/>
          </w:tcPr>
          <w:p w14:paraId="0D5B6D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发生泄漏、火灾、爆炸</w:t>
            </w:r>
          </w:p>
        </w:tc>
        <w:tc>
          <w:tcPr>
            <w:tcW w:w="367" w:type="pct"/>
            <w:tcBorders>
              <w:tl2br w:val="nil"/>
              <w:tr2bl w:val="nil"/>
            </w:tcBorders>
            <w:vAlign w:val="center"/>
          </w:tcPr>
          <w:p w14:paraId="278F73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邹志文</w:t>
            </w:r>
          </w:p>
        </w:tc>
      </w:tr>
      <w:tr w14:paraId="395C9D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90" w:type="pct"/>
            <w:tcBorders>
              <w:tl2br w:val="nil"/>
              <w:tr2bl w:val="nil"/>
            </w:tcBorders>
            <w:vAlign w:val="center"/>
          </w:tcPr>
          <w:p w14:paraId="4C0315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3</w:t>
            </w:r>
          </w:p>
        </w:tc>
        <w:tc>
          <w:tcPr>
            <w:tcW w:w="583" w:type="pct"/>
            <w:tcBorders>
              <w:tl2br w:val="nil"/>
              <w:tr2bl w:val="nil"/>
            </w:tcBorders>
            <w:vAlign w:val="center"/>
          </w:tcPr>
          <w:p w14:paraId="7FDFA6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危废仓库</w:t>
            </w:r>
          </w:p>
        </w:tc>
        <w:tc>
          <w:tcPr>
            <w:tcW w:w="567" w:type="pct"/>
            <w:tcBorders>
              <w:tl2br w:val="nil"/>
              <w:tr2bl w:val="nil"/>
            </w:tcBorders>
            <w:vAlign w:val="center"/>
          </w:tcPr>
          <w:p w14:paraId="68245C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人工巡检、监控</w:t>
            </w:r>
          </w:p>
        </w:tc>
        <w:tc>
          <w:tcPr>
            <w:tcW w:w="484" w:type="pct"/>
            <w:tcBorders>
              <w:tl2br w:val="nil"/>
              <w:tr2bl w:val="nil"/>
            </w:tcBorders>
            <w:vAlign w:val="center"/>
          </w:tcPr>
          <w:p w14:paraId="0C9891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每4h巡查一次</w:t>
            </w:r>
          </w:p>
        </w:tc>
        <w:tc>
          <w:tcPr>
            <w:tcW w:w="1309" w:type="pct"/>
            <w:tcBorders>
              <w:tl2br w:val="nil"/>
              <w:tr2bl w:val="nil"/>
            </w:tcBorders>
            <w:vAlign w:val="center"/>
          </w:tcPr>
          <w:p w14:paraId="0BCC40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地面防渗处理/设置</w:t>
            </w:r>
            <w:r>
              <w:rPr>
                <w:rFonts w:hint="eastAsia" w:ascii="Times New Roman" w:hAnsi="Times New Roman" w:cs="Times New Roman" w:eastAsiaTheme="minorEastAsia"/>
                <w:color w:val="auto"/>
                <w:sz w:val="21"/>
                <w:szCs w:val="21"/>
                <w:highlight w:val="none"/>
                <w:lang w:val="en-US" w:eastAsia="zh-CN"/>
              </w:rPr>
              <w:t>导流沟</w:t>
            </w:r>
            <w:r>
              <w:rPr>
                <w:rFonts w:hint="default" w:ascii="Times New Roman" w:hAnsi="Times New Roman" w:cs="Times New Roman" w:eastAsiaTheme="minorEastAsia"/>
                <w:color w:val="auto"/>
                <w:sz w:val="21"/>
                <w:szCs w:val="21"/>
                <w:highlight w:val="none"/>
              </w:rPr>
              <w:t>/</w:t>
            </w:r>
            <w:r>
              <w:rPr>
                <w:rFonts w:hint="eastAsia" w:ascii="Times New Roman" w:hAnsi="Times New Roman" w:cs="Times New Roman" w:eastAsiaTheme="minorEastAsia"/>
                <w:color w:val="auto"/>
                <w:sz w:val="21"/>
                <w:szCs w:val="21"/>
                <w:highlight w:val="none"/>
                <w:lang w:val="en-US" w:eastAsia="zh-CN"/>
              </w:rPr>
              <w:t>定期巡检/设置警示标识</w:t>
            </w:r>
          </w:p>
        </w:tc>
        <w:tc>
          <w:tcPr>
            <w:tcW w:w="751" w:type="pct"/>
            <w:tcBorders>
              <w:tl2br w:val="nil"/>
              <w:tr2bl w:val="nil"/>
            </w:tcBorders>
            <w:vAlign w:val="center"/>
          </w:tcPr>
          <w:p w14:paraId="6ADCE3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仓库内及门外</w:t>
            </w:r>
          </w:p>
        </w:tc>
        <w:tc>
          <w:tcPr>
            <w:tcW w:w="745" w:type="pct"/>
            <w:tcBorders>
              <w:tl2br w:val="nil"/>
              <w:tr2bl w:val="nil"/>
            </w:tcBorders>
            <w:vAlign w:val="center"/>
          </w:tcPr>
          <w:p w14:paraId="120E04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发生泄漏、火灾、爆炸</w:t>
            </w:r>
          </w:p>
        </w:tc>
        <w:tc>
          <w:tcPr>
            <w:tcW w:w="367" w:type="pct"/>
            <w:tcBorders>
              <w:tl2br w:val="nil"/>
              <w:tr2bl w:val="nil"/>
            </w:tcBorders>
            <w:vAlign w:val="center"/>
          </w:tcPr>
          <w:p w14:paraId="173A1A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邹志文</w:t>
            </w:r>
          </w:p>
        </w:tc>
      </w:tr>
      <w:tr w14:paraId="56F3AE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90" w:type="pct"/>
            <w:tcBorders>
              <w:tl2br w:val="nil"/>
              <w:tr2bl w:val="nil"/>
            </w:tcBorders>
            <w:vAlign w:val="center"/>
          </w:tcPr>
          <w:p w14:paraId="034E99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4</w:t>
            </w:r>
          </w:p>
        </w:tc>
        <w:tc>
          <w:tcPr>
            <w:tcW w:w="583" w:type="pct"/>
            <w:tcBorders>
              <w:tl2br w:val="nil"/>
              <w:tr2bl w:val="nil"/>
            </w:tcBorders>
            <w:vAlign w:val="center"/>
          </w:tcPr>
          <w:p w14:paraId="253D7C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废气处理</w:t>
            </w:r>
            <w:r>
              <w:rPr>
                <w:rFonts w:hint="eastAsia" w:ascii="Times New Roman" w:hAnsi="Times New Roman" w:cs="Times New Roman" w:eastAsiaTheme="minorEastAsia"/>
                <w:color w:val="auto"/>
                <w:sz w:val="21"/>
                <w:szCs w:val="21"/>
                <w:highlight w:val="none"/>
                <w:lang w:val="en-US" w:eastAsia="zh-CN"/>
              </w:rPr>
              <w:t>设施</w:t>
            </w:r>
          </w:p>
        </w:tc>
        <w:tc>
          <w:tcPr>
            <w:tcW w:w="567" w:type="pct"/>
            <w:tcBorders>
              <w:tl2br w:val="nil"/>
              <w:tr2bl w:val="nil"/>
            </w:tcBorders>
            <w:vAlign w:val="center"/>
          </w:tcPr>
          <w:p w14:paraId="5A45A0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人工巡检</w:t>
            </w:r>
          </w:p>
        </w:tc>
        <w:tc>
          <w:tcPr>
            <w:tcW w:w="484" w:type="pct"/>
            <w:tcBorders>
              <w:tl2br w:val="nil"/>
              <w:tr2bl w:val="nil"/>
            </w:tcBorders>
            <w:vAlign w:val="center"/>
          </w:tcPr>
          <w:p w14:paraId="2FF038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每4h巡查一次</w:t>
            </w:r>
          </w:p>
        </w:tc>
        <w:tc>
          <w:tcPr>
            <w:tcW w:w="1309" w:type="pct"/>
            <w:tcBorders>
              <w:tl2br w:val="nil"/>
              <w:tr2bl w:val="nil"/>
            </w:tcBorders>
            <w:vAlign w:val="center"/>
          </w:tcPr>
          <w:p w14:paraId="78B0FF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定期委托第三方监测</w:t>
            </w:r>
          </w:p>
        </w:tc>
        <w:tc>
          <w:tcPr>
            <w:tcW w:w="751" w:type="pct"/>
            <w:tcBorders>
              <w:tl2br w:val="nil"/>
              <w:tr2bl w:val="nil"/>
            </w:tcBorders>
            <w:vAlign w:val="center"/>
          </w:tcPr>
          <w:p w14:paraId="15914B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废气处理设施</w:t>
            </w:r>
          </w:p>
        </w:tc>
        <w:tc>
          <w:tcPr>
            <w:tcW w:w="745" w:type="pct"/>
            <w:tcBorders>
              <w:tl2br w:val="nil"/>
              <w:tr2bl w:val="nil"/>
            </w:tcBorders>
            <w:vAlign w:val="center"/>
          </w:tcPr>
          <w:p w14:paraId="66228C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非正常排放</w:t>
            </w:r>
          </w:p>
        </w:tc>
        <w:tc>
          <w:tcPr>
            <w:tcW w:w="367" w:type="pct"/>
            <w:tcBorders>
              <w:tl2br w:val="nil"/>
              <w:tr2bl w:val="nil"/>
            </w:tcBorders>
            <w:vAlign w:val="center"/>
          </w:tcPr>
          <w:p w14:paraId="5B63D6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邹志文</w:t>
            </w:r>
          </w:p>
        </w:tc>
      </w:tr>
      <w:tr w14:paraId="3D6F26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90" w:type="pct"/>
            <w:tcBorders>
              <w:tl2br w:val="nil"/>
              <w:tr2bl w:val="nil"/>
            </w:tcBorders>
            <w:vAlign w:val="center"/>
          </w:tcPr>
          <w:p w14:paraId="039022C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5</w:t>
            </w:r>
          </w:p>
        </w:tc>
        <w:tc>
          <w:tcPr>
            <w:tcW w:w="583" w:type="pct"/>
            <w:tcBorders>
              <w:tl2br w:val="nil"/>
              <w:tr2bl w:val="nil"/>
            </w:tcBorders>
            <w:vAlign w:val="center"/>
          </w:tcPr>
          <w:p w14:paraId="0B48A3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废</w:t>
            </w:r>
            <w:r>
              <w:rPr>
                <w:rFonts w:hint="eastAsia" w:ascii="Times New Roman" w:hAnsi="Times New Roman" w:cs="Times New Roman" w:eastAsiaTheme="minorEastAsia"/>
                <w:color w:val="auto"/>
                <w:sz w:val="21"/>
                <w:szCs w:val="21"/>
                <w:highlight w:val="none"/>
                <w:lang w:val="en-US" w:eastAsia="zh-CN"/>
              </w:rPr>
              <w:t>水</w:t>
            </w:r>
            <w:r>
              <w:rPr>
                <w:rFonts w:hint="default" w:ascii="Times New Roman" w:hAnsi="Times New Roman" w:cs="Times New Roman" w:eastAsiaTheme="minorEastAsia"/>
                <w:color w:val="auto"/>
                <w:sz w:val="21"/>
                <w:szCs w:val="21"/>
                <w:highlight w:val="none"/>
              </w:rPr>
              <w:t>处理</w:t>
            </w:r>
            <w:r>
              <w:rPr>
                <w:rFonts w:hint="eastAsia" w:ascii="Times New Roman" w:hAnsi="Times New Roman" w:cs="Times New Roman" w:eastAsiaTheme="minorEastAsia"/>
                <w:color w:val="auto"/>
                <w:sz w:val="21"/>
                <w:szCs w:val="21"/>
                <w:highlight w:val="none"/>
                <w:lang w:val="en-US" w:eastAsia="zh-CN"/>
              </w:rPr>
              <w:t>设施</w:t>
            </w:r>
          </w:p>
        </w:tc>
        <w:tc>
          <w:tcPr>
            <w:tcW w:w="567" w:type="pct"/>
            <w:tcBorders>
              <w:tl2br w:val="nil"/>
              <w:tr2bl w:val="nil"/>
            </w:tcBorders>
            <w:vAlign w:val="center"/>
          </w:tcPr>
          <w:p w14:paraId="2FF2BC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人工巡检</w:t>
            </w:r>
          </w:p>
        </w:tc>
        <w:tc>
          <w:tcPr>
            <w:tcW w:w="484" w:type="pct"/>
            <w:tcBorders>
              <w:tl2br w:val="nil"/>
              <w:tr2bl w:val="nil"/>
            </w:tcBorders>
            <w:vAlign w:val="center"/>
          </w:tcPr>
          <w:p w14:paraId="726C11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每</w:t>
            </w:r>
            <w:r>
              <w:rPr>
                <w:rFonts w:hint="eastAsia" w:ascii="Times New Roman" w:hAnsi="Times New Roman" w:cs="Times New Roman" w:eastAsiaTheme="minorEastAsia"/>
                <w:color w:val="auto"/>
                <w:sz w:val="21"/>
                <w:szCs w:val="21"/>
                <w:highlight w:val="none"/>
                <w:lang w:val="en-US" w:eastAsia="zh-CN"/>
              </w:rPr>
              <w:t>24</w:t>
            </w:r>
            <w:r>
              <w:rPr>
                <w:rFonts w:hint="default" w:ascii="Times New Roman" w:hAnsi="Times New Roman" w:cs="Times New Roman" w:eastAsiaTheme="minorEastAsia"/>
                <w:color w:val="auto"/>
                <w:sz w:val="21"/>
                <w:szCs w:val="21"/>
                <w:highlight w:val="none"/>
              </w:rPr>
              <w:t>h巡查一次</w:t>
            </w:r>
          </w:p>
        </w:tc>
        <w:tc>
          <w:tcPr>
            <w:tcW w:w="1309" w:type="pct"/>
            <w:tcBorders>
              <w:tl2br w:val="nil"/>
              <w:tr2bl w:val="nil"/>
            </w:tcBorders>
            <w:vAlign w:val="center"/>
          </w:tcPr>
          <w:p w14:paraId="5A5522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定期委托第三方监测</w:t>
            </w:r>
          </w:p>
        </w:tc>
        <w:tc>
          <w:tcPr>
            <w:tcW w:w="751" w:type="pct"/>
            <w:tcBorders>
              <w:tl2br w:val="nil"/>
              <w:tr2bl w:val="nil"/>
            </w:tcBorders>
            <w:vAlign w:val="center"/>
          </w:tcPr>
          <w:p w14:paraId="2778B0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废水处理设施</w:t>
            </w:r>
          </w:p>
        </w:tc>
        <w:tc>
          <w:tcPr>
            <w:tcW w:w="745" w:type="pct"/>
            <w:tcBorders>
              <w:tl2br w:val="nil"/>
              <w:tr2bl w:val="nil"/>
            </w:tcBorders>
            <w:vAlign w:val="center"/>
          </w:tcPr>
          <w:p w14:paraId="4F27D2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非正常排放</w:t>
            </w:r>
          </w:p>
        </w:tc>
        <w:tc>
          <w:tcPr>
            <w:tcW w:w="367" w:type="pct"/>
            <w:tcBorders>
              <w:tl2br w:val="nil"/>
              <w:tr2bl w:val="nil"/>
            </w:tcBorders>
            <w:vAlign w:val="center"/>
          </w:tcPr>
          <w:p w14:paraId="4D38D1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邹志文</w:t>
            </w:r>
          </w:p>
        </w:tc>
      </w:tr>
      <w:tr w14:paraId="2C0953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90" w:type="pct"/>
            <w:tcBorders>
              <w:tl2br w:val="nil"/>
              <w:tr2bl w:val="nil"/>
            </w:tcBorders>
            <w:vAlign w:val="center"/>
          </w:tcPr>
          <w:p w14:paraId="4AFE7D8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6</w:t>
            </w:r>
          </w:p>
        </w:tc>
        <w:tc>
          <w:tcPr>
            <w:tcW w:w="583" w:type="pct"/>
            <w:tcBorders>
              <w:tl2br w:val="nil"/>
              <w:tr2bl w:val="nil"/>
            </w:tcBorders>
            <w:vAlign w:val="center"/>
          </w:tcPr>
          <w:p w14:paraId="4FE687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应急池及雨水排口</w:t>
            </w:r>
          </w:p>
        </w:tc>
        <w:tc>
          <w:tcPr>
            <w:tcW w:w="567" w:type="pct"/>
            <w:tcBorders>
              <w:tl2br w:val="nil"/>
              <w:tr2bl w:val="nil"/>
            </w:tcBorders>
            <w:vAlign w:val="center"/>
          </w:tcPr>
          <w:p w14:paraId="6D4BCB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人工巡检、监控</w:t>
            </w:r>
          </w:p>
        </w:tc>
        <w:tc>
          <w:tcPr>
            <w:tcW w:w="484" w:type="pct"/>
            <w:tcBorders>
              <w:tl2br w:val="nil"/>
              <w:tr2bl w:val="nil"/>
            </w:tcBorders>
            <w:vAlign w:val="center"/>
          </w:tcPr>
          <w:p w14:paraId="7C0907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每</w:t>
            </w:r>
            <w:r>
              <w:rPr>
                <w:rFonts w:hint="eastAsia"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rPr>
              <w:t>4h巡查一次</w:t>
            </w:r>
          </w:p>
        </w:tc>
        <w:tc>
          <w:tcPr>
            <w:tcW w:w="1309" w:type="pct"/>
            <w:tcBorders>
              <w:tl2br w:val="nil"/>
              <w:tr2bl w:val="nil"/>
            </w:tcBorders>
            <w:vAlign w:val="center"/>
          </w:tcPr>
          <w:p w14:paraId="696D50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设置警示标识/闸控</w:t>
            </w:r>
          </w:p>
        </w:tc>
        <w:tc>
          <w:tcPr>
            <w:tcW w:w="751" w:type="pct"/>
            <w:tcBorders>
              <w:tl2br w:val="nil"/>
              <w:tr2bl w:val="nil"/>
            </w:tcBorders>
            <w:vAlign w:val="center"/>
          </w:tcPr>
          <w:p w14:paraId="08B1FE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应急池及雨水排口周边</w:t>
            </w:r>
          </w:p>
        </w:tc>
        <w:tc>
          <w:tcPr>
            <w:tcW w:w="745" w:type="pct"/>
            <w:tcBorders>
              <w:tl2br w:val="nil"/>
              <w:tr2bl w:val="nil"/>
            </w:tcBorders>
            <w:vAlign w:val="center"/>
          </w:tcPr>
          <w:p w14:paraId="27B544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非正常排放</w:t>
            </w:r>
          </w:p>
        </w:tc>
        <w:tc>
          <w:tcPr>
            <w:tcW w:w="367" w:type="pct"/>
            <w:tcBorders>
              <w:tl2br w:val="nil"/>
              <w:tr2bl w:val="nil"/>
            </w:tcBorders>
            <w:vAlign w:val="center"/>
          </w:tcPr>
          <w:p w14:paraId="47C93D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邹志文</w:t>
            </w:r>
          </w:p>
        </w:tc>
      </w:tr>
      <w:tr w14:paraId="289A9B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90" w:type="pct"/>
            <w:tcBorders>
              <w:tl2br w:val="nil"/>
              <w:tr2bl w:val="nil"/>
            </w:tcBorders>
            <w:vAlign w:val="center"/>
          </w:tcPr>
          <w:p w14:paraId="145A06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7</w:t>
            </w:r>
          </w:p>
        </w:tc>
        <w:tc>
          <w:tcPr>
            <w:tcW w:w="583" w:type="pct"/>
            <w:tcBorders>
              <w:tl2br w:val="nil"/>
              <w:tr2bl w:val="nil"/>
            </w:tcBorders>
            <w:vAlign w:val="center"/>
          </w:tcPr>
          <w:p w14:paraId="29F16D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污水排口</w:t>
            </w:r>
          </w:p>
        </w:tc>
        <w:tc>
          <w:tcPr>
            <w:tcW w:w="567" w:type="pct"/>
            <w:tcBorders>
              <w:tl2br w:val="nil"/>
              <w:tr2bl w:val="nil"/>
            </w:tcBorders>
            <w:vAlign w:val="center"/>
          </w:tcPr>
          <w:p w14:paraId="4382A3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人工巡检</w:t>
            </w:r>
          </w:p>
        </w:tc>
        <w:tc>
          <w:tcPr>
            <w:tcW w:w="484" w:type="pct"/>
            <w:tcBorders>
              <w:tl2br w:val="nil"/>
              <w:tr2bl w:val="nil"/>
            </w:tcBorders>
            <w:vAlign w:val="center"/>
          </w:tcPr>
          <w:p w14:paraId="55AC5E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每</w:t>
            </w:r>
            <w:r>
              <w:rPr>
                <w:rFonts w:hint="eastAsia"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rPr>
              <w:t>4h巡查一次</w:t>
            </w:r>
          </w:p>
        </w:tc>
        <w:tc>
          <w:tcPr>
            <w:tcW w:w="1309" w:type="pct"/>
            <w:tcBorders>
              <w:tl2br w:val="nil"/>
              <w:tr2bl w:val="nil"/>
            </w:tcBorders>
            <w:vAlign w:val="center"/>
          </w:tcPr>
          <w:p w14:paraId="3796A7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设置警示标识</w:t>
            </w:r>
          </w:p>
        </w:tc>
        <w:tc>
          <w:tcPr>
            <w:tcW w:w="751" w:type="pct"/>
            <w:tcBorders>
              <w:tl2br w:val="nil"/>
              <w:tr2bl w:val="nil"/>
            </w:tcBorders>
            <w:vAlign w:val="center"/>
          </w:tcPr>
          <w:p w14:paraId="41FC8D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污水排口周边</w:t>
            </w:r>
          </w:p>
        </w:tc>
        <w:tc>
          <w:tcPr>
            <w:tcW w:w="745" w:type="pct"/>
            <w:tcBorders>
              <w:tl2br w:val="nil"/>
              <w:tr2bl w:val="nil"/>
            </w:tcBorders>
            <w:vAlign w:val="center"/>
          </w:tcPr>
          <w:p w14:paraId="14ED58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非正常排放</w:t>
            </w:r>
          </w:p>
        </w:tc>
        <w:tc>
          <w:tcPr>
            <w:tcW w:w="367" w:type="pct"/>
            <w:tcBorders>
              <w:tl2br w:val="nil"/>
              <w:tr2bl w:val="nil"/>
            </w:tcBorders>
            <w:vAlign w:val="center"/>
          </w:tcPr>
          <w:p w14:paraId="26A5EF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邹志文</w:t>
            </w:r>
          </w:p>
        </w:tc>
      </w:tr>
    </w:tbl>
    <w:p w14:paraId="6C8C8384">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为防止突发环境事件的发生，科学、高效的对环境风险源实施管理，做好突发环境事件预报警的基础工作，公司环保部应从以下方面采取措施加强对环境风险源的监控：</w:t>
      </w:r>
    </w:p>
    <w:p w14:paraId="5D861EB1">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（1）定期组织环境风险识别和评估，建立环境风险源档案；</w:t>
      </w:r>
    </w:p>
    <w:p w14:paraId="5AED1236">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（2）认真落实《企业突发环境事件隐患排查和治理工作指南（试行）》，建立公司环境风险源巡查制度，设置环境监督管理员，对环境风险源、环境防控设施实行定时、不定时巡回检查。</w:t>
      </w:r>
    </w:p>
    <w:p w14:paraId="26198475">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（3）保证环境风险源监测、监控所必需的资金投入，建立风险源监测监控和预报警机制。包括监测人员的配备、培训，监测仪器、通信设施的配置、完善。</w:t>
      </w:r>
    </w:p>
    <w:p w14:paraId="285C2FA5">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（4）制定生产设施、污染防治设施操作规程，落实环境防控设施运维责任，确保安全运行、达标排放。特种岗位人员必须持证上岗。</w:t>
      </w:r>
    </w:p>
    <w:p w14:paraId="591C8C54">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（5）制定岗位安全环保、责任制，重视从业人员的操作和应急技能教育培训，组织应急演练，加强应急装备的维护。</w:t>
      </w:r>
    </w:p>
    <w:p w14:paraId="5E8732CB">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（6）建立消防安全管理机制，动火作业必须经批准。火种不得带入禁烟场所。</w:t>
      </w:r>
    </w:p>
    <w:p w14:paraId="13E5F339">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（7）规范技术操作规程，防止因操作不当而引起的物件打击、摩擦、静电起火。保全、保养、检修设备，必须采取防火措施。</w:t>
      </w:r>
    </w:p>
    <w:p w14:paraId="218B6E25">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（8）加强电气设备或线路的绝缘检查、电气连接部位的点检维护，采用防尘、防爆型电气设备等。</w:t>
      </w:r>
    </w:p>
    <w:p w14:paraId="26722588">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（9）定期进行生产车间的消防疏散演习，使员工在平时工作中树立正确的逃生理念，掌握正确的逃生方法。</w:t>
      </w:r>
    </w:p>
    <w:p w14:paraId="019A7D75">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（10）组建应急救援队伍，人员要定岗，各岗位人员还要有备份，配备足够满足事故应急需要的物资、装备及个人防护用品，以满足事故应急需要。</w:t>
      </w:r>
    </w:p>
    <w:p w14:paraId="6249D045">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13" w:name="_Toc5972"/>
      <w:bookmarkStart w:id="214" w:name="_Toc13679"/>
      <w:bookmarkStart w:id="215" w:name="_Toc29623"/>
      <w:bookmarkStart w:id="216" w:name="_Toc15973"/>
      <w:bookmarkStart w:id="217" w:name="_Toc496887021"/>
      <w:bookmarkStart w:id="218" w:name="_Toc22087"/>
      <w:bookmarkStart w:id="219" w:name="_Toc31121"/>
      <w:r>
        <w:rPr>
          <w:rFonts w:hint="default" w:ascii="Times New Roman" w:hAnsi="Times New Roman" w:cs="Times New Roman" w:eastAsiaTheme="minorEastAsia"/>
          <w:color w:val="auto"/>
          <w:sz w:val="24"/>
          <w:szCs w:val="24"/>
          <w:highlight w:val="none"/>
        </w:rPr>
        <w:t>3.1.2 预防措施</w:t>
      </w:r>
      <w:bookmarkEnd w:id="213"/>
      <w:bookmarkEnd w:id="214"/>
      <w:bookmarkEnd w:id="215"/>
      <w:bookmarkEnd w:id="216"/>
      <w:bookmarkEnd w:id="217"/>
      <w:bookmarkEnd w:id="218"/>
      <w:bookmarkEnd w:id="219"/>
    </w:p>
    <w:p w14:paraId="4492CC5C">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预防是对公司可能涉及风险源，对公司储存区域等开展经常性的排查，提高排除某种可能事故的针对性和措施的科学性，实现关口前移。公司具体预防措施如下：</w:t>
      </w:r>
    </w:p>
    <w:p w14:paraId="29208FF0">
      <w:pPr>
        <w:pStyle w:val="7"/>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1、储运预防措施</w:t>
      </w:r>
    </w:p>
    <w:p w14:paraId="4085251C">
      <w:pPr>
        <w:spacing w:line="500" w:lineRule="exact"/>
        <w:ind w:firstLine="480" w:firstLineChars="200"/>
        <w:rPr>
          <w:rFonts w:hint="eastAsia" w:ascii="宋体" w:hAnsi="宋体" w:eastAsia="宋体" w:cs="宋体"/>
          <w:color w:val="auto"/>
          <w:sz w:val="24"/>
          <w:szCs w:val="24"/>
          <w:highlight w:val="none"/>
        </w:rPr>
      </w:pPr>
      <w:r>
        <w:rPr>
          <w:rFonts w:hint="eastAsia" w:ascii="宋体" w:eastAsia="宋体"/>
          <w:color w:val="auto"/>
          <w:sz w:val="24"/>
          <w:szCs w:val="24"/>
          <w:highlight w:val="none"/>
        </w:rPr>
        <w:t>①</w:t>
      </w:r>
      <w:r>
        <w:rPr>
          <w:rFonts w:hint="eastAsia" w:ascii="宋体" w:hAnsi="宋体" w:eastAsia="宋体" w:cs="宋体"/>
          <w:color w:val="auto"/>
          <w:sz w:val="24"/>
          <w:szCs w:val="24"/>
          <w:highlight w:val="none"/>
        </w:rPr>
        <w:t>公司生产设备安全接地、对电器开关、照明等落实密封、防爆；</w:t>
      </w:r>
    </w:p>
    <w:p w14:paraId="23F1F74A">
      <w:pPr>
        <w:spacing w:line="500" w:lineRule="exact"/>
        <w:ind w:firstLine="480" w:firstLineChars="200"/>
        <w:rPr>
          <w:rFonts w:hint="eastAsia" w:ascii="宋体" w:hAnsi="宋体" w:eastAsia="宋体" w:cs="宋体"/>
          <w:color w:val="auto"/>
          <w:sz w:val="24"/>
          <w:szCs w:val="24"/>
          <w:highlight w:val="none"/>
        </w:rPr>
      </w:pPr>
      <w:r>
        <w:rPr>
          <w:rFonts w:hint="eastAsia" w:ascii="宋体" w:eastAsia="宋体"/>
          <w:color w:val="auto"/>
          <w:sz w:val="24"/>
          <w:szCs w:val="24"/>
          <w:highlight w:val="none"/>
        </w:rPr>
        <w:t>②</w:t>
      </w:r>
      <w:r>
        <w:rPr>
          <w:rFonts w:hint="eastAsia" w:ascii="宋体" w:hAnsi="宋体" w:eastAsia="宋体" w:cs="宋体"/>
          <w:color w:val="auto"/>
          <w:sz w:val="24"/>
          <w:szCs w:val="24"/>
          <w:highlight w:val="none"/>
        </w:rPr>
        <w:t>仓库地面硬化处理；</w:t>
      </w:r>
    </w:p>
    <w:p w14:paraId="64569519">
      <w:pPr>
        <w:spacing w:line="500" w:lineRule="exact"/>
        <w:ind w:firstLine="480" w:firstLineChars="200"/>
        <w:rPr>
          <w:rFonts w:hint="eastAsia" w:ascii="宋体" w:hAnsi="宋体" w:eastAsia="宋体" w:cs="宋体"/>
          <w:color w:val="auto"/>
          <w:sz w:val="24"/>
          <w:szCs w:val="24"/>
          <w:highlight w:val="none"/>
        </w:rPr>
      </w:pPr>
      <w:r>
        <w:rPr>
          <w:rFonts w:hint="eastAsia" w:ascii="宋体" w:eastAsia="宋体"/>
          <w:color w:val="auto"/>
          <w:sz w:val="24"/>
          <w:szCs w:val="24"/>
          <w:highlight w:val="none"/>
        </w:rPr>
        <w:t>③</w:t>
      </w:r>
      <w:r>
        <w:rPr>
          <w:rFonts w:hint="eastAsia" w:ascii="宋体" w:hAnsi="宋体" w:eastAsia="宋体" w:cs="宋体"/>
          <w:color w:val="auto"/>
          <w:sz w:val="24"/>
          <w:szCs w:val="24"/>
          <w:highlight w:val="none"/>
        </w:rPr>
        <w:t>储存区域内设置的灭火器材位置严禁堆放货物，保持操作空间，所有安全道口也不得堆放，保持道口畅通；</w:t>
      </w:r>
    </w:p>
    <w:p w14:paraId="1F961870">
      <w:pPr>
        <w:spacing w:line="500" w:lineRule="exact"/>
        <w:ind w:firstLine="480" w:firstLineChars="200"/>
        <w:rPr>
          <w:rFonts w:hint="eastAsia" w:ascii="宋体" w:hAnsi="宋体" w:eastAsia="宋体" w:cs="宋体"/>
          <w:color w:val="auto"/>
          <w:sz w:val="24"/>
          <w:szCs w:val="24"/>
          <w:highlight w:val="none"/>
        </w:rPr>
      </w:pPr>
      <w:r>
        <w:rPr>
          <w:rFonts w:hint="eastAsia" w:ascii="宋体" w:eastAsia="宋体"/>
          <w:color w:val="auto"/>
          <w:sz w:val="24"/>
          <w:szCs w:val="24"/>
          <w:highlight w:val="none"/>
        </w:rPr>
        <w:t>④</w:t>
      </w:r>
      <w:r>
        <w:rPr>
          <w:rFonts w:hint="eastAsia" w:ascii="宋体" w:hAnsi="宋体" w:eastAsia="宋体" w:cs="宋体"/>
          <w:color w:val="auto"/>
          <w:sz w:val="24"/>
          <w:szCs w:val="24"/>
          <w:highlight w:val="none"/>
        </w:rPr>
        <w:t>储存物质应按照不同物质分开、分类储存液体和固体物品，互为禁忌物品应采取分库储存；</w:t>
      </w:r>
    </w:p>
    <w:p w14:paraId="19F54AF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5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危废仓库地面做防腐防渗措施、四周设导流沟。</w:t>
      </w:r>
    </w:p>
    <w:p w14:paraId="0088D12B">
      <w:pPr>
        <w:pStyle w:val="7"/>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2、废气治理设施预防措施</w:t>
      </w:r>
    </w:p>
    <w:p w14:paraId="2CCD266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bookmarkStart w:id="220" w:name="_Hlk5874253"/>
      <w:r>
        <w:rPr>
          <w:rFonts w:hint="default" w:ascii="Times New Roman" w:hAnsi="Times New Roman" w:cs="Times New Roman" w:eastAsiaTheme="minorEastAsia"/>
          <w:color w:val="auto"/>
          <w:sz w:val="24"/>
          <w:szCs w:val="24"/>
          <w:highlight w:val="none"/>
        </w:rPr>
        <w:t>（1）</w:t>
      </w:r>
      <w:r>
        <w:rPr>
          <w:rFonts w:hint="eastAsia" w:ascii="宋体" w:hAnsi="宋体" w:eastAsia="宋体" w:cs="宋体"/>
          <w:color w:val="auto"/>
          <w:sz w:val="24"/>
          <w:szCs w:val="24"/>
          <w:highlight w:val="none"/>
        </w:rPr>
        <w:t>制定严格的工艺操作规程，加强监督和管理，提高职工安全意识和环保意识。</w:t>
      </w:r>
    </w:p>
    <w:p w14:paraId="37E3BA5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加强管理，对</w:t>
      </w:r>
      <w:r>
        <w:rPr>
          <w:rFonts w:hint="eastAsia" w:ascii="宋体" w:eastAsia="宋体" w:cs="宋体"/>
          <w:color w:val="auto"/>
          <w:sz w:val="24"/>
          <w:szCs w:val="24"/>
          <w:highlight w:val="none"/>
          <w:lang w:val="en-US" w:eastAsia="zh-CN"/>
        </w:rPr>
        <w:t>喷淋塔</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管道、阀门、接口处进行定期检查</w:t>
      </w: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lang w:val="en-US" w:eastAsia="zh-CN"/>
        </w:rPr>
        <w:t>及时更换活性炭</w:t>
      </w:r>
      <w:r>
        <w:rPr>
          <w:rFonts w:hint="eastAsia" w:ascii="宋体" w:hAnsi="宋体" w:eastAsia="宋体" w:cs="宋体"/>
          <w:color w:val="auto"/>
          <w:sz w:val="24"/>
          <w:szCs w:val="24"/>
          <w:highlight w:val="none"/>
        </w:rPr>
        <w:t>，</w:t>
      </w:r>
      <w:r>
        <w:rPr>
          <w:rFonts w:hint="eastAsia" w:ascii="宋体" w:eastAsia="宋体" w:cs="宋体"/>
          <w:color w:val="auto"/>
          <w:sz w:val="24"/>
          <w:szCs w:val="24"/>
          <w:highlight w:val="none"/>
          <w:lang w:val="en-US" w:eastAsia="zh-CN"/>
        </w:rPr>
        <w:t>确保</w:t>
      </w:r>
      <w:r>
        <w:rPr>
          <w:rFonts w:hint="eastAsia" w:ascii="宋体" w:hAnsi="宋体" w:eastAsia="宋体" w:cs="宋体"/>
          <w:color w:val="auto"/>
          <w:sz w:val="24"/>
          <w:szCs w:val="24"/>
          <w:highlight w:val="none"/>
          <w:lang w:val="en-US" w:eastAsia="zh-CN"/>
        </w:rPr>
        <w:t>废气处理</w:t>
      </w:r>
      <w:r>
        <w:rPr>
          <w:rFonts w:hint="eastAsia" w:ascii="宋体" w:hAnsi="宋体" w:eastAsia="宋体" w:cs="宋体"/>
          <w:color w:val="auto"/>
          <w:sz w:val="24"/>
          <w:szCs w:val="24"/>
          <w:highlight w:val="none"/>
        </w:rPr>
        <w:t>装置正常运行。</w:t>
      </w:r>
    </w:p>
    <w:p w14:paraId="0FFA5CD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定期排查并消除可能导致事故的诱因，加强安全管理，将非正常工况排放的几率减到最小，采取措施杜绝风险事故的发生。</w:t>
      </w:r>
    </w:p>
    <w:p w14:paraId="06AFA4CF">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若废气处理装置发生故障，应立即开启紧急停车系统，从源头控制废气的产生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并向南通市海安生态环境局汇报废气处理装置故障情况</w:t>
      </w:r>
      <w:r>
        <w:rPr>
          <w:rFonts w:hint="default" w:ascii="Times New Roman" w:hAnsi="Times New Roman" w:cs="Times New Roman" w:eastAsiaTheme="minorEastAsia"/>
          <w:bCs/>
          <w:color w:val="auto"/>
          <w:kern w:val="0"/>
          <w:sz w:val="24"/>
          <w:szCs w:val="24"/>
          <w:highlight w:val="none"/>
        </w:rPr>
        <w:t>。</w:t>
      </w:r>
    </w:p>
    <w:bookmarkEnd w:id="220"/>
    <w:p w14:paraId="329EC589">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
          <w:bCs/>
          <w:color w:val="auto"/>
          <w:sz w:val="24"/>
          <w:szCs w:val="24"/>
          <w:highlight w:val="none"/>
        </w:rPr>
      </w:pPr>
      <w:bookmarkStart w:id="221" w:name="_Toc413601746"/>
      <w:bookmarkStart w:id="222" w:name="_Toc418512795"/>
      <w:bookmarkStart w:id="223" w:name="_Toc428886415"/>
      <w:r>
        <w:rPr>
          <w:rFonts w:hint="eastAsia" w:cs="Times New Roman"/>
          <w:b/>
          <w:bCs/>
          <w:color w:val="auto"/>
          <w:sz w:val="24"/>
          <w:szCs w:val="24"/>
          <w:highlight w:val="none"/>
          <w:lang w:val="en-US" w:eastAsia="zh-CN"/>
        </w:rPr>
        <w:t>3</w:t>
      </w:r>
      <w:r>
        <w:rPr>
          <w:rFonts w:hint="default" w:ascii="Times New Roman" w:hAnsi="Times New Roman" w:cs="Times New Roman" w:eastAsiaTheme="minorEastAsia"/>
          <w:b/>
          <w:bCs/>
          <w:color w:val="auto"/>
          <w:sz w:val="24"/>
          <w:szCs w:val="24"/>
          <w:highlight w:val="none"/>
        </w:rPr>
        <w:t>、</w:t>
      </w:r>
      <w:r>
        <w:rPr>
          <w:rFonts w:hint="default" w:ascii="Times New Roman" w:hAnsi="Times New Roman" w:cs="Times New Roman" w:eastAsiaTheme="minorEastAsia"/>
          <w:b/>
          <w:bCs/>
          <w:color w:val="auto"/>
          <w:sz w:val="24"/>
          <w:szCs w:val="24"/>
          <w:highlight w:val="none"/>
          <w:lang w:val="en-US" w:eastAsia="zh-CN"/>
        </w:rPr>
        <w:t>土壤、地下水事故预防措施</w:t>
      </w:r>
    </w:p>
    <w:p w14:paraId="5022C448">
      <w:pPr>
        <w:pStyle w:val="7"/>
        <w:keepNext w:val="0"/>
        <w:keepLines w:val="0"/>
        <w:widowControl w:val="0"/>
        <w:suppressLineNumbers w:val="0"/>
        <w:spacing w:line="500" w:lineRule="exact"/>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eastAsiaTheme="minorEastAsia"/>
          <w:bCs/>
          <w:color w:val="auto"/>
          <w:kern w:val="2"/>
          <w:sz w:val="24"/>
          <w:szCs w:val="24"/>
          <w:highlight w:val="none"/>
          <w:lang w:val="en-US" w:eastAsia="zh-CN" w:bidi="ar"/>
        </w:rPr>
        <w:t>（</w:t>
      </w:r>
      <w:r>
        <w:rPr>
          <w:rFonts w:hint="default" w:ascii="Times New Roman" w:hAnsi="Times New Roman" w:cs="Times New Roman" w:eastAsiaTheme="minorEastAsia"/>
          <w:bCs/>
          <w:color w:val="auto"/>
          <w:kern w:val="2"/>
          <w:sz w:val="24"/>
          <w:szCs w:val="24"/>
          <w:highlight w:val="none"/>
          <w:lang w:val="en-US" w:eastAsia="zh-CN" w:bidi="ar"/>
        </w:rPr>
        <w:t xml:space="preserve">1）土壤污染具有隐蔽性、滞后性、累积性、不可逆转性、且很难治理。必须坚持预防为主、保护优先、分类管理、风险管控、污染担责、公众参与的原则。 </w:t>
      </w:r>
    </w:p>
    <w:p w14:paraId="16575772">
      <w:pPr>
        <w:pStyle w:val="7"/>
        <w:keepNext w:val="0"/>
        <w:keepLines w:val="0"/>
        <w:widowControl w:val="0"/>
        <w:suppressLineNumbers w:val="0"/>
        <w:spacing w:line="500" w:lineRule="exact"/>
        <w:ind w:firstLine="480" w:firstLineChars="200"/>
        <w:jc w:val="both"/>
        <w:rPr>
          <w:rFonts w:ascii="Times New Roman" w:hAnsi="Times New Roman" w:cs="Times New Roman"/>
          <w:bCs/>
          <w:color w:val="auto"/>
          <w:sz w:val="24"/>
          <w:szCs w:val="24"/>
          <w:highlight w:val="none"/>
        </w:rPr>
      </w:pPr>
      <w:r>
        <w:rPr>
          <w:rFonts w:hint="default" w:ascii="Times New Roman" w:hAnsi="Times New Roman" w:cs="Times New Roman" w:eastAsiaTheme="minorEastAsia"/>
          <w:bCs/>
          <w:color w:val="auto"/>
          <w:kern w:val="2"/>
          <w:sz w:val="24"/>
          <w:szCs w:val="24"/>
          <w:highlight w:val="none"/>
          <w:lang w:val="en-US" w:eastAsia="zh-CN" w:bidi="ar"/>
        </w:rPr>
        <w:t xml:space="preserve">（2）依法进行环境影响评价。环境影响评价文件应当包括对土壤可能造成的不良影响及应当采取的相应预防措施等内容。 </w:t>
      </w:r>
    </w:p>
    <w:p w14:paraId="30F61759">
      <w:pPr>
        <w:pStyle w:val="7"/>
        <w:pageBreakBefore w:val="0"/>
        <w:kinsoku/>
        <w:overflowPunct/>
        <w:bidi w:val="0"/>
        <w:spacing w:line="500" w:lineRule="exact"/>
        <w:ind w:firstLine="480" w:firstLineChars="200"/>
        <w:jc w:val="both"/>
        <w:rPr>
          <w:rFonts w:hint="default" w:ascii="Times New Roman" w:hAnsi="Times New Roman" w:cs="Times New Roman" w:eastAsiaTheme="minorEastAsia"/>
          <w:bCs/>
          <w:color w:val="auto"/>
          <w:kern w:val="2"/>
          <w:sz w:val="24"/>
          <w:szCs w:val="24"/>
          <w:highlight w:val="none"/>
          <w:lang w:val="en-US" w:eastAsia="zh-CN" w:bidi="ar"/>
        </w:rPr>
      </w:pPr>
      <w:r>
        <w:rPr>
          <w:rFonts w:hint="default" w:ascii="Times New Roman" w:hAnsi="Times New Roman" w:cs="Times New Roman" w:eastAsiaTheme="minorEastAsia"/>
          <w:bCs/>
          <w:color w:val="auto"/>
          <w:kern w:val="2"/>
          <w:sz w:val="24"/>
          <w:szCs w:val="24"/>
          <w:highlight w:val="none"/>
          <w:lang w:val="en-US" w:eastAsia="zh-CN" w:bidi="ar"/>
        </w:rPr>
        <w:t>（3）严格按照《</w:t>
      </w:r>
      <w:r>
        <w:rPr>
          <w:rFonts w:hint="eastAsia" w:cs="Times New Roman"/>
          <w:bCs/>
          <w:color w:val="auto"/>
          <w:kern w:val="2"/>
          <w:sz w:val="24"/>
          <w:szCs w:val="24"/>
          <w:highlight w:val="none"/>
          <w:lang w:val="en-US" w:eastAsia="zh-CN" w:bidi="ar"/>
        </w:rPr>
        <w:t>化工建设项目环境保护工程设计标准</w:t>
      </w:r>
      <w:r>
        <w:rPr>
          <w:rFonts w:hint="default" w:ascii="Times New Roman" w:hAnsi="Times New Roman" w:cs="Times New Roman" w:eastAsiaTheme="minorEastAsia"/>
          <w:bCs/>
          <w:color w:val="auto"/>
          <w:kern w:val="2"/>
          <w:sz w:val="24"/>
          <w:szCs w:val="24"/>
          <w:highlight w:val="none"/>
          <w:lang w:val="en-US" w:eastAsia="zh-CN" w:bidi="ar"/>
        </w:rPr>
        <w:t>》</w:t>
      </w:r>
      <w:r>
        <w:rPr>
          <w:rFonts w:hint="eastAsia" w:cs="Times New Roman"/>
          <w:bCs/>
          <w:color w:val="auto"/>
          <w:kern w:val="2"/>
          <w:sz w:val="24"/>
          <w:szCs w:val="24"/>
          <w:highlight w:val="none"/>
          <w:lang w:val="en-US" w:eastAsia="zh-CN" w:bidi="ar"/>
        </w:rPr>
        <w:t>（GB/T 50483-2019）</w:t>
      </w:r>
      <w:r>
        <w:rPr>
          <w:rFonts w:hint="default" w:ascii="Times New Roman" w:hAnsi="Times New Roman" w:cs="Times New Roman" w:eastAsiaTheme="minorEastAsia"/>
          <w:bCs/>
          <w:color w:val="auto"/>
          <w:kern w:val="2"/>
          <w:sz w:val="24"/>
          <w:szCs w:val="24"/>
          <w:highlight w:val="none"/>
          <w:lang w:val="en-US" w:eastAsia="zh-CN" w:bidi="ar"/>
        </w:rPr>
        <w:t>设计施工。工艺、管道、设备、土建、给排水、总图布置等设计、管理中应防止和减少污染物料的跑</w:t>
      </w:r>
      <w:r>
        <w:rPr>
          <w:rFonts w:hint="eastAsia" w:ascii="Times New Roman" w:hAnsi="Times New Roman" w:cs="Times New Roman"/>
          <w:bCs/>
          <w:color w:val="auto"/>
          <w:kern w:val="2"/>
          <w:sz w:val="24"/>
          <w:szCs w:val="24"/>
          <w:highlight w:val="none"/>
          <w:lang w:val="en-US" w:eastAsia="zh-CN" w:bidi="ar"/>
        </w:rPr>
        <w:t>、</w:t>
      </w:r>
      <w:r>
        <w:rPr>
          <w:rFonts w:hint="default" w:ascii="Times New Roman" w:hAnsi="Times New Roman" w:cs="Times New Roman" w:eastAsiaTheme="minorEastAsia"/>
          <w:bCs/>
          <w:color w:val="auto"/>
          <w:kern w:val="2"/>
          <w:sz w:val="24"/>
          <w:szCs w:val="24"/>
          <w:highlight w:val="none"/>
          <w:lang w:val="en-US" w:eastAsia="zh-CN" w:bidi="ar"/>
        </w:rPr>
        <w:t>冒</w:t>
      </w:r>
      <w:r>
        <w:rPr>
          <w:rFonts w:hint="eastAsia" w:ascii="Times New Roman" w:hAnsi="Times New Roman" w:cs="Times New Roman"/>
          <w:bCs/>
          <w:color w:val="auto"/>
          <w:kern w:val="2"/>
          <w:sz w:val="24"/>
          <w:szCs w:val="24"/>
          <w:highlight w:val="none"/>
          <w:lang w:val="en-US" w:eastAsia="zh-CN" w:bidi="ar"/>
        </w:rPr>
        <w:t>、</w:t>
      </w:r>
      <w:r>
        <w:rPr>
          <w:rFonts w:hint="default" w:ascii="Times New Roman" w:hAnsi="Times New Roman" w:cs="Times New Roman" w:eastAsiaTheme="minorEastAsia"/>
          <w:bCs/>
          <w:color w:val="auto"/>
          <w:kern w:val="2"/>
          <w:sz w:val="24"/>
          <w:szCs w:val="24"/>
          <w:highlight w:val="none"/>
          <w:lang w:val="en-US" w:eastAsia="zh-CN" w:bidi="ar"/>
        </w:rPr>
        <w:t>滴</w:t>
      </w:r>
      <w:r>
        <w:rPr>
          <w:rFonts w:hint="eastAsia" w:ascii="Times New Roman" w:hAnsi="Times New Roman" w:cs="Times New Roman"/>
          <w:bCs/>
          <w:color w:val="auto"/>
          <w:kern w:val="2"/>
          <w:sz w:val="24"/>
          <w:szCs w:val="24"/>
          <w:highlight w:val="none"/>
          <w:lang w:val="en-US" w:eastAsia="zh-CN" w:bidi="ar"/>
        </w:rPr>
        <w:t>、</w:t>
      </w:r>
      <w:r>
        <w:rPr>
          <w:rFonts w:hint="default" w:ascii="Times New Roman" w:hAnsi="Times New Roman" w:cs="Times New Roman" w:eastAsiaTheme="minorEastAsia"/>
          <w:bCs/>
          <w:color w:val="auto"/>
          <w:kern w:val="2"/>
          <w:sz w:val="24"/>
          <w:szCs w:val="24"/>
          <w:highlight w:val="none"/>
          <w:lang w:val="en-US" w:eastAsia="zh-CN" w:bidi="ar"/>
        </w:rPr>
        <w:t xml:space="preserve">漏；化学物质的输送管线尽量设置在地面上；在处理或贮存化学品的所有区域设置防渗漏的地基并设置围档、围堰，以确保任何物质的冒溢均能被回收； </w:t>
      </w:r>
    </w:p>
    <w:p w14:paraId="01C73D15">
      <w:pPr>
        <w:pStyle w:val="7"/>
        <w:pageBreakBefore w:val="0"/>
        <w:kinsoku/>
        <w:overflowPunct/>
        <w:bidi w:val="0"/>
        <w:spacing w:line="500" w:lineRule="exact"/>
        <w:ind w:firstLine="480" w:firstLineChars="200"/>
        <w:jc w:val="both"/>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Cs/>
          <w:color w:val="auto"/>
          <w:kern w:val="2"/>
          <w:sz w:val="24"/>
          <w:szCs w:val="24"/>
          <w:highlight w:val="none"/>
          <w:lang w:val="en-US" w:eastAsia="zh-CN" w:bidi="ar"/>
        </w:rPr>
        <w:t>（4）加强废水、废气和固体废物管理，按照规定进行处理、处置，并达标排放。地下水池必须进行防腐、防渗漏处理；固废贮存场所应采取防雨淋、防扬散、防渗漏、防流失等措施；建议建立地下水监测点。</w:t>
      </w:r>
    </w:p>
    <w:p w14:paraId="6EFD21BA">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
          <w:bCs/>
          <w:color w:val="auto"/>
          <w:sz w:val="24"/>
          <w:szCs w:val="24"/>
          <w:highlight w:val="none"/>
        </w:rPr>
        <w:t>4、火灾预防措施</w:t>
      </w:r>
    </w:p>
    <w:p w14:paraId="3E6AA10E">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（1）全厂配备一定数量的灭火器</w:t>
      </w:r>
      <w:r>
        <w:rPr>
          <w:rFonts w:hint="eastAsia" w:cs="Times New Roman"/>
          <w:bCs/>
          <w:color w:val="auto"/>
          <w:sz w:val="24"/>
          <w:szCs w:val="24"/>
          <w:highlight w:val="none"/>
          <w:lang w:eastAsia="zh-CN"/>
        </w:rPr>
        <w:t>、</w:t>
      </w:r>
      <w:r>
        <w:rPr>
          <w:rFonts w:hint="eastAsia" w:cs="Times New Roman"/>
          <w:bCs/>
          <w:color w:val="auto"/>
          <w:sz w:val="24"/>
          <w:szCs w:val="24"/>
          <w:highlight w:val="none"/>
          <w:lang w:val="en-US" w:eastAsia="zh-CN"/>
        </w:rPr>
        <w:t>沙包</w:t>
      </w:r>
      <w:r>
        <w:rPr>
          <w:rFonts w:hint="default" w:ascii="Times New Roman" w:hAnsi="Times New Roman" w:cs="Times New Roman" w:eastAsiaTheme="minorEastAsia"/>
          <w:bCs/>
          <w:color w:val="auto"/>
          <w:sz w:val="24"/>
          <w:szCs w:val="24"/>
          <w:highlight w:val="none"/>
        </w:rPr>
        <w:t>；</w:t>
      </w:r>
    </w:p>
    <w:p w14:paraId="5DB1BD00">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（2）加强员工使用灭火器材的安全培训，确保人人会熟练使用灭火器材；</w:t>
      </w:r>
    </w:p>
    <w:p w14:paraId="65CE8EFE">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（3）坚持日常巡检，特别是老旧电线等易发生火灾部位；</w:t>
      </w:r>
    </w:p>
    <w:p w14:paraId="17405716">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（4）加强管理，避免明火。</w:t>
      </w:r>
    </w:p>
    <w:p w14:paraId="475356B3">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
          <w:bCs/>
          <w:color w:val="auto"/>
          <w:sz w:val="24"/>
          <w:szCs w:val="24"/>
          <w:highlight w:val="none"/>
        </w:rPr>
      </w:pPr>
      <w:r>
        <w:rPr>
          <w:rFonts w:hint="eastAsia" w:cs="Times New Roman"/>
          <w:b/>
          <w:bCs/>
          <w:color w:val="auto"/>
          <w:sz w:val="24"/>
          <w:szCs w:val="24"/>
          <w:highlight w:val="none"/>
          <w:lang w:val="en-US" w:eastAsia="zh-CN"/>
        </w:rPr>
        <w:t>5</w:t>
      </w:r>
      <w:r>
        <w:rPr>
          <w:rFonts w:hint="default" w:ascii="Times New Roman" w:hAnsi="Times New Roman" w:cs="Times New Roman" w:eastAsiaTheme="minorEastAsia"/>
          <w:b/>
          <w:bCs/>
          <w:color w:val="auto"/>
          <w:sz w:val="24"/>
          <w:szCs w:val="24"/>
          <w:highlight w:val="none"/>
        </w:rPr>
        <w:t>、</w:t>
      </w:r>
      <w:r>
        <w:rPr>
          <w:rFonts w:hint="eastAsia" w:cs="Times New Roman"/>
          <w:b/>
          <w:bCs/>
          <w:color w:val="auto"/>
          <w:sz w:val="24"/>
          <w:szCs w:val="24"/>
          <w:highlight w:val="none"/>
          <w:lang w:val="en-US" w:eastAsia="zh-CN"/>
        </w:rPr>
        <w:t>人员安全预防</w:t>
      </w:r>
      <w:r>
        <w:rPr>
          <w:rFonts w:hint="default" w:ascii="Times New Roman" w:hAnsi="Times New Roman" w:cs="Times New Roman" w:eastAsiaTheme="minorEastAsia"/>
          <w:b/>
          <w:bCs/>
          <w:color w:val="auto"/>
          <w:sz w:val="24"/>
          <w:szCs w:val="24"/>
          <w:highlight w:val="none"/>
        </w:rPr>
        <w:t>措施</w:t>
      </w:r>
    </w:p>
    <w:p w14:paraId="29CA8903">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1</w:t>
      </w:r>
      <w:r>
        <w:rPr>
          <w:rFonts w:hint="default" w:ascii="Times New Roman" w:hAnsi="Times New Roman" w:cs="Times New Roman" w:eastAsiaTheme="minorEastAsia"/>
          <w:bCs/>
          <w:color w:val="auto"/>
          <w:sz w:val="24"/>
          <w:szCs w:val="24"/>
          <w:highlight w:val="none"/>
        </w:rPr>
        <w:t>）制定生产设施、污染防治设施操作规程，落实环境防控设施运维责任，确保安全运行、达标排放。</w:t>
      </w:r>
    </w:p>
    <w:p w14:paraId="5F76A45D">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2</w:t>
      </w:r>
      <w:r>
        <w:rPr>
          <w:rFonts w:hint="default" w:ascii="Times New Roman" w:hAnsi="Times New Roman" w:cs="Times New Roman" w:eastAsiaTheme="minorEastAsia"/>
          <w:bCs/>
          <w:color w:val="auto"/>
          <w:sz w:val="24"/>
          <w:szCs w:val="24"/>
          <w:highlight w:val="none"/>
        </w:rPr>
        <w:t>）制定岗位安全环保责任制，重视从业人员的操作和应急技能教育培训，组织应急演练，加强应急装备的维护。</w:t>
      </w:r>
    </w:p>
    <w:p w14:paraId="122B8595">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3</w:t>
      </w:r>
      <w:r>
        <w:rPr>
          <w:rFonts w:hint="default" w:ascii="Times New Roman" w:hAnsi="Times New Roman" w:cs="Times New Roman" w:eastAsiaTheme="minorEastAsia"/>
          <w:bCs/>
          <w:color w:val="auto"/>
          <w:sz w:val="24"/>
          <w:szCs w:val="24"/>
          <w:highlight w:val="none"/>
        </w:rPr>
        <w:t>）建立消防安全管理机制，动火作业必须经批准。火种不得带入禁烟场所。</w:t>
      </w:r>
    </w:p>
    <w:p w14:paraId="209AB26C">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4</w:t>
      </w:r>
      <w:r>
        <w:rPr>
          <w:rFonts w:hint="default" w:ascii="Times New Roman" w:hAnsi="Times New Roman" w:cs="Times New Roman" w:eastAsiaTheme="minorEastAsia"/>
          <w:bCs/>
          <w:color w:val="auto"/>
          <w:sz w:val="24"/>
          <w:szCs w:val="24"/>
          <w:highlight w:val="none"/>
        </w:rPr>
        <w:t>）规范技术操作规程，防止因操作不当而引起的物件打击、摩擦、静电起火。保全、保养、检修设备，必须采取防火措施。</w:t>
      </w:r>
    </w:p>
    <w:p w14:paraId="5F855816">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5</w:t>
      </w:r>
      <w:r>
        <w:rPr>
          <w:rFonts w:hint="default" w:ascii="Times New Roman" w:hAnsi="Times New Roman" w:cs="Times New Roman" w:eastAsiaTheme="minorEastAsia"/>
          <w:bCs/>
          <w:color w:val="auto"/>
          <w:sz w:val="24"/>
          <w:szCs w:val="24"/>
          <w:highlight w:val="none"/>
        </w:rPr>
        <w:t>）加强电气设备或线路的绝缘检查、电气连接部位的点检维护，采用防尘、防爆型电气设备等。</w:t>
      </w:r>
    </w:p>
    <w:p w14:paraId="7D31EA4F">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6</w:t>
      </w:r>
      <w:r>
        <w:rPr>
          <w:rFonts w:hint="default" w:ascii="Times New Roman" w:hAnsi="Times New Roman" w:cs="Times New Roman" w:eastAsiaTheme="minorEastAsia"/>
          <w:bCs/>
          <w:color w:val="auto"/>
          <w:sz w:val="24"/>
          <w:szCs w:val="24"/>
          <w:highlight w:val="none"/>
        </w:rPr>
        <w:t>）定期进行消防疏散演习，使员工在平时工作中树立正确的逃生理念，掌握正确的逃生方法。</w:t>
      </w:r>
    </w:p>
    <w:p w14:paraId="69F3AB54">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7</w:t>
      </w:r>
      <w:r>
        <w:rPr>
          <w:rFonts w:hint="default" w:ascii="Times New Roman" w:hAnsi="Times New Roman" w:cs="Times New Roman" w:eastAsiaTheme="minorEastAsia"/>
          <w:bCs/>
          <w:color w:val="auto"/>
          <w:sz w:val="24"/>
          <w:szCs w:val="24"/>
          <w:highlight w:val="none"/>
        </w:rPr>
        <w:t>）组建应急救援队伍，人员要定岗，各岗位人员要有备份，配备足够满足事故应急需要的物资、装备及个人防护用品，以满足事故应急需要。</w:t>
      </w:r>
    </w:p>
    <w:bookmarkEnd w:id="221"/>
    <w:bookmarkEnd w:id="222"/>
    <w:bookmarkEnd w:id="223"/>
    <w:p w14:paraId="1F526720">
      <w:pPr>
        <w:pStyle w:val="7"/>
        <w:pageBreakBefore w:val="0"/>
        <w:kinsoku/>
        <w:overflowPunct/>
        <w:bidi w:val="0"/>
        <w:spacing w:line="500" w:lineRule="exact"/>
        <w:ind w:firstLine="560" w:firstLineChars="0"/>
        <w:rPr>
          <w:rFonts w:hint="default" w:ascii="Times New Roman" w:hAnsi="Times New Roman" w:cs="Times New Roman" w:eastAsiaTheme="minorEastAsia"/>
          <w:b/>
          <w:bCs/>
          <w:color w:val="auto"/>
          <w:sz w:val="24"/>
          <w:szCs w:val="24"/>
          <w:highlight w:val="none"/>
        </w:rPr>
      </w:pPr>
      <w:r>
        <w:rPr>
          <w:rFonts w:hint="eastAsia" w:cs="Times New Roman"/>
          <w:b/>
          <w:bCs/>
          <w:color w:val="auto"/>
          <w:sz w:val="24"/>
          <w:szCs w:val="24"/>
          <w:highlight w:val="none"/>
          <w:lang w:val="en-US" w:eastAsia="zh-CN"/>
        </w:rPr>
        <w:t>6</w:t>
      </w:r>
      <w:r>
        <w:rPr>
          <w:rFonts w:hint="default" w:ascii="Times New Roman" w:hAnsi="Times New Roman" w:cs="Times New Roman" w:eastAsiaTheme="minorEastAsia"/>
          <w:b/>
          <w:bCs/>
          <w:color w:val="auto"/>
          <w:sz w:val="24"/>
          <w:szCs w:val="24"/>
          <w:highlight w:val="none"/>
        </w:rPr>
        <w:t>、全厂应急物资情况</w:t>
      </w:r>
    </w:p>
    <w:p w14:paraId="1285919E">
      <w:pPr>
        <w:pStyle w:val="11"/>
        <w:pageBreakBefore w:val="0"/>
        <w:kinsoku/>
        <w:overflowPunct/>
        <w:bidi w:val="0"/>
        <w:spacing w:line="500" w:lineRule="exact"/>
        <w:ind w:firstLine="56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公司配备了一定数量的应急物资、应急装备，具体见表3-2。</w:t>
      </w:r>
    </w:p>
    <w:p w14:paraId="23DE13BE">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 xml:space="preserve">表3-2 </w:t>
      </w:r>
      <w:r>
        <w:rPr>
          <w:rFonts w:hint="eastAsia" w:ascii="Times New Roman" w:hAnsi="Times New Roman" w:cs="Times New Roman" w:eastAsiaTheme="minorEastAsia"/>
          <w:b/>
          <w:color w:val="auto"/>
          <w:sz w:val="24"/>
          <w:szCs w:val="24"/>
          <w:highlight w:val="none"/>
          <w:lang w:eastAsia="zh-CN"/>
        </w:rPr>
        <w:t>公司</w:t>
      </w:r>
      <w:r>
        <w:rPr>
          <w:rFonts w:hint="default" w:ascii="Times New Roman" w:hAnsi="Times New Roman" w:cs="Times New Roman" w:eastAsiaTheme="minorEastAsia"/>
          <w:b/>
          <w:color w:val="auto"/>
          <w:sz w:val="24"/>
          <w:szCs w:val="24"/>
          <w:highlight w:val="none"/>
        </w:rPr>
        <w:t>应急救援物资一览表</w:t>
      </w:r>
    </w:p>
    <w:tbl>
      <w:tblPr>
        <w:tblStyle w:val="34"/>
        <w:tblpPr w:leftFromText="180" w:rightFromText="180" w:vertAnchor="text" w:horzAnchor="page" w:tblpX="1294" w:tblpY="5"/>
        <w:tblOverlap w:val="never"/>
        <w:tblW w:w="497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233"/>
        <w:gridCol w:w="1859"/>
        <w:gridCol w:w="863"/>
        <w:gridCol w:w="1762"/>
        <w:gridCol w:w="1625"/>
      </w:tblGrid>
      <w:tr w14:paraId="650F05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 w:type="pct"/>
            <w:tcBorders>
              <w:tl2br w:val="nil"/>
              <w:tr2bl w:val="nil"/>
            </w:tcBorders>
            <w:noWrap w:val="0"/>
            <w:vAlign w:val="center"/>
          </w:tcPr>
          <w:p w14:paraId="40F884F7">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序号</w:t>
            </w:r>
          </w:p>
        </w:tc>
        <w:tc>
          <w:tcPr>
            <w:tcW w:w="1213" w:type="pct"/>
            <w:tcBorders>
              <w:tl2br w:val="nil"/>
              <w:tr2bl w:val="nil"/>
            </w:tcBorders>
            <w:noWrap w:val="0"/>
            <w:vAlign w:val="center"/>
          </w:tcPr>
          <w:p w14:paraId="02629905">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名称</w:t>
            </w:r>
          </w:p>
        </w:tc>
        <w:tc>
          <w:tcPr>
            <w:tcW w:w="1010" w:type="pct"/>
            <w:tcBorders>
              <w:tl2br w:val="nil"/>
              <w:tr2bl w:val="nil"/>
            </w:tcBorders>
            <w:noWrap w:val="0"/>
            <w:vAlign w:val="center"/>
          </w:tcPr>
          <w:p w14:paraId="1971F849">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类型</w:t>
            </w:r>
          </w:p>
        </w:tc>
        <w:tc>
          <w:tcPr>
            <w:tcW w:w="469" w:type="pct"/>
            <w:tcBorders>
              <w:tl2br w:val="nil"/>
              <w:tr2bl w:val="nil"/>
            </w:tcBorders>
            <w:noWrap w:val="0"/>
            <w:vAlign w:val="center"/>
          </w:tcPr>
          <w:p w14:paraId="25D9B7C0">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数量</w:t>
            </w:r>
          </w:p>
        </w:tc>
        <w:tc>
          <w:tcPr>
            <w:tcW w:w="957" w:type="pct"/>
            <w:tcBorders>
              <w:tl2br w:val="nil"/>
              <w:tr2bl w:val="nil"/>
            </w:tcBorders>
            <w:noWrap w:val="0"/>
            <w:vAlign w:val="center"/>
          </w:tcPr>
          <w:p w14:paraId="13D073CE">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存放位置</w:t>
            </w:r>
          </w:p>
        </w:tc>
        <w:tc>
          <w:tcPr>
            <w:tcW w:w="883" w:type="pct"/>
            <w:tcBorders>
              <w:tl2br w:val="nil"/>
              <w:tr2bl w:val="nil"/>
            </w:tcBorders>
            <w:noWrap w:val="0"/>
            <w:vAlign w:val="center"/>
          </w:tcPr>
          <w:p w14:paraId="3BE07DAF">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管理责任人</w:t>
            </w:r>
          </w:p>
        </w:tc>
      </w:tr>
      <w:tr w14:paraId="48D960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 w:type="pct"/>
            <w:tcBorders>
              <w:tl2br w:val="nil"/>
              <w:tr2bl w:val="nil"/>
            </w:tcBorders>
            <w:noWrap w:val="0"/>
            <w:vAlign w:val="center"/>
          </w:tcPr>
          <w:p w14:paraId="432751D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213" w:type="pct"/>
            <w:tcBorders>
              <w:tl2br w:val="nil"/>
              <w:tr2bl w:val="nil"/>
            </w:tcBorders>
            <w:noWrap w:val="0"/>
            <w:vAlign w:val="center"/>
          </w:tcPr>
          <w:p w14:paraId="1CE0D4A2">
            <w:pPr>
              <w:pStyle w:val="91"/>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灭火器</w:t>
            </w:r>
          </w:p>
        </w:tc>
        <w:tc>
          <w:tcPr>
            <w:tcW w:w="1010" w:type="pct"/>
            <w:tcBorders>
              <w:tl2br w:val="nil"/>
              <w:tr2bl w:val="nil"/>
            </w:tcBorders>
            <w:noWrap w:val="0"/>
            <w:vAlign w:val="center"/>
          </w:tcPr>
          <w:p w14:paraId="64830B3C">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消防</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0A986650">
            <w:pPr>
              <w:pStyle w:val="91"/>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eastAsia"/>
                <w:b w:val="0"/>
                <w:bCs w:val="0"/>
                <w:color w:val="000000"/>
                <w:kern w:val="2"/>
                <w:szCs w:val="21"/>
                <w:lang w:val="en-US" w:eastAsia="zh-CN"/>
              </w:rPr>
              <w:t>30</w:t>
            </w:r>
          </w:p>
        </w:tc>
        <w:tc>
          <w:tcPr>
            <w:tcW w:w="957" w:type="pct"/>
            <w:tcBorders>
              <w:tl2br w:val="nil"/>
              <w:tr2bl w:val="nil"/>
            </w:tcBorders>
            <w:noWrap w:val="0"/>
            <w:vAlign w:val="center"/>
          </w:tcPr>
          <w:p w14:paraId="2D3896FA">
            <w:pPr>
              <w:pStyle w:val="91"/>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 </w:t>
            </w:r>
            <w:r>
              <w:rPr>
                <w:rFonts w:hint="eastAsia" w:eastAsia="宋体" w:cs="Times New Roman"/>
                <w:kern w:val="2"/>
                <w:sz w:val="21"/>
                <w:szCs w:val="21"/>
                <w:lang w:val="en-US" w:eastAsia="zh-CN" w:bidi="ar-SA"/>
              </w:rPr>
              <w:t>生产车间</w:t>
            </w:r>
          </w:p>
        </w:tc>
        <w:tc>
          <w:tcPr>
            <w:tcW w:w="883" w:type="pct"/>
            <w:tcBorders>
              <w:tl2br w:val="nil"/>
              <w:tr2bl w:val="nil"/>
            </w:tcBorders>
            <w:noWrap w:val="0"/>
            <w:vAlign w:val="center"/>
          </w:tcPr>
          <w:p w14:paraId="6133C0B7">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孟素琴</w:t>
            </w:r>
          </w:p>
        </w:tc>
      </w:tr>
      <w:tr w14:paraId="7DD8DD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 w:type="pct"/>
            <w:tcBorders>
              <w:tl2br w:val="nil"/>
              <w:tr2bl w:val="nil"/>
            </w:tcBorders>
            <w:noWrap w:val="0"/>
            <w:vAlign w:val="center"/>
          </w:tcPr>
          <w:p w14:paraId="5C85888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13" w:type="pct"/>
            <w:tcBorders>
              <w:tl2br w:val="nil"/>
              <w:tr2bl w:val="nil"/>
            </w:tcBorders>
            <w:noWrap w:val="0"/>
            <w:vAlign w:val="center"/>
          </w:tcPr>
          <w:p w14:paraId="6BAEC314">
            <w:pPr>
              <w:pStyle w:val="91"/>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消防水带</w:t>
            </w:r>
          </w:p>
        </w:tc>
        <w:tc>
          <w:tcPr>
            <w:tcW w:w="1010" w:type="pct"/>
            <w:tcBorders>
              <w:tl2br w:val="nil"/>
              <w:tr2bl w:val="nil"/>
            </w:tcBorders>
            <w:noWrap w:val="0"/>
            <w:vAlign w:val="center"/>
          </w:tcPr>
          <w:p w14:paraId="3CCC012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消防</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77C69552">
            <w:pPr>
              <w:pStyle w:val="91"/>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eastAsia"/>
                <w:b w:val="0"/>
                <w:bCs w:val="0"/>
                <w:color w:val="000000"/>
                <w:kern w:val="2"/>
                <w:szCs w:val="21"/>
                <w:lang w:val="en-US" w:eastAsia="zh-CN"/>
              </w:rPr>
              <w:t>2</w:t>
            </w:r>
          </w:p>
        </w:tc>
        <w:tc>
          <w:tcPr>
            <w:tcW w:w="957" w:type="pct"/>
            <w:tcBorders>
              <w:tl2br w:val="nil"/>
              <w:tr2bl w:val="nil"/>
            </w:tcBorders>
            <w:noWrap w:val="0"/>
            <w:vAlign w:val="center"/>
          </w:tcPr>
          <w:p w14:paraId="581538AD">
            <w:pPr>
              <w:pStyle w:val="91"/>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生产车间</w:t>
            </w:r>
          </w:p>
        </w:tc>
        <w:tc>
          <w:tcPr>
            <w:tcW w:w="883" w:type="pct"/>
            <w:tcBorders>
              <w:tl2br w:val="nil"/>
              <w:tr2bl w:val="nil"/>
            </w:tcBorders>
            <w:noWrap w:val="0"/>
            <w:vAlign w:val="center"/>
          </w:tcPr>
          <w:p w14:paraId="63F29C21">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孟素琴</w:t>
            </w:r>
          </w:p>
        </w:tc>
      </w:tr>
      <w:tr w14:paraId="04E92C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 w:type="pct"/>
            <w:tcBorders>
              <w:tl2br w:val="nil"/>
              <w:tr2bl w:val="nil"/>
            </w:tcBorders>
            <w:noWrap w:val="0"/>
            <w:vAlign w:val="center"/>
          </w:tcPr>
          <w:p w14:paraId="5AC0E283">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3</w:t>
            </w:r>
          </w:p>
        </w:tc>
        <w:tc>
          <w:tcPr>
            <w:tcW w:w="1213" w:type="pct"/>
            <w:tcBorders>
              <w:tl2br w:val="nil"/>
              <w:tr2bl w:val="nil"/>
            </w:tcBorders>
            <w:noWrap w:val="0"/>
            <w:vAlign w:val="center"/>
          </w:tcPr>
          <w:p w14:paraId="3847AC50">
            <w:pPr>
              <w:pStyle w:val="91"/>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黄沙箱</w:t>
            </w:r>
          </w:p>
        </w:tc>
        <w:tc>
          <w:tcPr>
            <w:tcW w:w="1010" w:type="pct"/>
            <w:tcBorders>
              <w:tl2br w:val="nil"/>
              <w:tr2bl w:val="nil"/>
            </w:tcBorders>
            <w:noWrap w:val="0"/>
            <w:vAlign w:val="center"/>
          </w:tcPr>
          <w:p w14:paraId="3470B49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现场</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792610E7">
            <w:pPr>
              <w:pStyle w:val="91"/>
              <w:ind w:left="0" w:leftChars="0" w:right="0" w:rightChars="0" w:firstLine="0" w:firstLineChars="0"/>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eastAsia" w:cs="Times New Roman"/>
                <w:b w:val="0"/>
                <w:bCs w:val="0"/>
                <w:color w:val="000000"/>
                <w:kern w:val="2"/>
                <w:sz w:val="21"/>
                <w:szCs w:val="21"/>
                <w:lang w:val="en-US" w:eastAsia="zh-CN"/>
              </w:rPr>
              <w:t>若干</w:t>
            </w:r>
          </w:p>
        </w:tc>
        <w:tc>
          <w:tcPr>
            <w:tcW w:w="957" w:type="pct"/>
            <w:tcBorders>
              <w:tl2br w:val="nil"/>
              <w:tr2bl w:val="nil"/>
            </w:tcBorders>
            <w:noWrap w:val="0"/>
            <w:vAlign w:val="center"/>
          </w:tcPr>
          <w:p w14:paraId="32FC9622">
            <w:pPr>
              <w:pStyle w:val="91"/>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生产车间</w:t>
            </w:r>
          </w:p>
        </w:tc>
        <w:tc>
          <w:tcPr>
            <w:tcW w:w="883" w:type="pct"/>
            <w:tcBorders>
              <w:tl2br w:val="nil"/>
              <w:tr2bl w:val="nil"/>
            </w:tcBorders>
            <w:noWrap w:val="0"/>
            <w:vAlign w:val="center"/>
          </w:tcPr>
          <w:p w14:paraId="147747FF">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孟素琴</w:t>
            </w:r>
          </w:p>
        </w:tc>
      </w:tr>
      <w:tr w14:paraId="628ECE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 w:type="pct"/>
            <w:tcBorders>
              <w:tl2br w:val="nil"/>
              <w:tr2bl w:val="nil"/>
            </w:tcBorders>
            <w:noWrap w:val="0"/>
            <w:vAlign w:val="center"/>
          </w:tcPr>
          <w:p w14:paraId="4A3F4182">
            <w:pPr>
              <w:adjustRightInd w:val="0"/>
              <w:snapToGrid w:val="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4</w:t>
            </w:r>
          </w:p>
        </w:tc>
        <w:tc>
          <w:tcPr>
            <w:tcW w:w="1213" w:type="pct"/>
            <w:tcBorders>
              <w:tl2br w:val="nil"/>
              <w:tr2bl w:val="nil"/>
            </w:tcBorders>
            <w:noWrap w:val="0"/>
            <w:vAlign w:val="center"/>
          </w:tcPr>
          <w:p w14:paraId="7DEBC9C7">
            <w:pPr>
              <w:pStyle w:val="91"/>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应急照明、出口灯</w:t>
            </w:r>
          </w:p>
        </w:tc>
        <w:tc>
          <w:tcPr>
            <w:tcW w:w="1010" w:type="pct"/>
            <w:tcBorders>
              <w:tl2br w:val="nil"/>
              <w:tr2bl w:val="nil"/>
            </w:tcBorders>
            <w:noWrap w:val="0"/>
            <w:vAlign w:val="center"/>
          </w:tcPr>
          <w:p w14:paraId="127E978F">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现场</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4A5DCACE">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5</w:t>
            </w:r>
          </w:p>
        </w:tc>
        <w:tc>
          <w:tcPr>
            <w:tcW w:w="957" w:type="pct"/>
            <w:tcBorders>
              <w:tl2br w:val="nil"/>
              <w:tr2bl w:val="nil"/>
            </w:tcBorders>
            <w:noWrap w:val="0"/>
            <w:vAlign w:val="center"/>
          </w:tcPr>
          <w:p w14:paraId="0D123CC7">
            <w:pPr>
              <w:pStyle w:val="91"/>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 </w:t>
            </w:r>
            <w:r>
              <w:rPr>
                <w:rFonts w:hint="eastAsia" w:eastAsia="宋体" w:cs="Times New Roman"/>
                <w:kern w:val="2"/>
                <w:sz w:val="21"/>
                <w:szCs w:val="21"/>
                <w:lang w:val="en-US" w:eastAsia="zh-CN" w:bidi="ar-SA"/>
              </w:rPr>
              <w:t>生产车间</w:t>
            </w:r>
          </w:p>
        </w:tc>
        <w:tc>
          <w:tcPr>
            <w:tcW w:w="883" w:type="pct"/>
            <w:tcBorders>
              <w:tl2br w:val="nil"/>
              <w:tr2bl w:val="nil"/>
            </w:tcBorders>
            <w:noWrap w:val="0"/>
            <w:vAlign w:val="center"/>
          </w:tcPr>
          <w:p w14:paraId="04D008D9">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孟素琴</w:t>
            </w:r>
          </w:p>
        </w:tc>
      </w:tr>
      <w:tr w14:paraId="52FC56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 w:type="pct"/>
            <w:tcBorders>
              <w:tl2br w:val="nil"/>
              <w:tr2bl w:val="nil"/>
            </w:tcBorders>
            <w:noWrap w:val="0"/>
            <w:vAlign w:val="center"/>
          </w:tcPr>
          <w:p w14:paraId="333B6FD5">
            <w:pPr>
              <w:adjustRightInd w:val="0"/>
              <w:snapToGrid w:val="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5</w:t>
            </w:r>
          </w:p>
        </w:tc>
        <w:tc>
          <w:tcPr>
            <w:tcW w:w="1213" w:type="pct"/>
            <w:tcBorders>
              <w:tl2br w:val="nil"/>
              <w:tr2bl w:val="nil"/>
            </w:tcBorders>
            <w:noWrap w:val="0"/>
            <w:vAlign w:val="center"/>
          </w:tcPr>
          <w:p w14:paraId="217DBFC3">
            <w:pPr>
              <w:pStyle w:val="91"/>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铁铲</w:t>
            </w:r>
          </w:p>
        </w:tc>
        <w:tc>
          <w:tcPr>
            <w:tcW w:w="1010" w:type="pct"/>
            <w:tcBorders>
              <w:tl2br w:val="nil"/>
              <w:tr2bl w:val="nil"/>
            </w:tcBorders>
            <w:noWrap w:val="0"/>
            <w:vAlign w:val="center"/>
          </w:tcPr>
          <w:p w14:paraId="340070F5">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现场</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50727B6E">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2</w:t>
            </w:r>
          </w:p>
        </w:tc>
        <w:tc>
          <w:tcPr>
            <w:tcW w:w="957" w:type="pct"/>
            <w:tcBorders>
              <w:tl2br w:val="nil"/>
              <w:tr2bl w:val="nil"/>
            </w:tcBorders>
            <w:noWrap w:val="0"/>
            <w:vAlign w:val="center"/>
          </w:tcPr>
          <w:p w14:paraId="0DABE78A">
            <w:pPr>
              <w:pStyle w:val="91"/>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生产车间</w:t>
            </w:r>
          </w:p>
        </w:tc>
        <w:tc>
          <w:tcPr>
            <w:tcW w:w="883" w:type="pct"/>
            <w:tcBorders>
              <w:tl2br w:val="nil"/>
              <w:tr2bl w:val="nil"/>
            </w:tcBorders>
            <w:noWrap w:val="0"/>
            <w:vAlign w:val="center"/>
          </w:tcPr>
          <w:p w14:paraId="5A7F3A6F">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孟素琴</w:t>
            </w:r>
          </w:p>
        </w:tc>
      </w:tr>
      <w:tr w14:paraId="5690D3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 w:type="pct"/>
            <w:tcBorders>
              <w:tl2br w:val="nil"/>
              <w:tr2bl w:val="nil"/>
            </w:tcBorders>
            <w:noWrap w:val="0"/>
            <w:vAlign w:val="center"/>
          </w:tcPr>
          <w:p w14:paraId="54288C09">
            <w:pPr>
              <w:adjustRightInd w:val="0"/>
              <w:snapToGrid w:val="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p>
        </w:tc>
        <w:tc>
          <w:tcPr>
            <w:tcW w:w="1213" w:type="pct"/>
            <w:tcBorders>
              <w:tl2br w:val="nil"/>
              <w:tr2bl w:val="nil"/>
            </w:tcBorders>
            <w:noWrap w:val="0"/>
            <w:vAlign w:val="center"/>
          </w:tcPr>
          <w:p w14:paraId="2A2E676D">
            <w:pPr>
              <w:pStyle w:val="91"/>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应急潜水泵</w:t>
            </w:r>
          </w:p>
        </w:tc>
        <w:tc>
          <w:tcPr>
            <w:tcW w:w="1010" w:type="pct"/>
            <w:tcBorders>
              <w:tl2br w:val="nil"/>
              <w:tr2bl w:val="nil"/>
            </w:tcBorders>
            <w:noWrap w:val="0"/>
            <w:vAlign w:val="center"/>
          </w:tcPr>
          <w:p w14:paraId="7636560E">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现场</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1E52BC95">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1</w:t>
            </w:r>
          </w:p>
        </w:tc>
        <w:tc>
          <w:tcPr>
            <w:tcW w:w="957" w:type="pct"/>
            <w:tcBorders>
              <w:tl2br w:val="nil"/>
              <w:tr2bl w:val="nil"/>
            </w:tcBorders>
            <w:noWrap w:val="0"/>
            <w:vAlign w:val="center"/>
          </w:tcPr>
          <w:p w14:paraId="43BA91B3">
            <w:pPr>
              <w:pStyle w:val="91"/>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生产车间</w:t>
            </w:r>
          </w:p>
        </w:tc>
        <w:tc>
          <w:tcPr>
            <w:tcW w:w="883" w:type="pct"/>
            <w:tcBorders>
              <w:tl2br w:val="nil"/>
              <w:tr2bl w:val="nil"/>
            </w:tcBorders>
            <w:noWrap w:val="0"/>
            <w:vAlign w:val="center"/>
          </w:tcPr>
          <w:p w14:paraId="3BAE3BEF">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孟素琴</w:t>
            </w:r>
          </w:p>
        </w:tc>
      </w:tr>
      <w:tr w14:paraId="5AA06D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 w:type="pct"/>
            <w:tcBorders>
              <w:tl2br w:val="nil"/>
              <w:tr2bl w:val="nil"/>
            </w:tcBorders>
            <w:noWrap w:val="0"/>
            <w:vAlign w:val="center"/>
          </w:tcPr>
          <w:p w14:paraId="78BF0913">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7</w:t>
            </w:r>
          </w:p>
        </w:tc>
        <w:tc>
          <w:tcPr>
            <w:tcW w:w="1213" w:type="pct"/>
            <w:tcBorders>
              <w:tl2br w:val="nil"/>
              <w:tr2bl w:val="nil"/>
            </w:tcBorders>
            <w:noWrap w:val="0"/>
            <w:vAlign w:val="center"/>
          </w:tcPr>
          <w:p w14:paraId="3DFA60C1">
            <w:pPr>
              <w:pStyle w:val="91"/>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消防服</w:t>
            </w:r>
          </w:p>
        </w:tc>
        <w:tc>
          <w:tcPr>
            <w:tcW w:w="1010" w:type="pct"/>
            <w:tcBorders>
              <w:tl2br w:val="nil"/>
              <w:tr2bl w:val="nil"/>
            </w:tcBorders>
            <w:noWrap w:val="0"/>
            <w:vAlign w:val="center"/>
          </w:tcPr>
          <w:p w14:paraId="6A31109B">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3CC4BDB7">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2</w:t>
            </w:r>
          </w:p>
        </w:tc>
        <w:tc>
          <w:tcPr>
            <w:tcW w:w="957" w:type="pct"/>
            <w:tcBorders>
              <w:tl2br w:val="nil"/>
              <w:tr2bl w:val="nil"/>
            </w:tcBorders>
            <w:noWrap w:val="0"/>
            <w:vAlign w:val="center"/>
          </w:tcPr>
          <w:p w14:paraId="5FC76832">
            <w:pPr>
              <w:pStyle w:val="91"/>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消防控制室</w:t>
            </w:r>
          </w:p>
        </w:tc>
        <w:tc>
          <w:tcPr>
            <w:tcW w:w="883" w:type="pct"/>
            <w:tcBorders>
              <w:tl2br w:val="nil"/>
              <w:tr2bl w:val="nil"/>
            </w:tcBorders>
            <w:noWrap w:val="0"/>
            <w:vAlign w:val="center"/>
          </w:tcPr>
          <w:p w14:paraId="427ECAC6">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孟素琴</w:t>
            </w:r>
          </w:p>
        </w:tc>
      </w:tr>
      <w:tr w14:paraId="5B257F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 w:type="pct"/>
            <w:tcBorders>
              <w:tl2br w:val="nil"/>
              <w:tr2bl w:val="nil"/>
            </w:tcBorders>
            <w:noWrap w:val="0"/>
            <w:vAlign w:val="center"/>
          </w:tcPr>
          <w:p w14:paraId="1F6C6EFD">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8</w:t>
            </w:r>
          </w:p>
        </w:tc>
        <w:tc>
          <w:tcPr>
            <w:tcW w:w="1213" w:type="pct"/>
            <w:tcBorders>
              <w:tl2br w:val="nil"/>
              <w:tr2bl w:val="nil"/>
            </w:tcBorders>
            <w:noWrap w:val="0"/>
            <w:vAlign w:val="center"/>
          </w:tcPr>
          <w:p w14:paraId="7878E610">
            <w:pPr>
              <w:pStyle w:val="91"/>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消防靴</w:t>
            </w:r>
          </w:p>
        </w:tc>
        <w:tc>
          <w:tcPr>
            <w:tcW w:w="1010" w:type="pct"/>
            <w:tcBorders>
              <w:tl2br w:val="nil"/>
              <w:tr2bl w:val="nil"/>
            </w:tcBorders>
            <w:noWrap w:val="0"/>
            <w:vAlign w:val="center"/>
          </w:tcPr>
          <w:p w14:paraId="6D1D5F1D">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67B957EC">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2</w:t>
            </w:r>
          </w:p>
        </w:tc>
        <w:tc>
          <w:tcPr>
            <w:tcW w:w="957" w:type="pct"/>
            <w:tcBorders>
              <w:tl2br w:val="nil"/>
              <w:tr2bl w:val="nil"/>
            </w:tcBorders>
            <w:noWrap w:val="0"/>
            <w:vAlign w:val="center"/>
          </w:tcPr>
          <w:p w14:paraId="51AE8547">
            <w:pPr>
              <w:pStyle w:val="91"/>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消防控制室</w:t>
            </w:r>
          </w:p>
        </w:tc>
        <w:tc>
          <w:tcPr>
            <w:tcW w:w="883" w:type="pct"/>
            <w:tcBorders>
              <w:tl2br w:val="nil"/>
              <w:tr2bl w:val="nil"/>
            </w:tcBorders>
            <w:noWrap w:val="0"/>
            <w:vAlign w:val="center"/>
          </w:tcPr>
          <w:p w14:paraId="071AA10B">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孟素琴</w:t>
            </w:r>
          </w:p>
        </w:tc>
      </w:tr>
      <w:tr w14:paraId="7D44E2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 w:type="pct"/>
            <w:tcBorders>
              <w:tl2br w:val="nil"/>
              <w:tr2bl w:val="nil"/>
            </w:tcBorders>
            <w:noWrap w:val="0"/>
            <w:vAlign w:val="center"/>
          </w:tcPr>
          <w:p w14:paraId="4D33EE79">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9</w:t>
            </w:r>
          </w:p>
        </w:tc>
        <w:tc>
          <w:tcPr>
            <w:tcW w:w="1213" w:type="pct"/>
            <w:tcBorders>
              <w:tl2br w:val="nil"/>
              <w:tr2bl w:val="nil"/>
            </w:tcBorders>
            <w:noWrap w:val="0"/>
            <w:vAlign w:val="center"/>
          </w:tcPr>
          <w:p w14:paraId="2B94FE5F">
            <w:pPr>
              <w:pStyle w:val="91"/>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安全帽</w:t>
            </w:r>
          </w:p>
        </w:tc>
        <w:tc>
          <w:tcPr>
            <w:tcW w:w="1010" w:type="pct"/>
            <w:tcBorders>
              <w:tl2br w:val="nil"/>
              <w:tr2bl w:val="nil"/>
            </w:tcBorders>
            <w:noWrap w:val="0"/>
            <w:vAlign w:val="center"/>
          </w:tcPr>
          <w:p w14:paraId="01525CBC">
            <w:pPr>
              <w:adjustRightInd w:val="0"/>
              <w:snapToGrid w:val="0"/>
              <w:ind w:left="0" w:leftChars="0" w:right="0" w:rightChars="0"/>
              <w:jc w:val="center"/>
              <w:rPr>
                <w:rFonts w:hint="default" w:ascii="Times New Roman" w:hAnsi="Times New Roman" w:eastAsia="宋体" w:cs="Times New Roman"/>
                <w:kern w:val="2"/>
                <w:sz w:val="21"/>
                <w:szCs w:val="21"/>
                <w:lang w:val="zh-CN" w:eastAsia="zh-CN" w:bidi="ar-SA"/>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4648D7A3">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2</w:t>
            </w:r>
          </w:p>
        </w:tc>
        <w:tc>
          <w:tcPr>
            <w:tcW w:w="957" w:type="pct"/>
            <w:tcBorders>
              <w:tl2br w:val="nil"/>
              <w:tr2bl w:val="nil"/>
            </w:tcBorders>
            <w:noWrap w:val="0"/>
            <w:vAlign w:val="center"/>
          </w:tcPr>
          <w:p w14:paraId="69087212">
            <w:pPr>
              <w:pStyle w:val="91"/>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消防控制室</w:t>
            </w:r>
          </w:p>
        </w:tc>
        <w:tc>
          <w:tcPr>
            <w:tcW w:w="883" w:type="pct"/>
            <w:tcBorders>
              <w:tl2br w:val="nil"/>
              <w:tr2bl w:val="nil"/>
            </w:tcBorders>
            <w:noWrap w:val="0"/>
            <w:vAlign w:val="center"/>
          </w:tcPr>
          <w:p w14:paraId="200D469F">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孟素琴</w:t>
            </w:r>
          </w:p>
        </w:tc>
      </w:tr>
      <w:tr w14:paraId="75EEBC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 w:type="pct"/>
            <w:tcBorders>
              <w:tl2br w:val="nil"/>
              <w:tr2bl w:val="nil"/>
            </w:tcBorders>
            <w:noWrap w:val="0"/>
            <w:vAlign w:val="center"/>
          </w:tcPr>
          <w:p w14:paraId="2B3679F8">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10</w:t>
            </w:r>
          </w:p>
        </w:tc>
        <w:tc>
          <w:tcPr>
            <w:tcW w:w="1213" w:type="pct"/>
            <w:tcBorders>
              <w:tl2br w:val="nil"/>
              <w:tr2bl w:val="nil"/>
            </w:tcBorders>
            <w:noWrap w:val="0"/>
            <w:vAlign w:val="center"/>
          </w:tcPr>
          <w:p w14:paraId="56611532">
            <w:pPr>
              <w:pStyle w:val="91"/>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防毒面具</w:t>
            </w:r>
          </w:p>
        </w:tc>
        <w:tc>
          <w:tcPr>
            <w:tcW w:w="1010" w:type="pct"/>
            <w:tcBorders>
              <w:tl2br w:val="nil"/>
              <w:tr2bl w:val="nil"/>
            </w:tcBorders>
            <w:noWrap w:val="0"/>
            <w:vAlign w:val="center"/>
          </w:tcPr>
          <w:p w14:paraId="0C99777A">
            <w:pPr>
              <w:adjustRightInd w:val="0"/>
              <w:snapToGrid w:val="0"/>
              <w:ind w:left="0" w:leftChars="0" w:right="0" w:rightChars="0"/>
              <w:jc w:val="center"/>
              <w:rPr>
                <w:rFonts w:hint="default" w:ascii="Times New Roman" w:hAnsi="Times New Roman" w:eastAsia="宋体" w:cs="Times New Roman"/>
                <w:kern w:val="2"/>
                <w:sz w:val="21"/>
                <w:szCs w:val="21"/>
                <w:lang w:val="zh-CN" w:eastAsia="zh-CN" w:bidi="ar-SA"/>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56A5CCC9">
            <w:pPr>
              <w:pStyle w:val="91"/>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eastAsia"/>
                <w:b w:val="0"/>
                <w:bCs w:val="0"/>
                <w:color w:val="000000"/>
                <w:kern w:val="2"/>
                <w:szCs w:val="21"/>
                <w:lang w:val="en-US" w:eastAsia="zh-CN"/>
              </w:rPr>
              <w:t>若干</w:t>
            </w:r>
          </w:p>
        </w:tc>
        <w:tc>
          <w:tcPr>
            <w:tcW w:w="957" w:type="pct"/>
            <w:tcBorders>
              <w:tl2br w:val="nil"/>
              <w:tr2bl w:val="nil"/>
            </w:tcBorders>
            <w:noWrap w:val="0"/>
            <w:vAlign w:val="center"/>
          </w:tcPr>
          <w:p w14:paraId="59848359">
            <w:pPr>
              <w:pStyle w:val="91"/>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消防控制室</w:t>
            </w:r>
          </w:p>
        </w:tc>
        <w:tc>
          <w:tcPr>
            <w:tcW w:w="883" w:type="pct"/>
            <w:tcBorders>
              <w:tl2br w:val="nil"/>
              <w:tr2bl w:val="nil"/>
            </w:tcBorders>
            <w:noWrap w:val="0"/>
            <w:vAlign w:val="center"/>
          </w:tcPr>
          <w:p w14:paraId="50BD3C26">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孟素琴</w:t>
            </w:r>
          </w:p>
        </w:tc>
      </w:tr>
      <w:tr w14:paraId="4E1C66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 w:type="pct"/>
            <w:tcBorders>
              <w:tl2br w:val="nil"/>
              <w:tr2bl w:val="nil"/>
            </w:tcBorders>
            <w:noWrap w:val="0"/>
            <w:vAlign w:val="center"/>
          </w:tcPr>
          <w:p w14:paraId="095F372C">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11</w:t>
            </w:r>
          </w:p>
        </w:tc>
        <w:tc>
          <w:tcPr>
            <w:tcW w:w="1213" w:type="pct"/>
            <w:tcBorders>
              <w:tl2br w:val="nil"/>
              <w:tr2bl w:val="nil"/>
            </w:tcBorders>
            <w:noWrap w:val="0"/>
            <w:vAlign w:val="center"/>
          </w:tcPr>
          <w:p w14:paraId="1B9DED12">
            <w:pPr>
              <w:pStyle w:val="91"/>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急救药箱</w:t>
            </w:r>
          </w:p>
        </w:tc>
        <w:tc>
          <w:tcPr>
            <w:tcW w:w="1010" w:type="pct"/>
            <w:tcBorders>
              <w:tl2br w:val="nil"/>
              <w:tr2bl w:val="nil"/>
            </w:tcBorders>
            <w:noWrap w:val="0"/>
            <w:vAlign w:val="center"/>
          </w:tcPr>
          <w:p w14:paraId="72263EB8">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现场</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469" w:type="pct"/>
            <w:tcBorders>
              <w:tl2br w:val="nil"/>
              <w:tr2bl w:val="nil"/>
            </w:tcBorders>
            <w:noWrap w:val="0"/>
            <w:vAlign w:val="center"/>
          </w:tcPr>
          <w:p w14:paraId="6654184B">
            <w:pPr>
              <w:pStyle w:val="91"/>
              <w:jc w:val="center"/>
              <w:rPr>
                <w:rFonts w:hint="eastAsia"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b w:val="0"/>
                <w:bCs w:val="0"/>
                <w:color w:val="000000"/>
                <w:kern w:val="2"/>
                <w:szCs w:val="21"/>
                <w:lang w:val="en-US" w:eastAsia="zh-CN"/>
              </w:rPr>
              <w:t>1</w:t>
            </w:r>
          </w:p>
        </w:tc>
        <w:tc>
          <w:tcPr>
            <w:tcW w:w="957" w:type="pct"/>
            <w:tcBorders>
              <w:tl2br w:val="nil"/>
              <w:tr2bl w:val="nil"/>
            </w:tcBorders>
            <w:noWrap w:val="0"/>
            <w:vAlign w:val="center"/>
          </w:tcPr>
          <w:p w14:paraId="7DDF0DDF">
            <w:pPr>
              <w:pStyle w:val="91"/>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车间内</w:t>
            </w:r>
          </w:p>
        </w:tc>
        <w:tc>
          <w:tcPr>
            <w:tcW w:w="883" w:type="pct"/>
            <w:tcBorders>
              <w:tl2br w:val="nil"/>
              <w:tr2bl w:val="nil"/>
            </w:tcBorders>
            <w:noWrap w:val="0"/>
            <w:vAlign w:val="center"/>
          </w:tcPr>
          <w:p w14:paraId="40890575">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孟素琴</w:t>
            </w:r>
          </w:p>
        </w:tc>
      </w:tr>
      <w:tr w14:paraId="2E88BE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 w:type="pct"/>
            <w:tcBorders>
              <w:tl2br w:val="nil"/>
              <w:tr2bl w:val="nil"/>
            </w:tcBorders>
            <w:noWrap w:val="0"/>
            <w:vAlign w:val="center"/>
          </w:tcPr>
          <w:p w14:paraId="18318305">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12</w:t>
            </w:r>
          </w:p>
        </w:tc>
        <w:tc>
          <w:tcPr>
            <w:tcW w:w="1213" w:type="pct"/>
            <w:tcBorders>
              <w:tl2br w:val="nil"/>
              <w:tr2bl w:val="nil"/>
            </w:tcBorders>
            <w:noWrap w:val="0"/>
            <w:vAlign w:val="center"/>
          </w:tcPr>
          <w:p w14:paraId="730302D5">
            <w:pPr>
              <w:pStyle w:val="91"/>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纱布</w:t>
            </w:r>
          </w:p>
        </w:tc>
        <w:tc>
          <w:tcPr>
            <w:tcW w:w="1010" w:type="pct"/>
            <w:tcBorders>
              <w:tl2br w:val="nil"/>
              <w:tr2bl w:val="nil"/>
            </w:tcBorders>
            <w:noWrap w:val="0"/>
            <w:vAlign w:val="center"/>
          </w:tcPr>
          <w:p w14:paraId="34945443">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急救</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469" w:type="pct"/>
            <w:tcBorders>
              <w:tl2br w:val="nil"/>
              <w:tr2bl w:val="nil"/>
            </w:tcBorders>
            <w:noWrap w:val="0"/>
            <w:vAlign w:val="center"/>
          </w:tcPr>
          <w:p w14:paraId="6BD2775B">
            <w:pPr>
              <w:pStyle w:val="91"/>
              <w:jc w:val="center"/>
              <w:rPr>
                <w:rFonts w:hint="default"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b w:val="0"/>
                <w:bCs w:val="0"/>
                <w:color w:val="000000"/>
                <w:kern w:val="2"/>
                <w:szCs w:val="21"/>
                <w:lang w:val="en-US" w:eastAsia="zh-CN"/>
              </w:rPr>
              <w:t>若干</w:t>
            </w:r>
          </w:p>
        </w:tc>
        <w:tc>
          <w:tcPr>
            <w:tcW w:w="957" w:type="pct"/>
            <w:tcBorders>
              <w:tl2br w:val="nil"/>
              <w:tr2bl w:val="nil"/>
            </w:tcBorders>
            <w:noWrap w:val="0"/>
            <w:vAlign w:val="center"/>
          </w:tcPr>
          <w:p w14:paraId="7C07328C">
            <w:pPr>
              <w:pStyle w:val="91"/>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车间内</w:t>
            </w:r>
          </w:p>
        </w:tc>
        <w:tc>
          <w:tcPr>
            <w:tcW w:w="883" w:type="pct"/>
            <w:tcBorders>
              <w:tl2br w:val="nil"/>
              <w:tr2bl w:val="nil"/>
            </w:tcBorders>
            <w:noWrap w:val="0"/>
            <w:vAlign w:val="center"/>
          </w:tcPr>
          <w:p w14:paraId="57E27280">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孟素琴</w:t>
            </w:r>
          </w:p>
        </w:tc>
      </w:tr>
      <w:tr w14:paraId="5B5944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 w:type="pct"/>
            <w:tcBorders>
              <w:tl2br w:val="nil"/>
              <w:tr2bl w:val="nil"/>
            </w:tcBorders>
            <w:noWrap w:val="0"/>
            <w:vAlign w:val="center"/>
          </w:tcPr>
          <w:p w14:paraId="549E2E64">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13</w:t>
            </w:r>
          </w:p>
        </w:tc>
        <w:tc>
          <w:tcPr>
            <w:tcW w:w="1213" w:type="pct"/>
            <w:tcBorders>
              <w:tl2br w:val="nil"/>
              <w:tr2bl w:val="nil"/>
            </w:tcBorders>
            <w:noWrap w:val="0"/>
            <w:vAlign w:val="center"/>
          </w:tcPr>
          <w:p w14:paraId="32D4A36D">
            <w:pPr>
              <w:pStyle w:val="91"/>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绷带</w:t>
            </w:r>
          </w:p>
        </w:tc>
        <w:tc>
          <w:tcPr>
            <w:tcW w:w="1010" w:type="pct"/>
            <w:tcBorders>
              <w:tl2br w:val="nil"/>
              <w:tr2bl w:val="nil"/>
            </w:tcBorders>
            <w:noWrap w:val="0"/>
            <w:vAlign w:val="center"/>
          </w:tcPr>
          <w:p w14:paraId="7E7B804C">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急救</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469" w:type="pct"/>
            <w:tcBorders>
              <w:tl2br w:val="nil"/>
              <w:tr2bl w:val="nil"/>
            </w:tcBorders>
            <w:noWrap w:val="0"/>
            <w:vAlign w:val="center"/>
          </w:tcPr>
          <w:p w14:paraId="06AF420B">
            <w:pPr>
              <w:pStyle w:val="91"/>
              <w:jc w:val="center"/>
              <w:rPr>
                <w:rFonts w:hint="eastAsia"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b w:val="0"/>
                <w:bCs w:val="0"/>
                <w:color w:val="000000"/>
                <w:kern w:val="2"/>
                <w:szCs w:val="21"/>
                <w:lang w:val="en-US" w:eastAsia="zh-CN"/>
              </w:rPr>
              <w:t>若干</w:t>
            </w:r>
          </w:p>
        </w:tc>
        <w:tc>
          <w:tcPr>
            <w:tcW w:w="957" w:type="pct"/>
            <w:tcBorders>
              <w:tl2br w:val="nil"/>
              <w:tr2bl w:val="nil"/>
            </w:tcBorders>
            <w:noWrap w:val="0"/>
            <w:vAlign w:val="center"/>
          </w:tcPr>
          <w:p w14:paraId="6B3D2CDA">
            <w:pPr>
              <w:pStyle w:val="91"/>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车间内</w:t>
            </w:r>
          </w:p>
        </w:tc>
        <w:tc>
          <w:tcPr>
            <w:tcW w:w="883" w:type="pct"/>
            <w:tcBorders>
              <w:tl2br w:val="nil"/>
              <w:tr2bl w:val="nil"/>
            </w:tcBorders>
            <w:noWrap w:val="0"/>
            <w:vAlign w:val="center"/>
          </w:tcPr>
          <w:p w14:paraId="4DCEA756">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孟素琴</w:t>
            </w:r>
          </w:p>
        </w:tc>
      </w:tr>
    </w:tbl>
    <w:p w14:paraId="47FE0914">
      <w:pPr>
        <w:pStyle w:val="2"/>
        <w:ind w:left="0" w:leftChars="0" w:firstLine="0" w:firstLineChars="0"/>
        <w:rPr>
          <w:rFonts w:hint="default"/>
        </w:rPr>
      </w:pPr>
    </w:p>
    <w:p w14:paraId="33E44E75">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4"/>
          <w:szCs w:val="24"/>
          <w:highlight w:val="none"/>
        </w:rPr>
      </w:pPr>
      <w:bookmarkStart w:id="224" w:name="_Toc29609"/>
      <w:bookmarkStart w:id="225" w:name="_Toc30586"/>
      <w:bookmarkStart w:id="226" w:name="_Toc29106"/>
      <w:bookmarkStart w:id="227" w:name="_Toc25649"/>
      <w:r>
        <w:rPr>
          <w:rFonts w:hint="default" w:ascii="Times New Roman" w:hAnsi="Times New Roman" w:cs="Times New Roman" w:eastAsiaTheme="minorEastAsia"/>
          <w:b/>
          <w:color w:val="auto"/>
          <w:sz w:val="24"/>
          <w:szCs w:val="24"/>
          <w:highlight w:val="none"/>
        </w:rPr>
        <w:t>表3-3 风险防范设施一览表</w:t>
      </w:r>
    </w:p>
    <w:tbl>
      <w:tblPr>
        <w:tblStyle w:val="34"/>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016"/>
        <w:gridCol w:w="3019"/>
        <w:gridCol w:w="3019"/>
      </w:tblGrid>
      <w:tr w14:paraId="2FF8FF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1665" w:type="pct"/>
            <w:tcBorders>
              <w:tl2br w:val="nil"/>
              <w:tr2bl w:val="nil"/>
            </w:tcBorders>
            <w:vAlign w:val="center"/>
          </w:tcPr>
          <w:p w14:paraId="6A31C41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1667" w:type="pct"/>
            <w:tcBorders>
              <w:tl2br w:val="nil"/>
              <w:tr2bl w:val="nil"/>
            </w:tcBorders>
            <w:vAlign w:val="center"/>
          </w:tcPr>
          <w:p w14:paraId="0144007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名称</w:t>
            </w:r>
          </w:p>
        </w:tc>
        <w:tc>
          <w:tcPr>
            <w:tcW w:w="1667" w:type="pct"/>
            <w:tcBorders>
              <w:tl2br w:val="nil"/>
              <w:tr2bl w:val="nil"/>
            </w:tcBorders>
            <w:vAlign w:val="center"/>
          </w:tcPr>
          <w:p w14:paraId="5B03418A">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容积</w:t>
            </w:r>
          </w:p>
        </w:tc>
      </w:tr>
      <w:tr w14:paraId="367C2D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665" w:type="pct"/>
            <w:tcBorders>
              <w:tl2br w:val="nil"/>
              <w:tr2bl w:val="nil"/>
            </w:tcBorders>
            <w:vAlign w:val="center"/>
          </w:tcPr>
          <w:p w14:paraId="6B26DAC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1667" w:type="pct"/>
            <w:tcBorders>
              <w:tl2br w:val="nil"/>
              <w:tr2bl w:val="nil"/>
            </w:tcBorders>
            <w:vAlign w:val="center"/>
          </w:tcPr>
          <w:p w14:paraId="4109952E">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应急事故池</w:t>
            </w:r>
          </w:p>
        </w:tc>
        <w:tc>
          <w:tcPr>
            <w:tcW w:w="1667" w:type="pct"/>
            <w:tcBorders>
              <w:tl2br w:val="nil"/>
              <w:tr2bl w:val="nil"/>
            </w:tcBorders>
            <w:vAlign w:val="center"/>
          </w:tcPr>
          <w:p w14:paraId="6C8E316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55m</w:t>
            </w:r>
            <w:r>
              <w:rPr>
                <w:rFonts w:hint="eastAsia" w:ascii="Times New Roman" w:hAnsi="Times New Roman" w:cs="Times New Roman" w:eastAsiaTheme="minorEastAsia"/>
                <w:color w:val="auto"/>
                <w:sz w:val="21"/>
                <w:szCs w:val="21"/>
                <w:highlight w:val="none"/>
                <w:vertAlign w:val="superscript"/>
                <w:lang w:val="en-US" w:eastAsia="zh-CN"/>
              </w:rPr>
              <w:t>3</w:t>
            </w:r>
          </w:p>
        </w:tc>
      </w:tr>
    </w:tbl>
    <w:p w14:paraId="571EC5D4">
      <w:pPr>
        <w:pStyle w:val="4"/>
        <w:pageBreakBefore w:val="0"/>
        <w:kinsoku/>
        <w:overflowPunct/>
        <w:bidi w:val="0"/>
        <w:spacing w:before="0" w:beforeAutospacing="0" w:after="0" w:afterAutospacing="0" w:line="500" w:lineRule="exact"/>
        <w:rPr>
          <w:rFonts w:hint="eastAsia" w:ascii="Times New Roman" w:hAnsi="Times New Roman" w:cs="Times New Roman" w:eastAsiaTheme="minorEastAsia"/>
          <w:color w:val="auto"/>
          <w:sz w:val="24"/>
          <w:szCs w:val="24"/>
          <w:highlight w:val="none"/>
          <w:lang w:val="en-US" w:eastAsia="zh-CN"/>
        </w:rPr>
      </w:pPr>
      <w:bookmarkStart w:id="228" w:name="_Toc7818"/>
      <w:bookmarkStart w:id="229" w:name="_Toc12345"/>
      <w:r>
        <w:rPr>
          <w:rFonts w:hint="default" w:ascii="Times New Roman" w:hAnsi="Times New Roman" w:cs="Times New Roman" w:eastAsiaTheme="minorEastAsia"/>
          <w:color w:val="auto"/>
          <w:sz w:val="24"/>
          <w:szCs w:val="24"/>
          <w:highlight w:val="none"/>
        </w:rPr>
        <w:t>3.2 预警</w:t>
      </w:r>
      <w:bookmarkEnd w:id="224"/>
      <w:bookmarkEnd w:id="225"/>
      <w:r>
        <w:rPr>
          <w:rFonts w:hint="eastAsia" w:ascii="Times New Roman" w:hAnsi="Times New Roman" w:cs="Times New Roman"/>
          <w:color w:val="auto"/>
          <w:sz w:val="24"/>
          <w:szCs w:val="24"/>
          <w:highlight w:val="none"/>
          <w:lang w:val="en-US" w:eastAsia="zh-CN"/>
        </w:rPr>
        <w:t>行动</w:t>
      </w:r>
      <w:bookmarkEnd w:id="226"/>
      <w:bookmarkEnd w:id="227"/>
      <w:bookmarkEnd w:id="228"/>
      <w:bookmarkEnd w:id="229"/>
    </w:p>
    <w:p w14:paraId="50F13F5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由总指挥根据突发环境事件严重性、紧急程度和可能波及的范围及对公众安全威胁的程度，及时发布预警警报。</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突发环境事件的预警分为三级，预警级别由低到高，颜色依次为蓝色、黄色、红色。根据事态的发展情况和采取措施的效果，预警颜色可以升级、降级或解除。各</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接警后应立即指挥下属展开各职责范围内工作，同时立即赶赴现场，组织应急工作。</w:t>
      </w:r>
    </w:p>
    <w:p w14:paraId="36E63A6F">
      <w:pPr>
        <w:pStyle w:val="2"/>
        <w:pageBreakBefore w:val="0"/>
        <w:tabs>
          <w:tab w:val="left" w:pos="5184"/>
        </w:tabs>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230" w:name="_Toc276118392"/>
      <w:bookmarkStart w:id="231" w:name="_Toc535504508"/>
      <w:bookmarkStart w:id="232" w:name="_Toc275938149"/>
      <w:bookmarkStart w:id="233" w:name="_Toc27091"/>
      <w:bookmarkStart w:id="234" w:name="_Toc31033"/>
      <w:bookmarkStart w:id="235" w:name="_Toc27602"/>
      <w:bookmarkStart w:id="236" w:name="_Toc3970"/>
      <w:r>
        <w:rPr>
          <w:rFonts w:hint="default" w:ascii="Times New Roman" w:hAnsi="Times New Roman" w:cs="Times New Roman" w:eastAsiaTheme="minorEastAsia"/>
          <w:color w:val="auto"/>
          <w:sz w:val="24"/>
          <w:szCs w:val="24"/>
          <w:highlight w:val="none"/>
        </w:rPr>
        <w:t>3.2.1 预警</w:t>
      </w:r>
      <w:bookmarkEnd w:id="230"/>
      <w:bookmarkEnd w:id="231"/>
      <w:bookmarkEnd w:id="232"/>
      <w:r>
        <w:rPr>
          <w:rFonts w:hint="default" w:ascii="Times New Roman" w:hAnsi="Times New Roman" w:cs="Times New Roman" w:eastAsiaTheme="minorEastAsia"/>
          <w:color w:val="auto"/>
          <w:sz w:val="24"/>
          <w:szCs w:val="24"/>
          <w:highlight w:val="none"/>
        </w:rPr>
        <w:t>级别</w:t>
      </w:r>
      <w:bookmarkEnd w:id="233"/>
      <w:bookmarkEnd w:id="234"/>
      <w:bookmarkEnd w:id="235"/>
      <w:bookmarkEnd w:id="236"/>
    </w:p>
    <w:p w14:paraId="46C7695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(1)预警条件</w:t>
      </w:r>
    </w:p>
    <w:p w14:paraId="7ADF717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发现可能引起突发重特大环境事件的隐患或险情，如不及时采取相应措施，可能导致严重后果时必须预警。本公司设定发布预警的条件如下，出现下列情形之一的，启动环境事件预警响应。</w:t>
      </w:r>
    </w:p>
    <w:p w14:paraId="40151EC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①表3-1监控发现的异常信息；</w:t>
      </w:r>
    </w:p>
    <w:p w14:paraId="59B3038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②设备异常、设备检查可能造成环境影响的事件；</w:t>
      </w:r>
    </w:p>
    <w:p w14:paraId="7455DE4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③发生生产安全事故伴生或可能次生突发环境事件；</w:t>
      </w:r>
    </w:p>
    <w:p w14:paraId="79D9953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④公司周边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发生突发事件影响到本公司情况时；</w:t>
      </w:r>
    </w:p>
    <w:p w14:paraId="1B15B61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⑤气象部门通知有极端天气等自然灾害发生或其他地质灾害预警；</w:t>
      </w:r>
    </w:p>
    <w:p w14:paraId="6E576B8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⑥其他人为发现的异常（安全检查，操作巡查）等。</w:t>
      </w:r>
    </w:p>
    <w:p w14:paraId="4E21F35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(2)预警分级</w:t>
      </w:r>
    </w:p>
    <w:p w14:paraId="7F8A8AB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按照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突发事件的严重性、紧急程度和可能波及的范围及对公众安全威胁的程度，应及时预警。公司可根据实际生产情况将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的突发环境事件分为3个级别，具体如下：</w:t>
      </w:r>
    </w:p>
    <w:p w14:paraId="2A732EB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Ⅲ级（部门级）：①设备、设施发生故障，现场发现存在泄漏迹象，②现场发现存在泄漏或火灾迹象将会导致泄漏、火灾爆炸等事故的；不会对厂区人员及外界环境造成影响，可依靠</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自身能力处理，预警色为蓝色；</w:t>
      </w:r>
    </w:p>
    <w:p w14:paraId="3BF8BEF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Ⅱ级（公司级）：①生产装置发生故障，引起火灾和泄漏，根据公司的应急处置能力，预计环境污染事件在极短时间内可处置控制，环境影响范围可以控制在厂界范围内，不会对周边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、社区产生影响的事故，②废水处理设施发生故障引起的非正常排放，公司及时采取措施，将事故废水控制在厂界范围内，不会对周边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、社区产生影响的事故，影响范围较小，</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在短时间内可采取相应的措施，组织自救，未对周边企事业单位居民产生影响</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预警色为黄色；</w:t>
      </w:r>
    </w:p>
    <w:p w14:paraId="2C44DCC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Ⅰ级：①生产装置发生严重故障，引起火灾爆炸和超出厂界的泄漏事故，泄漏已流入水域或扩散到周边社区、</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，造成的环境影响公司已无能力进行控制。②废气</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废水处理设施</w:t>
      </w:r>
      <w:r>
        <w:rPr>
          <w:rFonts w:hint="default" w:ascii="Times New Roman" w:hAnsi="Times New Roman" w:cs="Times New Roman" w:eastAsiaTheme="minorEastAsia"/>
          <w:color w:val="auto"/>
          <w:sz w:val="24"/>
          <w:szCs w:val="24"/>
          <w:highlight w:val="none"/>
        </w:rPr>
        <w:t>发生故障引起的非正常排放，造成的环境影响超出厂界范围，公司已无能力进行控制，请求外部救援，预警色为红色。</w:t>
      </w:r>
    </w:p>
    <w:p w14:paraId="0F8FB88E">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37" w:name="_Toc535504509"/>
      <w:bookmarkStart w:id="238" w:name="_Toc534201455"/>
      <w:bookmarkStart w:id="239" w:name="_Toc12602"/>
      <w:bookmarkStart w:id="240" w:name="_Toc22201"/>
      <w:bookmarkStart w:id="241" w:name="_Toc30509"/>
      <w:bookmarkStart w:id="242" w:name="_Toc13924"/>
      <w:r>
        <w:rPr>
          <w:rFonts w:hint="default" w:ascii="Times New Roman" w:hAnsi="Times New Roman" w:cs="Times New Roman" w:eastAsiaTheme="minorEastAsia"/>
          <w:color w:val="auto"/>
          <w:sz w:val="24"/>
          <w:szCs w:val="24"/>
          <w:highlight w:val="none"/>
        </w:rPr>
        <w:t>3.2.2 预警发布</w:t>
      </w:r>
      <w:bookmarkEnd w:id="237"/>
      <w:bookmarkEnd w:id="238"/>
      <w:r>
        <w:rPr>
          <w:rFonts w:hint="default" w:ascii="Times New Roman" w:hAnsi="Times New Roman" w:cs="Times New Roman" w:eastAsiaTheme="minorEastAsia"/>
          <w:color w:val="auto"/>
          <w:sz w:val="24"/>
          <w:szCs w:val="24"/>
          <w:highlight w:val="none"/>
        </w:rPr>
        <w:t>与解除</w:t>
      </w:r>
      <w:bookmarkEnd w:id="239"/>
      <w:bookmarkEnd w:id="240"/>
      <w:bookmarkEnd w:id="241"/>
      <w:bookmarkEnd w:id="242"/>
    </w:p>
    <w:p w14:paraId="65DBD74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判断满足预警条件时，应在第一时间通过固定电话、手机短信等方式在公司内部发布预警信息。</w:t>
      </w:r>
    </w:p>
    <w:p w14:paraId="565DC3C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Ⅲ级预警：现场人员直接向公司</w:t>
      </w:r>
      <w:r>
        <w:rPr>
          <w:rFonts w:hint="eastAsia" w:ascii="Times New Roman" w:hAnsi="Times New Roman" w:cs="Times New Roman" w:eastAsiaTheme="minorEastAsia"/>
          <w:color w:val="auto"/>
          <w:sz w:val="24"/>
          <w:szCs w:val="24"/>
          <w:highlight w:val="none"/>
          <w:lang w:eastAsia="zh-CN"/>
        </w:rPr>
        <w:t>应急救援</w:t>
      </w:r>
      <w:r>
        <w:rPr>
          <w:rFonts w:hint="eastAsia" w:ascii="Times New Roman" w:hAnsi="Times New Roman" w:cs="Times New Roman" w:eastAsiaTheme="minorEastAsia"/>
          <w:color w:val="auto"/>
          <w:sz w:val="24"/>
          <w:szCs w:val="24"/>
          <w:highlight w:val="none"/>
          <w:lang w:val="en-US" w:eastAsia="zh-CN"/>
        </w:rPr>
        <w:t>总指挥</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邹志文</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13913779608</w:t>
      </w:r>
      <w:r>
        <w:rPr>
          <w:rFonts w:hint="default" w:ascii="Times New Roman" w:hAnsi="Times New Roman" w:cs="Times New Roman" w:eastAsiaTheme="minorEastAsia"/>
          <w:color w:val="auto"/>
          <w:sz w:val="24"/>
          <w:szCs w:val="24"/>
          <w:highlight w:val="none"/>
        </w:rPr>
        <w:t>）上报事故情况，指挥组视情况协调各部门进行现场处置，落实巡查、监控措施，如隐患未消除，应通知相关应急部门、人员作好应急准备。</w:t>
      </w:r>
    </w:p>
    <w:p w14:paraId="4014584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Ⅱ级预警：现场人员直接向公司</w:t>
      </w:r>
      <w:r>
        <w:rPr>
          <w:rFonts w:hint="eastAsia" w:ascii="Times New Roman" w:hAnsi="Times New Roman" w:cs="Times New Roman" w:eastAsiaTheme="minorEastAsia"/>
          <w:color w:val="auto"/>
          <w:sz w:val="24"/>
          <w:szCs w:val="24"/>
          <w:highlight w:val="none"/>
          <w:lang w:eastAsia="zh-CN"/>
        </w:rPr>
        <w:t>应急救援</w:t>
      </w:r>
      <w:r>
        <w:rPr>
          <w:rFonts w:hint="eastAsia" w:ascii="Times New Roman" w:hAnsi="Times New Roman" w:cs="Times New Roman" w:eastAsiaTheme="minorEastAsia"/>
          <w:color w:val="auto"/>
          <w:sz w:val="24"/>
          <w:szCs w:val="24"/>
          <w:highlight w:val="none"/>
          <w:lang w:val="en-US" w:eastAsia="zh-CN"/>
        </w:rPr>
        <w:t>总指挥</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邹志文</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13913779608</w:t>
      </w:r>
      <w:r>
        <w:rPr>
          <w:rFonts w:hint="default" w:ascii="Times New Roman" w:hAnsi="Times New Roman" w:cs="Times New Roman" w:eastAsiaTheme="minorEastAsia"/>
          <w:color w:val="auto"/>
          <w:sz w:val="24"/>
          <w:szCs w:val="24"/>
          <w:highlight w:val="none"/>
        </w:rPr>
        <w:t>）报告，指挥组宣布启动预案，组织事故处理救援。</w:t>
      </w:r>
    </w:p>
    <w:p w14:paraId="7F487DC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Ⅰ级预警：现场人员直接向公司</w:t>
      </w:r>
      <w:r>
        <w:rPr>
          <w:rFonts w:hint="eastAsia" w:ascii="Times New Roman" w:hAnsi="Times New Roman" w:cs="Times New Roman" w:eastAsiaTheme="minorEastAsia"/>
          <w:color w:val="auto"/>
          <w:sz w:val="24"/>
          <w:szCs w:val="24"/>
          <w:highlight w:val="none"/>
          <w:lang w:eastAsia="zh-CN"/>
        </w:rPr>
        <w:t>应急救援</w:t>
      </w:r>
      <w:r>
        <w:rPr>
          <w:rFonts w:hint="eastAsia" w:ascii="Times New Roman" w:hAnsi="Times New Roman" w:cs="Times New Roman" w:eastAsiaTheme="minorEastAsia"/>
          <w:color w:val="auto"/>
          <w:sz w:val="24"/>
          <w:szCs w:val="24"/>
          <w:highlight w:val="none"/>
          <w:lang w:val="en-US" w:eastAsia="zh-CN"/>
        </w:rPr>
        <w:t>总指挥</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邹志文</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13913779608</w:t>
      </w:r>
      <w:r>
        <w:rPr>
          <w:rFonts w:hint="default" w:ascii="Times New Roman" w:hAnsi="Times New Roman" w:cs="Times New Roman" w:eastAsiaTheme="minorEastAsia"/>
          <w:color w:val="auto"/>
          <w:sz w:val="24"/>
          <w:szCs w:val="24"/>
          <w:highlight w:val="none"/>
        </w:rPr>
        <w:t>）报告，指挥组立即进入应急状态，组织启动预案，并上报南通市海安生态环境局</w:t>
      </w:r>
      <w:r>
        <w:rPr>
          <w:rFonts w:hint="eastAsia" w:ascii="Times New Roman" w:hAnsi="Times New Roman" w:cs="Times New Roman" w:eastAsiaTheme="minorEastAsia"/>
          <w:color w:val="auto"/>
          <w:sz w:val="24"/>
          <w:szCs w:val="24"/>
          <w:highlight w:val="none"/>
          <w:lang w:val="en-US" w:eastAsia="zh-CN"/>
        </w:rPr>
        <w:t>及海安大公镇</w:t>
      </w:r>
      <w:r>
        <w:rPr>
          <w:rFonts w:hint="default" w:ascii="Times New Roman" w:hAnsi="Times New Roman" w:cs="Times New Roman" w:eastAsiaTheme="minorEastAsia"/>
          <w:color w:val="auto"/>
          <w:sz w:val="24"/>
          <w:szCs w:val="24"/>
          <w:highlight w:val="none"/>
        </w:rPr>
        <w:t>，适时启动上一级突发环境事件应急预案，在现场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指挥下组织转移、撤离或者疏散可能受到危害的人员；封闭、隔离或者限制使用有关场所，中止可能导致危害扩大的行为和活动。</w:t>
      </w:r>
      <w:r>
        <w:rPr>
          <w:rFonts w:hint="eastAsia" w:ascii="Times New Roman" w:hAnsi="Times New Roman" w:cs="Times New Roman" w:eastAsiaTheme="minorEastAsia"/>
          <w:color w:val="auto"/>
          <w:sz w:val="24"/>
          <w:szCs w:val="24"/>
          <w:highlight w:val="none"/>
          <w:lang w:val="en-US" w:eastAsia="zh-CN"/>
        </w:rPr>
        <w:t>通知可能受影响的周边企业及人群。</w:t>
      </w:r>
    </w:p>
    <w:p w14:paraId="7AC3A831">
      <w:pPr>
        <w:keepNext w:val="0"/>
        <w:keepLines w:val="0"/>
        <w:pageBreakBefore w:val="0"/>
        <w:widowControl/>
        <w:tabs>
          <w:tab w:val="left" w:pos="3225"/>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(1)预警内容</w:t>
      </w:r>
    </w:p>
    <w:p w14:paraId="54D7661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应报内容包括环境突发事件的类型、发生时间地点、污染源、主要污染物的种类和数量</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人员伤害情况</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事件潜在的危害程度</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转化方式</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趋向等初步情况。以及包括事件的发展与变化</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处置进程</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事故原因</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进程及采取的应急措施等。既要报告新发生的情况，也要对初次报告的信息进行补充和修正。</w:t>
      </w:r>
    </w:p>
    <w:p w14:paraId="40AE7F9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a、预警的方式可通过管理人员或现场其他施工人员的报警、警示等。</w:t>
      </w:r>
    </w:p>
    <w:p w14:paraId="006C85B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b、发布</w:t>
      </w:r>
      <w:r>
        <w:rPr>
          <w:rFonts w:hint="default" w:ascii="Times New Roman" w:hAnsi="Times New Roman" w:cs="Times New Roman" w:eastAsiaTheme="minorEastAsia"/>
          <w:color w:val="auto"/>
          <w:sz w:val="24"/>
          <w:szCs w:val="24"/>
          <w:highlight w:val="none"/>
          <w:lang w:eastAsia="zh-CN"/>
        </w:rPr>
        <w:t>公司内部</w:t>
      </w:r>
      <w:r>
        <w:rPr>
          <w:rFonts w:hint="default" w:ascii="Times New Roman" w:hAnsi="Times New Roman" w:cs="Times New Roman" w:eastAsiaTheme="minorEastAsia"/>
          <w:color w:val="auto"/>
          <w:sz w:val="24"/>
          <w:szCs w:val="24"/>
          <w:highlight w:val="none"/>
        </w:rPr>
        <w:t>预警公告</w:t>
      </w:r>
      <w:r>
        <w:rPr>
          <w:rFonts w:hint="default" w:ascii="Times New Roman" w:hAnsi="Times New Roman" w:cs="Times New Roman" w:eastAsiaTheme="minorEastAsia"/>
          <w:color w:val="auto"/>
          <w:sz w:val="24"/>
          <w:szCs w:val="24"/>
          <w:highlight w:val="none"/>
          <w:lang w:eastAsia="zh-CN"/>
        </w:rPr>
        <w:t>及根据政府应急指挥部授权向社会发布预警公告</w:t>
      </w:r>
      <w:r>
        <w:rPr>
          <w:rFonts w:hint="default" w:ascii="Times New Roman" w:hAnsi="Times New Roman" w:cs="Times New Roman" w:eastAsiaTheme="minorEastAsia"/>
          <w:color w:val="auto"/>
          <w:sz w:val="24"/>
          <w:szCs w:val="24"/>
          <w:highlight w:val="none"/>
        </w:rPr>
        <w:t>；</w:t>
      </w:r>
    </w:p>
    <w:p w14:paraId="66FBBDA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c、转移、撤离或者疏散可能受到危害的人员（主要为我公司职工、周围</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职工等），并进行妥善安置；</w:t>
      </w:r>
    </w:p>
    <w:p w14:paraId="4754216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d、指令应急小组进入应急状态，随时掌握并报告事态进展情况；</w:t>
      </w:r>
    </w:p>
    <w:p w14:paraId="15F4864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e、针对突发事件可能造成的危害，封闭、隔离或者限制使用有关场所，中止可能导致危害扩大的行为和活动；</w:t>
      </w:r>
    </w:p>
    <w:p w14:paraId="7BBD361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f、调集环境应急所需物资和设备，确保应急保障工作。</w:t>
      </w:r>
    </w:p>
    <w:p w14:paraId="7F498C5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(2)预警变更和解除</w:t>
      </w:r>
    </w:p>
    <w:p w14:paraId="3F4D80A1">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在预警有效期内，公司</w:t>
      </w:r>
      <w:r>
        <w:rPr>
          <w:rFonts w:hint="eastAsia" w:ascii="Times New Roman" w:hAnsi="Times New Roman" w:cs="Times New Roman" w:eastAsiaTheme="minorEastAsia"/>
          <w:color w:val="auto"/>
          <w:sz w:val="24"/>
          <w:szCs w:val="24"/>
          <w:highlight w:val="none"/>
          <w:lang w:val="en-US" w:eastAsia="zh-CN"/>
        </w:rPr>
        <w:t>通讯联络组</w:t>
      </w:r>
      <w:r>
        <w:rPr>
          <w:rFonts w:hint="default" w:ascii="Times New Roman" w:hAnsi="Times New Roman" w:cs="Times New Roman" w:eastAsiaTheme="minorEastAsia"/>
          <w:color w:val="auto"/>
          <w:sz w:val="24"/>
          <w:szCs w:val="24"/>
          <w:highlight w:val="none"/>
        </w:rPr>
        <w:t>加强跟踪分析，如有分析结论证明可以提前提升、降低预警级别或解除预警的，立即向</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报告并提出预警变更或解除的建议</w:t>
      </w:r>
      <w:r>
        <w:rPr>
          <w:rFonts w:hint="eastAsia" w:ascii="Times New Roman" w:hAnsi="Times New Roman" w:cs="Times New Roman" w:eastAsiaTheme="minorEastAsia"/>
          <w:color w:val="auto"/>
          <w:sz w:val="24"/>
          <w:szCs w:val="24"/>
          <w:highlight w:val="none"/>
          <w:lang w:val="en-US" w:eastAsia="zh-CN"/>
        </w:rPr>
        <w:t>由指挥组决定变更或解除</w:t>
      </w:r>
      <w:r>
        <w:rPr>
          <w:rFonts w:hint="default" w:ascii="Times New Roman" w:hAnsi="Times New Roman" w:cs="Times New Roman" w:eastAsiaTheme="minorEastAsia"/>
          <w:color w:val="auto"/>
          <w:sz w:val="24"/>
          <w:szCs w:val="24"/>
          <w:highlight w:val="none"/>
        </w:rPr>
        <w:t>。</w:t>
      </w:r>
    </w:p>
    <w:p w14:paraId="322A2DAA">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表3-</w:t>
      </w:r>
      <w:r>
        <w:rPr>
          <w:rFonts w:hint="eastAsia" w:ascii="Times New Roman" w:hAnsi="Times New Roman" w:cs="Times New Roman" w:eastAsiaTheme="minorEastAsia"/>
          <w:b/>
          <w:color w:val="auto"/>
          <w:sz w:val="24"/>
          <w:szCs w:val="24"/>
          <w:highlight w:val="none"/>
          <w:lang w:val="en-US" w:eastAsia="zh-CN"/>
        </w:rPr>
        <w:t>3</w:t>
      </w:r>
      <w:r>
        <w:rPr>
          <w:rFonts w:hint="default" w:ascii="Times New Roman" w:hAnsi="Times New Roman" w:cs="Times New Roman" w:eastAsiaTheme="minorEastAsia"/>
          <w:b/>
          <w:color w:val="auto"/>
          <w:sz w:val="24"/>
          <w:szCs w:val="24"/>
          <w:highlight w:val="none"/>
        </w:rPr>
        <w:t xml:space="preserve"> </w:t>
      </w:r>
      <w:r>
        <w:rPr>
          <w:rFonts w:hint="eastAsia" w:ascii="Times New Roman" w:hAnsi="Times New Roman" w:cs="Times New Roman" w:eastAsiaTheme="minorEastAsia"/>
          <w:b/>
          <w:color w:val="auto"/>
          <w:sz w:val="24"/>
          <w:szCs w:val="24"/>
          <w:highlight w:val="none"/>
          <w:lang w:val="en-US" w:eastAsia="zh-CN"/>
        </w:rPr>
        <w:t>预警解除</w:t>
      </w:r>
      <w:r>
        <w:rPr>
          <w:rFonts w:hint="default" w:ascii="Times New Roman" w:hAnsi="Times New Roman" w:cs="Times New Roman" w:eastAsiaTheme="minorEastAsia"/>
          <w:b/>
          <w:color w:val="auto"/>
          <w:sz w:val="24"/>
          <w:szCs w:val="24"/>
          <w:highlight w:val="none"/>
        </w:rPr>
        <w:t>一览表</w:t>
      </w:r>
    </w:p>
    <w:tbl>
      <w:tblPr>
        <w:tblStyle w:val="34"/>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9"/>
        <w:gridCol w:w="6109"/>
        <w:gridCol w:w="898"/>
        <w:gridCol w:w="1329"/>
      </w:tblGrid>
      <w:tr w14:paraId="7CC97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92" w:type="pct"/>
            <w:vAlign w:val="center"/>
          </w:tcPr>
          <w:p w14:paraId="0D889B33">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预警等级</w:t>
            </w:r>
          </w:p>
        </w:tc>
        <w:tc>
          <w:tcPr>
            <w:tcW w:w="3375" w:type="pct"/>
            <w:vAlign w:val="center"/>
          </w:tcPr>
          <w:p w14:paraId="572055BE">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解除预警条件</w:t>
            </w:r>
          </w:p>
        </w:tc>
        <w:tc>
          <w:tcPr>
            <w:tcW w:w="496" w:type="pct"/>
            <w:vAlign w:val="center"/>
          </w:tcPr>
          <w:p w14:paraId="3731471E">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预警</w:t>
            </w:r>
            <w:r>
              <w:rPr>
                <w:rFonts w:hint="eastAsia" w:ascii="Times New Roman" w:hAnsi="Times New Roman" w:eastAsia="宋体" w:cs="Times New Roman"/>
                <w:b/>
                <w:bCs/>
                <w:kern w:val="0"/>
                <w:sz w:val="21"/>
                <w:szCs w:val="21"/>
                <w:lang w:val="en-US" w:eastAsia="zh-CN"/>
              </w:rPr>
              <w:t>解除</w:t>
            </w:r>
            <w:r>
              <w:rPr>
                <w:rFonts w:hint="default" w:ascii="Times New Roman" w:hAnsi="Times New Roman" w:eastAsia="宋体" w:cs="Times New Roman"/>
                <w:b/>
                <w:bCs/>
                <w:kern w:val="0"/>
                <w:sz w:val="21"/>
                <w:szCs w:val="21"/>
              </w:rPr>
              <w:t>发布人</w:t>
            </w:r>
          </w:p>
        </w:tc>
        <w:tc>
          <w:tcPr>
            <w:tcW w:w="734" w:type="pct"/>
            <w:vAlign w:val="center"/>
          </w:tcPr>
          <w:p w14:paraId="3E30CEB6">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联系方式</w:t>
            </w:r>
          </w:p>
        </w:tc>
      </w:tr>
      <w:tr w14:paraId="351D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92" w:type="pct"/>
            <w:vAlign w:val="center"/>
          </w:tcPr>
          <w:p w14:paraId="05152F1D">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Ⅲ级</w:t>
            </w:r>
          </w:p>
        </w:tc>
        <w:tc>
          <w:tcPr>
            <w:tcW w:w="3375" w:type="pct"/>
            <w:vAlign w:val="center"/>
          </w:tcPr>
          <w:p w14:paraId="1C686835">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火灾已及时扑灭；废气</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废水</w:t>
            </w:r>
            <w:r>
              <w:rPr>
                <w:rFonts w:hint="default" w:ascii="Times New Roman" w:hAnsi="Times New Roman" w:eastAsia="宋体" w:cs="Times New Roman"/>
                <w:sz w:val="21"/>
                <w:szCs w:val="21"/>
              </w:rPr>
              <w:t>未超标排放；未污染厂界外大气、水、土壤、地下水环境；现场无人员伤亡</w:t>
            </w:r>
          </w:p>
        </w:tc>
        <w:tc>
          <w:tcPr>
            <w:tcW w:w="496" w:type="pct"/>
            <w:vAlign w:val="center"/>
          </w:tcPr>
          <w:p w14:paraId="713FD720">
            <w:pPr>
              <w:widowControl/>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邹志文</w:t>
            </w:r>
          </w:p>
        </w:tc>
        <w:tc>
          <w:tcPr>
            <w:tcW w:w="734" w:type="pct"/>
            <w:vAlign w:val="center"/>
          </w:tcPr>
          <w:p w14:paraId="50211D70">
            <w:pPr>
              <w:widowControl/>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13913779608</w:t>
            </w:r>
          </w:p>
        </w:tc>
      </w:tr>
      <w:tr w14:paraId="586F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92" w:type="pct"/>
            <w:vAlign w:val="center"/>
          </w:tcPr>
          <w:p w14:paraId="2FD6FC9D">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Ⅱ级</w:t>
            </w:r>
          </w:p>
        </w:tc>
        <w:tc>
          <w:tcPr>
            <w:tcW w:w="3375" w:type="pct"/>
            <w:vAlign w:val="center"/>
          </w:tcPr>
          <w:p w14:paraId="08767986">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火灾已及时扑灭，废气</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废水</w:t>
            </w:r>
            <w:r>
              <w:rPr>
                <w:rFonts w:hint="default" w:ascii="Times New Roman" w:hAnsi="Times New Roman" w:eastAsia="宋体" w:cs="Times New Roman"/>
                <w:sz w:val="21"/>
                <w:szCs w:val="21"/>
              </w:rPr>
              <w:t>控制在厂界以内，未污染厂界外大气、水、土壤、地下水环境；现场无人员伤亡</w:t>
            </w:r>
          </w:p>
        </w:tc>
        <w:tc>
          <w:tcPr>
            <w:tcW w:w="496" w:type="pct"/>
            <w:vAlign w:val="center"/>
          </w:tcPr>
          <w:p w14:paraId="274DD774">
            <w:pPr>
              <w:widowControl/>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邹志文</w:t>
            </w:r>
          </w:p>
        </w:tc>
        <w:tc>
          <w:tcPr>
            <w:tcW w:w="734" w:type="pct"/>
            <w:vAlign w:val="center"/>
          </w:tcPr>
          <w:p w14:paraId="77B389BD">
            <w:pPr>
              <w:widowControl/>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13913779608</w:t>
            </w:r>
          </w:p>
        </w:tc>
      </w:tr>
      <w:tr w14:paraId="123B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92" w:type="pct"/>
            <w:vAlign w:val="center"/>
          </w:tcPr>
          <w:p w14:paraId="18F65642">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Ⅰ级</w:t>
            </w:r>
          </w:p>
        </w:tc>
        <w:tc>
          <w:tcPr>
            <w:tcW w:w="3375" w:type="pct"/>
            <w:vAlign w:val="center"/>
          </w:tcPr>
          <w:p w14:paraId="5784AA9D">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若废气</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废水</w:t>
            </w:r>
            <w:r>
              <w:rPr>
                <w:rFonts w:hint="default" w:ascii="Times New Roman" w:hAnsi="Times New Roman" w:eastAsia="宋体" w:cs="Times New Roman"/>
                <w:kern w:val="0"/>
                <w:sz w:val="21"/>
                <w:szCs w:val="21"/>
              </w:rPr>
              <w:t>已扩散至厂界外，企业应及时进行对现场进行处理，确保不会再造成二次污染，并书面材料上交至南通市海安生态环境局及相关环保部门，取得同意方可解除预警恢复生产</w:t>
            </w:r>
          </w:p>
        </w:tc>
        <w:tc>
          <w:tcPr>
            <w:tcW w:w="496" w:type="pct"/>
            <w:vAlign w:val="center"/>
          </w:tcPr>
          <w:p w14:paraId="6B49D6D4">
            <w:pPr>
              <w:widowControl/>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邹志文</w:t>
            </w:r>
          </w:p>
        </w:tc>
        <w:tc>
          <w:tcPr>
            <w:tcW w:w="734" w:type="pct"/>
            <w:vAlign w:val="center"/>
          </w:tcPr>
          <w:p w14:paraId="225ACD29">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rPr>
              <w:t>13913779608</w:t>
            </w:r>
          </w:p>
        </w:tc>
      </w:tr>
    </w:tbl>
    <w:p w14:paraId="3CDCC30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(3)预警通讯联络方式</w:t>
      </w:r>
    </w:p>
    <w:p w14:paraId="6A946F43">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本公司突发环境事件发生后，</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采用电话、手机等手段通知被报告人及相关部门、单位，</w:t>
      </w:r>
      <w:r>
        <w:rPr>
          <w:rFonts w:hint="default" w:ascii="Times New Roman" w:hAnsi="Times New Roman" w:eastAsia="宋体" w:cs="Times New Roman"/>
          <w:color w:val="auto"/>
          <w:kern w:val="0"/>
          <w:sz w:val="24"/>
          <w:szCs w:val="24"/>
          <w:highlight w:val="none"/>
          <w:lang w:val="en-US" w:eastAsia="zh-CN"/>
        </w:rPr>
        <w:t>外部应急救援力量及信息通报单位联系电话见</w:t>
      </w:r>
      <w:r>
        <w:rPr>
          <w:rFonts w:hint="eastAsia" w:ascii="Times New Roman" w:hAnsi="Times New Roman" w:eastAsia="宋体" w:cs="Times New Roman"/>
          <w:color w:val="auto"/>
          <w:kern w:val="0"/>
          <w:sz w:val="24"/>
          <w:szCs w:val="24"/>
          <w:highlight w:val="none"/>
          <w:lang w:val="en-US" w:eastAsia="zh-CN"/>
        </w:rPr>
        <w:t>附件</w:t>
      </w:r>
      <w:r>
        <w:rPr>
          <w:rFonts w:hint="default" w:ascii="Times New Roman" w:hAnsi="Times New Roman" w:eastAsia="宋体" w:cs="Times New Roman"/>
          <w:color w:val="auto"/>
          <w:kern w:val="0"/>
          <w:sz w:val="24"/>
          <w:szCs w:val="24"/>
          <w:highlight w:val="none"/>
          <w:lang w:val="en-US" w:eastAsia="zh-CN"/>
        </w:rPr>
        <w:t>。</w:t>
      </w:r>
    </w:p>
    <w:p w14:paraId="536D956E">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43" w:name="_Toc13847"/>
      <w:bookmarkStart w:id="244" w:name="_Toc13020"/>
      <w:bookmarkStart w:id="245" w:name="_Toc15147"/>
      <w:bookmarkStart w:id="246" w:name="_Toc16838"/>
      <w:bookmarkStart w:id="247" w:name="_Toc534201456"/>
      <w:bookmarkStart w:id="248" w:name="_Toc535504510"/>
      <w:bookmarkStart w:id="249" w:name="_Toc27153"/>
      <w:bookmarkStart w:id="250" w:name="_Toc533407772"/>
      <w:r>
        <w:rPr>
          <w:rFonts w:hint="default" w:ascii="Times New Roman" w:hAnsi="Times New Roman" w:cs="Times New Roman" w:eastAsiaTheme="minorEastAsia"/>
          <w:color w:val="auto"/>
          <w:sz w:val="24"/>
          <w:szCs w:val="24"/>
          <w:highlight w:val="none"/>
        </w:rPr>
        <w:t>3.2.3 预警措施</w:t>
      </w:r>
      <w:bookmarkEnd w:id="243"/>
      <w:bookmarkEnd w:id="244"/>
      <w:bookmarkEnd w:id="245"/>
      <w:bookmarkEnd w:id="246"/>
      <w:bookmarkEnd w:id="247"/>
      <w:bookmarkEnd w:id="248"/>
    </w:p>
    <w:p w14:paraId="12AD3000">
      <w:pPr>
        <w:pageBreakBefore w:val="0"/>
        <w:kinsoku/>
        <w:overflowPunct/>
        <w:bidi w:val="0"/>
        <w:spacing w:line="500" w:lineRule="exact"/>
        <w:ind w:firstLine="561"/>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在确认进入预警状态之后，根据预警相应级别</w:t>
      </w:r>
      <w:r>
        <w:rPr>
          <w:rFonts w:hint="eastAsia" w:ascii="Times New Roman" w:hAnsi="Times New Roman" w:cs="Times New Roman" w:eastAsiaTheme="minorEastAsia"/>
          <w:color w:val="auto"/>
          <w:sz w:val="24"/>
          <w:szCs w:val="24"/>
          <w:highlight w:val="none"/>
          <w:lang w:eastAsia="zh-CN"/>
        </w:rPr>
        <w:t>应急小组</w:t>
      </w:r>
      <w:r>
        <w:rPr>
          <w:rFonts w:hint="eastAsia" w:ascii="Times New Roman" w:hAnsi="Times New Roman" w:cs="Times New Roman" w:eastAsiaTheme="minorEastAsia"/>
          <w:color w:val="auto"/>
          <w:sz w:val="24"/>
          <w:szCs w:val="24"/>
          <w:highlight w:val="none"/>
        </w:rPr>
        <w:t>按照相关程序可采取以下措施：</w:t>
      </w:r>
    </w:p>
    <w:p w14:paraId="09471472">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（1）Ⅰ级预警措施</w:t>
      </w:r>
    </w:p>
    <w:p w14:paraId="648975F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发布Ⅰ级预警后，在采取Ⅱ、Ⅲ级预警响应措施的基础上，还应当针对即将发生的突发事件的特点和可能造成的危害，采取下列一项或多项措施：</w:t>
      </w:r>
    </w:p>
    <w:p w14:paraId="053F353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①</w:t>
      </w:r>
      <w:r>
        <w:rPr>
          <w:rFonts w:hint="default" w:ascii="Times New Roman" w:hAnsi="Times New Roman" w:cs="Times New Roman" w:eastAsiaTheme="minorEastAsia"/>
          <w:color w:val="auto"/>
          <w:sz w:val="24"/>
          <w:szCs w:val="24"/>
          <w:highlight w:val="none"/>
        </w:rPr>
        <w:t>准备转移、撤离或者疏散可能受到危害影响的人员，并妥善设置安置点。</w:t>
      </w:r>
    </w:p>
    <w:p w14:paraId="469ECDA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②</w:t>
      </w:r>
      <w:r>
        <w:rPr>
          <w:rFonts w:hint="default" w:ascii="Times New Roman" w:hAnsi="Times New Roman" w:cs="Times New Roman" w:eastAsiaTheme="minorEastAsia"/>
          <w:color w:val="auto"/>
          <w:sz w:val="24"/>
          <w:szCs w:val="24"/>
          <w:highlight w:val="none"/>
        </w:rPr>
        <w:t>指令各应急救援队伍进入应急状态，并动员后备人员做好参加应急救援和处置工作的准备；</w:t>
      </w:r>
      <w:r>
        <w:rPr>
          <w:rFonts w:hint="eastAsia" w:ascii="Times New Roman" w:hAnsi="Times New Roman" w:cs="Times New Roman" w:eastAsiaTheme="minorEastAsia"/>
          <w:color w:val="auto"/>
          <w:sz w:val="24"/>
          <w:szCs w:val="24"/>
          <w:highlight w:val="none"/>
          <w:lang w:val="en-US" w:eastAsia="zh-CN"/>
        </w:rPr>
        <w:t>应急监测</w:t>
      </w:r>
      <w:r>
        <w:rPr>
          <w:rFonts w:hint="default" w:ascii="Times New Roman" w:hAnsi="Times New Roman" w:cs="Times New Roman" w:eastAsiaTheme="minorEastAsia"/>
          <w:color w:val="auto"/>
          <w:sz w:val="24"/>
          <w:szCs w:val="24"/>
          <w:highlight w:val="none"/>
        </w:rPr>
        <w:t>组立即开展</w:t>
      </w:r>
      <w:r>
        <w:rPr>
          <w:rFonts w:hint="eastAsia" w:ascii="Times New Roman" w:hAnsi="Times New Roman" w:cs="Times New Roman" w:eastAsiaTheme="minorEastAsia"/>
          <w:color w:val="auto"/>
          <w:sz w:val="24"/>
          <w:szCs w:val="24"/>
          <w:highlight w:val="none"/>
          <w:lang w:val="en-US" w:eastAsia="zh-CN"/>
        </w:rPr>
        <w:t>现场调查取证</w:t>
      </w:r>
      <w:r>
        <w:rPr>
          <w:rFonts w:hint="default" w:ascii="Times New Roman" w:hAnsi="Times New Roman" w:cs="Times New Roman" w:eastAsiaTheme="minorEastAsia"/>
          <w:color w:val="auto"/>
          <w:sz w:val="24"/>
          <w:szCs w:val="24"/>
          <w:highlight w:val="none"/>
        </w:rPr>
        <w:t>，随时掌握并报告事态进展。</w:t>
      </w:r>
    </w:p>
    <w:p w14:paraId="624705C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③</w:t>
      </w:r>
      <w:r>
        <w:rPr>
          <w:rFonts w:hint="default" w:ascii="Times New Roman" w:hAnsi="Times New Roman" w:cs="Times New Roman" w:eastAsiaTheme="minorEastAsia"/>
          <w:color w:val="auto"/>
          <w:sz w:val="24"/>
          <w:szCs w:val="24"/>
          <w:highlight w:val="none"/>
        </w:rPr>
        <w:t>针对突发环境事件可能造成的危害，封闭、隔离或者限制使用有关场所，中止可能导致危害扩大的行为和活动（停机、停产等）。</w:t>
      </w:r>
    </w:p>
    <w:p w14:paraId="75A93EF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④</w:t>
      </w:r>
      <w:r>
        <w:rPr>
          <w:rFonts w:hint="default" w:ascii="Times New Roman" w:hAnsi="Times New Roman" w:cs="Times New Roman" w:eastAsiaTheme="minorEastAsia"/>
          <w:color w:val="auto"/>
          <w:sz w:val="24"/>
          <w:szCs w:val="24"/>
          <w:highlight w:val="none"/>
        </w:rPr>
        <w:t>调集应急处置所需物资和设备，做好其他应急保障工作。</w:t>
      </w:r>
    </w:p>
    <w:p w14:paraId="7D8E3AF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⑤</w:t>
      </w:r>
      <w:r>
        <w:rPr>
          <w:rFonts w:hint="default" w:ascii="Times New Roman" w:hAnsi="Times New Roman" w:cs="Times New Roman" w:eastAsiaTheme="minorEastAsia"/>
          <w:color w:val="auto"/>
          <w:sz w:val="24"/>
          <w:szCs w:val="24"/>
          <w:highlight w:val="none"/>
        </w:rPr>
        <w:t>各相关成员24小时保持通讯畅通。</w:t>
      </w:r>
    </w:p>
    <w:p w14:paraId="1978125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⑥</w:t>
      </w:r>
      <w:r>
        <w:rPr>
          <w:rFonts w:hint="default" w:ascii="Times New Roman" w:hAnsi="Times New Roman" w:cs="Times New Roman" w:eastAsiaTheme="minorEastAsia"/>
          <w:color w:val="auto"/>
          <w:sz w:val="24"/>
          <w:szCs w:val="24"/>
          <w:highlight w:val="none"/>
        </w:rPr>
        <w:t>保持与海安市环保部门的应急联系，以便及时按照有关规定向社会发布避免、减轻突发环境事件危害的信息。</w:t>
      </w:r>
    </w:p>
    <w:p w14:paraId="6C49C826">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2</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Ⅱ、Ⅲ级预警措施</w:t>
      </w:r>
    </w:p>
    <w:p w14:paraId="4C63E4B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发布Ⅱ、Ⅲ级预警后，根据事件具体情况和可能造成的影响及后果，公司各部门应采取以下措施：</w:t>
      </w:r>
    </w:p>
    <w:p w14:paraId="0882623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①</w:t>
      </w:r>
      <w:r>
        <w:rPr>
          <w:rFonts w:hint="default" w:ascii="Times New Roman" w:hAnsi="Times New Roman" w:cs="Times New Roman" w:eastAsiaTheme="minorEastAsia"/>
          <w:color w:val="auto"/>
          <w:sz w:val="24"/>
          <w:szCs w:val="24"/>
          <w:highlight w:val="none"/>
        </w:rPr>
        <w:t>安排专人实行24小时值班，值班电话或手机24小时开通。</w:t>
      </w:r>
    </w:p>
    <w:p w14:paraId="5A7F130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②</w:t>
      </w:r>
      <w:r>
        <w:rPr>
          <w:rFonts w:hint="default" w:ascii="Times New Roman" w:hAnsi="Times New Roman" w:cs="Times New Roman" w:eastAsiaTheme="minorEastAsia"/>
          <w:color w:val="auto"/>
          <w:sz w:val="24"/>
          <w:szCs w:val="24"/>
          <w:highlight w:val="none"/>
        </w:rPr>
        <w:t>公司应急救援队做好应急准备。</w:t>
      </w:r>
    </w:p>
    <w:p w14:paraId="5E7185E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③</w:t>
      </w:r>
      <w:r>
        <w:rPr>
          <w:rFonts w:hint="default" w:ascii="Times New Roman" w:hAnsi="Times New Roman" w:cs="Times New Roman" w:eastAsiaTheme="minorEastAsia"/>
          <w:color w:val="auto"/>
          <w:sz w:val="24"/>
          <w:szCs w:val="24"/>
          <w:highlight w:val="none"/>
        </w:rPr>
        <w:t>各类应急救援物资储备到位。</w:t>
      </w:r>
    </w:p>
    <w:p w14:paraId="50FFB49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④</w:t>
      </w:r>
      <w:r>
        <w:rPr>
          <w:rFonts w:hint="default" w:ascii="Times New Roman" w:hAnsi="Times New Roman" w:cs="Times New Roman" w:eastAsiaTheme="minorEastAsia"/>
          <w:color w:val="auto"/>
          <w:sz w:val="24"/>
          <w:szCs w:val="24"/>
          <w:highlight w:val="none"/>
        </w:rPr>
        <w:t>应急事故池保持事故应急状态。</w:t>
      </w:r>
    </w:p>
    <w:p w14:paraId="31B64CD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⑤</w:t>
      </w:r>
      <w:r>
        <w:rPr>
          <w:rFonts w:hint="default" w:ascii="Times New Roman" w:hAnsi="Times New Roman" w:cs="Times New Roman" w:eastAsiaTheme="minorEastAsia"/>
          <w:color w:val="auto"/>
          <w:sz w:val="24"/>
          <w:szCs w:val="24"/>
          <w:highlight w:val="none"/>
        </w:rPr>
        <w:t>各种通讯工具完好，随时保证投入使用。并组织专门力量加强对重点部位的巡查、巡护。</w:t>
      </w:r>
    </w:p>
    <w:p w14:paraId="59E0C1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⑥</w:t>
      </w:r>
      <w:r>
        <w:rPr>
          <w:rFonts w:hint="default" w:ascii="Times New Roman" w:hAnsi="Times New Roman" w:cs="Times New Roman" w:eastAsiaTheme="minorEastAsia"/>
          <w:color w:val="auto"/>
          <w:sz w:val="24"/>
          <w:szCs w:val="24"/>
          <w:highlight w:val="none"/>
        </w:rPr>
        <w:t>开展专项治理，对影响安全的重大隐患实施公司挂牌督办。</w:t>
      </w:r>
    </w:p>
    <w:p w14:paraId="6C32A5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⑦</w:t>
      </w:r>
      <w:r>
        <w:rPr>
          <w:rFonts w:hint="default" w:ascii="Times New Roman" w:hAnsi="Times New Roman" w:cs="Times New Roman" w:eastAsiaTheme="minorEastAsia"/>
          <w:color w:val="auto"/>
          <w:sz w:val="24"/>
          <w:szCs w:val="24"/>
          <w:highlight w:val="none"/>
        </w:rPr>
        <w:t>及时收集、报告有关信息，加强对突发环境事件监测、预报工作。</w:t>
      </w:r>
      <w:bookmarkEnd w:id="249"/>
      <w:bookmarkEnd w:id="250"/>
    </w:p>
    <w:p w14:paraId="74BBE28C">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51" w:name="_Toc32383"/>
      <w:bookmarkStart w:id="252" w:name="_Toc12081"/>
      <w:bookmarkStart w:id="253" w:name="_Toc3554"/>
      <w:bookmarkStart w:id="254" w:name="_Toc47365235"/>
      <w:bookmarkStart w:id="255" w:name="_Toc28529"/>
      <w:bookmarkStart w:id="256" w:name="_Toc21853_WPSOffice_Level3"/>
      <w:bookmarkStart w:id="257" w:name="_Toc25055"/>
      <w:bookmarkStart w:id="258" w:name="_Toc366333288"/>
      <w:bookmarkStart w:id="259" w:name="_Toc14579"/>
      <w:r>
        <w:rPr>
          <w:rFonts w:hint="default" w:ascii="Times New Roman" w:hAnsi="Times New Roman" w:cs="Times New Roman" w:eastAsiaTheme="minorEastAsia"/>
          <w:color w:val="auto"/>
          <w:sz w:val="24"/>
          <w:szCs w:val="24"/>
          <w:highlight w:val="none"/>
        </w:rPr>
        <w:t>3.2.3 极端天气预警响应措施</w:t>
      </w:r>
      <w:bookmarkEnd w:id="251"/>
      <w:bookmarkEnd w:id="252"/>
    </w:p>
    <w:p w14:paraId="629EAA75">
      <w:pPr>
        <w:adjustRightInd w:val="0"/>
        <w:snapToGrid w:val="0"/>
        <w:spacing w:line="500" w:lineRule="exact"/>
        <w:ind w:firstLine="480" w:firstLineChars="200"/>
        <w:rPr>
          <w:rFonts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重污染预警期间（如雾霾天气），政府管理部门发布黄色预警，执行</w:t>
      </w:r>
      <w:r>
        <w:rPr>
          <w:rFonts w:ascii="Times New Roman" w:hAnsi="Times New Roman" w:cs="Times New Roman" w:eastAsiaTheme="minorEastAsia"/>
          <w:color w:val="auto"/>
          <w:sz w:val="24"/>
          <w:szCs w:val="24"/>
          <w:highlight w:val="none"/>
        </w:rPr>
        <w:t>Ⅲ</w:t>
      </w:r>
      <w:r>
        <w:rPr>
          <w:rFonts w:hint="default" w:ascii="Times New Roman" w:hAnsi="Times New Roman" w:cs="Times New Roman" w:eastAsiaTheme="minorEastAsia"/>
          <w:color w:val="auto"/>
          <w:sz w:val="24"/>
          <w:szCs w:val="24"/>
          <w:highlight w:val="none"/>
        </w:rPr>
        <w:t>级应急响应措施；政府管理部门发布橙色预警，执行</w:t>
      </w:r>
      <w:r>
        <w:rPr>
          <w:rFonts w:ascii="Times New Roman" w:hAnsi="Times New Roman" w:cs="Times New Roman" w:eastAsiaTheme="minorEastAsia"/>
          <w:color w:val="auto"/>
          <w:sz w:val="24"/>
          <w:szCs w:val="24"/>
          <w:highlight w:val="none"/>
        </w:rPr>
        <w:t>Ⅱ</w:t>
      </w:r>
      <w:r>
        <w:rPr>
          <w:rFonts w:hint="default" w:ascii="Times New Roman" w:hAnsi="Times New Roman" w:cs="Times New Roman" w:eastAsiaTheme="minorEastAsia"/>
          <w:color w:val="auto"/>
          <w:sz w:val="24"/>
          <w:szCs w:val="24"/>
          <w:highlight w:val="none"/>
        </w:rPr>
        <w:t>级应急响应措施；政府管理部门发布红色预警，执行</w:t>
      </w:r>
      <w:r>
        <w:rPr>
          <w:rFonts w:ascii="Times New Roman" w:hAnsi="Times New Roman" w:cs="Times New Roman" w:eastAsiaTheme="minorEastAsia"/>
          <w:color w:val="auto"/>
          <w:sz w:val="24"/>
          <w:szCs w:val="24"/>
          <w:highlight w:val="none"/>
        </w:rPr>
        <w:t>Ⅰ</w:t>
      </w:r>
      <w:r>
        <w:rPr>
          <w:rFonts w:hint="default" w:ascii="Times New Roman" w:hAnsi="Times New Roman" w:cs="Times New Roman" w:eastAsiaTheme="minorEastAsia"/>
          <w:color w:val="auto"/>
          <w:sz w:val="24"/>
          <w:szCs w:val="24"/>
          <w:highlight w:val="none"/>
        </w:rPr>
        <w:t>级应急响应措施。</w:t>
      </w:r>
    </w:p>
    <w:p w14:paraId="1F37AB35">
      <w:pPr>
        <w:adjustRightInd w:val="0"/>
        <w:snapToGrid w:val="0"/>
        <w:spacing w:line="500" w:lineRule="exact"/>
        <w:ind w:firstLine="480" w:firstLineChars="200"/>
        <w:jc w:val="left"/>
        <w:rPr>
          <w:rFonts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ascii="Times New Roman" w:hAnsi="Times New Roman" w:cs="Times New Roman" w:eastAsiaTheme="minorEastAsia"/>
          <w:color w:val="auto"/>
          <w:sz w:val="24"/>
          <w:szCs w:val="24"/>
          <w:highlight w:val="none"/>
        </w:rPr>
        <w:t>1</w:t>
      </w:r>
      <w:r>
        <w:rPr>
          <w:rFonts w:hint="default" w:ascii="Times New Roman" w:hAnsi="Times New Roman" w:cs="Times New Roman" w:eastAsiaTheme="minorEastAsia"/>
          <w:color w:val="auto"/>
          <w:sz w:val="24"/>
          <w:szCs w:val="24"/>
          <w:highlight w:val="none"/>
        </w:rPr>
        <w:t>）企业</w:t>
      </w:r>
      <w:r>
        <w:rPr>
          <w:rFonts w:ascii="Times New Roman" w:hAnsi="Times New Roman" w:cs="Times New Roman" w:eastAsiaTheme="minorEastAsia"/>
          <w:color w:val="auto"/>
          <w:sz w:val="24"/>
          <w:szCs w:val="24"/>
          <w:highlight w:val="none"/>
        </w:rPr>
        <w:t>Ⅲ</w:t>
      </w:r>
      <w:r>
        <w:rPr>
          <w:rFonts w:hint="default" w:ascii="Times New Roman" w:hAnsi="Times New Roman" w:cs="Times New Roman" w:eastAsiaTheme="minorEastAsia"/>
          <w:color w:val="auto"/>
          <w:sz w:val="24"/>
          <w:szCs w:val="24"/>
          <w:highlight w:val="none"/>
        </w:rPr>
        <w:t>级预警措施</w:t>
      </w:r>
    </w:p>
    <w:p w14:paraId="1E068C32">
      <w:pPr>
        <w:adjustRightInd w:val="0"/>
        <w:snapToGrid w:val="0"/>
        <w:spacing w:line="500" w:lineRule="exact"/>
        <w:ind w:firstLine="480" w:firstLineChars="200"/>
        <w:rPr>
          <w:rFonts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南通市海安生态环境局发布黄色预警期间，企业减排</w:t>
      </w:r>
      <w:r>
        <w:rPr>
          <w:rFonts w:ascii="Times New Roman" w:hAnsi="Times New Roman" w:cs="Times New Roman" w:eastAsiaTheme="minorEastAsia"/>
          <w:color w:val="auto"/>
          <w:sz w:val="24"/>
          <w:szCs w:val="24"/>
          <w:highlight w:val="none"/>
        </w:rPr>
        <w:t>30%</w:t>
      </w:r>
      <w:r>
        <w:rPr>
          <w:rFonts w:hint="default" w:ascii="Times New Roman" w:hAnsi="Times New Roman" w:cs="Times New Roman" w:eastAsiaTheme="minorEastAsia"/>
          <w:color w:val="auto"/>
          <w:sz w:val="24"/>
          <w:szCs w:val="24"/>
          <w:highlight w:val="none"/>
        </w:rPr>
        <w:t>，响应措施由应急总指挥（</w:t>
      </w:r>
      <w:r>
        <w:rPr>
          <w:rFonts w:hint="eastAsia" w:ascii="Times New Roman" w:hAnsi="Times New Roman" w:eastAsia="宋体" w:cs="Times New Roman"/>
          <w:sz w:val="21"/>
          <w:szCs w:val="21"/>
          <w:lang w:val="en-US" w:eastAsia="zh-CN"/>
        </w:rPr>
        <w:t>邹志文</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13913779608</w:t>
      </w:r>
      <w:r>
        <w:rPr>
          <w:rFonts w:hint="default" w:ascii="Times New Roman" w:hAnsi="Times New Roman" w:cs="Times New Roman" w:eastAsiaTheme="minorEastAsia"/>
          <w:color w:val="auto"/>
          <w:sz w:val="24"/>
          <w:szCs w:val="24"/>
          <w:highlight w:val="none"/>
        </w:rPr>
        <w:t>）发布。</w:t>
      </w:r>
    </w:p>
    <w:p w14:paraId="49DF2AED">
      <w:pPr>
        <w:adjustRightInd w:val="0"/>
        <w:snapToGrid w:val="0"/>
        <w:spacing w:line="500" w:lineRule="exact"/>
        <w:ind w:firstLine="480" w:firstLineChars="200"/>
        <w:jc w:val="left"/>
        <w:rPr>
          <w:rFonts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ascii="Times New Roman" w:hAnsi="Times New Roman" w:cs="Times New Roman" w:eastAsiaTheme="minorEastAsia"/>
          <w:color w:val="auto"/>
          <w:sz w:val="24"/>
          <w:szCs w:val="24"/>
          <w:highlight w:val="none"/>
        </w:rPr>
        <w:t>2</w:t>
      </w:r>
      <w:r>
        <w:rPr>
          <w:rFonts w:hint="default" w:ascii="Times New Roman" w:hAnsi="Times New Roman" w:cs="Times New Roman" w:eastAsiaTheme="minorEastAsia"/>
          <w:color w:val="auto"/>
          <w:sz w:val="24"/>
          <w:szCs w:val="24"/>
          <w:highlight w:val="none"/>
        </w:rPr>
        <w:t>）企业</w:t>
      </w:r>
      <w:r>
        <w:rPr>
          <w:rFonts w:ascii="Times New Roman" w:hAnsi="Times New Roman" w:cs="Times New Roman" w:eastAsiaTheme="minorEastAsia"/>
          <w:color w:val="auto"/>
          <w:sz w:val="24"/>
          <w:szCs w:val="24"/>
          <w:highlight w:val="none"/>
        </w:rPr>
        <w:t>Ⅱ</w:t>
      </w:r>
      <w:r>
        <w:rPr>
          <w:rFonts w:hint="default" w:ascii="Times New Roman" w:hAnsi="Times New Roman" w:cs="Times New Roman" w:eastAsiaTheme="minorEastAsia"/>
          <w:color w:val="auto"/>
          <w:sz w:val="24"/>
          <w:szCs w:val="24"/>
          <w:highlight w:val="none"/>
        </w:rPr>
        <w:t>级预警措施</w:t>
      </w:r>
    </w:p>
    <w:p w14:paraId="2AED0189">
      <w:pPr>
        <w:adjustRightInd w:val="0"/>
        <w:snapToGrid w:val="0"/>
        <w:spacing w:line="500" w:lineRule="exact"/>
        <w:ind w:firstLine="480" w:firstLineChars="200"/>
        <w:rPr>
          <w:rFonts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南通市海安生态环境局发布橙色预警期间，企业减排</w:t>
      </w:r>
      <w:r>
        <w:rPr>
          <w:rFonts w:ascii="Times New Roman" w:hAnsi="Times New Roman" w:cs="Times New Roman" w:eastAsiaTheme="minorEastAsia"/>
          <w:color w:val="auto"/>
          <w:sz w:val="24"/>
          <w:szCs w:val="24"/>
          <w:highlight w:val="none"/>
        </w:rPr>
        <w:t>50%</w:t>
      </w:r>
      <w:r>
        <w:rPr>
          <w:rFonts w:hint="default" w:ascii="Times New Roman" w:hAnsi="Times New Roman" w:cs="Times New Roman" w:eastAsiaTheme="minorEastAsia"/>
          <w:color w:val="auto"/>
          <w:sz w:val="24"/>
          <w:szCs w:val="24"/>
          <w:highlight w:val="none"/>
        </w:rPr>
        <w:t>，响应措施由应急总指挥（</w:t>
      </w:r>
      <w:r>
        <w:rPr>
          <w:rFonts w:hint="eastAsia" w:ascii="Times New Roman" w:hAnsi="Times New Roman" w:eastAsia="宋体" w:cs="Times New Roman"/>
          <w:sz w:val="21"/>
          <w:szCs w:val="21"/>
          <w:lang w:val="en-US" w:eastAsia="zh-CN"/>
        </w:rPr>
        <w:t>邹志文</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13913779608</w:t>
      </w:r>
      <w:r>
        <w:rPr>
          <w:rFonts w:hint="default" w:ascii="Times New Roman" w:hAnsi="Times New Roman" w:cs="Times New Roman" w:eastAsiaTheme="minorEastAsia"/>
          <w:color w:val="auto"/>
          <w:sz w:val="24"/>
          <w:szCs w:val="24"/>
          <w:highlight w:val="none"/>
        </w:rPr>
        <w:t>）发布。</w:t>
      </w:r>
    </w:p>
    <w:p w14:paraId="4D647E6B">
      <w:pPr>
        <w:adjustRightInd w:val="0"/>
        <w:snapToGrid w:val="0"/>
        <w:spacing w:line="500" w:lineRule="exact"/>
        <w:ind w:firstLine="480" w:firstLineChars="200"/>
        <w:jc w:val="left"/>
        <w:rPr>
          <w:rFonts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ascii="Times New Roman" w:hAnsi="Times New Roman" w:cs="Times New Roman" w:eastAsiaTheme="minorEastAsia"/>
          <w:color w:val="auto"/>
          <w:sz w:val="24"/>
          <w:szCs w:val="24"/>
          <w:highlight w:val="none"/>
        </w:rPr>
        <w:t>3</w:t>
      </w:r>
      <w:r>
        <w:rPr>
          <w:rFonts w:hint="default" w:ascii="Times New Roman" w:hAnsi="Times New Roman" w:cs="Times New Roman" w:eastAsiaTheme="minorEastAsia"/>
          <w:color w:val="auto"/>
          <w:sz w:val="24"/>
          <w:szCs w:val="24"/>
          <w:highlight w:val="none"/>
        </w:rPr>
        <w:t>）企业</w:t>
      </w:r>
      <w:r>
        <w:rPr>
          <w:rFonts w:ascii="Times New Roman" w:hAnsi="Times New Roman" w:cs="Times New Roman" w:eastAsiaTheme="minorEastAsia"/>
          <w:color w:val="auto"/>
          <w:sz w:val="24"/>
          <w:szCs w:val="24"/>
          <w:highlight w:val="none"/>
        </w:rPr>
        <w:t>Ⅰ</w:t>
      </w:r>
      <w:r>
        <w:rPr>
          <w:rFonts w:hint="default" w:ascii="Times New Roman" w:hAnsi="Times New Roman" w:cs="Times New Roman" w:eastAsiaTheme="minorEastAsia"/>
          <w:color w:val="auto"/>
          <w:sz w:val="24"/>
          <w:szCs w:val="24"/>
          <w:highlight w:val="none"/>
        </w:rPr>
        <w:t>级预警措施</w:t>
      </w:r>
    </w:p>
    <w:p w14:paraId="3E6E9AF1">
      <w:pPr>
        <w:spacing w:line="500" w:lineRule="exact"/>
        <w:ind w:firstLine="480" w:firstLineChars="200"/>
        <w:outlineLvl w:val="1"/>
        <w:rPr>
          <w:rFonts w:hint="default" w:ascii="Times New Roman" w:hAnsi="Times New Roman" w:cs="Times New Roman" w:eastAsiaTheme="minorEastAsia"/>
          <w:color w:val="auto"/>
          <w:sz w:val="24"/>
          <w:szCs w:val="24"/>
          <w:highlight w:val="none"/>
        </w:rPr>
      </w:pPr>
      <w:bookmarkStart w:id="260" w:name="_Toc12169"/>
      <w:bookmarkStart w:id="261" w:name="_Toc22530"/>
      <w:r>
        <w:rPr>
          <w:rFonts w:hint="default" w:ascii="Times New Roman" w:hAnsi="Times New Roman" w:cs="Times New Roman" w:eastAsiaTheme="minorEastAsia"/>
          <w:color w:val="auto"/>
          <w:sz w:val="24"/>
          <w:szCs w:val="24"/>
          <w:highlight w:val="none"/>
        </w:rPr>
        <w:t>南通市海安生态环境局发布红色预警期间，企业减排</w:t>
      </w:r>
      <w:r>
        <w:rPr>
          <w:rFonts w:ascii="Times New Roman" w:hAnsi="Times New Roman" w:cs="Times New Roman" w:eastAsiaTheme="minorEastAsia"/>
          <w:color w:val="auto"/>
          <w:sz w:val="24"/>
          <w:szCs w:val="24"/>
          <w:highlight w:val="none"/>
        </w:rPr>
        <w:t>70%</w:t>
      </w:r>
      <w:r>
        <w:rPr>
          <w:rFonts w:hint="default" w:ascii="Times New Roman" w:hAnsi="Times New Roman" w:cs="Times New Roman" w:eastAsiaTheme="minorEastAsia"/>
          <w:color w:val="auto"/>
          <w:sz w:val="24"/>
          <w:szCs w:val="24"/>
          <w:highlight w:val="none"/>
        </w:rPr>
        <w:t>，响应措施由应急总指挥（</w:t>
      </w:r>
      <w:r>
        <w:rPr>
          <w:rFonts w:hint="eastAsia" w:ascii="Times New Roman" w:hAnsi="Times New Roman" w:eastAsia="宋体" w:cs="Times New Roman"/>
          <w:sz w:val="21"/>
          <w:szCs w:val="21"/>
          <w:lang w:val="en-US" w:eastAsia="zh-CN"/>
        </w:rPr>
        <w:t>邹志文</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13913779608</w:t>
      </w:r>
      <w:r>
        <w:rPr>
          <w:rFonts w:hint="default" w:ascii="Times New Roman" w:hAnsi="Times New Roman" w:cs="Times New Roman" w:eastAsiaTheme="minorEastAsia"/>
          <w:color w:val="auto"/>
          <w:sz w:val="24"/>
          <w:szCs w:val="24"/>
          <w:highlight w:val="none"/>
        </w:rPr>
        <w:t>）发布。</w:t>
      </w:r>
      <w:bookmarkEnd w:id="260"/>
      <w:bookmarkEnd w:id="261"/>
    </w:p>
    <w:p w14:paraId="4F02C803">
      <w:pPr>
        <w:spacing w:line="360" w:lineRule="auto"/>
        <w:outlineLvl w:val="1"/>
        <w:rPr>
          <w:rFonts w:hint="default" w:ascii="Times New Roman" w:hAnsi="Times New Roman" w:eastAsia="宋体" w:cs="Times New Roman"/>
          <w:b/>
          <w:color w:val="auto"/>
          <w:sz w:val="24"/>
          <w:szCs w:val="24"/>
          <w:highlight w:val="none"/>
        </w:rPr>
      </w:pPr>
      <w:bookmarkStart w:id="262" w:name="_Toc24488"/>
      <w:bookmarkStart w:id="263" w:name="_Toc8340"/>
      <w:r>
        <w:rPr>
          <w:rFonts w:hint="default" w:ascii="Times New Roman" w:hAnsi="Times New Roman" w:eastAsia="宋体" w:cs="Times New Roman"/>
          <w:b/>
          <w:color w:val="auto"/>
          <w:sz w:val="24"/>
          <w:szCs w:val="24"/>
          <w:highlight w:val="none"/>
        </w:rPr>
        <w:t>3.</w:t>
      </w:r>
      <w:r>
        <w:rPr>
          <w:rFonts w:hint="default" w:ascii="Times New Roman" w:hAnsi="Times New Roman" w:eastAsia="宋体"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rPr>
        <w:t>报警、通讯联络方式</w:t>
      </w:r>
      <w:bookmarkEnd w:id="253"/>
      <w:bookmarkEnd w:id="254"/>
      <w:bookmarkEnd w:id="255"/>
      <w:bookmarkEnd w:id="256"/>
      <w:bookmarkEnd w:id="257"/>
      <w:bookmarkEnd w:id="258"/>
      <w:bookmarkEnd w:id="259"/>
      <w:bookmarkEnd w:id="262"/>
      <w:bookmarkEnd w:id="263"/>
    </w:p>
    <w:p w14:paraId="4D455CC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出现突发情况，现场员工可能使用手机</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呼叫等方式</w:t>
      </w:r>
      <w:r>
        <w:rPr>
          <w:rFonts w:hint="default" w:ascii="Times New Roman" w:hAnsi="Times New Roman" w:eastAsia="宋体" w:cs="Times New Roman"/>
          <w:color w:val="auto"/>
          <w:kern w:val="0"/>
          <w:sz w:val="24"/>
          <w:szCs w:val="24"/>
          <w:highlight w:val="none"/>
        </w:rPr>
        <w:t>进行报警，必要时请求外部支援。</w:t>
      </w:r>
    </w:p>
    <w:p w14:paraId="2D0B5CD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公司总值班室：</w:t>
      </w:r>
      <w:r>
        <w:rPr>
          <w:rFonts w:hint="eastAsia" w:ascii="Times New Roman" w:hAnsi="Times New Roman" w:eastAsia="宋体" w:cs="Times New Roman"/>
          <w:color w:val="auto"/>
          <w:sz w:val="24"/>
          <w:szCs w:val="24"/>
          <w:highlight w:val="none"/>
          <w:lang w:val="en-US" w:eastAsia="zh-CN"/>
        </w:rPr>
        <w:t>13218434032</w:t>
      </w:r>
    </w:p>
    <w:p w14:paraId="4A162BA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火警电话：119</w:t>
      </w:r>
    </w:p>
    <w:p w14:paraId="3FA42D1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急救电话：120</w:t>
      </w:r>
    </w:p>
    <w:p w14:paraId="61B7EAA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环保热线：12369</w:t>
      </w:r>
    </w:p>
    <w:p w14:paraId="1EB9E64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eastAsia="宋体" w:cs="Times New Roman"/>
          <w:color w:val="auto"/>
          <w:kern w:val="0"/>
          <w:sz w:val="24"/>
          <w:szCs w:val="24"/>
          <w:highlight w:val="none"/>
          <w:lang w:val="en-US" w:eastAsia="zh-CN"/>
        </w:rPr>
        <w:t>南通市海安</w:t>
      </w:r>
      <w:r>
        <w:rPr>
          <w:rFonts w:hint="default" w:ascii="Times New Roman" w:hAnsi="Times New Roman" w:eastAsia="宋体" w:cs="Times New Roman"/>
          <w:color w:val="auto"/>
          <w:kern w:val="0"/>
          <w:sz w:val="24"/>
          <w:szCs w:val="24"/>
          <w:highlight w:val="none"/>
        </w:rPr>
        <w:t>生态环境局：</w:t>
      </w:r>
      <w:r>
        <w:rPr>
          <w:rFonts w:hint="default" w:ascii="Times New Roman" w:hAnsi="Times New Roman" w:cs="Times New Roman" w:eastAsiaTheme="minorEastAsia"/>
          <w:color w:val="auto"/>
          <w:sz w:val="24"/>
          <w:szCs w:val="24"/>
          <w:highlight w:val="none"/>
        </w:rPr>
        <w:t>0513-8</w:t>
      </w:r>
      <w:r>
        <w:rPr>
          <w:rFonts w:hint="eastAsia"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812369</w:t>
      </w:r>
    </w:p>
    <w:p w14:paraId="181A0306">
      <w:pPr>
        <w:keepNext w:val="0"/>
        <w:keepLines w:val="0"/>
        <w:widowControl/>
        <w:spacing w:line="360" w:lineRule="auto"/>
        <w:ind w:firstLine="480"/>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海安市大公镇管委会：0513-88755101</w:t>
      </w:r>
    </w:p>
    <w:p w14:paraId="5536FC05">
      <w:pPr>
        <w:keepNext w:val="0"/>
        <w:keepLines w:val="0"/>
        <w:pageBreakBefore w:val="0"/>
        <w:kinsoku/>
        <w:wordWrap/>
        <w:overflowPunct/>
        <w:topLinePunct w:val="0"/>
        <w:autoSpaceDE/>
        <w:autoSpaceDN/>
        <w:bidi w:val="0"/>
        <w:adjustRightInd w:val="0"/>
        <w:snapToGrid w:val="0"/>
        <w:spacing w:line="500" w:lineRule="exact"/>
        <w:textAlignment w:val="auto"/>
        <w:outlineLvl w:val="2"/>
        <w:rPr>
          <w:rFonts w:hint="default" w:ascii="Times New Roman" w:hAnsi="Times New Roman" w:eastAsia="宋体" w:cs="Times New Roman"/>
          <w:b/>
          <w:color w:val="auto"/>
          <w:sz w:val="24"/>
          <w:szCs w:val="24"/>
          <w:highlight w:val="none"/>
        </w:rPr>
      </w:pPr>
      <w:bookmarkStart w:id="264" w:name="_Toc366333289"/>
      <w:bookmarkStart w:id="265" w:name="_Toc15132"/>
      <w:bookmarkStart w:id="266" w:name="_Toc18200"/>
      <w:bookmarkStart w:id="267" w:name="_Toc366333635"/>
      <w:bookmarkStart w:id="268" w:name="_Toc26289"/>
      <w:bookmarkStart w:id="269" w:name="_Toc13272"/>
      <w:r>
        <w:rPr>
          <w:rFonts w:hint="default" w:ascii="Times New Roman" w:hAnsi="Times New Roman" w:eastAsia="宋体" w:cs="Times New Roman"/>
          <w:b/>
          <w:color w:val="auto"/>
          <w:sz w:val="24"/>
          <w:szCs w:val="24"/>
          <w:highlight w:val="none"/>
        </w:rPr>
        <w:t xml:space="preserve">3.3.1 </w:t>
      </w:r>
      <w:r>
        <w:rPr>
          <w:rFonts w:hint="eastAsia"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24小时有效报警装置</w:t>
      </w:r>
      <w:bookmarkEnd w:id="264"/>
      <w:bookmarkEnd w:id="265"/>
      <w:bookmarkEnd w:id="266"/>
      <w:bookmarkEnd w:id="267"/>
      <w:bookmarkEnd w:id="268"/>
      <w:bookmarkEnd w:id="269"/>
    </w:p>
    <w:p w14:paraId="4F20F72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smallCaps/>
          <w:color w:val="auto"/>
          <w:kern w:val="0"/>
          <w:sz w:val="24"/>
          <w:szCs w:val="24"/>
          <w:highlight w:val="none"/>
        </w:rPr>
      </w:pPr>
      <w:bookmarkStart w:id="270" w:name="_Toc366333636"/>
      <w:bookmarkStart w:id="271" w:name="_Toc366333290"/>
      <w:r>
        <w:rPr>
          <w:rFonts w:hint="default" w:ascii="Times New Roman" w:hAnsi="Times New Roman" w:eastAsia="宋体" w:cs="Times New Roman"/>
          <w:smallCaps/>
          <w:color w:val="auto"/>
          <w:kern w:val="0"/>
          <w:sz w:val="24"/>
          <w:szCs w:val="24"/>
          <w:highlight w:val="none"/>
          <w:lang w:bidi="en-US"/>
        </w:rPr>
        <w:t>建立人工报警系统。</w:t>
      </w:r>
      <w:r>
        <w:rPr>
          <w:rFonts w:hint="default" w:ascii="Times New Roman" w:hAnsi="Times New Roman" w:eastAsia="宋体" w:cs="Times New Roman"/>
          <w:smallCaps/>
          <w:color w:val="auto"/>
          <w:kern w:val="0"/>
          <w:sz w:val="24"/>
          <w:szCs w:val="24"/>
          <w:highlight w:val="none"/>
        </w:rPr>
        <w:t>设立人工报警系统，安排专职人员24小时对公司重点风险部位进行巡查，以便及时发现危险源，人员报警方式采用内部电话和外部电话（包括手机、座机）</w:t>
      </w:r>
      <w:r>
        <w:rPr>
          <w:rFonts w:hint="eastAsia" w:ascii="Times New Roman" w:hAnsi="Times New Roman" w:eastAsia="宋体" w:cs="Times New Roman"/>
          <w:smallCaps/>
          <w:color w:val="auto"/>
          <w:kern w:val="0"/>
          <w:sz w:val="24"/>
          <w:szCs w:val="24"/>
          <w:highlight w:val="none"/>
          <w:lang w:val="en-US" w:eastAsia="zh-CN"/>
        </w:rPr>
        <w:t>进行</w:t>
      </w:r>
      <w:r>
        <w:rPr>
          <w:rFonts w:hint="default" w:ascii="Times New Roman" w:hAnsi="Times New Roman" w:eastAsia="宋体" w:cs="Times New Roman"/>
          <w:smallCaps/>
          <w:color w:val="auto"/>
          <w:kern w:val="0"/>
          <w:sz w:val="24"/>
          <w:szCs w:val="24"/>
          <w:highlight w:val="none"/>
        </w:rPr>
        <w:t>报警。</w:t>
      </w:r>
    </w:p>
    <w:p w14:paraId="131856A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smallCaps/>
          <w:color w:val="auto"/>
          <w:kern w:val="0"/>
          <w:sz w:val="24"/>
          <w:szCs w:val="24"/>
          <w:highlight w:val="none"/>
        </w:rPr>
      </w:pPr>
      <w:r>
        <w:rPr>
          <w:rFonts w:hint="default" w:ascii="Times New Roman" w:hAnsi="Times New Roman" w:eastAsia="宋体" w:cs="Times New Roman"/>
          <w:color w:val="auto"/>
          <w:sz w:val="24"/>
          <w:szCs w:val="24"/>
          <w:highlight w:val="none"/>
        </w:rPr>
        <w:t>由指挥部根据事态情况通过</w:t>
      </w:r>
      <w:r>
        <w:rPr>
          <w:rFonts w:hint="eastAsia" w:ascii="Times New Roman" w:hAnsi="Times New Roman" w:eastAsia="宋体" w:cs="Times New Roman"/>
          <w:color w:val="auto"/>
          <w:sz w:val="24"/>
          <w:szCs w:val="24"/>
          <w:highlight w:val="none"/>
          <w:lang w:val="en-US" w:eastAsia="zh-CN"/>
        </w:rPr>
        <w:t>短信或电话</w:t>
      </w:r>
      <w:r>
        <w:rPr>
          <w:rFonts w:hint="default" w:ascii="Times New Roman" w:hAnsi="Times New Roman" w:eastAsia="宋体" w:cs="Times New Roman"/>
          <w:color w:val="auto"/>
          <w:sz w:val="24"/>
          <w:szCs w:val="24"/>
          <w:highlight w:val="none"/>
        </w:rPr>
        <w:t>向公司内部发布事故消息，做出紧急疏散和撤离等警报。需要向社会和周边发布警报时，</w:t>
      </w:r>
      <w:r>
        <w:rPr>
          <w:rFonts w:hint="default" w:ascii="Times New Roman" w:hAnsi="Times New Roman" w:eastAsia="宋体" w:cs="Times New Roman"/>
          <w:smallCaps/>
          <w:color w:val="auto"/>
          <w:kern w:val="0"/>
          <w:sz w:val="24"/>
          <w:szCs w:val="24"/>
          <w:highlight w:val="none"/>
        </w:rPr>
        <w:t>由</w:t>
      </w:r>
      <w:r>
        <w:rPr>
          <w:rFonts w:hint="eastAsia" w:ascii="Times New Roman" w:hAnsi="Times New Roman" w:eastAsia="宋体" w:cs="Times New Roman"/>
          <w:smallCaps/>
          <w:color w:val="auto"/>
          <w:kern w:val="0"/>
          <w:sz w:val="24"/>
          <w:szCs w:val="24"/>
          <w:highlight w:val="none"/>
          <w:lang w:eastAsia="zh-CN"/>
        </w:rPr>
        <w:t>应急救援指挥组</w:t>
      </w:r>
      <w:r>
        <w:rPr>
          <w:rFonts w:hint="default" w:ascii="Times New Roman" w:hAnsi="Times New Roman" w:eastAsia="宋体" w:cs="Times New Roman"/>
          <w:smallCaps/>
          <w:color w:val="auto"/>
          <w:kern w:val="0"/>
          <w:sz w:val="24"/>
          <w:szCs w:val="24"/>
          <w:highlight w:val="none"/>
        </w:rPr>
        <w:t>人员报告</w:t>
      </w:r>
      <w:r>
        <w:rPr>
          <w:rFonts w:hint="eastAsia" w:ascii="Times New Roman" w:hAnsi="Times New Roman" w:eastAsia="宋体" w:cs="Times New Roman"/>
          <w:color w:val="auto"/>
          <w:kern w:val="0"/>
          <w:sz w:val="24"/>
          <w:szCs w:val="24"/>
          <w:highlight w:val="none"/>
          <w:lang w:val="en-US" w:eastAsia="zh-CN"/>
        </w:rPr>
        <w:t>南通市海安</w:t>
      </w:r>
      <w:r>
        <w:rPr>
          <w:rFonts w:hint="default" w:ascii="Times New Roman" w:hAnsi="Times New Roman" w:eastAsia="宋体" w:cs="Times New Roman"/>
          <w:smallCaps/>
          <w:color w:val="auto"/>
          <w:kern w:val="0"/>
          <w:sz w:val="24"/>
          <w:szCs w:val="24"/>
          <w:highlight w:val="none"/>
        </w:rPr>
        <w:t>生态环境局，请求政府向周边单位发送警报消息。事态严重紧急时，通过</w:t>
      </w:r>
      <w:r>
        <w:rPr>
          <w:rFonts w:hint="eastAsia" w:ascii="Times New Roman" w:hAnsi="Times New Roman" w:eastAsia="宋体" w:cs="Times New Roman"/>
          <w:smallCaps/>
          <w:color w:val="auto"/>
          <w:kern w:val="0"/>
          <w:sz w:val="24"/>
          <w:szCs w:val="24"/>
          <w:highlight w:val="none"/>
          <w:lang w:eastAsia="zh-CN"/>
        </w:rPr>
        <w:t>应急救援</w:t>
      </w:r>
      <w:r>
        <w:rPr>
          <w:rFonts w:hint="eastAsia" w:ascii="Times New Roman" w:hAnsi="Times New Roman" w:eastAsia="宋体" w:cs="Times New Roman"/>
          <w:smallCaps/>
          <w:color w:val="auto"/>
          <w:kern w:val="0"/>
          <w:sz w:val="24"/>
          <w:szCs w:val="24"/>
          <w:highlight w:val="none"/>
          <w:lang w:val="en-US" w:eastAsia="zh-CN"/>
        </w:rPr>
        <w:t>总</w:t>
      </w:r>
      <w:r>
        <w:rPr>
          <w:rFonts w:hint="eastAsia" w:ascii="Times New Roman" w:hAnsi="Times New Roman" w:eastAsia="宋体" w:cs="Times New Roman"/>
          <w:smallCaps/>
          <w:color w:val="auto"/>
          <w:kern w:val="0"/>
          <w:sz w:val="24"/>
          <w:szCs w:val="24"/>
          <w:highlight w:val="none"/>
          <w:lang w:eastAsia="zh-CN"/>
        </w:rPr>
        <w:t>指挥</w:t>
      </w:r>
      <w:r>
        <w:rPr>
          <w:rFonts w:hint="default" w:ascii="Times New Roman" w:hAnsi="Times New Roman" w:eastAsia="宋体" w:cs="Times New Roman"/>
          <w:smallCaps/>
          <w:color w:val="auto"/>
          <w:kern w:val="0"/>
          <w:sz w:val="24"/>
          <w:szCs w:val="24"/>
          <w:highlight w:val="none"/>
        </w:rPr>
        <w:t>直接联系政府以及周边</w:t>
      </w:r>
      <w:r>
        <w:rPr>
          <w:rFonts w:hint="eastAsia" w:ascii="Times New Roman" w:hAnsi="Times New Roman" w:eastAsia="宋体" w:cs="Times New Roman"/>
          <w:smallCaps/>
          <w:color w:val="auto"/>
          <w:kern w:val="0"/>
          <w:sz w:val="24"/>
          <w:szCs w:val="24"/>
          <w:highlight w:val="none"/>
          <w:lang w:val="en-US" w:eastAsia="zh-CN"/>
        </w:rPr>
        <w:t>单位负责人</w:t>
      </w:r>
      <w:r>
        <w:rPr>
          <w:rFonts w:hint="default" w:ascii="Times New Roman" w:hAnsi="Times New Roman" w:eastAsia="宋体" w:cs="Times New Roman"/>
          <w:smallCaps/>
          <w:color w:val="auto"/>
          <w:kern w:val="0"/>
          <w:sz w:val="24"/>
          <w:szCs w:val="24"/>
          <w:highlight w:val="none"/>
        </w:rPr>
        <w:t>，由总指挥亲自向政府或负责人发布消息，提出要求组织撤离疏散或者请求援助，随时保持电话联系。</w:t>
      </w:r>
    </w:p>
    <w:p w14:paraId="1EE1573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在生产过程中，岗位操作人员发现危险目标发生泄漏应立即采取相应措施予以处理。操作人员无法控制时，立即向现场领导报告，现场领导依据泄漏事故的类别和级别，应立即向</w:t>
      </w:r>
      <w:r>
        <w:rPr>
          <w:rFonts w:hint="eastAsia" w:ascii="Times New Roman" w:hAnsi="Times New Roman" w:eastAsia="宋体" w:cs="Times New Roman"/>
          <w:color w:val="auto"/>
          <w:sz w:val="24"/>
          <w:szCs w:val="24"/>
          <w:highlight w:val="none"/>
          <w:lang w:eastAsia="zh-CN"/>
        </w:rPr>
        <w:t>应急救援指挥组</w:t>
      </w:r>
      <w:r>
        <w:rPr>
          <w:rFonts w:hint="default" w:ascii="Times New Roman" w:hAnsi="Times New Roman" w:eastAsia="宋体" w:cs="Times New Roman"/>
          <w:color w:val="auto"/>
          <w:sz w:val="24"/>
          <w:szCs w:val="24"/>
          <w:highlight w:val="none"/>
        </w:rPr>
        <w:t>有关成员汇报，确定应急救援程序，并通知领导小组和其它成员。</w:t>
      </w:r>
    </w:p>
    <w:p w14:paraId="161E36CC">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2"/>
        <w:rPr>
          <w:rFonts w:hint="default" w:ascii="Times New Roman" w:hAnsi="Times New Roman" w:eastAsia="宋体" w:cs="Times New Roman"/>
          <w:b/>
          <w:color w:val="auto"/>
          <w:sz w:val="24"/>
          <w:szCs w:val="24"/>
          <w:highlight w:val="none"/>
        </w:rPr>
      </w:pPr>
      <w:bookmarkStart w:id="272" w:name="_Toc24382"/>
      <w:bookmarkStart w:id="273" w:name="_Toc18316"/>
      <w:bookmarkStart w:id="274" w:name="_Toc20815"/>
      <w:bookmarkStart w:id="275" w:name="_Toc13846"/>
      <w:r>
        <w:rPr>
          <w:rFonts w:hint="default" w:ascii="Times New Roman" w:hAnsi="Times New Roman" w:eastAsia="宋体" w:cs="Times New Roman"/>
          <w:b/>
          <w:color w:val="auto"/>
          <w:sz w:val="24"/>
          <w:szCs w:val="24"/>
          <w:highlight w:val="none"/>
        </w:rPr>
        <w:t>3.3.2  24小时有效内部、外部通讯联络手段</w:t>
      </w:r>
      <w:bookmarkEnd w:id="270"/>
      <w:bookmarkEnd w:id="271"/>
      <w:bookmarkEnd w:id="272"/>
      <w:bookmarkEnd w:id="273"/>
      <w:bookmarkEnd w:id="274"/>
      <w:bookmarkEnd w:id="275"/>
    </w:p>
    <w:p w14:paraId="214FCC0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公司应急救援人员之间采用内部和外部电话</w:t>
      </w:r>
      <w:r>
        <w:rPr>
          <w:rFonts w:hint="default" w:ascii="Times New Roman" w:hAnsi="Times New Roman" w:eastAsia="宋体" w:cs="Times New Roman"/>
          <w:smallCaps/>
          <w:color w:val="auto"/>
          <w:kern w:val="0"/>
          <w:sz w:val="24"/>
          <w:szCs w:val="24"/>
          <w:highlight w:val="none"/>
        </w:rPr>
        <w:t>（包括手机、座机）</w:t>
      </w:r>
      <w:r>
        <w:rPr>
          <w:rFonts w:hint="default" w:ascii="Times New Roman" w:hAnsi="Times New Roman" w:eastAsia="宋体" w:cs="Times New Roman"/>
          <w:color w:val="auto"/>
          <w:kern w:val="0"/>
          <w:sz w:val="24"/>
          <w:szCs w:val="24"/>
          <w:highlight w:val="none"/>
        </w:rPr>
        <w:t>线路进行联系，应急救援小组的电话必须24小时开机，禁止随意更换电话号码。特殊情况下，电话号码发生变更，必须在变更之日起48小时内知会行政管理部</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行政管理部</w:t>
      </w:r>
      <w:r>
        <w:rPr>
          <w:rFonts w:hint="default" w:ascii="Times New Roman" w:hAnsi="Times New Roman" w:eastAsia="宋体" w:cs="Times New Roman"/>
          <w:color w:val="auto"/>
          <w:kern w:val="0"/>
          <w:sz w:val="24"/>
          <w:szCs w:val="24"/>
          <w:highlight w:val="none"/>
        </w:rPr>
        <w:t>必须在24小时内向各成员和部门发布变更通知。</w:t>
      </w:r>
    </w:p>
    <w:p w14:paraId="649FE3C9">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2"/>
        <w:rPr>
          <w:rFonts w:hint="default" w:ascii="Times New Roman" w:hAnsi="Times New Roman" w:eastAsia="宋体" w:cs="Times New Roman"/>
          <w:color w:val="auto"/>
          <w:kern w:val="0"/>
          <w:sz w:val="24"/>
          <w:szCs w:val="24"/>
          <w:highlight w:val="none"/>
        </w:rPr>
      </w:pPr>
      <w:bookmarkStart w:id="276" w:name="_Toc13342"/>
      <w:bookmarkStart w:id="277" w:name="_Toc366333291"/>
      <w:bookmarkStart w:id="278" w:name="_Toc8602"/>
      <w:bookmarkStart w:id="279" w:name="_Toc19475"/>
      <w:bookmarkStart w:id="280" w:name="_Toc366333637"/>
      <w:bookmarkStart w:id="281" w:name="_Toc53"/>
      <w:r>
        <w:rPr>
          <w:rFonts w:hint="default" w:ascii="Times New Roman" w:hAnsi="Times New Roman" w:eastAsia="宋体" w:cs="Times New Roman"/>
          <w:b/>
          <w:color w:val="auto"/>
          <w:sz w:val="24"/>
          <w:szCs w:val="24"/>
          <w:highlight w:val="none"/>
        </w:rPr>
        <w:t xml:space="preserve">3.3.3 </w:t>
      </w:r>
      <w:r>
        <w:rPr>
          <w:rFonts w:hint="eastAsia"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运输危险</w:t>
      </w:r>
      <w:r>
        <w:rPr>
          <w:rFonts w:hint="eastAsia" w:ascii="Times New Roman" w:hAnsi="Times New Roman" w:eastAsia="宋体" w:cs="Times New Roman"/>
          <w:b/>
          <w:color w:val="auto"/>
          <w:sz w:val="24"/>
          <w:szCs w:val="24"/>
          <w:highlight w:val="none"/>
          <w:lang w:val="en-US" w:eastAsia="zh-CN"/>
        </w:rPr>
        <w:t>化学物质</w:t>
      </w:r>
      <w:r>
        <w:rPr>
          <w:rFonts w:hint="default" w:ascii="Times New Roman" w:hAnsi="Times New Roman" w:eastAsia="宋体" w:cs="Times New Roman"/>
          <w:b/>
          <w:color w:val="auto"/>
          <w:sz w:val="24"/>
          <w:szCs w:val="24"/>
          <w:highlight w:val="none"/>
        </w:rPr>
        <w:t>、危险废物的驾驶员、押运员报警及与本单位、生产车间、托运方联系的方式</w:t>
      </w:r>
      <w:bookmarkEnd w:id="276"/>
      <w:bookmarkEnd w:id="277"/>
      <w:bookmarkEnd w:id="278"/>
      <w:bookmarkEnd w:id="279"/>
      <w:bookmarkEnd w:id="280"/>
      <w:bookmarkEnd w:id="281"/>
    </w:p>
    <w:p w14:paraId="2EFD5F5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szCs w:val="24"/>
          <w:highlight w:val="yellow"/>
          <w:lang w:val="en-US" w:eastAsia="zh-CN"/>
        </w:rPr>
      </w:pPr>
      <w:r>
        <w:rPr>
          <w:rFonts w:hint="default" w:ascii="Times New Roman" w:hAnsi="Times New Roman" w:eastAsia="宋体" w:cs="Times New Roman"/>
          <w:color w:val="auto"/>
          <w:sz w:val="24"/>
          <w:szCs w:val="24"/>
          <w:highlight w:val="none"/>
        </w:rPr>
        <w:t>公司无</w:t>
      </w:r>
      <w:r>
        <w:rPr>
          <w:rFonts w:hint="eastAsia" w:ascii="Times New Roman" w:hAnsi="Times New Roman" w:eastAsia="宋体" w:cs="Times New Roman"/>
          <w:color w:val="auto"/>
          <w:sz w:val="24"/>
          <w:szCs w:val="24"/>
          <w:highlight w:val="none"/>
          <w:lang w:eastAsia="zh-CN"/>
        </w:rPr>
        <w:t>化学物质等</w:t>
      </w:r>
      <w:r>
        <w:rPr>
          <w:rFonts w:hint="eastAsia" w:ascii="Times New Roman" w:hAnsi="Times New Roman" w:eastAsia="宋体" w:cs="Times New Roman"/>
          <w:color w:val="auto"/>
          <w:sz w:val="24"/>
          <w:szCs w:val="24"/>
          <w:highlight w:val="none"/>
          <w:lang w:val="en-US" w:eastAsia="zh-CN"/>
        </w:rPr>
        <w:t>专用</w:t>
      </w:r>
      <w:r>
        <w:rPr>
          <w:rFonts w:hint="default" w:ascii="Times New Roman" w:hAnsi="Times New Roman" w:eastAsia="宋体" w:cs="Times New Roman"/>
          <w:color w:val="auto"/>
          <w:sz w:val="24"/>
          <w:szCs w:val="24"/>
          <w:highlight w:val="none"/>
        </w:rPr>
        <w:t>运输车辆及人员，</w:t>
      </w:r>
      <w:r>
        <w:rPr>
          <w:rFonts w:hint="eastAsia" w:ascii="Times New Roman" w:hAnsi="Times New Roman" w:eastAsia="宋体" w:cs="Times New Roman"/>
          <w:color w:val="auto"/>
          <w:sz w:val="24"/>
          <w:szCs w:val="24"/>
          <w:highlight w:val="none"/>
          <w:lang w:eastAsia="zh-CN"/>
        </w:rPr>
        <w:t>化学物质等</w:t>
      </w:r>
      <w:r>
        <w:rPr>
          <w:rFonts w:hint="default" w:ascii="Times New Roman" w:hAnsi="Times New Roman" w:eastAsia="宋体" w:cs="Times New Roman"/>
          <w:color w:val="auto"/>
          <w:sz w:val="24"/>
          <w:szCs w:val="24"/>
          <w:highlight w:val="none"/>
        </w:rPr>
        <w:t>的运输均</w:t>
      </w:r>
      <w:r>
        <w:rPr>
          <w:rFonts w:hint="eastAsia" w:ascii="Times New Roman" w:hAnsi="Times New Roman" w:eastAsia="宋体" w:cs="Times New Roman"/>
          <w:color w:val="auto"/>
          <w:sz w:val="24"/>
          <w:szCs w:val="24"/>
          <w:highlight w:val="none"/>
          <w:lang w:val="en-US" w:eastAsia="zh-CN"/>
        </w:rPr>
        <w:t>由供应商负责</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所有危废运输均委托海安蔚蓝环保科技有限公司</w:t>
      </w:r>
      <w:r>
        <w:rPr>
          <w:rFonts w:hint="eastAsia" w:eastAsia="宋体" w:cs="Times New Roman"/>
          <w:color w:val="000000" w:themeColor="text1"/>
          <w:kern w:val="2"/>
          <w:sz w:val="24"/>
          <w:szCs w:val="24"/>
          <w:highlight w:val="none"/>
          <w:lang w:val="en-US" w:eastAsia="zh-CN"/>
          <w14:textFill>
            <w14:solidFill>
              <w14:schemeClr w14:val="tx1"/>
            </w14:solidFill>
          </w14:textFill>
        </w:rPr>
        <w:t>进</w:t>
      </w:r>
      <w:r>
        <w:rPr>
          <w:rFonts w:hint="eastAsia" w:eastAsia="宋体" w:cs="Times New Roman"/>
          <w:color w:val="000000" w:themeColor="text1"/>
          <w:kern w:val="0"/>
          <w:sz w:val="24"/>
          <w:szCs w:val="24"/>
          <w:highlight w:val="none"/>
          <w:lang w:val="en-US" w:eastAsia="zh-CN"/>
          <w14:textFill>
            <w14:solidFill>
              <w14:schemeClr w14:val="tx1"/>
            </w14:solidFill>
          </w14:textFill>
        </w:rPr>
        <w:t>行</w:t>
      </w:r>
      <w:r>
        <w:rPr>
          <w:rFonts w:hint="eastAsia" w:ascii="Times New Roman" w:hAnsi="Times New Roman" w:eastAsia="宋体" w:cs="Times New Roman"/>
          <w:color w:val="auto"/>
          <w:sz w:val="24"/>
          <w:szCs w:val="24"/>
          <w:highlight w:val="none"/>
          <w:lang w:val="en-US" w:eastAsia="zh-CN"/>
        </w:rPr>
        <w:t>。</w:t>
      </w:r>
    </w:p>
    <w:p w14:paraId="769D5DDC">
      <w:pPr>
        <w:pStyle w:val="13"/>
        <w:rPr>
          <w:rFonts w:hint="default"/>
          <w:color w:val="auto"/>
          <w:highlight w:val="yellow"/>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7A509E2B">
      <w:pPr>
        <w:pStyle w:val="3"/>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282" w:name="_Toc2314"/>
      <w:bookmarkStart w:id="283" w:name="_Toc929"/>
      <w:bookmarkStart w:id="284" w:name="_Toc22866"/>
      <w:bookmarkStart w:id="285" w:name="_Toc18510"/>
      <w:bookmarkStart w:id="286" w:name="_Toc28782"/>
      <w:bookmarkStart w:id="287" w:name="_Toc28233"/>
      <w:r>
        <w:rPr>
          <w:rFonts w:hint="default" w:ascii="Times New Roman" w:hAnsi="Times New Roman" w:cs="Times New Roman" w:eastAsiaTheme="minorEastAsia"/>
          <w:color w:val="auto"/>
          <w:sz w:val="28"/>
          <w:szCs w:val="28"/>
          <w:highlight w:val="none"/>
        </w:rPr>
        <w:t>4 信息报告</w:t>
      </w:r>
      <w:bookmarkEnd w:id="282"/>
      <w:bookmarkEnd w:id="283"/>
      <w:bookmarkEnd w:id="284"/>
      <w:bookmarkEnd w:id="285"/>
      <w:bookmarkEnd w:id="286"/>
      <w:bookmarkEnd w:id="287"/>
    </w:p>
    <w:p w14:paraId="18F9181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依照《国家突发环境事件应急预案》及有关规定，明确信息报告时限和发布程序、内容和方式。</w:t>
      </w:r>
    </w:p>
    <w:p w14:paraId="368E32B2">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288" w:name="_Toc578"/>
      <w:bookmarkStart w:id="289" w:name="_Toc11643"/>
      <w:bookmarkStart w:id="290" w:name="_Toc10262"/>
      <w:bookmarkStart w:id="291" w:name="_Toc29687"/>
      <w:bookmarkStart w:id="292" w:name="_Toc7082"/>
      <w:bookmarkStart w:id="293" w:name="_Toc27007"/>
      <w:r>
        <w:rPr>
          <w:rFonts w:hint="default" w:ascii="Times New Roman" w:hAnsi="Times New Roman" w:cs="Times New Roman" w:eastAsiaTheme="minorEastAsia"/>
          <w:color w:val="auto"/>
          <w:sz w:val="24"/>
          <w:szCs w:val="24"/>
          <w:highlight w:val="none"/>
        </w:rPr>
        <w:t>4.1</w:t>
      </w:r>
      <w:bookmarkEnd w:id="288"/>
      <w:bookmarkEnd w:id="289"/>
      <w:r>
        <w:rPr>
          <w:rFonts w:hint="default" w:ascii="Times New Roman" w:hAnsi="Times New Roman" w:cs="Times New Roman" w:eastAsiaTheme="minorEastAsia"/>
          <w:color w:val="auto"/>
          <w:sz w:val="24"/>
          <w:szCs w:val="24"/>
          <w:highlight w:val="none"/>
        </w:rPr>
        <w:t>信息报告程序</w:t>
      </w:r>
      <w:bookmarkEnd w:id="290"/>
      <w:bookmarkEnd w:id="291"/>
      <w:bookmarkEnd w:id="292"/>
      <w:bookmarkEnd w:id="293"/>
    </w:p>
    <w:p w14:paraId="674D3983">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94" w:name="_Toc16282"/>
      <w:bookmarkStart w:id="295" w:name="_Toc27377"/>
      <w:bookmarkStart w:id="296" w:name="_Toc1659"/>
      <w:bookmarkStart w:id="297" w:name="_Toc7719"/>
      <w:r>
        <w:rPr>
          <w:rFonts w:hint="default" w:ascii="Times New Roman" w:hAnsi="Times New Roman" w:cs="Times New Roman" w:eastAsiaTheme="minorEastAsia"/>
          <w:color w:val="auto"/>
          <w:sz w:val="24"/>
          <w:szCs w:val="24"/>
          <w:highlight w:val="none"/>
        </w:rPr>
        <w:t>4.1.1 内部报告</w:t>
      </w:r>
      <w:bookmarkEnd w:id="294"/>
      <w:bookmarkEnd w:id="295"/>
      <w:bookmarkEnd w:id="296"/>
      <w:bookmarkEnd w:id="297"/>
    </w:p>
    <w:p w14:paraId="66C951D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（1）信息报告程序</w:t>
      </w:r>
    </w:p>
    <w:p w14:paraId="62445B7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现场突发环境事件知情人</w:t>
      </w:r>
      <w:r>
        <w:rPr>
          <w:rFonts w:hint="eastAsia" w:ascii="Times New Roman" w:hAnsi="Times New Roman" w:cs="Times New Roman" w:eastAsiaTheme="minorEastAsia"/>
          <w:bCs/>
          <w:color w:val="auto"/>
          <w:kern w:val="0"/>
          <w:sz w:val="24"/>
          <w:szCs w:val="24"/>
          <w:highlight w:val="none"/>
          <w:lang w:val="en-US" w:eastAsia="zh-CN"/>
        </w:rPr>
        <w:t>→</w:t>
      </w:r>
      <w:r>
        <w:rPr>
          <w:rFonts w:hint="default" w:ascii="Times New Roman" w:hAnsi="Times New Roman" w:cs="Times New Roman" w:eastAsiaTheme="minorEastAsia"/>
          <w:bCs/>
          <w:color w:val="auto"/>
          <w:kern w:val="0"/>
          <w:sz w:val="24"/>
          <w:szCs w:val="24"/>
          <w:highlight w:val="none"/>
        </w:rPr>
        <w:t>区域负责人</w:t>
      </w:r>
      <w:r>
        <w:rPr>
          <w:rFonts w:hint="eastAsia" w:ascii="Times New Roman" w:hAnsi="Times New Roman" w:cs="Times New Roman" w:eastAsiaTheme="minorEastAsia"/>
          <w:bCs/>
          <w:color w:val="auto"/>
          <w:kern w:val="0"/>
          <w:sz w:val="24"/>
          <w:szCs w:val="24"/>
          <w:highlight w:val="none"/>
          <w:lang w:val="en-US" w:eastAsia="zh-CN"/>
        </w:rPr>
        <w:t>→</w:t>
      </w:r>
      <w:r>
        <w:rPr>
          <w:rFonts w:hint="default" w:ascii="Times New Roman" w:hAnsi="Times New Roman" w:cs="Times New Roman" w:eastAsiaTheme="minorEastAsia"/>
          <w:bCs/>
          <w:color w:val="auto"/>
          <w:kern w:val="0"/>
          <w:sz w:val="24"/>
          <w:szCs w:val="24"/>
          <w:highlight w:val="none"/>
        </w:rPr>
        <w:t>公司</w:t>
      </w:r>
      <w:r>
        <w:rPr>
          <w:rFonts w:hint="eastAsia" w:ascii="Times New Roman" w:hAnsi="Times New Roman" w:cs="Times New Roman" w:eastAsiaTheme="minorEastAsia"/>
          <w:bCs/>
          <w:color w:val="auto"/>
          <w:kern w:val="0"/>
          <w:sz w:val="24"/>
          <w:szCs w:val="24"/>
          <w:highlight w:val="none"/>
          <w:lang w:eastAsia="zh-CN"/>
        </w:rPr>
        <w:t>应急救援</w:t>
      </w:r>
      <w:r>
        <w:rPr>
          <w:rFonts w:hint="eastAsia" w:ascii="Times New Roman" w:hAnsi="Times New Roman" w:cs="Times New Roman" w:eastAsiaTheme="minorEastAsia"/>
          <w:bCs/>
          <w:color w:val="auto"/>
          <w:kern w:val="0"/>
          <w:sz w:val="24"/>
          <w:szCs w:val="24"/>
          <w:highlight w:val="none"/>
          <w:lang w:val="en-US" w:eastAsia="zh-CN"/>
        </w:rPr>
        <w:t>总指挥</w:t>
      </w:r>
      <w:r>
        <w:rPr>
          <w:rFonts w:hint="default" w:ascii="Times New Roman" w:hAnsi="Times New Roman" w:cs="Times New Roman" w:eastAsiaTheme="minorEastAsia"/>
          <w:bCs/>
          <w:color w:val="auto"/>
          <w:kern w:val="0"/>
          <w:sz w:val="24"/>
          <w:szCs w:val="24"/>
          <w:highlight w:val="none"/>
        </w:rPr>
        <w:t>。</w:t>
      </w:r>
    </w:p>
    <w:p w14:paraId="429035F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（2）报告方式</w:t>
      </w:r>
    </w:p>
    <w:p w14:paraId="576E1A0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口头汇报方式：发生事故后，在初步了解事故情况后，现场突发环境事件知情人应当立即向区域负责人汇报，区域负责人及时通过电话向公司</w:t>
      </w:r>
      <w:r>
        <w:rPr>
          <w:rFonts w:hint="eastAsia" w:ascii="Times New Roman" w:hAnsi="Times New Roman" w:cs="Times New Roman" w:eastAsiaTheme="minorEastAsia"/>
          <w:bCs/>
          <w:color w:val="auto"/>
          <w:kern w:val="0"/>
          <w:sz w:val="24"/>
          <w:szCs w:val="24"/>
          <w:highlight w:val="none"/>
          <w:lang w:eastAsia="zh-CN"/>
        </w:rPr>
        <w:t>应急救援</w:t>
      </w:r>
      <w:r>
        <w:rPr>
          <w:rFonts w:hint="eastAsia" w:ascii="Times New Roman" w:hAnsi="Times New Roman" w:cs="Times New Roman" w:eastAsiaTheme="minorEastAsia"/>
          <w:bCs/>
          <w:color w:val="auto"/>
          <w:kern w:val="0"/>
          <w:sz w:val="24"/>
          <w:szCs w:val="24"/>
          <w:highlight w:val="none"/>
          <w:lang w:val="en-US" w:eastAsia="zh-CN"/>
        </w:rPr>
        <w:t>总指挥</w:t>
      </w:r>
      <w:r>
        <w:rPr>
          <w:rFonts w:hint="default" w:ascii="Times New Roman" w:hAnsi="Times New Roman" w:cs="Times New Roman" w:eastAsiaTheme="minorEastAsia"/>
          <w:bCs/>
          <w:color w:val="auto"/>
          <w:kern w:val="0"/>
          <w:sz w:val="24"/>
          <w:szCs w:val="24"/>
          <w:highlight w:val="none"/>
        </w:rPr>
        <w:t>进行口头汇报。</w:t>
      </w:r>
    </w:p>
    <w:p w14:paraId="614D1EE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书面汇报方式：在初步了解事故情况后，应当在1个小时内，逐级以书面材料上报事故有关情况。</w:t>
      </w:r>
    </w:p>
    <w:p w14:paraId="417BEEF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（3）24 小时应急值守电话</w:t>
      </w:r>
    </w:p>
    <w:p w14:paraId="7A30B942">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4"/>
          <w:szCs w:val="24"/>
          <w:highlight w:val="yellow"/>
        </w:rPr>
      </w:pPr>
      <w:r>
        <w:rPr>
          <w:rFonts w:hint="default" w:ascii="Times New Roman" w:hAnsi="Times New Roman" w:cs="Times New Roman" w:eastAsiaTheme="minorEastAsia"/>
          <w:b/>
          <w:color w:val="auto"/>
          <w:sz w:val="24"/>
          <w:szCs w:val="24"/>
          <w:highlight w:val="none"/>
        </w:rPr>
        <w:t>表4-1 内部24小时联系电话</w:t>
      </w:r>
    </w:p>
    <w:tbl>
      <w:tblPr>
        <w:tblStyle w:val="34"/>
        <w:tblW w:w="501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783"/>
        <w:gridCol w:w="1785"/>
        <w:gridCol w:w="2710"/>
        <w:gridCol w:w="2807"/>
      </w:tblGrid>
      <w:tr w14:paraId="75621A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81" w:type="pct"/>
            <w:tcBorders>
              <w:tl2br w:val="nil"/>
              <w:tr2bl w:val="nil"/>
            </w:tcBorders>
            <w:vAlign w:val="center"/>
          </w:tcPr>
          <w:p w14:paraId="21B3B58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姓名</w:t>
            </w:r>
          </w:p>
        </w:tc>
        <w:tc>
          <w:tcPr>
            <w:tcW w:w="982" w:type="pct"/>
            <w:tcBorders>
              <w:tl2br w:val="nil"/>
              <w:tr2bl w:val="nil"/>
            </w:tcBorders>
            <w:vAlign w:val="center"/>
          </w:tcPr>
          <w:p w14:paraId="435838A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职务</w:t>
            </w:r>
          </w:p>
        </w:tc>
        <w:tc>
          <w:tcPr>
            <w:tcW w:w="1491" w:type="pct"/>
            <w:tcBorders>
              <w:tl2br w:val="nil"/>
              <w:tr2bl w:val="nil"/>
            </w:tcBorders>
            <w:vAlign w:val="center"/>
          </w:tcPr>
          <w:p w14:paraId="0674DEF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电话</w:t>
            </w:r>
          </w:p>
        </w:tc>
        <w:tc>
          <w:tcPr>
            <w:tcW w:w="1544" w:type="pct"/>
            <w:tcBorders>
              <w:tl2br w:val="nil"/>
              <w:tr2bl w:val="nil"/>
            </w:tcBorders>
            <w:vAlign w:val="center"/>
          </w:tcPr>
          <w:p w14:paraId="6FA81A3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备注</w:t>
            </w:r>
          </w:p>
        </w:tc>
      </w:tr>
      <w:tr w14:paraId="45C9DE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81" w:type="pct"/>
            <w:tcBorders>
              <w:tl2br w:val="nil"/>
              <w:tr2bl w:val="nil"/>
            </w:tcBorders>
            <w:vAlign w:val="center"/>
          </w:tcPr>
          <w:p w14:paraId="6661B62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邹志文</w:t>
            </w:r>
          </w:p>
        </w:tc>
        <w:tc>
          <w:tcPr>
            <w:tcW w:w="982" w:type="pct"/>
            <w:tcBorders>
              <w:tl2br w:val="nil"/>
              <w:tr2bl w:val="nil"/>
            </w:tcBorders>
            <w:vAlign w:val="center"/>
          </w:tcPr>
          <w:p w14:paraId="7CA920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总经理</w:t>
            </w:r>
          </w:p>
        </w:tc>
        <w:tc>
          <w:tcPr>
            <w:tcW w:w="1491" w:type="pct"/>
            <w:tcBorders>
              <w:tl2br w:val="nil"/>
              <w:tr2bl w:val="nil"/>
            </w:tcBorders>
            <w:vAlign w:val="center"/>
          </w:tcPr>
          <w:p w14:paraId="0900FB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13913779608</w:t>
            </w:r>
          </w:p>
        </w:tc>
        <w:tc>
          <w:tcPr>
            <w:tcW w:w="1544" w:type="pct"/>
            <w:tcBorders>
              <w:tl2br w:val="nil"/>
              <w:tr2bl w:val="nil"/>
            </w:tcBorders>
            <w:vAlign w:val="center"/>
          </w:tcPr>
          <w:p w14:paraId="0998353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24小时开机保持畅通</w:t>
            </w:r>
          </w:p>
        </w:tc>
      </w:tr>
      <w:tr w14:paraId="23CA0B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963" w:type="pct"/>
            <w:gridSpan w:val="2"/>
            <w:tcBorders>
              <w:tl2br w:val="nil"/>
              <w:tr2bl w:val="nil"/>
            </w:tcBorders>
            <w:vAlign w:val="center"/>
          </w:tcPr>
          <w:p w14:paraId="693AA18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应急值守电话</w:t>
            </w:r>
          </w:p>
        </w:tc>
        <w:tc>
          <w:tcPr>
            <w:tcW w:w="1491" w:type="pct"/>
            <w:tcBorders>
              <w:tl2br w:val="nil"/>
              <w:tr2bl w:val="nil"/>
            </w:tcBorders>
            <w:vAlign w:val="center"/>
          </w:tcPr>
          <w:p w14:paraId="7C0E73C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13218434032</w:t>
            </w:r>
          </w:p>
        </w:tc>
        <w:tc>
          <w:tcPr>
            <w:tcW w:w="1544" w:type="pct"/>
            <w:tcBorders>
              <w:tl2br w:val="nil"/>
              <w:tr2bl w:val="nil"/>
            </w:tcBorders>
            <w:vAlign w:val="center"/>
          </w:tcPr>
          <w:p w14:paraId="459F4B0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24小时开机保持畅通</w:t>
            </w:r>
          </w:p>
        </w:tc>
      </w:tr>
    </w:tbl>
    <w:p w14:paraId="00015E2B">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4）应急总指挥接到报警后应当立即赶赴现场，做出初始评估（如事故性质，事故源，事故范围，可能对环境和人体健康造成的危害），确定应急响应级别，启动相应的应急预案。并电话或短信通知应急小组人员积极侍命。</w:t>
      </w:r>
    </w:p>
    <w:p w14:paraId="7E15A87B">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（5）如果需要外界救援，</w:t>
      </w:r>
      <w:r>
        <w:rPr>
          <w:rFonts w:hint="eastAsia" w:ascii="Times New Roman" w:hAnsi="Times New Roman" w:cs="Times New Roman" w:eastAsiaTheme="minorEastAsia"/>
          <w:bCs/>
          <w:color w:val="auto"/>
          <w:kern w:val="0"/>
          <w:sz w:val="24"/>
          <w:szCs w:val="24"/>
          <w:highlight w:val="none"/>
          <w:lang w:val="en-US" w:eastAsia="zh-CN"/>
        </w:rPr>
        <w:t>应急总指挥</w:t>
      </w:r>
      <w:r>
        <w:rPr>
          <w:rFonts w:hint="default" w:ascii="Times New Roman" w:hAnsi="Times New Roman" w:cs="Times New Roman" w:eastAsiaTheme="minorEastAsia"/>
          <w:bCs/>
          <w:color w:val="auto"/>
          <w:kern w:val="0"/>
          <w:sz w:val="24"/>
          <w:szCs w:val="24"/>
          <w:highlight w:val="none"/>
        </w:rPr>
        <w:t>应立即通知地方政府有关主管部门。必要时，向周边临近工厂发出警报。</w:t>
      </w:r>
    </w:p>
    <w:p w14:paraId="779D260E">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（6）各有关人员接到报警后，应当按应急预案的要求积极响应，不得贻误战机。</w:t>
      </w:r>
    </w:p>
    <w:p w14:paraId="5643581D">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（7）以上如系火灾事故，第一时间拨打“119”报警；如有人员受伤，第一时间拔打“120”报警；出现恐怖袭击，第一时间拨打“110”报警。</w:t>
      </w:r>
    </w:p>
    <w:p w14:paraId="062E351A">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（8）内部报告基本内容：</w:t>
      </w:r>
    </w:p>
    <w:p w14:paraId="2E267DA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a、事故地点、时间以及设备设施；</w:t>
      </w:r>
    </w:p>
    <w:p w14:paraId="01A763F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b、事故类型：火灾、</w:t>
      </w:r>
      <w:r>
        <w:rPr>
          <w:rFonts w:hint="eastAsia" w:ascii="Times New Roman" w:hAnsi="Times New Roman" w:cs="Times New Roman" w:eastAsiaTheme="minorEastAsia"/>
          <w:bCs/>
          <w:color w:val="auto"/>
          <w:kern w:val="0"/>
          <w:sz w:val="24"/>
          <w:szCs w:val="24"/>
          <w:highlight w:val="none"/>
          <w:lang w:val="en-US" w:eastAsia="zh-CN"/>
        </w:rPr>
        <w:t>爆炸</w:t>
      </w:r>
      <w:r>
        <w:rPr>
          <w:rFonts w:hint="default" w:ascii="Times New Roman" w:hAnsi="Times New Roman" w:cs="Times New Roman" w:eastAsiaTheme="minorEastAsia"/>
          <w:bCs/>
          <w:color w:val="auto"/>
          <w:kern w:val="0"/>
          <w:sz w:val="24"/>
          <w:szCs w:val="24"/>
          <w:highlight w:val="none"/>
        </w:rPr>
        <w:t>、泄漏等；</w:t>
      </w:r>
    </w:p>
    <w:p w14:paraId="737DDB4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c、有无人员伤亡与被困人员；</w:t>
      </w:r>
    </w:p>
    <w:p w14:paraId="1F8A7A9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d、已采取的应急措施</w:t>
      </w:r>
      <w:r>
        <w:rPr>
          <w:rFonts w:hint="eastAsia" w:ascii="Times New Roman" w:hAnsi="Times New Roman" w:cs="Times New Roman" w:eastAsiaTheme="minorEastAsia"/>
          <w:bCs/>
          <w:color w:val="auto"/>
          <w:kern w:val="0"/>
          <w:sz w:val="24"/>
          <w:szCs w:val="24"/>
          <w:highlight w:val="none"/>
          <w:lang w:eastAsia="zh-CN"/>
        </w:rPr>
        <w:t>。</w:t>
      </w:r>
    </w:p>
    <w:p w14:paraId="2D0E827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（9）火灾报警基本内容</w:t>
      </w:r>
    </w:p>
    <w:p w14:paraId="10CD035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a、单位名称、地址；</w:t>
      </w:r>
    </w:p>
    <w:p w14:paraId="6183DF7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b、火灾发生地点、燃烧物质与面积；</w:t>
      </w:r>
    </w:p>
    <w:p w14:paraId="600B499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c、有无人员伤亡与被困人员；</w:t>
      </w:r>
    </w:p>
    <w:p w14:paraId="329E24B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d、报警人姓名与联系电话，待接警人挂电话后才搁电话；</w:t>
      </w:r>
    </w:p>
    <w:p w14:paraId="7F16225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e、报警时应使用普通话。</w:t>
      </w:r>
    </w:p>
    <w:p w14:paraId="1535A31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（10）向政府部门报告的基本内容</w:t>
      </w:r>
    </w:p>
    <w:p w14:paraId="3F12C36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a、</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名称、及周边概况</w:t>
      </w:r>
      <w:r>
        <w:rPr>
          <w:rFonts w:hint="eastAsia" w:ascii="Times New Roman" w:hAnsi="Times New Roman" w:cs="Times New Roman" w:eastAsiaTheme="minorEastAsia"/>
          <w:bCs/>
          <w:color w:val="auto"/>
          <w:kern w:val="0"/>
          <w:sz w:val="24"/>
          <w:szCs w:val="24"/>
          <w:highlight w:val="none"/>
          <w:lang w:eastAsia="zh-CN"/>
        </w:rPr>
        <w:t>；</w:t>
      </w:r>
    </w:p>
    <w:p w14:paraId="060A38D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b、事故发生时间、地点、装臵、设备</w:t>
      </w:r>
      <w:r>
        <w:rPr>
          <w:rFonts w:hint="eastAsia" w:ascii="Times New Roman" w:hAnsi="Times New Roman" w:cs="Times New Roman" w:eastAsiaTheme="minorEastAsia"/>
          <w:bCs/>
          <w:color w:val="auto"/>
          <w:kern w:val="0"/>
          <w:sz w:val="24"/>
          <w:szCs w:val="24"/>
          <w:highlight w:val="none"/>
          <w:lang w:eastAsia="zh-CN"/>
        </w:rPr>
        <w:t>；</w:t>
      </w:r>
    </w:p>
    <w:p w14:paraId="1435DB4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c、涉及物质，事故类型：火灾、中毒、泄漏等</w:t>
      </w:r>
      <w:r>
        <w:rPr>
          <w:rFonts w:hint="eastAsia" w:ascii="Times New Roman" w:hAnsi="Times New Roman" w:cs="Times New Roman" w:eastAsiaTheme="minorEastAsia"/>
          <w:bCs/>
          <w:color w:val="auto"/>
          <w:kern w:val="0"/>
          <w:sz w:val="24"/>
          <w:szCs w:val="24"/>
          <w:highlight w:val="none"/>
          <w:lang w:eastAsia="zh-CN"/>
        </w:rPr>
        <w:t>；</w:t>
      </w:r>
    </w:p>
    <w:p w14:paraId="3CCB9B2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d、简要经过：事故伤亡情况、严重程度，有无被困人员；</w:t>
      </w:r>
    </w:p>
    <w:p w14:paraId="0A9D1F5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e、已采取的应急措施和将要采取的措施</w:t>
      </w:r>
      <w:r>
        <w:rPr>
          <w:rFonts w:hint="eastAsia" w:ascii="Times New Roman" w:hAnsi="Times New Roman" w:cs="Times New Roman" w:eastAsiaTheme="minorEastAsia"/>
          <w:bCs/>
          <w:color w:val="auto"/>
          <w:kern w:val="0"/>
          <w:sz w:val="24"/>
          <w:szCs w:val="24"/>
          <w:highlight w:val="none"/>
          <w:lang w:eastAsia="zh-CN"/>
        </w:rPr>
        <w:t>；</w:t>
      </w:r>
    </w:p>
    <w:p w14:paraId="3AF9033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f、事故可能的原因和影响范围（已造成或者可能造成的污染情况）</w:t>
      </w:r>
      <w:r>
        <w:rPr>
          <w:rFonts w:hint="eastAsia" w:ascii="Times New Roman" w:hAnsi="Times New Roman" w:cs="Times New Roman" w:eastAsiaTheme="minorEastAsia"/>
          <w:bCs/>
          <w:color w:val="auto"/>
          <w:kern w:val="0"/>
          <w:sz w:val="24"/>
          <w:szCs w:val="24"/>
          <w:highlight w:val="none"/>
          <w:lang w:eastAsia="zh-CN"/>
        </w:rPr>
        <w:t>；</w:t>
      </w:r>
    </w:p>
    <w:p w14:paraId="42C75B4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g、请求支持的内容等。</w:t>
      </w:r>
    </w:p>
    <w:p w14:paraId="76DF7EB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color w:val="auto"/>
          <w:sz w:val="24"/>
          <w:szCs w:val="24"/>
          <w:highlight w:val="none"/>
        </w:rPr>
        <w:t>公司内设24小时值班室，</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内部可通过呼机相互联系。在生产过程中，如岗位操作人员或巡检时发现环境事件，应立即报告并采取相应措施处理，由</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决定是否通知互救协议单位。</w:t>
      </w:r>
    </w:p>
    <w:p w14:paraId="40363C82">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98" w:name="_Toc24018"/>
      <w:bookmarkStart w:id="299" w:name="_Toc18214"/>
      <w:bookmarkStart w:id="300" w:name="_Toc31849"/>
      <w:bookmarkStart w:id="301" w:name="_Toc9580"/>
      <w:bookmarkStart w:id="302" w:name="_Toc522093865"/>
      <w:bookmarkStart w:id="303" w:name="_Toc5136"/>
      <w:bookmarkStart w:id="304" w:name="_Toc24997"/>
      <w:r>
        <w:rPr>
          <w:rFonts w:hint="default" w:ascii="Times New Roman" w:hAnsi="Times New Roman" w:cs="Times New Roman" w:eastAsiaTheme="minorEastAsia"/>
          <w:color w:val="auto"/>
          <w:sz w:val="24"/>
          <w:szCs w:val="24"/>
          <w:highlight w:val="none"/>
        </w:rPr>
        <w:t>4.1.2 信息上报</w:t>
      </w:r>
      <w:bookmarkEnd w:id="298"/>
      <w:bookmarkEnd w:id="299"/>
      <w:bookmarkEnd w:id="300"/>
      <w:bookmarkEnd w:id="301"/>
      <w:bookmarkEnd w:id="302"/>
      <w:bookmarkEnd w:id="303"/>
      <w:bookmarkEnd w:id="304"/>
    </w:p>
    <w:p w14:paraId="01D9D71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上报流程：</w:t>
      </w:r>
      <w:r>
        <w:rPr>
          <w:rFonts w:hint="eastAsia" w:ascii="Times New Roman" w:hAnsi="Times New Roman" w:cs="Times New Roman" w:eastAsiaTheme="minorEastAsia"/>
          <w:color w:val="auto"/>
          <w:sz w:val="24"/>
          <w:szCs w:val="24"/>
          <w:highlight w:val="none"/>
          <w:lang w:eastAsia="zh-CN"/>
        </w:rPr>
        <w:t>应急救援指挥组</w:t>
      </w:r>
      <w:r>
        <w:rPr>
          <w:rFonts w:hint="eastAsia" w:ascii="Times New Roman" w:hAnsi="Times New Roman" w:cs="Times New Roman" w:eastAsiaTheme="minorEastAsia"/>
          <w:color w:val="auto"/>
          <w:sz w:val="24"/>
          <w:szCs w:val="24"/>
          <w:highlight w:val="none"/>
          <w:lang w:val="en-US" w:eastAsia="zh-CN"/>
        </w:rPr>
        <w:t>→海安大公镇和</w:t>
      </w:r>
      <w:r>
        <w:rPr>
          <w:rFonts w:hint="default" w:ascii="Times New Roman" w:hAnsi="Times New Roman" w:cs="Times New Roman" w:eastAsiaTheme="minorEastAsia"/>
          <w:color w:val="auto"/>
          <w:sz w:val="24"/>
          <w:szCs w:val="24"/>
          <w:highlight w:val="none"/>
        </w:rPr>
        <w:t>南通市海安生态环境局</w:t>
      </w:r>
      <w:r>
        <w:rPr>
          <w:rFonts w:hint="eastAsia" w:ascii="Times New Roman" w:hAnsi="Times New Roman" w:cs="Times New Roman" w:eastAsiaTheme="minorEastAsia"/>
          <w:color w:val="auto"/>
          <w:sz w:val="24"/>
          <w:szCs w:val="24"/>
          <w:highlight w:val="none"/>
          <w:lang w:val="en-US" w:eastAsia="zh-CN"/>
        </w:rPr>
        <w:t>→海安市人民政府</w:t>
      </w:r>
      <w:r>
        <w:rPr>
          <w:rFonts w:hint="default" w:ascii="Times New Roman" w:hAnsi="Times New Roman" w:cs="Times New Roman" w:eastAsiaTheme="minorEastAsia"/>
          <w:color w:val="auto"/>
          <w:sz w:val="24"/>
          <w:szCs w:val="24"/>
          <w:highlight w:val="none"/>
        </w:rPr>
        <w:t>。</w:t>
      </w:r>
    </w:p>
    <w:p w14:paraId="7F740E6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当事件已经或可能对</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外环境造成影响时，应急总指挥</w:t>
      </w:r>
      <w:r>
        <w:rPr>
          <w:rFonts w:hint="eastAsia" w:ascii="Times New Roman" w:hAnsi="Times New Roman" w:cs="Times New Roman" w:eastAsiaTheme="minorEastAsia"/>
          <w:bCs/>
          <w:color w:val="auto"/>
          <w:kern w:val="0"/>
          <w:sz w:val="24"/>
          <w:szCs w:val="24"/>
          <w:highlight w:val="none"/>
          <w:lang w:eastAsia="zh-CN"/>
        </w:rPr>
        <w:t>（</w:t>
      </w:r>
      <w:r>
        <w:rPr>
          <w:rFonts w:hint="eastAsia" w:ascii="Times New Roman" w:hAnsi="Times New Roman" w:cs="Times New Roman" w:eastAsiaTheme="minorEastAsia"/>
          <w:bCs/>
          <w:color w:val="auto"/>
          <w:kern w:val="0"/>
          <w:sz w:val="24"/>
          <w:szCs w:val="24"/>
          <w:highlight w:val="none"/>
          <w:lang w:val="en-US" w:eastAsia="zh-CN"/>
        </w:rPr>
        <w:t>邹志文</w:t>
      </w:r>
      <w:r>
        <w:rPr>
          <w:rFonts w:hint="eastAsia" w:ascii="Times New Roman" w:hAnsi="Times New Roman" w:cs="Times New Roman" w:eastAsiaTheme="minorEastAsia"/>
          <w:bCs/>
          <w:color w:val="auto"/>
          <w:kern w:val="0"/>
          <w:sz w:val="24"/>
          <w:szCs w:val="24"/>
          <w:highlight w:val="none"/>
          <w:lang w:eastAsia="zh-CN"/>
        </w:rPr>
        <w:t>）</w:t>
      </w:r>
      <w:r>
        <w:rPr>
          <w:rFonts w:hint="default" w:ascii="Times New Roman" w:hAnsi="Times New Roman" w:cs="Times New Roman" w:eastAsiaTheme="minorEastAsia"/>
          <w:bCs/>
          <w:color w:val="auto"/>
          <w:kern w:val="0"/>
          <w:sz w:val="24"/>
          <w:szCs w:val="24"/>
          <w:highlight w:val="none"/>
        </w:rPr>
        <w:t>应立即通过固定电话、手机等手段向</w:t>
      </w:r>
      <w:r>
        <w:rPr>
          <w:rFonts w:hint="eastAsia" w:ascii="Times New Roman" w:hAnsi="Times New Roman" w:cs="Times New Roman" w:eastAsiaTheme="minorEastAsia"/>
          <w:bCs/>
          <w:color w:val="auto"/>
          <w:kern w:val="0"/>
          <w:sz w:val="24"/>
          <w:szCs w:val="24"/>
          <w:highlight w:val="none"/>
          <w:lang w:eastAsia="zh-CN"/>
        </w:rPr>
        <w:t>海安大公镇</w:t>
      </w:r>
      <w:r>
        <w:rPr>
          <w:rFonts w:hint="eastAsia" w:ascii="Times New Roman" w:hAnsi="Times New Roman" w:cs="Times New Roman" w:eastAsiaTheme="minorEastAsia"/>
          <w:bCs/>
          <w:color w:val="auto"/>
          <w:kern w:val="0"/>
          <w:sz w:val="24"/>
          <w:szCs w:val="24"/>
          <w:highlight w:val="none"/>
          <w:lang w:val="en-US" w:eastAsia="zh-CN"/>
        </w:rPr>
        <w:t>和</w:t>
      </w:r>
      <w:r>
        <w:rPr>
          <w:rFonts w:hint="default" w:ascii="Times New Roman" w:hAnsi="Times New Roman" w:cs="Times New Roman" w:eastAsiaTheme="minorEastAsia"/>
          <w:bCs/>
          <w:color w:val="auto"/>
          <w:kern w:val="0"/>
          <w:sz w:val="24"/>
          <w:szCs w:val="24"/>
          <w:highlight w:val="none"/>
        </w:rPr>
        <w:t>南通市海安生态环境局上报信息。</w:t>
      </w:r>
    </w:p>
    <w:p w14:paraId="5617F61D">
      <w:pPr>
        <w:pStyle w:val="16"/>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b/>
          <w:color w:val="auto"/>
          <w:kern w:val="0"/>
          <w:sz w:val="24"/>
          <w:szCs w:val="24"/>
          <w:highlight w:val="none"/>
        </w:rPr>
        <w:t>上报流程及时限：</w:t>
      </w:r>
      <w:r>
        <w:rPr>
          <w:rFonts w:hint="default" w:ascii="Times New Roman" w:hAnsi="Times New Roman" w:cs="Times New Roman" w:eastAsiaTheme="minorEastAsia"/>
          <w:snapToGrid w:val="0"/>
          <w:color w:val="auto"/>
          <w:kern w:val="0"/>
          <w:sz w:val="24"/>
          <w:szCs w:val="24"/>
          <w:highlight w:val="none"/>
        </w:rPr>
        <w:t>在发生一般性</w:t>
      </w:r>
      <w:r>
        <w:rPr>
          <w:rFonts w:hint="eastAsia" w:ascii="Times New Roman" w:hAnsi="Times New Roman" w:cs="Times New Roman" w:eastAsiaTheme="minorEastAsia"/>
          <w:snapToGrid w:val="0"/>
          <w:color w:val="auto"/>
          <w:kern w:val="0"/>
          <w:sz w:val="24"/>
          <w:szCs w:val="24"/>
          <w:highlight w:val="none"/>
          <w:lang w:eastAsia="zh-CN"/>
        </w:rPr>
        <w:t>（</w:t>
      </w:r>
      <w:r>
        <w:rPr>
          <w:rFonts w:hint="eastAsia" w:ascii="Times New Roman" w:hAnsi="Times New Roman" w:cs="Times New Roman" w:eastAsiaTheme="minorEastAsia"/>
          <w:snapToGrid w:val="0"/>
          <w:color w:val="auto"/>
          <w:kern w:val="0"/>
          <w:sz w:val="24"/>
          <w:szCs w:val="24"/>
          <w:highlight w:val="none"/>
          <w:lang w:val="en-US" w:eastAsia="zh-CN"/>
        </w:rPr>
        <w:t>公司</w:t>
      </w:r>
      <w:r>
        <w:rPr>
          <w:rFonts w:hint="default" w:ascii="Times New Roman" w:hAnsi="Times New Roman" w:cs="Times New Roman" w:eastAsiaTheme="minorEastAsia"/>
          <w:snapToGrid w:val="0"/>
          <w:color w:val="auto"/>
          <w:kern w:val="0"/>
          <w:sz w:val="24"/>
          <w:szCs w:val="24"/>
          <w:highlight w:val="none"/>
        </w:rPr>
        <w:t>Ⅲ</w:t>
      </w:r>
      <w:r>
        <w:rPr>
          <w:rFonts w:hint="eastAsia" w:ascii="Times New Roman" w:hAnsi="Times New Roman" w:cs="Times New Roman" w:eastAsiaTheme="minorEastAsia"/>
          <w:snapToGrid w:val="0"/>
          <w:color w:val="auto"/>
          <w:kern w:val="0"/>
          <w:sz w:val="24"/>
          <w:szCs w:val="24"/>
          <w:highlight w:val="none"/>
          <w:lang w:val="en-US" w:eastAsia="zh-CN"/>
        </w:rPr>
        <w:t>级</w:t>
      </w:r>
      <w:r>
        <w:rPr>
          <w:rFonts w:hint="eastAsia" w:ascii="Times New Roman" w:hAnsi="Times New Roman" w:cs="Times New Roman" w:eastAsiaTheme="minorEastAsia"/>
          <w:snapToGrid w:val="0"/>
          <w:color w:val="auto"/>
          <w:kern w:val="0"/>
          <w:sz w:val="24"/>
          <w:szCs w:val="24"/>
          <w:highlight w:val="none"/>
          <w:lang w:eastAsia="zh-CN"/>
        </w:rPr>
        <w:t>）</w:t>
      </w:r>
      <w:r>
        <w:rPr>
          <w:rFonts w:hint="default" w:ascii="Times New Roman" w:hAnsi="Times New Roman" w:cs="Times New Roman" w:eastAsiaTheme="minorEastAsia"/>
          <w:snapToGrid w:val="0"/>
          <w:color w:val="auto"/>
          <w:kern w:val="0"/>
          <w:sz w:val="24"/>
          <w:szCs w:val="24"/>
          <w:highlight w:val="none"/>
        </w:rPr>
        <w:t>的突发环境污染事件后，厂内</w:t>
      </w:r>
      <w:r>
        <w:rPr>
          <w:rFonts w:hint="eastAsia" w:ascii="Times New Roman" w:hAnsi="Times New Roman" w:cs="Times New Roman" w:eastAsiaTheme="minorEastAsia"/>
          <w:snapToGrid w:val="0"/>
          <w:color w:val="auto"/>
          <w:kern w:val="0"/>
          <w:sz w:val="24"/>
          <w:szCs w:val="24"/>
          <w:highlight w:val="none"/>
          <w:lang w:eastAsia="zh-CN"/>
        </w:rPr>
        <w:t>应急救援指挥组</w:t>
      </w:r>
      <w:r>
        <w:rPr>
          <w:rFonts w:hint="default" w:ascii="Times New Roman" w:hAnsi="Times New Roman" w:cs="Times New Roman" w:eastAsiaTheme="minorEastAsia"/>
          <w:snapToGrid w:val="0"/>
          <w:color w:val="auto"/>
          <w:kern w:val="0"/>
          <w:sz w:val="24"/>
          <w:szCs w:val="24"/>
          <w:highlight w:val="none"/>
        </w:rPr>
        <w:t>应在</w:t>
      </w:r>
      <w:r>
        <w:rPr>
          <w:rFonts w:hint="eastAsia" w:ascii="Times New Roman" w:hAnsi="Times New Roman" w:cs="Times New Roman" w:eastAsiaTheme="minorEastAsia"/>
          <w:snapToGrid w:val="0"/>
          <w:color w:val="auto"/>
          <w:kern w:val="0"/>
          <w:sz w:val="24"/>
          <w:szCs w:val="24"/>
          <w:highlight w:val="none"/>
          <w:lang w:val="en-US" w:eastAsia="zh-CN"/>
        </w:rPr>
        <w:t>1小时</w:t>
      </w:r>
      <w:r>
        <w:rPr>
          <w:rFonts w:hint="default" w:ascii="Times New Roman" w:hAnsi="Times New Roman" w:cs="Times New Roman" w:eastAsiaTheme="minorEastAsia"/>
          <w:snapToGrid w:val="0"/>
          <w:color w:val="auto"/>
          <w:kern w:val="0"/>
          <w:sz w:val="24"/>
          <w:szCs w:val="24"/>
          <w:highlight w:val="none"/>
        </w:rPr>
        <w:t>内向</w:t>
      </w:r>
      <w:r>
        <w:rPr>
          <w:rFonts w:hint="eastAsia" w:ascii="Times New Roman" w:hAnsi="Times New Roman" w:cs="Times New Roman" w:eastAsiaTheme="minorEastAsia"/>
          <w:snapToGrid w:val="0"/>
          <w:color w:val="auto"/>
          <w:kern w:val="0"/>
          <w:sz w:val="24"/>
          <w:szCs w:val="24"/>
          <w:highlight w:val="none"/>
          <w:lang w:eastAsia="zh-CN"/>
        </w:rPr>
        <w:t>海安大公镇</w:t>
      </w:r>
      <w:r>
        <w:rPr>
          <w:rFonts w:hint="eastAsia" w:ascii="Times New Roman" w:hAnsi="Times New Roman" w:cs="Times New Roman" w:eastAsiaTheme="minorEastAsia"/>
          <w:snapToGrid w:val="0"/>
          <w:color w:val="auto"/>
          <w:kern w:val="0"/>
          <w:sz w:val="24"/>
          <w:szCs w:val="24"/>
          <w:highlight w:val="none"/>
          <w:lang w:val="en-US" w:eastAsia="zh-CN"/>
        </w:rPr>
        <w:t>和</w:t>
      </w:r>
      <w:r>
        <w:rPr>
          <w:rFonts w:hint="default" w:ascii="Times New Roman" w:hAnsi="Times New Roman" w:cs="Times New Roman" w:eastAsiaTheme="minorEastAsia"/>
          <w:snapToGrid w:val="0"/>
          <w:color w:val="auto"/>
          <w:kern w:val="0"/>
          <w:sz w:val="24"/>
          <w:szCs w:val="24"/>
          <w:highlight w:val="none"/>
        </w:rPr>
        <w:t>南通市海安生态环境局报告。</w:t>
      </w:r>
    </w:p>
    <w:p w14:paraId="140E63BE">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在发生较大</w:t>
      </w:r>
      <w:r>
        <w:rPr>
          <w:rFonts w:hint="eastAsia" w:ascii="Times New Roman" w:hAnsi="Times New Roman" w:cs="Times New Roman" w:eastAsiaTheme="minorEastAsia"/>
          <w:snapToGrid w:val="0"/>
          <w:color w:val="auto"/>
          <w:kern w:val="0"/>
          <w:sz w:val="24"/>
          <w:szCs w:val="24"/>
          <w:highlight w:val="none"/>
          <w:lang w:eastAsia="zh-CN"/>
        </w:rPr>
        <w:t>（</w:t>
      </w:r>
      <w:r>
        <w:rPr>
          <w:rFonts w:hint="eastAsia" w:ascii="Times New Roman" w:hAnsi="Times New Roman" w:cs="Times New Roman" w:eastAsiaTheme="minorEastAsia"/>
          <w:snapToGrid w:val="0"/>
          <w:color w:val="auto"/>
          <w:kern w:val="0"/>
          <w:sz w:val="24"/>
          <w:szCs w:val="24"/>
          <w:highlight w:val="none"/>
          <w:lang w:val="en-US" w:eastAsia="zh-CN"/>
        </w:rPr>
        <w:t>公司</w:t>
      </w:r>
      <w:r>
        <w:rPr>
          <w:rFonts w:hint="default" w:ascii="Times New Roman" w:hAnsi="Times New Roman" w:cs="Times New Roman" w:eastAsiaTheme="minorEastAsia"/>
          <w:snapToGrid w:val="0"/>
          <w:color w:val="auto"/>
          <w:kern w:val="0"/>
          <w:sz w:val="24"/>
          <w:szCs w:val="24"/>
          <w:highlight w:val="none"/>
        </w:rPr>
        <w:t>Ⅱ</w:t>
      </w:r>
      <w:r>
        <w:rPr>
          <w:rFonts w:hint="eastAsia" w:ascii="Times New Roman" w:hAnsi="Times New Roman" w:cs="Times New Roman" w:eastAsiaTheme="minorEastAsia"/>
          <w:snapToGrid w:val="0"/>
          <w:color w:val="auto"/>
          <w:kern w:val="0"/>
          <w:sz w:val="24"/>
          <w:szCs w:val="24"/>
          <w:highlight w:val="none"/>
          <w:lang w:val="en-US" w:eastAsia="zh-CN"/>
        </w:rPr>
        <w:t>级</w:t>
      </w:r>
      <w:r>
        <w:rPr>
          <w:rFonts w:hint="eastAsia" w:ascii="Times New Roman" w:hAnsi="Times New Roman" w:cs="Times New Roman" w:eastAsiaTheme="minorEastAsia"/>
          <w:snapToGrid w:val="0"/>
          <w:color w:val="auto"/>
          <w:kern w:val="0"/>
          <w:sz w:val="24"/>
          <w:szCs w:val="24"/>
          <w:highlight w:val="none"/>
          <w:lang w:eastAsia="zh-CN"/>
        </w:rPr>
        <w:t>）</w:t>
      </w:r>
      <w:r>
        <w:rPr>
          <w:rFonts w:hint="default" w:ascii="Times New Roman" w:hAnsi="Times New Roman" w:cs="Times New Roman" w:eastAsiaTheme="minorEastAsia"/>
          <w:snapToGrid w:val="0"/>
          <w:color w:val="auto"/>
          <w:kern w:val="0"/>
          <w:sz w:val="24"/>
          <w:szCs w:val="24"/>
          <w:highlight w:val="none"/>
        </w:rPr>
        <w:t>或重</w:t>
      </w:r>
      <w:r>
        <w:rPr>
          <w:rFonts w:hint="eastAsia" w:ascii="Times New Roman" w:hAnsi="Times New Roman" w:cs="Times New Roman" w:eastAsiaTheme="minorEastAsia"/>
          <w:snapToGrid w:val="0"/>
          <w:color w:val="auto"/>
          <w:kern w:val="0"/>
          <w:sz w:val="24"/>
          <w:szCs w:val="24"/>
          <w:highlight w:val="none"/>
          <w:lang w:val="en-US" w:eastAsia="zh-CN"/>
        </w:rPr>
        <w:t>大</w:t>
      </w:r>
      <w:r>
        <w:rPr>
          <w:rFonts w:hint="eastAsia" w:ascii="Times New Roman" w:hAnsi="Times New Roman" w:cs="Times New Roman" w:eastAsiaTheme="minorEastAsia"/>
          <w:snapToGrid w:val="0"/>
          <w:color w:val="auto"/>
          <w:kern w:val="0"/>
          <w:sz w:val="24"/>
          <w:szCs w:val="24"/>
          <w:highlight w:val="none"/>
          <w:lang w:eastAsia="zh-CN"/>
        </w:rPr>
        <w:t>（</w:t>
      </w:r>
      <w:r>
        <w:rPr>
          <w:rFonts w:hint="eastAsia" w:ascii="Times New Roman" w:hAnsi="Times New Roman" w:cs="Times New Roman" w:eastAsiaTheme="minorEastAsia"/>
          <w:snapToGrid w:val="0"/>
          <w:color w:val="auto"/>
          <w:kern w:val="0"/>
          <w:sz w:val="24"/>
          <w:szCs w:val="24"/>
          <w:highlight w:val="none"/>
          <w:lang w:val="en-US" w:eastAsia="zh-CN"/>
        </w:rPr>
        <w:t>公司</w:t>
      </w:r>
      <w:r>
        <w:rPr>
          <w:rFonts w:hint="default" w:ascii="Times New Roman" w:hAnsi="Times New Roman" w:cs="Times New Roman" w:eastAsiaTheme="minorEastAsia"/>
          <w:snapToGrid w:val="0"/>
          <w:color w:val="auto"/>
          <w:kern w:val="0"/>
          <w:sz w:val="24"/>
          <w:szCs w:val="24"/>
          <w:highlight w:val="none"/>
        </w:rPr>
        <w:t>Ⅰ</w:t>
      </w:r>
      <w:r>
        <w:rPr>
          <w:rFonts w:hint="eastAsia" w:ascii="Times New Roman" w:hAnsi="Times New Roman" w:cs="Times New Roman" w:eastAsiaTheme="minorEastAsia"/>
          <w:snapToGrid w:val="0"/>
          <w:color w:val="auto"/>
          <w:kern w:val="0"/>
          <w:sz w:val="24"/>
          <w:szCs w:val="24"/>
          <w:highlight w:val="none"/>
          <w:lang w:val="en-US" w:eastAsia="zh-CN"/>
        </w:rPr>
        <w:t>级</w:t>
      </w:r>
      <w:r>
        <w:rPr>
          <w:rFonts w:hint="eastAsia" w:ascii="Times New Roman" w:hAnsi="Times New Roman" w:cs="Times New Roman" w:eastAsiaTheme="minorEastAsia"/>
          <w:snapToGrid w:val="0"/>
          <w:color w:val="auto"/>
          <w:kern w:val="0"/>
          <w:sz w:val="24"/>
          <w:szCs w:val="24"/>
          <w:highlight w:val="none"/>
          <w:lang w:eastAsia="zh-CN"/>
        </w:rPr>
        <w:t>）</w:t>
      </w:r>
      <w:r>
        <w:rPr>
          <w:rFonts w:hint="default" w:ascii="Times New Roman" w:hAnsi="Times New Roman" w:cs="Times New Roman" w:eastAsiaTheme="minorEastAsia"/>
          <w:snapToGrid w:val="0"/>
          <w:color w:val="auto"/>
          <w:kern w:val="0"/>
          <w:sz w:val="24"/>
          <w:szCs w:val="24"/>
          <w:highlight w:val="none"/>
        </w:rPr>
        <w:t>的突发环境污染事件后，厂内</w:t>
      </w:r>
      <w:r>
        <w:rPr>
          <w:rFonts w:hint="eastAsia" w:ascii="Times New Roman" w:hAnsi="Times New Roman" w:cs="Times New Roman" w:eastAsiaTheme="minorEastAsia"/>
          <w:snapToGrid w:val="0"/>
          <w:color w:val="auto"/>
          <w:kern w:val="0"/>
          <w:sz w:val="24"/>
          <w:szCs w:val="24"/>
          <w:highlight w:val="none"/>
          <w:lang w:eastAsia="zh-CN"/>
        </w:rPr>
        <w:t>应急</w:t>
      </w:r>
      <w:r>
        <w:rPr>
          <w:rFonts w:hint="eastAsia" w:ascii="Times New Roman" w:hAnsi="Times New Roman" w:cs="Times New Roman" w:eastAsiaTheme="minorEastAsia"/>
          <w:snapToGrid w:val="0"/>
          <w:color w:val="auto"/>
          <w:kern w:val="0"/>
          <w:sz w:val="24"/>
          <w:szCs w:val="24"/>
          <w:highlight w:val="none"/>
          <w:lang w:val="en-US" w:eastAsia="zh-CN"/>
        </w:rPr>
        <w:t>总指挥</w:t>
      </w:r>
      <w:r>
        <w:rPr>
          <w:rFonts w:hint="default" w:ascii="Times New Roman" w:hAnsi="Times New Roman" w:cs="Times New Roman" w:eastAsiaTheme="minorEastAsia"/>
          <w:snapToGrid w:val="0"/>
          <w:color w:val="auto"/>
          <w:kern w:val="0"/>
          <w:sz w:val="24"/>
          <w:szCs w:val="24"/>
          <w:highlight w:val="none"/>
        </w:rPr>
        <w:t>应立即向</w:t>
      </w:r>
      <w:r>
        <w:rPr>
          <w:rFonts w:hint="eastAsia" w:ascii="Times New Roman" w:hAnsi="Times New Roman" w:cs="Times New Roman" w:eastAsiaTheme="minorEastAsia"/>
          <w:snapToGrid w:val="0"/>
          <w:color w:val="auto"/>
          <w:kern w:val="0"/>
          <w:sz w:val="24"/>
          <w:szCs w:val="24"/>
          <w:highlight w:val="none"/>
          <w:lang w:eastAsia="zh-CN"/>
        </w:rPr>
        <w:t>海安大公镇</w:t>
      </w:r>
      <w:r>
        <w:rPr>
          <w:rFonts w:hint="eastAsia" w:ascii="Times New Roman" w:hAnsi="Times New Roman" w:cs="Times New Roman" w:eastAsiaTheme="minorEastAsia"/>
          <w:snapToGrid w:val="0"/>
          <w:color w:val="auto"/>
          <w:kern w:val="0"/>
          <w:sz w:val="24"/>
          <w:szCs w:val="24"/>
          <w:highlight w:val="none"/>
          <w:lang w:val="en-US" w:eastAsia="zh-CN"/>
        </w:rPr>
        <w:t>和</w:t>
      </w:r>
      <w:r>
        <w:rPr>
          <w:rFonts w:hint="default" w:ascii="Times New Roman" w:hAnsi="Times New Roman" w:cs="Times New Roman" w:eastAsiaTheme="minorEastAsia"/>
          <w:snapToGrid w:val="0"/>
          <w:color w:val="auto"/>
          <w:kern w:val="0"/>
          <w:sz w:val="24"/>
          <w:szCs w:val="24"/>
          <w:highlight w:val="none"/>
        </w:rPr>
        <w:t>南通市海安生态环境局报告</w:t>
      </w:r>
      <w:r>
        <w:rPr>
          <w:rFonts w:hint="eastAsia" w:ascii="Times New Roman" w:hAnsi="Times New Roman" w:cs="Times New Roman" w:eastAsiaTheme="minorEastAsia"/>
          <w:snapToGrid w:val="0"/>
          <w:color w:val="auto"/>
          <w:kern w:val="0"/>
          <w:sz w:val="24"/>
          <w:szCs w:val="24"/>
          <w:highlight w:val="none"/>
          <w:lang w:eastAsia="zh-CN"/>
        </w:rPr>
        <w:t>，</w:t>
      </w:r>
      <w:r>
        <w:rPr>
          <w:rFonts w:hint="eastAsia" w:ascii="Times New Roman" w:hAnsi="Times New Roman" w:cs="Times New Roman" w:eastAsiaTheme="minorEastAsia"/>
          <w:snapToGrid w:val="0"/>
          <w:color w:val="auto"/>
          <w:kern w:val="0"/>
          <w:sz w:val="24"/>
          <w:szCs w:val="24"/>
          <w:highlight w:val="none"/>
          <w:lang w:val="en-US" w:eastAsia="zh-CN"/>
        </w:rPr>
        <w:t>同时向海安市环境安全应急与事故调查处置中心报告</w:t>
      </w:r>
      <w:r>
        <w:rPr>
          <w:rFonts w:hint="default" w:ascii="Times New Roman" w:hAnsi="Times New Roman" w:cs="Times New Roman" w:eastAsiaTheme="minorEastAsia"/>
          <w:snapToGrid w:val="0"/>
          <w:color w:val="auto"/>
          <w:kern w:val="0"/>
          <w:sz w:val="24"/>
          <w:szCs w:val="24"/>
          <w:highlight w:val="none"/>
        </w:rPr>
        <w:t>。</w:t>
      </w:r>
    </w:p>
    <w:p w14:paraId="3B9CBE49">
      <w:pPr>
        <w:pStyle w:val="16"/>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b/>
          <w:color w:val="auto"/>
          <w:kern w:val="0"/>
          <w:sz w:val="24"/>
          <w:szCs w:val="24"/>
          <w:highlight w:val="none"/>
        </w:rPr>
        <w:t>上报内容：</w:t>
      </w:r>
      <w:r>
        <w:rPr>
          <w:rFonts w:hint="default" w:ascii="Times New Roman" w:hAnsi="Times New Roman" w:cs="Times New Roman" w:eastAsiaTheme="minorEastAsia"/>
          <w:snapToGrid w:val="0"/>
          <w:color w:val="auto"/>
          <w:kern w:val="0"/>
          <w:sz w:val="24"/>
          <w:szCs w:val="24"/>
          <w:highlight w:val="none"/>
        </w:rPr>
        <w:t>突发事故的报告分为初报、续报和处理结果报告三类：</w:t>
      </w:r>
    </w:p>
    <w:p w14:paraId="5E303C9F">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①初报从发现事件后起半小时内上报。初报可用电话或直接报告，主要内容包括：环境事件的类型、发生时间、地点、污染源、主要污染物质、下风向可能受影响的目标、人员受害等初步情况。</w:t>
      </w:r>
    </w:p>
    <w:p w14:paraId="63D75F46">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②续报在查清有关基本情况后随时上报。续报可通过电话、网络或书面报告，在初报的基础上报告有关确切数据，事件发生的原因、过程、进展情况及采取的应急措施等基本情况。</w:t>
      </w:r>
    </w:p>
    <w:p w14:paraId="5D93B6E8">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③处理结果报告在事件处理完毕后立即上报。处理结果报告采用书面报告，处理结果报告在初报和续报的基础上，报告处理事件的措施、过程和结果，事件潜在或间接的危害、社会影响、处理后的遗留问题，参加处理工作的有关部门和工作内容，出具有关危害与损失的证明文件等详细情况。</w:t>
      </w:r>
    </w:p>
    <w:p w14:paraId="5401F511">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报告应采用适当方式，避免在当地群众中造成不利影响。各部门之间的信息交换按照相关规定程序执行。</w:t>
      </w:r>
    </w:p>
    <w:p w14:paraId="3141266A">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书面报告中应当载明突发环境事件报告单位、报告签发人（由</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snapToGrid w:val="0"/>
          <w:color w:val="auto"/>
          <w:kern w:val="0"/>
          <w:sz w:val="24"/>
          <w:szCs w:val="24"/>
          <w:highlight w:val="none"/>
        </w:rPr>
        <w:t>签发）、联系人及联系方式等内容，并尽可能提供地图、图片以及相关的多媒体资料。</w:t>
      </w:r>
    </w:p>
    <w:p w14:paraId="1044F466">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信息接报、处理、上报等规范化格式详见附件。报告的底稿应保留归档。</w:t>
      </w:r>
    </w:p>
    <w:p w14:paraId="13004A1F">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信息上报由总指挥</w:t>
      </w:r>
      <w:r>
        <w:rPr>
          <w:rFonts w:hint="eastAsia" w:ascii="Times New Roman" w:hAnsi="Times New Roman" w:cs="Times New Roman" w:eastAsiaTheme="minorEastAsia"/>
          <w:snapToGrid w:val="0"/>
          <w:color w:val="auto"/>
          <w:kern w:val="0"/>
          <w:sz w:val="24"/>
          <w:szCs w:val="24"/>
          <w:highlight w:val="none"/>
          <w:lang w:eastAsia="zh-CN"/>
        </w:rPr>
        <w:t>邹志文</w:t>
      </w:r>
      <w:r>
        <w:rPr>
          <w:rFonts w:hint="default" w:ascii="Times New Roman" w:hAnsi="Times New Roman" w:cs="Times New Roman" w:eastAsiaTheme="minorEastAsia"/>
          <w:snapToGrid w:val="0"/>
          <w:color w:val="auto"/>
          <w:kern w:val="0"/>
          <w:sz w:val="24"/>
          <w:szCs w:val="24"/>
          <w:highlight w:val="none"/>
        </w:rPr>
        <w:t>负责。上报有关部门的联系方式如下：</w:t>
      </w:r>
    </w:p>
    <w:p w14:paraId="7D55DBF4">
      <w:pPr>
        <w:pageBreakBefore w:val="0"/>
        <w:tabs>
          <w:tab w:val="left" w:pos="2110"/>
        </w:tabs>
        <w:kinsoku/>
        <w:overflowPunct/>
        <w:bidi w:val="0"/>
        <w:spacing w:line="500" w:lineRule="exact"/>
        <w:ind w:firstLine="562"/>
        <w:jc w:val="center"/>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b/>
          <w:color w:val="auto"/>
          <w:sz w:val="24"/>
          <w:szCs w:val="24"/>
          <w:highlight w:val="none"/>
        </w:rPr>
        <w:t>表4-2 被报告部门联系方式</w:t>
      </w:r>
    </w:p>
    <w:tbl>
      <w:tblPr>
        <w:tblStyle w:val="34"/>
        <w:tblW w:w="50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47"/>
        <w:gridCol w:w="3666"/>
        <w:gridCol w:w="2536"/>
        <w:gridCol w:w="2081"/>
      </w:tblGrid>
      <w:tr w14:paraId="13B6AE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tcBorders>
              <w:tl2br w:val="nil"/>
              <w:tr2bl w:val="nil"/>
            </w:tcBorders>
            <w:vAlign w:val="center"/>
          </w:tcPr>
          <w:p w14:paraId="49DE81C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1985" w:type="pct"/>
            <w:tcBorders>
              <w:tl2br w:val="nil"/>
              <w:tr2bl w:val="nil"/>
            </w:tcBorders>
            <w:vAlign w:val="center"/>
          </w:tcPr>
          <w:p w14:paraId="19DB876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部门名称</w:t>
            </w:r>
          </w:p>
        </w:tc>
        <w:tc>
          <w:tcPr>
            <w:tcW w:w="1373" w:type="pct"/>
            <w:tcBorders>
              <w:tl2br w:val="nil"/>
              <w:tr2bl w:val="nil"/>
            </w:tcBorders>
            <w:vAlign w:val="center"/>
          </w:tcPr>
          <w:p w14:paraId="07E6B12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值班电话</w:t>
            </w:r>
          </w:p>
        </w:tc>
        <w:tc>
          <w:tcPr>
            <w:tcW w:w="1127" w:type="pct"/>
            <w:tcBorders>
              <w:tl2br w:val="nil"/>
              <w:tr2bl w:val="nil"/>
            </w:tcBorders>
            <w:vAlign w:val="center"/>
          </w:tcPr>
          <w:p w14:paraId="74A1833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备注</w:t>
            </w:r>
          </w:p>
        </w:tc>
      </w:tr>
      <w:tr w14:paraId="2AE4CE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tcBorders>
              <w:tl2br w:val="nil"/>
              <w:tr2bl w:val="nil"/>
            </w:tcBorders>
            <w:vAlign w:val="center"/>
          </w:tcPr>
          <w:p w14:paraId="12D0EFD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1985" w:type="pct"/>
            <w:tcBorders>
              <w:tl2br w:val="nil"/>
              <w:tr2bl w:val="nil"/>
            </w:tcBorders>
            <w:vAlign w:val="center"/>
          </w:tcPr>
          <w:p w14:paraId="7B4CC03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373" w:type="pct"/>
            <w:tcBorders>
              <w:tl2br w:val="nil"/>
              <w:tr2bl w:val="nil"/>
            </w:tcBorders>
            <w:vAlign w:val="center"/>
          </w:tcPr>
          <w:p w14:paraId="76BD952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c>
          <w:tcPr>
            <w:tcW w:w="1127" w:type="pct"/>
            <w:tcBorders>
              <w:tl2br w:val="nil"/>
              <w:tr2bl w:val="nil"/>
            </w:tcBorders>
            <w:vAlign w:val="center"/>
          </w:tcPr>
          <w:p w14:paraId="5190081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49239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tcBorders>
              <w:tl2br w:val="nil"/>
              <w:tr2bl w:val="nil"/>
            </w:tcBorders>
            <w:vAlign w:val="center"/>
          </w:tcPr>
          <w:p w14:paraId="70CB9B85">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2</w:t>
            </w:r>
          </w:p>
        </w:tc>
        <w:tc>
          <w:tcPr>
            <w:tcW w:w="1985" w:type="pct"/>
            <w:tcBorders>
              <w:tl2br w:val="nil"/>
              <w:tr2bl w:val="nil"/>
            </w:tcBorders>
            <w:vAlign w:val="center"/>
          </w:tcPr>
          <w:p w14:paraId="1FC12B5C">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海安大公镇管委会</w:t>
            </w:r>
          </w:p>
        </w:tc>
        <w:tc>
          <w:tcPr>
            <w:tcW w:w="1373" w:type="pct"/>
            <w:tcBorders>
              <w:tl2br w:val="nil"/>
              <w:tr2bl w:val="nil"/>
            </w:tcBorders>
            <w:vAlign w:val="center"/>
          </w:tcPr>
          <w:p w14:paraId="66FDA5AE">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0513-88755101</w:t>
            </w:r>
          </w:p>
        </w:tc>
        <w:tc>
          <w:tcPr>
            <w:tcW w:w="1127" w:type="pct"/>
            <w:tcBorders>
              <w:tl2br w:val="nil"/>
              <w:tr2bl w:val="nil"/>
            </w:tcBorders>
            <w:vAlign w:val="center"/>
          </w:tcPr>
          <w:p w14:paraId="1CFC4DC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778609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tcBorders>
              <w:tl2br w:val="nil"/>
              <w:tr2bl w:val="nil"/>
            </w:tcBorders>
            <w:vAlign w:val="center"/>
          </w:tcPr>
          <w:p w14:paraId="5A023D53">
            <w:pPr>
              <w:pageBreakBefore w:val="0"/>
              <w:kinsoku/>
              <w:overflowPunct/>
              <w:bidi w:val="0"/>
              <w:spacing w:line="240" w:lineRule="auto"/>
              <w:jc w:val="center"/>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3</w:t>
            </w:r>
          </w:p>
        </w:tc>
        <w:tc>
          <w:tcPr>
            <w:tcW w:w="1985" w:type="pct"/>
            <w:tcBorders>
              <w:tl2br w:val="nil"/>
              <w:tr2bl w:val="nil"/>
            </w:tcBorders>
            <w:vAlign w:val="center"/>
          </w:tcPr>
          <w:p w14:paraId="200FC44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海安市人民政府</w:t>
            </w:r>
          </w:p>
        </w:tc>
        <w:tc>
          <w:tcPr>
            <w:tcW w:w="1373" w:type="pct"/>
            <w:tcBorders>
              <w:tl2br w:val="nil"/>
              <w:tr2bl w:val="nil"/>
            </w:tcBorders>
            <w:vAlign w:val="center"/>
          </w:tcPr>
          <w:p w14:paraId="01C8461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0513-81868035</w:t>
            </w:r>
          </w:p>
        </w:tc>
        <w:tc>
          <w:tcPr>
            <w:tcW w:w="1127" w:type="pct"/>
            <w:tcBorders>
              <w:tl2br w:val="nil"/>
              <w:tr2bl w:val="nil"/>
            </w:tcBorders>
            <w:vAlign w:val="center"/>
          </w:tcPr>
          <w:p w14:paraId="42265F0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2BDB8A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tcBorders>
              <w:tl2br w:val="nil"/>
              <w:tr2bl w:val="nil"/>
            </w:tcBorders>
            <w:vAlign w:val="center"/>
          </w:tcPr>
          <w:p w14:paraId="05C0715C">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4</w:t>
            </w:r>
          </w:p>
        </w:tc>
        <w:tc>
          <w:tcPr>
            <w:tcW w:w="1985" w:type="pct"/>
            <w:tcBorders>
              <w:tl2br w:val="nil"/>
              <w:tr2bl w:val="nil"/>
            </w:tcBorders>
            <w:vAlign w:val="center"/>
          </w:tcPr>
          <w:p w14:paraId="1C13B467">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海安市应急管理局</w:t>
            </w:r>
          </w:p>
        </w:tc>
        <w:tc>
          <w:tcPr>
            <w:tcW w:w="1373" w:type="pct"/>
            <w:tcBorders>
              <w:tl2br w:val="nil"/>
              <w:tr2bl w:val="nil"/>
            </w:tcBorders>
            <w:vAlign w:val="center"/>
          </w:tcPr>
          <w:p w14:paraId="41BB053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0513-88169805</w:t>
            </w:r>
          </w:p>
        </w:tc>
        <w:tc>
          <w:tcPr>
            <w:tcW w:w="1127" w:type="pct"/>
            <w:tcBorders>
              <w:tl2br w:val="nil"/>
              <w:tr2bl w:val="nil"/>
            </w:tcBorders>
            <w:vAlign w:val="center"/>
          </w:tcPr>
          <w:p w14:paraId="3021DCA7">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bl>
    <w:p w14:paraId="6D414A67">
      <w:pPr>
        <w:pStyle w:val="2"/>
        <w:keepNext/>
        <w:keepLines/>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default" w:ascii="Times New Roman" w:hAnsi="Times New Roman" w:cs="Times New Roman" w:eastAsiaTheme="minorEastAsia"/>
          <w:color w:val="auto"/>
          <w:sz w:val="24"/>
          <w:szCs w:val="24"/>
          <w:highlight w:val="none"/>
        </w:rPr>
      </w:pPr>
      <w:bookmarkStart w:id="305" w:name="_Toc24113"/>
      <w:bookmarkStart w:id="306" w:name="_Toc17470"/>
      <w:bookmarkStart w:id="307" w:name="_Toc31649"/>
      <w:bookmarkStart w:id="308" w:name="_Toc17366"/>
      <w:bookmarkStart w:id="309" w:name="_Toc489349277"/>
      <w:bookmarkStart w:id="310" w:name="_Toc18056"/>
      <w:bookmarkStart w:id="311" w:name="_Toc9104"/>
      <w:bookmarkStart w:id="312" w:name="_Toc522093866"/>
      <w:r>
        <w:rPr>
          <w:rFonts w:hint="default" w:ascii="Times New Roman" w:hAnsi="Times New Roman" w:cs="Times New Roman" w:eastAsiaTheme="minorEastAsia"/>
          <w:color w:val="auto"/>
          <w:sz w:val="24"/>
          <w:szCs w:val="24"/>
          <w:highlight w:val="none"/>
        </w:rPr>
        <w:t>4.1.3 信息通报</w:t>
      </w:r>
      <w:bookmarkEnd w:id="305"/>
      <w:bookmarkEnd w:id="306"/>
      <w:bookmarkEnd w:id="307"/>
      <w:bookmarkEnd w:id="308"/>
      <w:bookmarkEnd w:id="309"/>
      <w:bookmarkEnd w:id="310"/>
      <w:bookmarkEnd w:id="311"/>
      <w:bookmarkEnd w:id="312"/>
    </w:p>
    <w:p w14:paraId="3C2B6F88">
      <w:pPr>
        <w:pStyle w:val="16"/>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公司</w:t>
      </w:r>
      <w:r>
        <w:rPr>
          <w:rFonts w:hint="eastAsia" w:ascii="Times New Roman" w:hAnsi="Times New Roman" w:cs="Times New Roman" w:eastAsiaTheme="minorEastAsia"/>
          <w:bCs/>
          <w:color w:val="auto"/>
          <w:kern w:val="0"/>
          <w:sz w:val="24"/>
          <w:szCs w:val="24"/>
          <w:highlight w:val="none"/>
          <w:lang w:eastAsia="zh-CN"/>
        </w:rPr>
        <w:t>应急救援</w:t>
      </w:r>
      <w:r>
        <w:rPr>
          <w:rFonts w:hint="eastAsia" w:ascii="Times New Roman" w:hAnsi="Times New Roman" w:cs="Times New Roman" w:eastAsiaTheme="minorEastAsia"/>
          <w:bCs/>
          <w:color w:val="auto"/>
          <w:kern w:val="0"/>
          <w:sz w:val="24"/>
          <w:szCs w:val="24"/>
          <w:highlight w:val="none"/>
          <w:lang w:val="en-US" w:eastAsia="zh-CN"/>
        </w:rPr>
        <w:t>总指挥</w:t>
      </w:r>
      <w:r>
        <w:rPr>
          <w:rFonts w:hint="default" w:ascii="Times New Roman" w:hAnsi="Times New Roman" w:cs="Times New Roman" w:eastAsiaTheme="minorEastAsia"/>
          <w:bCs/>
          <w:color w:val="auto"/>
          <w:kern w:val="0"/>
          <w:sz w:val="24"/>
          <w:szCs w:val="24"/>
          <w:highlight w:val="none"/>
        </w:rPr>
        <w:t>根据事态情况，向</w:t>
      </w:r>
      <w:r>
        <w:rPr>
          <w:rFonts w:hint="eastAsia" w:ascii="Times New Roman" w:hAnsi="Times New Roman" w:cs="Times New Roman" w:eastAsiaTheme="minorEastAsia"/>
          <w:bCs/>
          <w:color w:val="auto"/>
          <w:kern w:val="0"/>
          <w:sz w:val="24"/>
          <w:szCs w:val="24"/>
          <w:highlight w:val="none"/>
          <w:lang w:eastAsia="zh-CN"/>
        </w:rPr>
        <w:t>海安大公镇</w:t>
      </w:r>
      <w:r>
        <w:rPr>
          <w:rFonts w:hint="default" w:ascii="Times New Roman" w:hAnsi="Times New Roman" w:cs="Times New Roman" w:eastAsiaTheme="minorEastAsia"/>
          <w:bCs/>
          <w:color w:val="auto"/>
          <w:kern w:val="0"/>
          <w:sz w:val="24"/>
          <w:szCs w:val="24"/>
          <w:highlight w:val="none"/>
        </w:rPr>
        <w:t>报告，</w:t>
      </w:r>
      <w:r>
        <w:rPr>
          <w:rFonts w:hint="eastAsia" w:ascii="Times New Roman" w:hAnsi="Times New Roman" w:cs="Times New Roman" w:eastAsiaTheme="minorEastAsia"/>
          <w:bCs/>
          <w:color w:val="auto"/>
          <w:kern w:val="0"/>
          <w:sz w:val="24"/>
          <w:szCs w:val="24"/>
          <w:highlight w:val="none"/>
          <w:lang w:val="en-US" w:eastAsia="zh-CN"/>
        </w:rPr>
        <w:t>同时</w:t>
      </w:r>
      <w:r>
        <w:rPr>
          <w:rFonts w:hint="default" w:ascii="Times New Roman" w:hAnsi="Times New Roman" w:cs="Times New Roman" w:eastAsiaTheme="minorEastAsia"/>
          <w:bCs/>
          <w:color w:val="auto"/>
          <w:kern w:val="0"/>
          <w:sz w:val="24"/>
          <w:szCs w:val="24"/>
          <w:highlight w:val="none"/>
        </w:rPr>
        <w:t>请求南通市海安生态环境局援助。事故发生后，当事件已经或可能对</w:t>
      </w:r>
      <w:r>
        <w:rPr>
          <w:rFonts w:hint="eastAsia" w:ascii="Times New Roman" w:hAnsi="Times New Roman" w:cs="Times New Roman" w:eastAsiaTheme="minorEastAsia"/>
          <w:bCs/>
          <w:color w:val="auto"/>
          <w:kern w:val="0"/>
          <w:sz w:val="24"/>
          <w:szCs w:val="24"/>
          <w:highlight w:val="none"/>
          <w:lang w:val="en-US" w:eastAsia="zh-CN"/>
        </w:rPr>
        <w:t>公司</w:t>
      </w:r>
      <w:r>
        <w:rPr>
          <w:rFonts w:hint="default" w:ascii="Times New Roman" w:hAnsi="Times New Roman" w:cs="Times New Roman" w:eastAsiaTheme="minorEastAsia"/>
          <w:bCs/>
          <w:color w:val="auto"/>
          <w:kern w:val="0"/>
          <w:sz w:val="24"/>
          <w:szCs w:val="24"/>
          <w:highlight w:val="none"/>
        </w:rPr>
        <w:t>外环境造成影响时，应</w:t>
      </w:r>
      <w:r>
        <w:rPr>
          <w:rFonts w:hint="eastAsia" w:ascii="Times New Roman" w:hAnsi="Times New Roman" w:cs="Times New Roman" w:eastAsiaTheme="minorEastAsia"/>
          <w:bCs/>
          <w:color w:val="auto"/>
          <w:kern w:val="0"/>
          <w:sz w:val="24"/>
          <w:szCs w:val="24"/>
          <w:highlight w:val="none"/>
          <w:lang w:val="en-US" w:eastAsia="zh-CN"/>
        </w:rPr>
        <w:t>执行政府应急预案权限统一</w:t>
      </w:r>
      <w:r>
        <w:rPr>
          <w:rFonts w:hint="default" w:ascii="Times New Roman" w:hAnsi="Times New Roman" w:cs="Times New Roman" w:eastAsiaTheme="minorEastAsia"/>
          <w:bCs/>
          <w:color w:val="auto"/>
          <w:kern w:val="0"/>
          <w:sz w:val="24"/>
          <w:szCs w:val="24"/>
          <w:highlight w:val="none"/>
        </w:rPr>
        <w:t>向社会通过电话、公示等形式向环境突发事件可能影响的区域通报突发事件的情况，主要通报内容：环境事件的类型、发生时间、地点、污染源、主要污染物质的种类、数量、事件潜在的危害程度、转化方式趋向等初步情况，以及事件的产生、处理情况，对周围群众可能造成的影响，并根据周围环境保护目标分布图，</w:t>
      </w:r>
      <w:r>
        <w:rPr>
          <w:rFonts w:hint="eastAsia" w:ascii="Times New Roman" w:hAnsi="Times New Roman" w:cs="Times New Roman" w:eastAsiaTheme="minorEastAsia"/>
          <w:bCs/>
          <w:color w:val="auto"/>
          <w:kern w:val="0"/>
          <w:sz w:val="24"/>
          <w:szCs w:val="24"/>
          <w:highlight w:val="none"/>
          <w:lang w:val="en-US" w:eastAsia="zh-CN"/>
        </w:rPr>
        <w:t>说明</w:t>
      </w:r>
      <w:r>
        <w:rPr>
          <w:rFonts w:hint="default" w:ascii="Times New Roman" w:hAnsi="Times New Roman" w:cs="Times New Roman" w:eastAsiaTheme="minorEastAsia"/>
          <w:bCs/>
          <w:color w:val="auto"/>
          <w:kern w:val="0"/>
          <w:sz w:val="24"/>
          <w:szCs w:val="24"/>
          <w:highlight w:val="none"/>
        </w:rPr>
        <w:t>对周围群众可能造成的影响，并给出合适的建议来确保周围群众的安全</w:t>
      </w:r>
      <w:r>
        <w:rPr>
          <w:rFonts w:hint="eastAsia" w:ascii="Times New Roman" w:hAnsi="Times New Roman" w:cs="Times New Roman" w:eastAsiaTheme="minorEastAsia"/>
          <w:bCs/>
          <w:color w:val="auto"/>
          <w:kern w:val="0"/>
          <w:sz w:val="24"/>
          <w:szCs w:val="24"/>
          <w:highlight w:val="none"/>
          <w:lang w:eastAsia="zh-CN"/>
        </w:rPr>
        <w:t>。</w:t>
      </w:r>
      <w:r>
        <w:rPr>
          <w:rFonts w:hint="default" w:ascii="Times New Roman" w:hAnsi="Times New Roman" w:cs="Times New Roman" w:eastAsiaTheme="minorEastAsia"/>
          <w:bCs/>
          <w:color w:val="auto"/>
          <w:kern w:val="0"/>
          <w:sz w:val="24"/>
          <w:szCs w:val="24"/>
          <w:highlight w:val="none"/>
        </w:rPr>
        <w:t>厂外群众根据</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周边区域道路交通图、疏散路线图合理有序迅速的疏散，</w:t>
      </w:r>
      <w:r>
        <w:rPr>
          <w:rFonts w:hint="eastAsia" w:ascii="Times New Roman" w:hAnsi="Times New Roman" w:cs="Times New Roman" w:eastAsiaTheme="minorEastAsia"/>
          <w:bCs/>
          <w:color w:val="auto"/>
          <w:kern w:val="0"/>
          <w:sz w:val="24"/>
          <w:szCs w:val="24"/>
          <w:highlight w:val="none"/>
          <w:lang w:val="en-US" w:eastAsia="zh-CN"/>
        </w:rPr>
        <w:t>公司</w:t>
      </w:r>
      <w:r>
        <w:rPr>
          <w:rFonts w:hint="default" w:ascii="Times New Roman" w:hAnsi="Times New Roman" w:cs="Times New Roman" w:eastAsiaTheme="minorEastAsia"/>
          <w:bCs/>
          <w:color w:val="auto"/>
          <w:kern w:val="0"/>
          <w:sz w:val="24"/>
          <w:szCs w:val="24"/>
          <w:highlight w:val="none"/>
        </w:rPr>
        <w:t>应至少每年进行一次的群众疏散演练进行，演练时间、方式详见第九章。</w:t>
      </w:r>
    </w:p>
    <w:p w14:paraId="0FD596F1">
      <w:pPr>
        <w:pStyle w:val="16"/>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通报的内容应当尽可能简明，告诉公众该如何采取行动；如果决定疏散，应当通知居民集中点位置和疏散路线。</w:t>
      </w:r>
    </w:p>
    <w:p w14:paraId="764F49E7">
      <w:pPr>
        <w:pStyle w:val="16"/>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内容应</w:t>
      </w:r>
      <w:r>
        <w:rPr>
          <w:rFonts w:hint="eastAsia" w:ascii="Times New Roman" w:hAnsi="Times New Roman" w:cs="Times New Roman" w:eastAsiaTheme="minorEastAsia"/>
          <w:snapToGrid w:val="0"/>
          <w:color w:val="auto"/>
          <w:kern w:val="0"/>
          <w:sz w:val="24"/>
          <w:szCs w:val="24"/>
          <w:highlight w:val="none"/>
          <w:lang w:val="en-US" w:eastAsia="zh-CN"/>
        </w:rPr>
        <w:t>具体</w:t>
      </w:r>
      <w:r>
        <w:rPr>
          <w:rFonts w:hint="default" w:ascii="Times New Roman" w:hAnsi="Times New Roman" w:cs="Times New Roman" w:eastAsiaTheme="minorEastAsia"/>
          <w:snapToGrid w:val="0"/>
          <w:color w:val="auto"/>
          <w:kern w:val="0"/>
          <w:sz w:val="24"/>
          <w:szCs w:val="24"/>
          <w:highlight w:val="none"/>
        </w:rPr>
        <w:t>包括：</w:t>
      </w:r>
    </w:p>
    <w:p w14:paraId="31F229C6">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(1)联系人的姓名和电话号码</w:t>
      </w:r>
      <w:r>
        <w:rPr>
          <w:rFonts w:hint="eastAsia" w:ascii="Times New Roman" w:hAnsi="Times New Roman" w:cs="Times New Roman" w:eastAsiaTheme="minorEastAsia"/>
          <w:snapToGrid w:val="0"/>
          <w:color w:val="auto"/>
          <w:kern w:val="0"/>
          <w:sz w:val="24"/>
          <w:szCs w:val="24"/>
          <w:highlight w:val="none"/>
          <w:lang w:eastAsia="zh-CN"/>
        </w:rPr>
        <w:t>；</w:t>
      </w:r>
    </w:p>
    <w:p w14:paraId="0CC2E9F4">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(2)发生事故的单位名称和地址</w:t>
      </w:r>
      <w:r>
        <w:rPr>
          <w:rFonts w:hint="eastAsia" w:ascii="Times New Roman" w:hAnsi="Times New Roman" w:cs="Times New Roman" w:eastAsiaTheme="minorEastAsia"/>
          <w:snapToGrid w:val="0"/>
          <w:color w:val="auto"/>
          <w:kern w:val="0"/>
          <w:sz w:val="24"/>
          <w:szCs w:val="24"/>
          <w:highlight w:val="none"/>
          <w:lang w:eastAsia="zh-CN"/>
        </w:rPr>
        <w:t>；</w:t>
      </w:r>
    </w:p>
    <w:p w14:paraId="672A9EB5">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(3)事件发生时间或预期持续时间</w:t>
      </w:r>
      <w:r>
        <w:rPr>
          <w:rFonts w:hint="eastAsia" w:ascii="Times New Roman" w:hAnsi="Times New Roman" w:cs="Times New Roman" w:eastAsiaTheme="minorEastAsia"/>
          <w:snapToGrid w:val="0"/>
          <w:color w:val="auto"/>
          <w:kern w:val="0"/>
          <w:sz w:val="24"/>
          <w:szCs w:val="24"/>
          <w:highlight w:val="none"/>
          <w:lang w:eastAsia="zh-CN"/>
        </w:rPr>
        <w:t>；</w:t>
      </w:r>
    </w:p>
    <w:p w14:paraId="347E7679">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(4)事故类型（火灾、爆炸、泄漏等）</w:t>
      </w:r>
      <w:r>
        <w:rPr>
          <w:rFonts w:hint="eastAsia" w:ascii="Times New Roman" w:hAnsi="Times New Roman" w:cs="Times New Roman" w:eastAsiaTheme="minorEastAsia"/>
          <w:snapToGrid w:val="0"/>
          <w:color w:val="auto"/>
          <w:kern w:val="0"/>
          <w:sz w:val="24"/>
          <w:szCs w:val="24"/>
          <w:highlight w:val="none"/>
          <w:lang w:eastAsia="zh-CN"/>
        </w:rPr>
        <w:t>；</w:t>
      </w:r>
    </w:p>
    <w:p w14:paraId="1309B324">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(5)主要污染物和数量（如实际泄漏量或估算泄漏量）</w:t>
      </w:r>
      <w:r>
        <w:rPr>
          <w:rFonts w:hint="eastAsia" w:ascii="Times New Roman" w:hAnsi="Times New Roman" w:cs="Times New Roman" w:eastAsiaTheme="minorEastAsia"/>
          <w:snapToGrid w:val="0"/>
          <w:color w:val="auto"/>
          <w:kern w:val="0"/>
          <w:sz w:val="24"/>
          <w:szCs w:val="24"/>
          <w:highlight w:val="none"/>
          <w:lang w:eastAsia="zh-CN"/>
        </w:rPr>
        <w:t>；</w:t>
      </w:r>
    </w:p>
    <w:p w14:paraId="3C47A4B6">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(6)当前状况，如污染物的传播介质和传播方式（可根据风向和风速等气象条件进行判断</w:t>
      </w:r>
      <w:r>
        <w:rPr>
          <w:rFonts w:hint="eastAsia" w:ascii="Times New Roman" w:hAnsi="Times New Roman" w:cs="Times New Roman" w:eastAsiaTheme="minorEastAsia"/>
          <w:snapToGrid w:val="0"/>
          <w:color w:val="auto"/>
          <w:kern w:val="0"/>
          <w:sz w:val="24"/>
          <w:szCs w:val="24"/>
          <w:highlight w:val="none"/>
          <w:lang w:eastAsia="zh-CN"/>
        </w:rPr>
        <w:t>；</w:t>
      </w:r>
    </w:p>
    <w:p w14:paraId="6E438C15">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(7)需要采取什么应急措施和预防措施建议</w:t>
      </w:r>
      <w:r>
        <w:rPr>
          <w:rFonts w:hint="eastAsia" w:ascii="Times New Roman" w:hAnsi="Times New Roman" w:cs="Times New Roman" w:eastAsiaTheme="minorEastAsia"/>
          <w:snapToGrid w:val="0"/>
          <w:color w:val="auto"/>
          <w:kern w:val="0"/>
          <w:sz w:val="24"/>
          <w:szCs w:val="24"/>
          <w:highlight w:val="none"/>
          <w:lang w:eastAsia="zh-CN"/>
        </w:rPr>
        <w:t>；</w:t>
      </w:r>
    </w:p>
    <w:p w14:paraId="4229D446">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(8)已知或预期的事故环境风险、人体健康风险以及关于接触人员的医疗建议；</w:t>
      </w:r>
    </w:p>
    <w:p w14:paraId="48031220">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(9)其他必要信息。</w:t>
      </w:r>
    </w:p>
    <w:p w14:paraId="705C3D06">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13" w:name="_Toc489349278"/>
      <w:bookmarkStart w:id="314" w:name="_Toc6691"/>
      <w:bookmarkStart w:id="315" w:name="_Toc8742"/>
      <w:bookmarkStart w:id="316" w:name="_Toc522093867"/>
      <w:bookmarkStart w:id="317" w:name="_Toc9643"/>
      <w:bookmarkStart w:id="318" w:name="_Toc18789"/>
      <w:bookmarkStart w:id="319" w:name="_Toc11352"/>
      <w:bookmarkStart w:id="320" w:name="_Toc24039"/>
      <w:r>
        <w:rPr>
          <w:rFonts w:hint="default" w:ascii="Times New Roman" w:hAnsi="Times New Roman" w:cs="Times New Roman" w:eastAsiaTheme="minorEastAsia"/>
          <w:color w:val="auto"/>
          <w:sz w:val="24"/>
          <w:szCs w:val="24"/>
          <w:highlight w:val="none"/>
        </w:rPr>
        <w:t>4.2</w:t>
      </w:r>
      <w:bookmarkEnd w:id="313"/>
      <w:bookmarkEnd w:id="314"/>
      <w:bookmarkEnd w:id="315"/>
      <w:bookmarkEnd w:id="316"/>
      <w:r>
        <w:rPr>
          <w:rFonts w:hint="default" w:ascii="Times New Roman" w:hAnsi="Times New Roman" w:cs="Times New Roman" w:eastAsiaTheme="minorEastAsia"/>
          <w:color w:val="auto"/>
          <w:sz w:val="24"/>
          <w:szCs w:val="24"/>
          <w:highlight w:val="none"/>
        </w:rPr>
        <w:t xml:space="preserve"> 事件报告内容及方式</w:t>
      </w:r>
      <w:bookmarkEnd w:id="317"/>
      <w:bookmarkEnd w:id="318"/>
      <w:bookmarkEnd w:id="319"/>
      <w:bookmarkEnd w:id="320"/>
    </w:p>
    <w:p w14:paraId="2C74456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突发环境事件的报告分为初报、续报和处理结果报告三类。初报从发现事件后起1小时内上报；续报在查清有关基本情况后随时上报；处理结果报告在事件处理完毕后立即上报。</w:t>
      </w:r>
    </w:p>
    <w:p w14:paraId="40E8E40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初报可用电话直接报告，主要内容包括：</w:t>
      </w:r>
    </w:p>
    <w:p w14:paraId="0945D5A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(1)事故发生的时间、地点以及污染源、主要污染物、污染范围情况；</w:t>
      </w:r>
    </w:p>
    <w:p w14:paraId="7DE0A06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(2)事故的简要经过概况和已经采取的措施；</w:t>
      </w:r>
    </w:p>
    <w:p w14:paraId="058A9D7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(3)现场人员状态，人员伤亡、撤离情况(人数、程度、所属单位)、初步估计的直接经济损失；</w:t>
      </w:r>
    </w:p>
    <w:p w14:paraId="7DB179F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(4)事故对周边居民影响情况，是否波及居民或造成居民生命财产的威胁和影响；</w:t>
      </w:r>
    </w:p>
    <w:p w14:paraId="445F2A4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(5)事故对周边自然环境影响情况，环境污染发展趋势；</w:t>
      </w:r>
    </w:p>
    <w:p w14:paraId="0265668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(6)请求政府部门协调、支援事项；</w:t>
      </w:r>
    </w:p>
    <w:p w14:paraId="6F933D1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(7)报告人姓名、职务及联系电话；</w:t>
      </w:r>
    </w:p>
    <w:p w14:paraId="12E8713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(8)其他应当报告的情况。</w:t>
      </w:r>
    </w:p>
    <w:p w14:paraId="59E64CF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续报可通过网络或书面报告，在初报的基础上报告有关确切数据，事件发生的原因、过程、进展情况及采取的应急措施等基本情况。</w:t>
      </w:r>
    </w:p>
    <w:p w14:paraId="77C5623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处理结果报告采用书面报告，处理结果报告在初报和续报的基础上，报告处理事件的措施、过程和结果，事件潜在或间接的危害、社会影响、处理后的遗留问题，参加处理工作的有关部门和工作内容，出具有关危害与损失的证明文件等详细情况。</w:t>
      </w:r>
    </w:p>
    <w:p w14:paraId="660E3C2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当事件处理完毕后，应急总指挥应在3天内通过书面报告向南通市海安生态环境局上报信息。处理结果报告的内容应包括处理事件的措施、过程和结果，事件潜在或间接的危害、社会影响、处理后的遗留问题，参加处理工作的有关部门和工作内容，出具有关危害与损失的证明文件等详细情况</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可根据事件等级，由专人与政府部门联系，详见表4-3。</w:t>
      </w:r>
    </w:p>
    <w:p w14:paraId="25DF7A88">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表4-3 信息报告联系方式</w:t>
      </w:r>
      <w:bookmarkStart w:id="321" w:name="_Toc276118398"/>
      <w:bookmarkStart w:id="322" w:name="_Toc275938155"/>
    </w:p>
    <w:tbl>
      <w:tblPr>
        <w:tblStyle w:val="34"/>
        <w:tblW w:w="533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406"/>
        <w:gridCol w:w="2412"/>
        <w:gridCol w:w="2422"/>
        <w:gridCol w:w="2414"/>
      </w:tblGrid>
      <w:tr w14:paraId="2538D5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246" w:type="pct"/>
            <w:tcBorders>
              <w:tl2br w:val="nil"/>
              <w:tr2bl w:val="nil"/>
            </w:tcBorders>
            <w:vAlign w:val="center"/>
          </w:tcPr>
          <w:p w14:paraId="66ABFB08">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事件等级</w:t>
            </w:r>
          </w:p>
        </w:tc>
        <w:tc>
          <w:tcPr>
            <w:tcW w:w="2503" w:type="pct"/>
            <w:gridSpan w:val="2"/>
            <w:tcBorders>
              <w:tl2br w:val="nil"/>
              <w:tr2bl w:val="nil"/>
            </w:tcBorders>
            <w:vAlign w:val="center"/>
          </w:tcPr>
          <w:p w14:paraId="4833526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报告部门</w:t>
            </w:r>
          </w:p>
        </w:tc>
        <w:tc>
          <w:tcPr>
            <w:tcW w:w="1250" w:type="pct"/>
            <w:tcBorders>
              <w:tl2br w:val="nil"/>
              <w:tr2bl w:val="nil"/>
            </w:tcBorders>
            <w:vAlign w:val="center"/>
          </w:tcPr>
          <w:p w14:paraId="5136A2B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联系方式</w:t>
            </w:r>
          </w:p>
        </w:tc>
      </w:tr>
      <w:tr w14:paraId="20A73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restart"/>
            <w:tcBorders>
              <w:tl2br w:val="nil"/>
              <w:tr2bl w:val="nil"/>
            </w:tcBorders>
            <w:vAlign w:val="center"/>
          </w:tcPr>
          <w:p w14:paraId="325AB73A">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rPr>
            </w:pPr>
            <w:r>
              <w:rPr>
                <w:rFonts w:hint="eastAsia" w:ascii="Times New Roman" w:hAnsi="Times New Roman" w:cs="Times New Roman" w:eastAsiaTheme="minorEastAsia"/>
                <w:color w:val="auto"/>
                <w:sz w:val="21"/>
                <w:szCs w:val="21"/>
                <w:highlight w:val="none"/>
                <w:lang w:val="en-US" w:eastAsia="zh-CN"/>
              </w:rPr>
              <w:t>公司</w:t>
            </w:r>
            <w:r>
              <w:rPr>
                <w:rFonts w:hint="default" w:ascii="Times New Roman" w:hAnsi="Times New Roman" w:cs="Times New Roman" w:eastAsiaTheme="minorEastAsia"/>
                <w:color w:val="auto"/>
                <w:sz w:val="21"/>
                <w:szCs w:val="21"/>
                <w:highlight w:val="none"/>
                <w:lang w:eastAsia="zh-CN"/>
              </w:rPr>
              <w:t>Ⅰ</w:t>
            </w:r>
            <w:r>
              <w:rPr>
                <w:rFonts w:hint="eastAsia" w:ascii="Times New Roman" w:hAnsi="Times New Roman" w:cs="Times New Roman" w:eastAsiaTheme="minorEastAsia"/>
                <w:color w:val="auto"/>
                <w:sz w:val="21"/>
                <w:szCs w:val="21"/>
                <w:highlight w:val="none"/>
                <w:lang w:val="en-US" w:eastAsia="zh-CN"/>
              </w:rPr>
              <w:t>级</w:t>
            </w:r>
          </w:p>
        </w:tc>
        <w:tc>
          <w:tcPr>
            <w:tcW w:w="2503" w:type="pct"/>
            <w:gridSpan w:val="2"/>
            <w:tcBorders>
              <w:tl2br w:val="nil"/>
              <w:tr2bl w:val="nil"/>
            </w:tcBorders>
            <w:vAlign w:val="center"/>
          </w:tcPr>
          <w:p w14:paraId="574B878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南通市环境安全应急与事故调查处置中心</w:t>
            </w:r>
          </w:p>
        </w:tc>
        <w:tc>
          <w:tcPr>
            <w:tcW w:w="1250" w:type="pct"/>
            <w:tcBorders>
              <w:tl2br w:val="nil"/>
              <w:tr2bl w:val="nil"/>
            </w:tcBorders>
            <w:vAlign w:val="center"/>
          </w:tcPr>
          <w:p w14:paraId="008DF33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12369</w:t>
            </w:r>
          </w:p>
        </w:tc>
      </w:tr>
      <w:tr w14:paraId="287948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2CC7247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69E39FD7">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250" w:type="pct"/>
            <w:tcBorders>
              <w:tl2br w:val="nil"/>
              <w:tr2bl w:val="nil"/>
            </w:tcBorders>
            <w:vAlign w:val="center"/>
          </w:tcPr>
          <w:p w14:paraId="53967F1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r>
      <w:tr w14:paraId="6F1CAD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41BB2EE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4BACFE5A">
            <w:pPr>
              <w:pageBreakBefore w:val="0"/>
              <w:kinsoku/>
              <w:overflowPunct/>
              <w:bidi w:val="0"/>
              <w:spacing w:line="240" w:lineRule="auto"/>
              <w:jc w:val="center"/>
              <w:rPr>
                <w:rFonts w:hint="default" w:ascii="Times New Roman" w:hAnsi="Times New Roman" w:cs="Times New Roman" w:eastAsiaTheme="minorEastAsia"/>
                <w:b/>
                <w:bCs/>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海安市人民政府</w:t>
            </w:r>
          </w:p>
        </w:tc>
        <w:tc>
          <w:tcPr>
            <w:tcW w:w="1250" w:type="pct"/>
            <w:tcBorders>
              <w:tl2br w:val="nil"/>
              <w:tr2bl w:val="nil"/>
            </w:tcBorders>
            <w:vAlign w:val="center"/>
          </w:tcPr>
          <w:p w14:paraId="150E38F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0513-81868035</w:t>
            </w:r>
          </w:p>
        </w:tc>
      </w:tr>
      <w:tr w14:paraId="418C46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1D3D32B7">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76BE5D5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海安市消防大队</w:t>
            </w:r>
          </w:p>
        </w:tc>
        <w:tc>
          <w:tcPr>
            <w:tcW w:w="1250" w:type="pct"/>
            <w:tcBorders>
              <w:tl2br w:val="nil"/>
              <w:tr2bl w:val="nil"/>
            </w:tcBorders>
            <w:vAlign w:val="center"/>
          </w:tcPr>
          <w:p w14:paraId="2797426A">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119</w:t>
            </w:r>
          </w:p>
        </w:tc>
      </w:tr>
      <w:tr w14:paraId="4485B7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76F38FE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42892BB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海安市应急管理局</w:t>
            </w:r>
          </w:p>
        </w:tc>
        <w:tc>
          <w:tcPr>
            <w:tcW w:w="1250" w:type="pct"/>
            <w:tcBorders>
              <w:tl2br w:val="nil"/>
              <w:tr2bl w:val="nil"/>
            </w:tcBorders>
            <w:vAlign w:val="center"/>
          </w:tcPr>
          <w:p w14:paraId="350A733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0513-88169805</w:t>
            </w:r>
          </w:p>
        </w:tc>
      </w:tr>
      <w:tr w14:paraId="2E3431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359989B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579D9C5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海安市公安局</w:t>
            </w:r>
          </w:p>
        </w:tc>
        <w:tc>
          <w:tcPr>
            <w:tcW w:w="1250" w:type="pct"/>
            <w:tcBorders>
              <w:tl2br w:val="nil"/>
              <w:tr2bl w:val="nil"/>
            </w:tcBorders>
            <w:vAlign w:val="center"/>
          </w:tcPr>
          <w:p w14:paraId="08AFDBE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110</w:t>
            </w:r>
          </w:p>
        </w:tc>
      </w:tr>
      <w:tr w14:paraId="699467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019D79B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7FF354DE">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海安大公镇管委会</w:t>
            </w:r>
          </w:p>
        </w:tc>
        <w:tc>
          <w:tcPr>
            <w:tcW w:w="1250" w:type="pct"/>
            <w:tcBorders>
              <w:tl2br w:val="nil"/>
              <w:tr2bl w:val="nil"/>
            </w:tcBorders>
            <w:vAlign w:val="center"/>
          </w:tcPr>
          <w:p w14:paraId="759A8E90">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0513-88755101</w:t>
            </w:r>
          </w:p>
        </w:tc>
      </w:tr>
      <w:tr w14:paraId="0B39A2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restart"/>
            <w:tcBorders>
              <w:tl2br w:val="nil"/>
              <w:tr2bl w:val="nil"/>
            </w:tcBorders>
            <w:vAlign w:val="center"/>
          </w:tcPr>
          <w:p w14:paraId="3E652C3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公司</w:t>
            </w:r>
            <w:r>
              <w:rPr>
                <w:rFonts w:hint="default" w:ascii="Times New Roman" w:hAnsi="Times New Roman" w:cs="Times New Roman" w:eastAsiaTheme="minorEastAsia"/>
                <w:color w:val="auto"/>
                <w:sz w:val="21"/>
                <w:szCs w:val="21"/>
                <w:highlight w:val="none"/>
                <w:lang w:eastAsia="zh-CN"/>
              </w:rPr>
              <w:t>Ⅱ</w:t>
            </w:r>
            <w:r>
              <w:rPr>
                <w:rFonts w:hint="eastAsia" w:ascii="Times New Roman" w:hAnsi="Times New Roman" w:cs="Times New Roman" w:eastAsiaTheme="minorEastAsia"/>
                <w:color w:val="auto"/>
                <w:sz w:val="21"/>
                <w:szCs w:val="21"/>
                <w:highlight w:val="none"/>
                <w:lang w:val="en-US" w:eastAsia="zh-CN"/>
              </w:rPr>
              <w:t>级</w:t>
            </w:r>
          </w:p>
        </w:tc>
        <w:tc>
          <w:tcPr>
            <w:tcW w:w="2503" w:type="pct"/>
            <w:gridSpan w:val="2"/>
            <w:tcBorders>
              <w:tl2br w:val="nil"/>
              <w:tr2bl w:val="nil"/>
            </w:tcBorders>
            <w:vAlign w:val="center"/>
          </w:tcPr>
          <w:p w14:paraId="6E14243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250" w:type="pct"/>
            <w:tcBorders>
              <w:tl2br w:val="nil"/>
              <w:tr2bl w:val="nil"/>
            </w:tcBorders>
            <w:vAlign w:val="center"/>
          </w:tcPr>
          <w:p w14:paraId="657054A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r>
      <w:tr w14:paraId="7E8E4C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3BE62C7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5630124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海安市人民政府</w:t>
            </w:r>
          </w:p>
        </w:tc>
        <w:tc>
          <w:tcPr>
            <w:tcW w:w="1250" w:type="pct"/>
            <w:tcBorders>
              <w:tl2br w:val="nil"/>
              <w:tr2bl w:val="nil"/>
            </w:tcBorders>
            <w:vAlign w:val="center"/>
          </w:tcPr>
          <w:p w14:paraId="32ABB70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0513-81868035</w:t>
            </w:r>
          </w:p>
        </w:tc>
      </w:tr>
      <w:tr w14:paraId="711BA1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07C14FC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414248E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海安市消防大队</w:t>
            </w:r>
          </w:p>
        </w:tc>
        <w:tc>
          <w:tcPr>
            <w:tcW w:w="1250" w:type="pct"/>
            <w:tcBorders>
              <w:tl2br w:val="nil"/>
              <w:tr2bl w:val="nil"/>
            </w:tcBorders>
            <w:vAlign w:val="center"/>
          </w:tcPr>
          <w:p w14:paraId="5702C7B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119</w:t>
            </w:r>
          </w:p>
        </w:tc>
      </w:tr>
      <w:tr w14:paraId="071621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04A0219A">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7831EB1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海安市应急管理局</w:t>
            </w:r>
          </w:p>
        </w:tc>
        <w:tc>
          <w:tcPr>
            <w:tcW w:w="1250" w:type="pct"/>
            <w:tcBorders>
              <w:tl2br w:val="nil"/>
              <w:tr2bl w:val="nil"/>
            </w:tcBorders>
            <w:vAlign w:val="center"/>
          </w:tcPr>
          <w:p w14:paraId="20A8E30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0513-88169805</w:t>
            </w:r>
          </w:p>
        </w:tc>
      </w:tr>
      <w:tr w14:paraId="589978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34159FA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1D79E3A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海安市公安局</w:t>
            </w:r>
          </w:p>
        </w:tc>
        <w:tc>
          <w:tcPr>
            <w:tcW w:w="1250" w:type="pct"/>
            <w:tcBorders>
              <w:tl2br w:val="nil"/>
              <w:tr2bl w:val="nil"/>
            </w:tcBorders>
            <w:vAlign w:val="center"/>
          </w:tcPr>
          <w:p w14:paraId="76FB25E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110</w:t>
            </w:r>
          </w:p>
        </w:tc>
      </w:tr>
      <w:tr w14:paraId="6ECD1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48E30C2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3" w:type="pct"/>
            <w:gridSpan w:val="2"/>
            <w:tcBorders>
              <w:tl2br w:val="nil"/>
              <w:tr2bl w:val="nil"/>
            </w:tcBorders>
            <w:vAlign w:val="center"/>
          </w:tcPr>
          <w:p w14:paraId="044F22EE">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海安大公镇管委会</w:t>
            </w:r>
          </w:p>
        </w:tc>
        <w:tc>
          <w:tcPr>
            <w:tcW w:w="1250" w:type="pct"/>
            <w:tcBorders>
              <w:tl2br w:val="nil"/>
              <w:tr2bl w:val="nil"/>
            </w:tcBorders>
            <w:vAlign w:val="center"/>
          </w:tcPr>
          <w:p w14:paraId="28B2B45A">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0513-88755101</w:t>
            </w:r>
          </w:p>
        </w:tc>
      </w:tr>
      <w:tr w14:paraId="14EF35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47C96AC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1249" w:type="pct"/>
            <w:tcBorders>
              <w:tl2br w:val="nil"/>
              <w:tr2bl w:val="nil"/>
            </w:tcBorders>
            <w:vAlign w:val="center"/>
          </w:tcPr>
          <w:p w14:paraId="613CB6D8">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周边</w:t>
            </w:r>
            <w:r>
              <w:rPr>
                <w:rFonts w:hint="eastAsia" w:ascii="Times New Roman" w:hAnsi="Times New Roman" w:cs="Times New Roman" w:eastAsiaTheme="minorEastAsia"/>
                <w:color w:val="auto"/>
                <w:sz w:val="21"/>
                <w:szCs w:val="21"/>
                <w:highlight w:val="none"/>
                <w:lang w:eastAsia="zh-CN"/>
              </w:rPr>
              <w:t>公司</w:t>
            </w:r>
            <w:r>
              <w:rPr>
                <w:rFonts w:hint="default" w:ascii="Times New Roman" w:hAnsi="Times New Roman" w:cs="Times New Roman" w:eastAsiaTheme="minorEastAsia"/>
                <w:color w:val="auto"/>
                <w:sz w:val="21"/>
                <w:szCs w:val="21"/>
                <w:highlight w:val="none"/>
              </w:rPr>
              <w:t>名称</w:t>
            </w:r>
          </w:p>
        </w:tc>
        <w:tc>
          <w:tcPr>
            <w:tcW w:w="1254" w:type="pct"/>
            <w:tcBorders>
              <w:tl2br w:val="nil"/>
              <w:tr2bl w:val="nil"/>
            </w:tcBorders>
            <w:vAlign w:val="center"/>
          </w:tcPr>
          <w:p w14:paraId="16C7775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yellow"/>
                <w:lang w:val="en-US" w:eastAsia="zh-CN"/>
              </w:rPr>
            </w:pPr>
            <w:r>
              <w:rPr>
                <w:rFonts w:hint="eastAsia" w:ascii="Times New Roman" w:hAnsi="Times New Roman" w:cs="Times New Roman" w:eastAsiaTheme="minorEastAsia"/>
                <w:color w:val="auto"/>
                <w:sz w:val="21"/>
                <w:szCs w:val="21"/>
                <w:highlight w:val="none"/>
                <w:lang w:val="en-US" w:eastAsia="zh-CN"/>
              </w:rPr>
              <w:t>南通欣宇源环保科技有限公司</w:t>
            </w:r>
          </w:p>
        </w:tc>
        <w:tc>
          <w:tcPr>
            <w:tcW w:w="1250" w:type="pct"/>
            <w:tcBorders>
              <w:tl2br w:val="nil"/>
              <w:tr2bl w:val="nil"/>
            </w:tcBorders>
            <w:vAlign w:val="center"/>
          </w:tcPr>
          <w:p w14:paraId="78A7106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yellow"/>
                <w:lang w:val="en-US" w:eastAsia="zh-CN"/>
              </w:rPr>
            </w:pPr>
            <w:r>
              <w:rPr>
                <w:rFonts w:hint="eastAsia" w:ascii="Times New Roman" w:hAnsi="Times New Roman" w:eastAsia="宋体" w:cs="Times New Roman"/>
                <w:b w:val="0"/>
                <w:bCs w:val="0"/>
                <w:color w:val="000000"/>
                <w:sz w:val="21"/>
                <w:szCs w:val="21"/>
                <w:lang w:val="en-US" w:eastAsia="zh-CN"/>
              </w:rPr>
              <w:t>15190813589</w:t>
            </w:r>
          </w:p>
        </w:tc>
      </w:tr>
      <w:tr w14:paraId="1668D2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restart"/>
            <w:tcBorders>
              <w:tl2br w:val="nil"/>
              <w:tr2bl w:val="nil"/>
            </w:tcBorders>
            <w:vAlign w:val="center"/>
          </w:tcPr>
          <w:p w14:paraId="4D15A629">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公司</w:t>
            </w:r>
            <w:r>
              <w:rPr>
                <w:rFonts w:hint="default" w:ascii="Times New Roman" w:hAnsi="Times New Roman" w:cs="Times New Roman" w:eastAsiaTheme="minorEastAsia"/>
                <w:color w:val="auto"/>
                <w:sz w:val="21"/>
                <w:szCs w:val="21"/>
                <w:highlight w:val="none"/>
                <w:lang w:eastAsia="zh-CN"/>
              </w:rPr>
              <w:t>Ⅲ</w:t>
            </w:r>
            <w:r>
              <w:rPr>
                <w:rFonts w:hint="eastAsia" w:ascii="Times New Roman" w:hAnsi="Times New Roman" w:cs="Times New Roman" w:eastAsiaTheme="minorEastAsia"/>
                <w:color w:val="auto"/>
                <w:sz w:val="21"/>
                <w:szCs w:val="21"/>
                <w:highlight w:val="none"/>
                <w:lang w:val="en-US" w:eastAsia="zh-CN"/>
              </w:rPr>
              <w:t>级</w:t>
            </w:r>
          </w:p>
        </w:tc>
        <w:tc>
          <w:tcPr>
            <w:tcW w:w="2503" w:type="pct"/>
            <w:gridSpan w:val="2"/>
            <w:tcBorders>
              <w:tl2br w:val="nil"/>
              <w:tr2bl w:val="nil"/>
            </w:tcBorders>
            <w:vAlign w:val="center"/>
          </w:tcPr>
          <w:p w14:paraId="30CA7B81">
            <w:pPr>
              <w:pageBreakBefore w:val="0"/>
              <w:kinsoku/>
              <w:overflowPunct/>
              <w:bidi w:val="0"/>
              <w:spacing w:line="240" w:lineRule="auto"/>
              <w:jc w:val="center"/>
              <w:rPr>
                <w:rFonts w:hint="eastAsia"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南通市海安生态环境局</w:t>
            </w:r>
          </w:p>
        </w:tc>
        <w:tc>
          <w:tcPr>
            <w:tcW w:w="1250" w:type="pct"/>
            <w:tcBorders>
              <w:tl2br w:val="nil"/>
              <w:tr2bl w:val="nil"/>
            </w:tcBorders>
            <w:vAlign w:val="center"/>
          </w:tcPr>
          <w:p w14:paraId="09EC5F67">
            <w:pPr>
              <w:pageBreakBefore w:val="0"/>
              <w:kinsoku/>
              <w:overflowPunct/>
              <w:bidi w:val="0"/>
              <w:spacing w:line="240" w:lineRule="auto"/>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r>
      <w:tr w14:paraId="7CD0EC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6" w:type="pct"/>
            <w:vMerge w:val="continue"/>
            <w:tcBorders>
              <w:tl2br w:val="nil"/>
              <w:tr2bl w:val="nil"/>
            </w:tcBorders>
            <w:vAlign w:val="center"/>
          </w:tcPr>
          <w:p w14:paraId="6643E014">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p>
        </w:tc>
        <w:tc>
          <w:tcPr>
            <w:tcW w:w="2503" w:type="pct"/>
            <w:gridSpan w:val="2"/>
            <w:tcBorders>
              <w:tl2br w:val="nil"/>
              <w:tr2bl w:val="nil"/>
            </w:tcBorders>
            <w:vAlign w:val="center"/>
          </w:tcPr>
          <w:p w14:paraId="5A2282B2">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海安大公镇管委会</w:t>
            </w:r>
          </w:p>
        </w:tc>
        <w:tc>
          <w:tcPr>
            <w:tcW w:w="1250" w:type="pct"/>
            <w:tcBorders>
              <w:tl2br w:val="nil"/>
              <w:tr2bl w:val="nil"/>
            </w:tcBorders>
            <w:vAlign w:val="center"/>
          </w:tcPr>
          <w:p w14:paraId="158D40A3">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0513-88755101</w:t>
            </w:r>
          </w:p>
        </w:tc>
      </w:tr>
    </w:tbl>
    <w:p w14:paraId="1572576E">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23" w:name="_Toc522698917"/>
      <w:bookmarkStart w:id="324" w:name="_Toc915"/>
      <w:bookmarkStart w:id="325" w:name="_Toc30163"/>
      <w:bookmarkStart w:id="326" w:name="_Toc524512841"/>
      <w:bookmarkStart w:id="327" w:name="_Toc6162"/>
      <w:bookmarkStart w:id="328" w:name="_Toc31621"/>
      <w:bookmarkStart w:id="329" w:name="_Toc30251"/>
      <w:bookmarkStart w:id="330" w:name="_Toc23261"/>
      <w:r>
        <w:rPr>
          <w:rFonts w:hint="default" w:ascii="Times New Roman" w:hAnsi="Times New Roman" w:cs="Times New Roman" w:eastAsiaTheme="minorEastAsia"/>
          <w:color w:val="auto"/>
          <w:sz w:val="24"/>
          <w:szCs w:val="24"/>
          <w:highlight w:val="none"/>
        </w:rPr>
        <w:t xml:space="preserve">4.3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与周边</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应急响应的关系</w:t>
      </w:r>
      <w:bookmarkEnd w:id="323"/>
      <w:bookmarkEnd w:id="324"/>
      <w:bookmarkEnd w:id="325"/>
      <w:bookmarkEnd w:id="326"/>
      <w:bookmarkEnd w:id="327"/>
      <w:bookmarkEnd w:id="328"/>
      <w:bookmarkEnd w:id="329"/>
      <w:bookmarkEnd w:id="330"/>
    </w:p>
    <w:p w14:paraId="0D590EB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应急预案和上位应急预案相衔接按照常态与非常态，预防与应急相结合的原则进行。</w:t>
      </w:r>
    </w:p>
    <w:p w14:paraId="368E285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常态时应急预案的衔接方式：</w:t>
      </w:r>
    </w:p>
    <w:p w14:paraId="192F9A0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应急预案</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应该结合当地政府预案的内容，增加政府相关人员的联系方式，以便及时联系。与互救协议单位在应急资源和装备等的调度和配置方面形成有效衔接。宣传、培训和应急演练协调机制。公司需要外部协助时，也可向周边</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求助。</w:t>
      </w:r>
    </w:p>
    <w:p w14:paraId="27AADA6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非常态时应急预案的衔接方式：</w:t>
      </w:r>
    </w:p>
    <w:p w14:paraId="54FC5AD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kern w:val="0"/>
          <w:sz w:val="24"/>
          <w:szCs w:val="24"/>
          <w:highlight w:val="none"/>
        </w:rPr>
        <w:t>应急预案体系中，</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和政府应当建立通信</w:t>
      </w:r>
      <w:r>
        <w:rPr>
          <w:rFonts w:hint="eastAsia" w:ascii="Times New Roman" w:hAnsi="Times New Roman" w:cs="Times New Roman" w:eastAsiaTheme="minorEastAsia"/>
          <w:bCs/>
          <w:color w:val="auto"/>
          <w:kern w:val="0"/>
          <w:sz w:val="24"/>
          <w:szCs w:val="24"/>
          <w:highlight w:val="none"/>
          <w:lang w:eastAsia="zh-CN"/>
        </w:rPr>
        <w:t>、</w:t>
      </w:r>
      <w:r>
        <w:rPr>
          <w:rFonts w:hint="default" w:ascii="Times New Roman" w:hAnsi="Times New Roman" w:cs="Times New Roman" w:eastAsiaTheme="minorEastAsia"/>
          <w:bCs/>
          <w:color w:val="auto"/>
          <w:kern w:val="0"/>
          <w:sz w:val="24"/>
          <w:szCs w:val="24"/>
          <w:highlight w:val="none"/>
        </w:rPr>
        <w:t>信息报告和沟通机制的衔接。突发事件发生后，</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应当及时向当地政府报告，不得隐瞒、缓报和谎报。</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周围有</w:t>
      </w:r>
      <w:r>
        <w:rPr>
          <w:rFonts w:hint="eastAsia" w:ascii="Times New Roman" w:hAnsi="Times New Roman" w:cs="Times New Roman" w:eastAsiaTheme="minorEastAsia"/>
          <w:bCs/>
          <w:color w:val="auto"/>
          <w:kern w:val="0"/>
          <w:sz w:val="24"/>
          <w:szCs w:val="24"/>
          <w:highlight w:val="none"/>
          <w:lang w:val="en-US" w:eastAsia="zh-CN"/>
        </w:rPr>
        <w:t>南通欣宇源环保科技有限公司</w:t>
      </w:r>
      <w:r>
        <w:rPr>
          <w:rFonts w:hint="default" w:ascii="Times New Roman" w:hAnsi="Times New Roman" w:cs="Times New Roman" w:eastAsiaTheme="minorEastAsia"/>
          <w:bCs/>
          <w:color w:val="auto"/>
          <w:kern w:val="0"/>
          <w:sz w:val="24"/>
          <w:szCs w:val="24"/>
          <w:highlight w:val="none"/>
        </w:rPr>
        <w:t>等风险源，应加强</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间应急演练，保持应急联系方式畅通，及时获取信息，达到应急预案的目的。</w:t>
      </w:r>
    </w:p>
    <w:p w14:paraId="047C33D3">
      <w:pPr>
        <w:pageBreakBefore w:val="0"/>
        <w:kinsoku/>
        <w:overflowPunct/>
        <w:bidi w:val="0"/>
        <w:spacing w:line="500" w:lineRule="exact"/>
        <w:ind w:firstLine="562"/>
        <w:jc w:val="center"/>
        <w:rPr>
          <w:rFonts w:hint="default" w:ascii="Times New Roman" w:hAnsi="Times New Roman" w:cs="Times New Roman" w:eastAsiaTheme="minorEastAsia"/>
          <w:color w:val="auto"/>
          <w:sz w:val="24"/>
          <w:szCs w:val="24"/>
          <w:highlight w:val="yellow"/>
        </w:rPr>
      </w:pPr>
      <w:r>
        <w:rPr>
          <w:rFonts w:hint="default" w:ascii="Times New Roman" w:hAnsi="Times New Roman" w:cs="Times New Roman" w:eastAsiaTheme="minorEastAsia"/>
          <w:b/>
          <w:color w:val="auto"/>
          <w:sz w:val="24"/>
          <w:szCs w:val="24"/>
          <w:highlight w:val="none"/>
        </w:rPr>
        <w:t>表4-4 周边</w:t>
      </w:r>
      <w:r>
        <w:rPr>
          <w:rFonts w:hint="eastAsia" w:ascii="Times New Roman" w:hAnsi="Times New Roman" w:cs="Times New Roman" w:eastAsiaTheme="minorEastAsia"/>
          <w:b/>
          <w:color w:val="auto"/>
          <w:sz w:val="24"/>
          <w:szCs w:val="24"/>
          <w:highlight w:val="none"/>
          <w:lang w:eastAsia="zh-CN"/>
        </w:rPr>
        <w:t>公司</w:t>
      </w:r>
      <w:r>
        <w:rPr>
          <w:rFonts w:hint="default" w:ascii="Times New Roman" w:hAnsi="Times New Roman" w:cs="Times New Roman" w:eastAsiaTheme="minorEastAsia"/>
          <w:b/>
          <w:color w:val="auto"/>
          <w:sz w:val="24"/>
          <w:szCs w:val="24"/>
          <w:highlight w:val="none"/>
        </w:rPr>
        <w:t>联络表</w:t>
      </w:r>
    </w:p>
    <w:tbl>
      <w:tblPr>
        <w:tblStyle w:val="34"/>
        <w:tblW w:w="514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63"/>
        <w:gridCol w:w="2760"/>
        <w:gridCol w:w="1180"/>
        <w:gridCol w:w="1418"/>
        <w:gridCol w:w="1580"/>
        <w:gridCol w:w="1412"/>
      </w:tblGrid>
      <w:tr w14:paraId="26A42E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66EBA78D">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序号</w:t>
            </w:r>
          </w:p>
        </w:tc>
        <w:tc>
          <w:tcPr>
            <w:tcW w:w="1481" w:type="pct"/>
            <w:tcBorders>
              <w:tl2br w:val="nil"/>
              <w:tr2bl w:val="nil"/>
            </w:tcBorders>
            <w:vAlign w:val="center"/>
          </w:tcPr>
          <w:p w14:paraId="50398028">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eastAsia="zh-CN"/>
              </w:rPr>
            </w:pPr>
            <w:r>
              <w:rPr>
                <w:rFonts w:hint="default" w:ascii="Times New Roman" w:hAnsi="Times New Roman" w:cs="Times New Roman" w:eastAsiaTheme="minorEastAsia"/>
                <w:color w:val="auto"/>
                <w:kern w:val="0"/>
                <w:sz w:val="21"/>
                <w:szCs w:val="21"/>
                <w:highlight w:val="none"/>
              </w:rPr>
              <w:t>周围</w:t>
            </w:r>
            <w:r>
              <w:rPr>
                <w:rFonts w:hint="eastAsia" w:ascii="Times New Roman" w:hAnsi="Times New Roman" w:cs="Times New Roman" w:eastAsiaTheme="minorEastAsia"/>
                <w:color w:val="auto"/>
                <w:kern w:val="0"/>
                <w:sz w:val="21"/>
                <w:szCs w:val="21"/>
                <w:highlight w:val="none"/>
                <w:lang w:eastAsia="zh-CN"/>
              </w:rPr>
              <w:t>公司</w:t>
            </w:r>
          </w:p>
        </w:tc>
        <w:tc>
          <w:tcPr>
            <w:tcW w:w="633" w:type="pct"/>
            <w:tcBorders>
              <w:tl2br w:val="nil"/>
              <w:tr2bl w:val="nil"/>
            </w:tcBorders>
            <w:vAlign w:val="center"/>
          </w:tcPr>
          <w:p w14:paraId="48402EB3">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方位</w:t>
            </w:r>
          </w:p>
        </w:tc>
        <w:tc>
          <w:tcPr>
            <w:tcW w:w="761" w:type="pct"/>
            <w:tcBorders>
              <w:tl2br w:val="nil"/>
              <w:tr2bl w:val="nil"/>
            </w:tcBorders>
            <w:vAlign w:val="center"/>
          </w:tcPr>
          <w:p w14:paraId="6ECC2FDE">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距离(m)</w:t>
            </w:r>
          </w:p>
        </w:tc>
        <w:tc>
          <w:tcPr>
            <w:tcW w:w="848" w:type="pct"/>
            <w:tcBorders>
              <w:tl2br w:val="nil"/>
              <w:tr2bl w:val="nil"/>
            </w:tcBorders>
            <w:vAlign w:val="center"/>
          </w:tcPr>
          <w:p w14:paraId="0994715D">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联系人</w:t>
            </w:r>
          </w:p>
        </w:tc>
        <w:tc>
          <w:tcPr>
            <w:tcW w:w="758" w:type="pct"/>
            <w:tcBorders>
              <w:tl2br w:val="nil"/>
              <w:tr2bl w:val="nil"/>
            </w:tcBorders>
            <w:vAlign w:val="center"/>
          </w:tcPr>
          <w:p w14:paraId="34CD4074">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联系方式</w:t>
            </w:r>
          </w:p>
        </w:tc>
      </w:tr>
      <w:tr w14:paraId="5CD82B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7E8D935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1</w:t>
            </w:r>
          </w:p>
        </w:tc>
        <w:tc>
          <w:tcPr>
            <w:tcW w:w="1481" w:type="pct"/>
            <w:tcBorders>
              <w:tl2br w:val="nil"/>
              <w:tr2bl w:val="nil"/>
            </w:tcBorders>
            <w:vAlign w:val="center"/>
          </w:tcPr>
          <w:p w14:paraId="6CA17A9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南通市兴宇漆业有限责任公司</w:t>
            </w:r>
          </w:p>
        </w:tc>
        <w:tc>
          <w:tcPr>
            <w:tcW w:w="633" w:type="pct"/>
            <w:tcBorders>
              <w:tl2br w:val="nil"/>
              <w:tr2bl w:val="nil"/>
            </w:tcBorders>
            <w:vAlign w:val="center"/>
          </w:tcPr>
          <w:p w14:paraId="413EAB3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NW</w:t>
            </w:r>
          </w:p>
        </w:tc>
        <w:tc>
          <w:tcPr>
            <w:tcW w:w="761" w:type="pct"/>
            <w:tcBorders>
              <w:tl2br w:val="nil"/>
              <w:tr2bl w:val="nil"/>
            </w:tcBorders>
            <w:vAlign w:val="center"/>
          </w:tcPr>
          <w:p w14:paraId="0BFF579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50</w:t>
            </w:r>
          </w:p>
        </w:tc>
        <w:tc>
          <w:tcPr>
            <w:tcW w:w="848" w:type="pct"/>
            <w:tcBorders>
              <w:tl2br w:val="nil"/>
              <w:tr2bl w:val="nil"/>
            </w:tcBorders>
            <w:vAlign w:val="center"/>
          </w:tcPr>
          <w:p w14:paraId="2F6DCCC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陈玲</w:t>
            </w:r>
          </w:p>
        </w:tc>
        <w:tc>
          <w:tcPr>
            <w:tcW w:w="758" w:type="pct"/>
            <w:tcBorders>
              <w:tl2br w:val="nil"/>
              <w:tr2bl w:val="nil"/>
            </w:tcBorders>
            <w:vAlign w:val="center"/>
          </w:tcPr>
          <w:p w14:paraId="5A607A3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0513-88750777</w:t>
            </w:r>
          </w:p>
        </w:tc>
      </w:tr>
      <w:tr w14:paraId="2A5764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2E2B5ADC">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val="en-US" w:eastAsia="zh-CN" w:bidi="ar-SA"/>
              </w:rPr>
            </w:pPr>
            <w:r>
              <w:rPr>
                <w:rFonts w:hint="eastAsia" w:ascii="Times New Roman" w:hAnsi="Times New Roman" w:cs="Times New Roman" w:eastAsiaTheme="minorEastAsia"/>
                <w:color w:val="auto"/>
                <w:kern w:val="0"/>
                <w:sz w:val="21"/>
                <w:szCs w:val="21"/>
                <w:highlight w:val="none"/>
                <w:lang w:val="en-US" w:eastAsia="zh-CN"/>
              </w:rPr>
              <w:t>2</w:t>
            </w:r>
          </w:p>
        </w:tc>
        <w:tc>
          <w:tcPr>
            <w:tcW w:w="1481" w:type="pct"/>
            <w:tcBorders>
              <w:tl2br w:val="nil"/>
              <w:tr2bl w:val="nil"/>
            </w:tcBorders>
            <w:vAlign w:val="center"/>
          </w:tcPr>
          <w:p w14:paraId="26820E6D">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南通中岛制衣有限公司</w:t>
            </w:r>
          </w:p>
        </w:tc>
        <w:tc>
          <w:tcPr>
            <w:tcW w:w="633" w:type="pct"/>
            <w:tcBorders>
              <w:tl2br w:val="nil"/>
              <w:tr2bl w:val="nil"/>
            </w:tcBorders>
            <w:vAlign w:val="center"/>
          </w:tcPr>
          <w:p w14:paraId="4BBBDA5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NW</w:t>
            </w:r>
          </w:p>
        </w:tc>
        <w:tc>
          <w:tcPr>
            <w:tcW w:w="761" w:type="pct"/>
            <w:tcBorders>
              <w:tl2br w:val="nil"/>
              <w:tr2bl w:val="nil"/>
            </w:tcBorders>
            <w:vAlign w:val="center"/>
          </w:tcPr>
          <w:p w14:paraId="1B094958">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104</w:t>
            </w:r>
          </w:p>
        </w:tc>
        <w:tc>
          <w:tcPr>
            <w:tcW w:w="848" w:type="pct"/>
            <w:tcBorders>
              <w:tl2br w:val="nil"/>
              <w:tr2bl w:val="nil"/>
            </w:tcBorders>
            <w:vAlign w:val="center"/>
          </w:tcPr>
          <w:p w14:paraId="36D18397">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彭宪</w:t>
            </w:r>
          </w:p>
        </w:tc>
        <w:tc>
          <w:tcPr>
            <w:tcW w:w="758" w:type="pct"/>
            <w:tcBorders>
              <w:tl2br w:val="nil"/>
              <w:tr2bl w:val="nil"/>
            </w:tcBorders>
            <w:vAlign w:val="center"/>
          </w:tcPr>
          <w:p w14:paraId="3E8BE59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0513-85340918</w:t>
            </w:r>
          </w:p>
        </w:tc>
      </w:tr>
      <w:tr w14:paraId="15799D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729CD436">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val="en-US" w:eastAsia="zh-CN" w:bidi="ar-SA"/>
              </w:rPr>
            </w:pPr>
            <w:r>
              <w:rPr>
                <w:rFonts w:hint="eastAsia" w:ascii="Times New Roman" w:hAnsi="Times New Roman" w:cs="Times New Roman" w:eastAsiaTheme="minorEastAsia"/>
                <w:color w:val="auto"/>
                <w:kern w:val="0"/>
                <w:sz w:val="21"/>
                <w:szCs w:val="21"/>
                <w:highlight w:val="none"/>
                <w:lang w:val="en-US" w:eastAsia="zh-CN"/>
              </w:rPr>
              <w:t>3</w:t>
            </w:r>
          </w:p>
        </w:tc>
        <w:tc>
          <w:tcPr>
            <w:tcW w:w="1481" w:type="pct"/>
            <w:tcBorders>
              <w:tl2br w:val="nil"/>
              <w:tr2bl w:val="nil"/>
            </w:tcBorders>
            <w:vAlign w:val="center"/>
          </w:tcPr>
          <w:p w14:paraId="7F3AD53A">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江苏鹏飞集团股份有限公司</w:t>
            </w:r>
          </w:p>
        </w:tc>
        <w:tc>
          <w:tcPr>
            <w:tcW w:w="633" w:type="pct"/>
            <w:tcBorders>
              <w:tl2br w:val="nil"/>
              <w:tr2bl w:val="nil"/>
            </w:tcBorders>
            <w:vAlign w:val="center"/>
          </w:tcPr>
          <w:p w14:paraId="592D0F9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SW</w:t>
            </w:r>
          </w:p>
        </w:tc>
        <w:tc>
          <w:tcPr>
            <w:tcW w:w="761" w:type="pct"/>
            <w:tcBorders>
              <w:tl2br w:val="nil"/>
              <w:tr2bl w:val="nil"/>
            </w:tcBorders>
            <w:vAlign w:val="center"/>
          </w:tcPr>
          <w:p w14:paraId="403BED1A">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62</w:t>
            </w:r>
          </w:p>
        </w:tc>
        <w:tc>
          <w:tcPr>
            <w:tcW w:w="848" w:type="pct"/>
            <w:tcBorders>
              <w:tl2br w:val="nil"/>
              <w:tr2bl w:val="nil"/>
            </w:tcBorders>
            <w:vAlign w:val="center"/>
          </w:tcPr>
          <w:p w14:paraId="111BC5D7">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王家安</w:t>
            </w:r>
          </w:p>
        </w:tc>
        <w:tc>
          <w:tcPr>
            <w:tcW w:w="758" w:type="pct"/>
            <w:tcBorders>
              <w:tl2br w:val="nil"/>
              <w:tr2bl w:val="nil"/>
            </w:tcBorders>
            <w:vAlign w:val="center"/>
          </w:tcPr>
          <w:p w14:paraId="788B2E9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sz w:val="21"/>
                <w:lang w:val="en-US" w:eastAsia="zh-CN"/>
              </w:rPr>
              <w:t>13912851990</w:t>
            </w:r>
          </w:p>
        </w:tc>
      </w:tr>
      <w:tr w14:paraId="7C0C4A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7" w:type="pct"/>
            <w:tcBorders>
              <w:tl2br w:val="nil"/>
              <w:tr2bl w:val="nil"/>
            </w:tcBorders>
            <w:vAlign w:val="center"/>
          </w:tcPr>
          <w:p w14:paraId="6E3FF3CE">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val="en-US" w:eastAsia="zh-CN" w:bidi="ar-SA"/>
              </w:rPr>
            </w:pPr>
            <w:r>
              <w:rPr>
                <w:rFonts w:hint="eastAsia" w:ascii="Times New Roman" w:hAnsi="Times New Roman" w:cs="Times New Roman" w:eastAsiaTheme="minorEastAsia"/>
                <w:color w:val="auto"/>
                <w:kern w:val="0"/>
                <w:sz w:val="21"/>
                <w:szCs w:val="21"/>
                <w:highlight w:val="none"/>
                <w:lang w:val="en-US" w:eastAsia="zh-CN"/>
              </w:rPr>
              <w:t>4</w:t>
            </w:r>
          </w:p>
        </w:tc>
        <w:tc>
          <w:tcPr>
            <w:tcW w:w="1481" w:type="pct"/>
            <w:tcBorders>
              <w:tl2br w:val="nil"/>
              <w:tr2bl w:val="nil"/>
            </w:tcBorders>
            <w:vAlign w:val="center"/>
          </w:tcPr>
          <w:p w14:paraId="22E2EDC7">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南通启辰智能科技有限公司</w:t>
            </w:r>
          </w:p>
        </w:tc>
        <w:tc>
          <w:tcPr>
            <w:tcW w:w="633" w:type="pct"/>
            <w:tcBorders>
              <w:tl2br w:val="nil"/>
              <w:tr2bl w:val="nil"/>
            </w:tcBorders>
            <w:vAlign w:val="center"/>
          </w:tcPr>
          <w:p w14:paraId="63DC65B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W</w:t>
            </w:r>
          </w:p>
        </w:tc>
        <w:tc>
          <w:tcPr>
            <w:tcW w:w="761" w:type="pct"/>
            <w:tcBorders>
              <w:tl2br w:val="nil"/>
              <w:tr2bl w:val="nil"/>
            </w:tcBorders>
            <w:vAlign w:val="center"/>
          </w:tcPr>
          <w:p w14:paraId="4A6BAD5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188</w:t>
            </w:r>
          </w:p>
        </w:tc>
        <w:tc>
          <w:tcPr>
            <w:tcW w:w="848" w:type="pct"/>
            <w:tcBorders>
              <w:tl2br w:val="nil"/>
              <w:tr2bl w:val="nil"/>
            </w:tcBorders>
            <w:vAlign w:val="center"/>
          </w:tcPr>
          <w:p w14:paraId="0EC556A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刘总</w:t>
            </w:r>
          </w:p>
        </w:tc>
        <w:tc>
          <w:tcPr>
            <w:tcW w:w="758" w:type="pct"/>
            <w:tcBorders>
              <w:tl2br w:val="nil"/>
              <w:tr2bl w:val="nil"/>
            </w:tcBorders>
            <w:vAlign w:val="center"/>
          </w:tcPr>
          <w:p w14:paraId="56B4C8F7">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eastAsiaTheme="minorEastAsia"/>
                <w:sz w:val="21"/>
                <w:lang w:val="en-US" w:eastAsia="zh-CN"/>
              </w:rPr>
              <w:t>15050250296</w:t>
            </w:r>
          </w:p>
        </w:tc>
      </w:tr>
    </w:tbl>
    <w:p w14:paraId="27A8E3B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在应急物资储备</w:t>
      </w:r>
      <w:r>
        <w:rPr>
          <w:rFonts w:hint="eastAsia" w:ascii="Times New Roman" w:hAnsi="Times New Roman" w:cs="Times New Roman" w:eastAsiaTheme="minorEastAsia"/>
          <w:bCs/>
          <w:color w:val="auto"/>
          <w:kern w:val="0"/>
          <w:sz w:val="24"/>
          <w:szCs w:val="24"/>
          <w:highlight w:val="none"/>
          <w:lang w:eastAsia="zh-CN"/>
        </w:rPr>
        <w:t>、</w:t>
      </w:r>
      <w:r>
        <w:rPr>
          <w:rFonts w:hint="eastAsia" w:ascii="Times New Roman" w:hAnsi="Times New Roman" w:cs="Times New Roman" w:eastAsiaTheme="minorEastAsia"/>
          <w:bCs/>
          <w:color w:val="auto"/>
          <w:kern w:val="0"/>
          <w:sz w:val="24"/>
          <w:szCs w:val="24"/>
          <w:highlight w:val="none"/>
          <w:lang w:val="en-US" w:eastAsia="zh-CN"/>
        </w:rPr>
        <w:t>应急措施、</w:t>
      </w:r>
      <w:r>
        <w:rPr>
          <w:rFonts w:hint="default" w:ascii="Times New Roman" w:hAnsi="Times New Roman" w:cs="Times New Roman" w:eastAsiaTheme="minorEastAsia"/>
          <w:bCs/>
          <w:color w:val="auto"/>
          <w:kern w:val="0"/>
          <w:sz w:val="24"/>
          <w:szCs w:val="24"/>
          <w:highlight w:val="none"/>
        </w:rPr>
        <w:t>不同岗位人员设置上</w:t>
      </w:r>
      <w:r>
        <w:rPr>
          <w:rFonts w:hint="eastAsia" w:ascii="Times New Roman" w:hAnsi="Times New Roman" w:cs="Times New Roman" w:eastAsiaTheme="minorEastAsia"/>
          <w:bCs/>
          <w:color w:val="auto"/>
          <w:kern w:val="0"/>
          <w:sz w:val="24"/>
          <w:szCs w:val="24"/>
          <w:highlight w:val="none"/>
          <w:lang w:val="en-US" w:eastAsia="zh-CN"/>
        </w:rPr>
        <w:t>都</w:t>
      </w:r>
      <w:r>
        <w:rPr>
          <w:rFonts w:hint="default" w:ascii="Times New Roman" w:hAnsi="Times New Roman" w:cs="Times New Roman" w:eastAsiaTheme="minorEastAsia"/>
          <w:bCs/>
          <w:color w:val="auto"/>
          <w:kern w:val="0"/>
          <w:sz w:val="24"/>
          <w:szCs w:val="24"/>
          <w:highlight w:val="none"/>
        </w:rPr>
        <w:t>要考虑周边</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环境风险事故发生时引起连带事故。加强与上级部门的汇报沟通，将区域风险源的风险概率降低。</w:t>
      </w:r>
    </w:p>
    <w:p w14:paraId="5A9707EF">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31" w:name="_Toc8970"/>
      <w:bookmarkStart w:id="332" w:name="_Toc29806"/>
      <w:bookmarkStart w:id="333" w:name="_Toc22697"/>
      <w:bookmarkStart w:id="334" w:name="_Toc524512842"/>
      <w:bookmarkStart w:id="335" w:name="_Toc26160"/>
      <w:bookmarkStart w:id="336" w:name="_Toc6491"/>
      <w:bookmarkStart w:id="337" w:name="_Toc15676"/>
      <w:bookmarkStart w:id="338" w:name="_Toc522698918"/>
      <w:r>
        <w:rPr>
          <w:rFonts w:hint="default" w:ascii="Times New Roman" w:hAnsi="Times New Roman" w:cs="Times New Roman" w:eastAsiaTheme="minorEastAsia"/>
          <w:color w:val="auto"/>
          <w:sz w:val="24"/>
          <w:szCs w:val="24"/>
          <w:highlight w:val="none"/>
        </w:rPr>
        <w:t>4.4 政府部门介入移交权责及内部调整</w:t>
      </w:r>
      <w:bookmarkEnd w:id="331"/>
      <w:bookmarkEnd w:id="332"/>
      <w:bookmarkEnd w:id="333"/>
      <w:bookmarkEnd w:id="334"/>
      <w:bookmarkEnd w:id="335"/>
      <w:bookmarkEnd w:id="336"/>
      <w:bookmarkEnd w:id="337"/>
      <w:bookmarkEnd w:id="338"/>
    </w:p>
    <w:p w14:paraId="0686137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发生Ⅰ级预警时，公司</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应及时上报</w:t>
      </w:r>
      <w:r>
        <w:rPr>
          <w:rFonts w:hint="eastAsia" w:ascii="Times New Roman" w:hAnsi="Times New Roman" w:cs="Times New Roman" w:eastAsiaTheme="minorEastAsia"/>
          <w:bCs/>
          <w:color w:val="auto"/>
          <w:kern w:val="0"/>
          <w:sz w:val="24"/>
          <w:szCs w:val="24"/>
          <w:highlight w:val="none"/>
          <w:lang w:val="en-US" w:eastAsia="zh-CN"/>
        </w:rPr>
        <w:t>大公镇管委会和</w:t>
      </w:r>
      <w:r>
        <w:rPr>
          <w:rFonts w:hint="default" w:ascii="Times New Roman" w:hAnsi="Times New Roman" w:cs="Times New Roman" w:eastAsiaTheme="minorEastAsia"/>
          <w:bCs/>
          <w:color w:val="auto"/>
          <w:kern w:val="0"/>
          <w:sz w:val="24"/>
          <w:szCs w:val="24"/>
          <w:highlight w:val="none"/>
        </w:rPr>
        <w:t>南通市海安生态环境局。政府部门应急预案救援指挥机构到达事故现场后，厂内</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移交事故现场指挥权给政府部门人员，同时积极配合</w:t>
      </w:r>
      <w:r>
        <w:rPr>
          <w:rFonts w:hint="eastAsia" w:ascii="Times New Roman" w:hAnsi="Times New Roman" w:cs="Times New Roman" w:eastAsiaTheme="minorEastAsia"/>
          <w:bCs/>
          <w:color w:val="auto"/>
          <w:kern w:val="0"/>
          <w:sz w:val="24"/>
          <w:szCs w:val="24"/>
          <w:highlight w:val="none"/>
          <w:lang w:val="en-US" w:eastAsia="zh-CN"/>
        </w:rPr>
        <w:t>并汇报现场情况。</w:t>
      </w:r>
      <w:r>
        <w:rPr>
          <w:rFonts w:hint="default" w:ascii="Times New Roman" w:hAnsi="Times New Roman" w:cs="Times New Roman" w:eastAsiaTheme="minorEastAsia"/>
          <w:bCs/>
          <w:color w:val="auto"/>
          <w:kern w:val="0"/>
          <w:sz w:val="24"/>
          <w:szCs w:val="24"/>
          <w:highlight w:val="none"/>
        </w:rPr>
        <w:t>如：已采取的应急措施，已污染范围、潜在的危害程度，转化方式及趋势，可能影响区域，采取措施建议等。</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内部各应急救援小组接受政府部门和</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双重领导。</w:t>
      </w:r>
    </w:p>
    <w:p w14:paraId="118884ED">
      <w:pPr>
        <w:pageBreakBefore w:val="0"/>
        <w:widowControl/>
        <w:kinsoku/>
        <w:overflowPunct/>
        <w:bidi w:val="0"/>
        <w:spacing w:line="500" w:lineRule="exact"/>
        <w:ind w:firstLine="561"/>
        <w:rPr>
          <w:rFonts w:hint="default" w:ascii="Times New Roman" w:hAnsi="Times New Roman" w:cs="Times New Roman" w:eastAsiaTheme="minorEastAsia"/>
          <w:bCs/>
          <w:color w:val="auto"/>
          <w:kern w:val="0"/>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720" w:num="1"/>
        </w:sectPr>
      </w:pPr>
    </w:p>
    <w:bookmarkEnd w:id="321"/>
    <w:bookmarkEnd w:id="322"/>
    <w:p w14:paraId="1EF405F4">
      <w:pPr>
        <w:pStyle w:val="3"/>
        <w:pageBreakBefore w:val="0"/>
        <w:kinsoku/>
        <w:overflowPunct/>
        <w:bidi w:val="0"/>
        <w:spacing w:beforeLines="0" w:afterLines="0" w:line="500" w:lineRule="exact"/>
        <w:ind w:firstLine="0" w:firstLineChars="0"/>
        <w:jc w:val="left"/>
        <w:rPr>
          <w:rFonts w:hint="default" w:ascii="Times New Roman" w:hAnsi="Times New Roman" w:cs="Times New Roman" w:eastAsiaTheme="minorEastAsia"/>
          <w:color w:val="auto"/>
          <w:sz w:val="28"/>
          <w:szCs w:val="28"/>
          <w:highlight w:val="none"/>
        </w:rPr>
      </w:pPr>
      <w:bookmarkStart w:id="339" w:name="_Toc10995"/>
      <w:bookmarkStart w:id="340" w:name="_Toc7528"/>
      <w:bookmarkStart w:id="341" w:name="_Toc31877"/>
      <w:bookmarkStart w:id="342" w:name="_Toc9212"/>
      <w:bookmarkStart w:id="343" w:name="_Toc496529021"/>
      <w:bookmarkStart w:id="344" w:name="_Toc15837"/>
      <w:bookmarkStart w:id="345" w:name="_Toc22885"/>
      <w:r>
        <w:rPr>
          <w:rFonts w:hint="default" w:ascii="Times New Roman" w:hAnsi="Times New Roman" w:cs="Times New Roman" w:eastAsiaTheme="minorEastAsia"/>
          <w:color w:val="auto"/>
          <w:sz w:val="28"/>
          <w:szCs w:val="28"/>
          <w:highlight w:val="none"/>
        </w:rPr>
        <w:t>5 环境应急监测</w:t>
      </w:r>
      <w:bookmarkEnd w:id="339"/>
      <w:bookmarkEnd w:id="340"/>
      <w:bookmarkEnd w:id="341"/>
      <w:bookmarkEnd w:id="342"/>
    </w:p>
    <w:p w14:paraId="11A0EF27">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46" w:name="_Toc27327"/>
      <w:bookmarkStart w:id="347" w:name="_Toc15083"/>
      <w:bookmarkStart w:id="348" w:name="_Toc5463"/>
      <w:bookmarkStart w:id="349" w:name="_Toc3255"/>
      <w:r>
        <w:rPr>
          <w:rFonts w:hint="default" w:ascii="Times New Roman" w:hAnsi="Times New Roman" w:cs="Times New Roman" w:eastAsiaTheme="minorEastAsia"/>
          <w:color w:val="auto"/>
          <w:sz w:val="24"/>
          <w:szCs w:val="24"/>
          <w:highlight w:val="none"/>
        </w:rPr>
        <w:t>5.1 应急监测</w:t>
      </w:r>
      <w:bookmarkEnd w:id="346"/>
      <w:bookmarkEnd w:id="347"/>
      <w:bookmarkEnd w:id="348"/>
      <w:bookmarkEnd w:id="349"/>
    </w:p>
    <w:p w14:paraId="16F0F3B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由于我公司不具有的检测能力，如有需要还可请求</w:t>
      </w:r>
      <w:r>
        <w:rPr>
          <w:rFonts w:hint="eastAsia" w:ascii="Times New Roman" w:hAnsi="Times New Roman" w:cs="Times New Roman" w:eastAsiaTheme="minorEastAsia"/>
          <w:color w:val="auto"/>
          <w:sz w:val="24"/>
          <w:szCs w:val="24"/>
          <w:highlight w:val="none"/>
          <w:lang w:eastAsia="zh-CN"/>
        </w:rPr>
        <w:t>江苏裕和检测技术有限公司</w:t>
      </w:r>
      <w:r>
        <w:rPr>
          <w:rFonts w:hint="default" w:ascii="Times New Roman" w:hAnsi="Times New Roman" w:cs="Times New Roman" w:eastAsiaTheme="minorEastAsia"/>
          <w:color w:val="auto"/>
          <w:sz w:val="24"/>
          <w:szCs w:val="24"/>
          <w:highlight w:val="none"/>
        </w:rPr>
        <w:t>支援，对事故现场进行现场应急监测，对事故性质、参数与后果进行评估，为指挥部门提供决策依据。</w:t>
      </w:r>
    </w:p>
    <w:p w14:paraId="2077D9CF">
      <w:pPr>
        <w:pStyle w:val="2"/>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350" w:name="_Toc4700"/>
      <w:bookmarkStart w:id="351" w:name="_Toc27634"/>
      <w:bookmarkStart w:id="352" w:name="_Toc517246248"/>
      <w:bookmarkStart w:id="353" w:name="_Toc23249"/>
      <w:bookmarkStart w:id="354" w:name="_Toc21204"/>
      <w:bookmarkStart w:id="355" w:name="_Toc28160"/>
      <w:bookmarkStart w:id="356" w:name="_Toc15527"/>
      <w:bookmarkStart w:id="357" w:name="_Toc515064126"/>
      <w:r>
        <w:rPr>
          <w:rFonts w:hint="default" w:ascii="Times New Roman" w:hAnsi="Times New Roman" w:cs="Times New Roman" w:eastAsiaTheme="minorEastAsia"/>
          <w:color w:val="auto"/>
          <w:sz w:val="24"/>
          <w:szCs w:val="24"/>
          <w:highlight w:val="none"/>
          <w:lang w:val="zh-CN"/>
        </w:rPr>
        <w:t>5.1.1 应急监测</w:t>
      </w:r>
      <w:r>
        <w:rPr>
          <w:rFonts w:hint="default" w:ascii="Times New Roman" w:hAnsi="Times New Roman" w:cs="Times New Roman" w:eastAsiaTheme="minorEastAsia"/>
          <w:color w:val="auto"/>
          <w:sz w:val="24"/>
          <w:szCs w:val="24"/>
          <w:highlight w:val="none"/>
        </w:rPr>
        <w:t>方案总则</w:t>
      </w:r>
      <w:bookmarkEnd w:id="350"/>
      <w:bookmarkEnd w:id="351"/>
      <w:bookmarkEnd w:id="352"/>
      <w:bookmarkEnd w:id="353"/>
      <w:bookmarkEnd w:id="354"/>
      <w:bookmarkEnd w:id="355"/>
      <w:bookmarkEnd w:id="356"/>
      <w:bookmarkEnd w:id="357"/>
    </w:p>
    <w:p w14:paraId="511AB77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应急监测包括污染源监测、厂界环境质量监测和厂外环境质量监测三类，</w:t>
      </w:r>
      <w:r>
        <w:rPr>
          <w:rFonts w:hint="eastAsia" w:ascii="Times New Roman" w:hAnsi="Times New Roman" w:cs="Times New Roman" w:eastAsiaTheme="minorEastAsia"/>
          <w:color w:val="auto"/>
          <w:sz w:val="24"/>
          <w:szCs w:val="24"/>
          <w:highlight w:val="none"/>
          <w:lang w:val="en-US" w:eastAsia="zh-CN"/>
        </w:rPr>
        <w:t>监测因子及频次需</w:t>
      </w:r>
      <w:r>
        <w:rPr>
          <w:rFonts w:hint="default" w:ascii="Times New Roman" w:hAnsi="Times New Roman" w:cs="Times New Roman" w:eastAsiaTheme="minorEastAsia"/>
          <w:color w:val="auto"/>
          <w:sz w:val="24"/>
          <w:szCs w:val="24"/>
          <w:highlight w:val="none"/>
        </w:rPr>
        <w:t>满足事故应急监测的需求。</w:t>
      </w:r>
    </w:p>
    <w:p w14:paraId="5046C8B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①布点原则</w:t>
      </w:r>
    </w:p>
    <w:p w14:paraId="420AA2B8">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 xml:space="preserve">采样断面（点）的设置一般以突发环境事件发生地及可能受影响的环境区域为主，同时应注重人群和生活环境、事件发生地周围重要生态环境保护目标及环境敏感点，重点关注对饮用水水源地、人群活动区域的空气、农田土壤、自然保护区、风景名胜区及其他需要特殊保护的区域的影响，合理设置监测断面（点），判断污染团（带）位置、反映污染变化趋势、了解应急处置效果。应根据突发环境事件应急处置情况动态及时更新调整布设点位。 </w:t>
      </w:r>
    </w:p>
    <w:p w14:paraId="6D8C1AA6">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 xml:space="preserve">对被突发环境事件所污染的地表水、大气、土壤和地下水应设置对照断面（点）、控制断面（点），对地表水和地下水还应设置削减断面（点），布点要确保能够获取足够的有代表性的信息，同时应考虑采样的安全性和可行性。 </w:t>
      </w:r>
    </w:p>
    <w:p w14:paraId="5025C516">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对突发环境事件固定污染源和移动污染源的应急监测，应根据现场的具体情况布设采样断面（点）。</w:t>
      </w:r>
    </w:p>
    <w:p w14:paraId="3AB0736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②布点采样方法</w:t>
      </w:r>
    </w:p>
    <w:p w14:paraId="37AF8F20">
      <w:pPr>
        <w:keepNext w:val="0"/>
        <w:keepLines w:val="0"/>
        <w:pageBreakBefore w:val="0"/>
        <w:widowControl w:val="0"/>
        <w:numPr>
          <w:ilvl w:val="0"/>
          <w:numId w:val="3"/>
        </w:numPr>
        <w:tabs>
          <w:tab w:val="clear" w:pos="312"/>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对于地表水环境污染事故</w:t>
      </w:r>
    </w:p>
    <w:p w14:paraId="7457D39E">
      <w:pPr>
        <w:keepNext w:val="0"/>
        <w:keepLines w:val="0"/>
        <w:pageBreakBefore w:val="0"/>
        <w:widowControl w:val="0"/>
        <w:numPr>
          <w:ilvl w:val="0"/>
          <w:numId w:val="4"/>
        </w:numPr>
        <w:tabs>
          <w:tab w:val="clear" w:pos="312"/>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监测点位以事故地点为中心，根据水流方向，扩散速度（或流速）和现场具体情况（如地形地貌等）进行布点采样，同时应测定流量。</w:t>
      </w:r>
    </w:p>
    <w:p w14:paraId="3C8330D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b.对厂区周边河流监测应在事故发生地及其下游布点，同时在事故发生地上游一定距离布设对照断面（点）；如河流流速很小或基本静止，可根据污染物的特性在不同水层采样；在事故影响区域内饮用水和农灌区取水口处必须设置采样断面（点）。</w:t>
      </w:r>
    </w:p>
    <w:p w14:paraId="0C5472DF">
      <w:pPr>
        <w:keepNext w:val="0"/>
        <w:keepLines w:val="0"/>
        <w:pageBreakBefore w:val="0"/>
        <w:widowControl w:val="0"/>
        <w:numPr>
          <w:ilvl w:val="0"/>
          <w:numId w:val="3"/>
        </w:numPr>
        <w:tabs>
          <w:tab w:val="clear" w:pos="312"/>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对于环境空气污染事故</w:t>
      </w:r>
    </w:p>
    <w:p w14:paraId="657322E7">
      <w:pPr>
        <w:keepNext w:val="0"/>
        <w:keepLines w:val="0"/>
        <w:pageBreakBefore w:val="0"/>
        <w:widowControl w:val="0"/>
        <w:numPr>
          <w:ilvl w:val="0"/>
          <w:numId w:val="5"/>
        </w:numPr>
        <w:tabs>
          <w:tab w:val="clear" w:pos="312"/>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尽可能在事故发生地就近采样，并以事故地点为中心，根据事故发生地的地理特点、当时盛行风向以及其他自然条件，在事故发生地下风向（污染物漂移云团经过的路径）影响区域、掩体或低洼等位置，按一定间隔的扇形或圆形布点，并根据污染物的特点在不同高度采样，同时在事故点的上风向适当位置布设对照点；在可能受污染影响的居民住宅区或人群活动区等敏感点必须设置采样点，采样过程中应注意风向变化，及时调整采样点的位置。</w:t>
      </w:r>
    </w:p>
    <w:p w14:paraId="223905D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zh-CN"/>
        </w:rPr>
        <w:t>③</w:t>
      </w:r>
      <w:r>
        <w:rPr>
          <w:rFonts w:hint="default" w:ascii="Times New Roman" w:hAnsi="Times New Roman" w:cs="Times New Roman" w:eastAsiaTheme="minorEastAsia"/>
          <w:color w:val="auto"/>
          <w:sz w:val="24"/>
          <w:szCs w:val="24"/>
          <w:highlight w:val="none"/>
        </w:rPr>
        <w:t>监测频次的确定</w:t>
      </w:r>
    </w:p>
    <w:p w14:paraId="3AEC585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频次主要根据现场污染状况确定。事故刚发生时，监测频次可适当增加，待摸清污染物变化规律后，可减少监测频次。根据不同的环境区域功能和事故发生地的污染实际情况，力求以最低的监测频次，取得最有代表性的样品，既满足反应环境污染程度、范围的要求，又切实可行。</w:t>
      </w:r>
    </w:p>
    <w:p w14:paraId="1FF756C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zh-CN"/>
        </w:rPr>
        <w:t>④</w:t>
      </w:r>
      <w:r>
        <w:rPr>
          <w:rFonts w:hint="default" w:ascii="Times New Roman" w:hAnsi="Times New Roman" w:cs="Times New Roman" w:eastAsiaTheme="minorEastAsia"/>
          <w:color w:val="auto"/>
          <w:sz w:val="24"/>
          <w:szCs w:val="24"/>
          <w:highlight w:val="none"/>
        </w:rPr>
        <w:t>监测项目和方法的选择</w:t>
      </w:r>
    </w:p>
    <w:p w14:paraId="5811A38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监测项目的选择：突发环境事件由于其发生的突然性、形式的多样性、成分的复杂性决定了应急监测项目往往一时难以确定，此时应通过多种途径尽快确定主要污染物和监测项目。</w:t>
      </w:r>
    </w:p>
    <w:p w14:paraId="0B7D07D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a.对于已知污染物的突发环境事件</w:t>
      </w:r>
    </w:p>
    <w:p w14:paraId="7631E26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根据已知污染物确定主要监测项目。同时应考虑该污染物在环境中可能产生的反应，衍生成其他有毒有害物质。</w:t>
      </w:r>
    </w:p>
    <w:p w14:paraId="7C4199C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固定源引发的突发环境事件，通过对引发突发环境事件固定源单位的有关人员的调查询问，以及对引发突发环境事件的位置、所用设备、原辅材料、生产的产品等的调查，同时采集有代表性的污染源样品，确认主要污染物和监测项目。</w:t>
      </w:r>
    </w:p>
    <w:p w14:paraId="28F6D19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对流动源引发的突发环境事件，通过对有关人员的询问以及运送危险</w:t>
      </w:r>
      <w:r>
        <w:rPr>
          <w:rFonts w:hint="eastAsia" w:ascii="Times New Roman" w:hAnsi="Times New Roman" w:cs="Times New Roman" w:eastAsiaTheme="minorEastAsia"/>
          <w:color w:val="auto"/>
          <w:sz w:val="24"/>
          <w:szCs w:val="24"/>
          <w:highlight w:val="none"/>
          <w:lang w:val="en-US" w:eastAsia="zh-CN"/>
        </w:rPr>
        <w:t>物质</w:t>
      </w:r>
      <w:r>
        <w:rPr>
          <w:rFonts w:hint="default" w:ascii="Times New Roman" w:hAnsi="Times New Roman" w:cs="Times New Roman" w:eastAsiaTheme="minorEastAsia"/>
          <w:color w:val="auto"/>
          <w:sz w:val="24"/>
          <w:szCs w:val="24"/>
          <w:highlight w:val="none"/>
        </w:rPr>
        <w:t>或危险废物的外包装、准运证、押运证、上岗证、驾驶证、车号等信息，调查运输危险</w:t>
      </w:r>
      <w:r>
        <w:rPr>
          <w:rFonts w:hint="eastAsia" w:ascii="Times New Roman" w:hAnsi="Times New Roman" w:cs="Times New Roman" w:eastAsiaTheme="minorEastAsia"/>
          <w:color w:val="auto"/>
          <w:sz w:val="24"/>
          <w:szCs w:val="24"/>
          <w:highlight w:val="none"/>
          <w:lang w:val="en-US" w:eastAsia="zh-CN"/>
        </w:rPr>
        <w:t>物质</w:t>
      </w:r>
      <w:r>
        <w:rPr>
          <w:rFonts w:hint="default" w:ascii="Times New Roman" w:hAnsi="Times New Roman" w:cs="Times New Roman" w:eastAsiaTheme="minorEastAsia"/>
          <w:color w:val="auto"/>
          <w:sz w:val="24"/>
          <w:szCs w:val="24"/>
          <w:highlight w:val="none"/>
        </w:rPr>
        <w:t>的名称、数量、来源、生产或使用单位，同时采集有代表性的污染源样品，鉴定和确定主要污染物和监测项目。</w:t>
      </w:r>
    </w:p>
    <w:p w14:paraId="3CE5A8F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b.对于未知污染物的突发环境事件</w:t>
      </w:r>
    </w:p>
    <w:p w14:paraId="37EE58C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通过污染事故现场的一些特征，如气味、挥发性、雨水的反应特性、颜色及对周围环境、作物的影响等，初步确定主要污染物和监测项目。</w:t>
      </w:r>
    </w:p>
    <w:p w14:paraId="402A3AB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如发生人员或动物中毒事故，可根据中毒反应的特殊症状，初步确定主要污染物和监测项目。</w:t>
      </w:r>
    </w:p>
    <w:p w14:paraId="6A78DC4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通过事故现场周围可能产生污染的排放源的生产、环保、安全记录，初步确定主要污染物和监测项目。</w:t>
      </w:r>
    </w:p>
    <w:p w14:paraId="6C0D636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利用空气自动监测站、水质自动监测站和污染源在线监测系统等现有的仪器设备的检测，确定主要污染物和监测项目。</w:t>
      </w:r>
    </w:p>
    <w:p w14:paraId="04DE3AA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通过现场采样分析，包括采集有代表性的污染源样品，利用试纸、快速检测管和便携式监测仪器等现场快速分析手段，确定主要污染物和监测项目。</w:t>
      </w:r>
    </w:p>
    <w:p w14:paraId="7A1F129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通过采集样品，包括采集有代表性的污染源样品，送实验室分析后，确定主要污染物和监测项目。</w:t>
      </w:r>
    </w:p>
    <w:p w14:paraId="1DC1138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监测方法的选择：在已有调查资料的基础上，充分利用现场快速监测方法和实验室现有的分析方法进行鉴别、确认。</w:t>
      </w:r>
    </w:p>
    <w:p w14:paraId="2EFD501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为快速监测突发环境事件的污染物，首先可采用如下的快速监测方法：a)检测试纸、快速检测管和便携式监测仪器等的监测方法。b)现有的空气自动监测站、水质自动监测站和污染源在线监测系统等在用的监测方法。c)现行实验室分析方法。</w:t>
      </w:r>
    </w:p>
    <w:p w14:paraId="45378C4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从速送实验室进行确认、鉴别，实验室应优先采用国家环境保护标准或行业标准。</w:t>
      </w:r>
    </w:p>
    <w:p w14:paraId="4348F46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当上述分析方法不能满足要求时，可根据各地具体情况和仪器设备条件，选用其他适宜的方法，如ISO、美国EPA、日本JIS等国外的分析方法。</w:t>
      </w:r>
    </w:p>
    <w:p w14:paraId="587D7BB9">
      <w:pPr>
        <w:pStyle w:val="2"/>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358" w:name="_Toc2965"/>
      <w:bookmarkStart w:id="359" w:name="_Toc11161"/>
      <w:bookmarkStart w:id="360" w:name="_Toc517246249"/>
      <w:bookmarkStart w:id="361" w:name="_Toc21068"/>
      <w:bookmarkStart w:id="362" w:name="_Toc4353"/>
      <w:bookmarkStart w:id="363" w:name="_Toc496887048"/>
      <w:bookmarkStart w:id="364" w:name="_Toc29337"/>
      <w:bookmarkStart w:id="365" w:name="_Toc31883"/>
      <w:bookmarkStart w:id="366" w:name="_Toc511144553"/>
      <w:r>
        <w:rPr>
          <w:rFonts w:hint="default" w:ascii="Times New Roman" w:hAnsi="Times New Roman" w:cs="Times New Roman" w:eastAsiaTheme="minorEastAsia"/>
          <w:color w:val="auto"/>
          <w:sz w:val="24"/>
          <w:szCs w:val="24"/>
          <w:highlight w:val="none"/>
          <w:lang w:val="zh-CN"/>
        </w:rPr>
        <w:t>5.1.</w:t>
      </w: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lang w:val="zh-CN"/>
        </w:rPr>
        <w:t xml:space="preserve"> 水环境应急监测方案</w:t>
      </w:r>
      <w:bookmarkEnd w:id="358"/>
      <w:bookmarkEnd w:id="359"/>
    </w:p>
    <w:bookmarkEnd w:id="360"/>
    <w:bookmarkEnd w:id="361"/>
    <w:bookmarkEnd w:id="362"/>
    <w:bookmarkEnd w:id="363"/>
    <w:bookmarkEnd w:id="364"/>
    <w:bookmarkEnd w:id="365"/>
    <w:bookmarkEnd w:id="366"/>
    <w:p w14:paraId="6062A50D">
      <w:pPr>
        <w:keepNext w:val="0"/>
        <w:keepLines w:val="0"/>
        <w:pageBreakBefore w:val="0"/>
        <w:widowControl w:val="0"/>
        <w:tabs>
          <w:tab w:val="left" w:pos="5805"/>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监测地点：</w:t>
      </w:r>
      <w:r>
        <w:rPr>
          <w:rFonts w:hint="eastAsia" w:ascii="Times New Roman" w:hAnsi="Times New Roman" w:cs="Times New Roman" w:eastAsiaTheme="minorEastAsia"/>
          <w:color w:val="auto"/>
          <w:sz w:val="24"/>
          <w:szCs w:val="24"/>
          <w:highlight w:val="none"/>
          <w:lang w:val="en-US" w:eastAsia="zh-CN"/>
        </w:rPr>
        <w:t>雨水排口</w:t>
      </w:r>
      <w:r>
        <w:rPr>
          <w:rFonts w:hint="default" w:ascii="Times New Roman" w:hAnsi="Times New Roman" w:cs="Times New Roman" w:eastAsiaTheme="minorEastAsia"/>
          <w:color w:val="auto"/>
          <w:sz w:val="24"/>
          <w:szCs w:val="24"/>
          <w:highlight w:val="none"/>
        </w:rPr>
        <w:t>。</w:t>
      </w:r>
    </w:p>
    <w:p w14:paraId="3863432B">
      <w:pPr>
        <w:keepNext w:val="0"/>
        <w:keepLines w:val="0"/>
        <w:pageBreakBefore w:val="0"/>
        <w:widowControl w:val="0"/>
        <w:tabs>
          <w:tab w:val="left" w:pos="5805"/>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监测因子：</w:t>
      </w:r>
      <w:r>
        <w:rPr>
          <w:rFonts w:hint="default" w:ascii="Times New Roman" w:hAnsi="Times New Roman" w:cs="Times New Roman" w:eastAsiaTheme="minorEastAsia"/>
          <w:color w:val="auto"/>
          <w:sz w:val="24"/>
          <w:szCs w:val="24"/>
          <w:highlight w:val="none"/>
          <w:lang w:val="en-US" w:eastAsia="zh-CN"/>
        </w:rPr>
        <w:t>pH、COD、</w:t>
      </w:r>
      <w:r>
        <w:rPr>
          <w:rFonts w:hint="eastAsia" w:ascii="Times New Roman" w:hAnsi="Times New Roman" w:cs="Times New Roman" w:eastAsiaTheme="minorEastAsia"/>
          <w:color w:val="auto"/>
          <w:sz w:val="24"/>
          <w:szCs w:val="24"/>
          <w:highlight w:val="none"/>
          <w:lang w:val="en-US" w:eastAsia="zh-CN"/>
        </w:rPr>
        <w:t>SS、氨氮、总磷</w:t>
      </w:r>
      <w:r>
        <w:rPr>
          <w:rFonts w:hint="default" w:ascii="Times New Roman" w:hAnsi="Times New Roman" w:cs="Times New Roman" w:eastAsiaTheme="minorEastAsia"/>
          <w:color w:val="auto"/>
          <w:sz w:val="24"/>
          <w:szCs w:val="24"/>
          <w:highlight w:val="none"/>
        </w:rPr>
        <w:t>。</w:t>
      </w:r>
    </w:p>
    <w:p w14:paraId="738F954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监测时间和频次：按照事故持续时间决定监测时间，根据事故严重性确定监测频次。一般情况下每小时取样一次。随事故控制减弱，适当减少监测频次。</w:t>
      </w:r>
    </w:p>
    <w:p w14:paraId="033A012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监测点布设见表5-1。</w:t>
      </w:r>
    </w:p>
    <w:p w14:paraId="263A3E98">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表5-1 水环境监测点布设</w:t>
      </w:r>
    </w:p>
    <w:tbl>
      <w:tblPr>
        <w:tblStyle w:val="34"/>
        <w:tblW w:w="498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56"/>
        <w:gridCol w:w="1389"/>
        <w:gridCol w:w="1776"/>
        <w:gridCol w:w="2121"/>
        <w:gridCol w:w="2778"/>
      </w:tblGrid>
      <w:tr w14:paraId="45F287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2E47BF5E">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序号</w:t>
            </w:r>
          </w:p>
        </w:tc>
        <w:tc>
          <w:tcPr>
            <w:tcW w:w="770" w:type="pct"/>
            <w:tcBorders>
              <w:tl2br w:val="nil"/>
              <w:tr2bl w:val="nil"/>
            </w:tcBorders>
            <w:vAlign w:val="center"/>
          </w:tcPr>
          <w:p w14:paraId="277F2673">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断面名称</w:t>
            </w:r>
          </w:p>
        </w:tc>
        <w:tc>
          <w:tcPr>
            <w:tcW w:w="984" w:type="pct"/>
            <w:tcBorders>
              <w:tl2br w:val="nil"/>
              <w:tr2bl w:val="nil"/>
            </w:tcBorders>
            <w:vAlign w:val="center"/>
          </w:tcPr>
          <w:p w14:paraId="3BC1F00E">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所在河段</w:t>
            </w:r>
          </w:p>
        </w:tc>
        <w:tc>
          <w:tcPr>
            <w:tcW w:w="1175" w:type="pct"/>
            <w:tcBorders>
              <w:tl2br w:val="nil"/>
              <w:tr2bl w:val="nil"/>
            </w:tcBorders>
            <w:vAlign w:val="center"/>
          </w:tcPr>
          <w:p w14:paraId="3F1BDF7D">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距事故现场距离</w:t>
            </w:r>
          </w:p>
        </w:tc>
        <w:tc>
          <w:tcPr>
            <w:tcW w:w="1539" w:type="pct"/>
            <w:tcBorders>
              <w:tl2br w:val="nil"/>
              <w:tr2bl w:val="nil"/>
            </w:tcBorders>
            <w:vAlign w:val="center"/>
          </w:tcPr>
          <w:p w14:paraId="5C09B08B">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监测项目</w:t>
            </w:r>
          </w:p>
        </w:tc>
      </w:tr>
      <w:tr w14:paraId="22D36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57451317">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1</w:t>
            </w:r>
          </w:p>
        </w:tc>
        <w:tc>
          <w:tcPr>
            <w:tcW w:w="770" w:type="pct"/>
            <w:tcBorders>
              <w:tl2br w:val="nil"/>
              <w:tr2bl w:val="nil"/>
            </w:tcBorders>
            <w:vAlign w:val="center"/>
          </w:tcPr>
          <w:p w14:paraId="21593104">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断面</w:t>
            </w:r>
            <w:r>
              <w:rPr>
                <w:rFonts w:hint="default" w:ascii="Times New Roman" w:hAnsi="Times New Roman" w:cs="Times New Roman" w:eastAsiaTheme="minorEastAsia"/>
                <w:bCs/>
                <w:color w:val="auto"/>
                <w:sz w:val="21"/>
                <w:szCs w:val="21"/>
                <w:highlight w:val="none"/>
              </w:rPr>
              <w:fldChar w:fldCharType="begin"/>
            </w:r>
            <w:r>
              <w:rPr>
                <w:rFonts w:hint="default" w:ascii="Times New Roman" w:hAnsi="Times New Roman" w:cs="Times New Roman" w:eastAsiaTheme="minorEastAsia"/>
                <w:bCs/>
                <w:color w:val="auto"/>
                <w:sz w:val="21"/>
                <w:szCs w:val="21"/>
                <w:highlight w:val="none"/>
              </w:rPr>
              <w:instrText xml:space="preserve"> = 1 \* ROMAN </w:instrText>
            </w:r>
            <w:r>
              <w:rPr>
                <w:rFonts w:hint="default" w:ascii="Times New Roman" w:hAnsi="Times New Roman" w:cs="Times New Roman" w:eastAsiaTheme="minorEastAsia"/>
                <w:bCs/>
                <w:color w:val="auto"/>
                <w:sz w:val="21"/>
                <w:szCs w:val="21"/>
                <w:highlight w:val="none"/>
              </w:rPr>
              <w:fldChar w:fldCharType="separate"/>
            </w:r>
            <w:r>
              <w:rPr>
                <w:rFonts w:hint="default" w:ascii="Times New Roman" w:hAnsi="Times New Roman" w:cs="Times New Roman" w:eastAsiaTheme="minorEastAsia"/>
                <w:bCs/>
                <w:color w:val="auto"/>
                <w:sz w:val="21"/>
                <w:szCs w:val="21"/>
                <w:highlight w:val="none"/>
              </w:rPr>
              <w:t>I</w:t>
            </w:r>
            <w:r>
              <w:rPr>
                <w:rFonts w:hint="default" w:ascii="Times New Roman" w:hAnsi="Times New Roman" w:cs="Times New Roman" w:eastAsiaTheme="minorEastAsia"/>
                <w:bCs/>
                <w:color w:val="auto"/>
                <w:sz w:val="21"/>
                <w:szCs w:val="21"/>
                <w:highlight w:val="none"/>
              </w:rPr>
              <w:fldChar w:fldCharType="end"/>
            </w:r>
          </w:p>
        </w:tc>
        <w:tc>
          <w:tcPr>
            <w:tcW w:w="984" w:type="pct"/>
            <w:tcBorders>
              <w:tl2br w:val="nil"/>
              <w:tr2bl w:val="nil"/>
            </w:tcBorders>
            <w:vAlign w:val="center"/>
          </w:tcPr>
          <w:p w14:paraId="152ABCA6">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老北凌</w:t>
            </w:r>
          </w:p>
        </w:tc>
        <w:tc>
          <w:tcPr>
            <w:tcW w:w="1175" w:type="pct"/>
            <w:tcBorders>
              <w:tl2br w:val="nil"/>
              <w:tr2bl w:val="nil"/>
            </w:tcBorders>
            <w:vAlign w:val="center"/>
          </w:tcPr>
          <w:p w14:paraId="2CC3CDD5">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val="en-US" w:eastAsia="zh-CN"/>
              </w:rPr>
              <w:t>排口上游100m</w:t>
            </w:r>
          </w:p>
        </w:tc>
        <w:tc>
          <w:tcPr>
            <w:tcW w:w="1539" w:type="pct"/>
            <w:vMerge w:val="restart"/>
            <w:tcBorders>
              <w:tl2br w:val="nil"/>
              <w:tr2bl w:val="nil"/>
            </w:tcBorders>
            <w:vAlign w:val="center"/>
          </w:tcPr>
          <w:p w14:paraId="5260582D">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rPr>
            </w:pPr>
            <w:r>
              <w:rPr>
                <w:rFonts w:hint="default" w:ascii="Times New Roman" w:hAnsi="Times New Roman" w:cs="Times New Roman" w:eastAsiaTheme="minorEastAsia"/>
                <w:bCs/>
                <w:color w:val="auto"/>
                <w:sz w:val="21"/>
                <w:szCs w:val="21"/>
                <w:highlight w:val="none"/>
                <w:lang w:val="en-US" w:eastAsia="zh-CN"/>
              </w:rPr>
              <w:t>pH、COD、SS、氨氮、总磷、氰化物</w:t>
            </w:r>
          </w:p>
        </w:tc>
      </w:tr>
      <w:tr w14:paraId="01C64B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2CA7D69D">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2</w:t>
            </w:r>
          </w:p>
        </w:tc>
        <w:tc>
          <w:tcPr>
            <w:tcW w:w="770" w:type="pct"/>
            <w:tcBorders>
              <w:tl2br w:val="nil"/>
              <w:tr2bl w:val="nil"/>
            </w:tcBorders>
            <w:vAlign w:val="center"/>
          </w:tcPr>
          <w:p w14:paraId="3AADAC35">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断面</w:t>
            </w:r>
            <w:r>
              <w:rPr>
                <w:rFonts w:hint="default" w:ascii="Times New Roman" w:hAnsi="Times New Roman" w:cs="Times New Roman" w:eastAsiaTheme="minorEastAsia"/>
                <w:bCs/>
                <w:color w:val="auto"/>
                <w:sz w:val="21"/>
                <w:szCs w:val="21"/>
                <w:highlight w:val="none"/>
              </w:rPr>
              <w:fldChar w:fldCharType="begin"/>
            </w:r>
            <w:r>
              <w:rPr>
                <w:rFonts w:hint="default" w:ascii="Times New Roman" w:hAnsi="Times New Roman" w:cs="Times New Roman" w:eastAsiaTheme="minorEastAsia"/>
                <w:bCs/>
                <w:color w:val="auto"/>
                <w:sz w:val="21"/>
                <w:szCs w:val="21"/>
                <w:highlight w:val="none"/>
              </w:rPr>
              <w:instrText xml:space="preserve"> = 2 \* ROMAN </w:instrText>
            </w:r>
            <w:r>
              <w:rPr>
                <w:rFonts w:hint="default" w:ascii="Times New Roman" w:hAnsi="Times New Roman" w:cs="Times New Roman" w:eastAsiaTheme="minorEastAsia"/>
                <w:bCs/>
                <w:color w:val="auto"/>
                <w:sz w:val="21"/>
                <w:szCs w:val="21"/>
                <w:highlight w:val="none"/>
              </w:rPr>
              <w:fldChar w:fldCharType="separate"/>
            </w:r>
            <w:r>
              <w:rPr>
                <w:rFonts w:hint="default" w:ascii="Times New Roman" w:hAnsi="Times New Roman" w:cs="Times New Roman" w:eastAsiaTheme="minorEastAsia"/>
                <w:bCs/>
                <w:color w:val="auto"/>
                <w:sz w:val="21"/>
                <w:szCs w:val="21"/>
                <w:highlight w:val="none"/>
              </w:rPr>
              <w:t>II</w:t>
            </w:r>
            <w:r>
              <w:rPr>
                <w:rFonts w:hint="default" w:ascii="Times New Roman" w:hAnsi="Times New Roman" w:cs="Times New Roman" w:eastAsiaTheme="minorEastAsia"/>
                <w:bCs/>
                <w:color w:val="auto"/>
                <w:sz w:val="21"/>
                <w:szCs w:val="21"/>
                <w:highlight w:val="none"/>
              </w:rPr>
              <w:fldChar w:fldCharType="end"/>
            </w:r>
          </w:p>
        </w:tc>
        <w:tc>
          <w:tcPr>
            <w:tcW w:w="984" w:type="pct"/>
            <w:tcBorders>
              <w:tl2br w:val="nil"/>
              <w:tr2bl w:val="nil"/>
            </w:tcBorders>
            <w:vAlign w:val="center"/>
          </w:tcPr>
          <w:p w14:paraId="65257EB5">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val="en-US" w:eastAsia="zh-CN"/>
              </w:rPr>
              <w:t>老北凌</w:t>
            </w:r>
          </w:p>
        </w:tc>
        <w:tc>
          <w:tcPr>
            <w:tcW w:w="1175" w:type="pct"/>
            <w:tcBorders>
              <w:tl2br w:val="nil"/>
              <w:tr2bl w:val="nil"/>
            </w:tcBorders>
            <w:vAlign w:val="center"/>
          </w:tcPr>
          <w:p w14:paraId="2CDEBDF4">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rPr>
            </w:pPr>
            <w:r>
              <w:rPr>
                <w:rFonts w:hint="eastAsia" w:ascii="Times New Roman" w:hAnsi="Times New Roman" w:cs="Times New Roman" w:eastAsiaTheme="minorEastAsia"/>
                <w:bCs/>
                <w:color w:val="auto"/>
                <w:sz w:val="21"/>
                <w:szCs w:val="21"/>
                <w:highlight w:val="none"/>
                <w:lang w:val="en-US" w:eastAsia="zh-CN"/>
              </w:rPr>
              <w:t>排口下游100m</w:t>
            </w:r>
          </w:p>
        </w:tc>
        <w:tc>
          <w:tcPr>
            <w:tcW w:w="1539" w:type="pct"/>
            <w:vMerge w:val="continue"/>
            <w:tcBorders>
              <w:tl2br w:val="nil"/>
              <w:tr2bl w:val="nil"/>
            </w:tcBorders>
            <w:vAlign w:val="center"/>
          </w:tcPr>
          <w:p w14:paraId="4E901618">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r w14:paraId="3E9595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4B7CC6D3">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3</w:t>
            </w:r>
          </w:p>
        </w:tc>
        <w:tc>
          <w:tcPr>
            <w:tcW w:w="770" w:type="pct"/>
            <w:tcBorders>
              <w:tl2br w:val="nil"/>
              <w:tr2bl w:val="nil"/>
            </w:tcBorders>
            <w:vAlign w:val="center"/>
          </w:tcPr>
          <w:p w14:paraId="583581B7">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lang w:val="en-US" w:eastAsia="zh-CN"/>
              </w:rPr>
              <w:t>断面Ⅲ</w:t>
            </w:r>
          </w:p>
        </w:tc>
        <w:tc>
          <w:tcPr>
            <w:tcW w:w="984" w:type="pct"/>
            <w:tcBorders>
              <w:tl2br w:val="nil"/>
              <w:tr2bl w:val="nil"/>
            </w:tcBorders>
            <w:vAlign w:val="center"/>
          </w:tcPr>
          <w:p w14:paraId="6D2A4EBD">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老北凌</w:t>
            </w:r>
          </w:p>
        </w:tc>
        <w:tc>
          <w:tcPr>
            <w:tcW w:w="1175" w:type="pct"/>
            <w:tcBorders>
              <w:tl2br w:val="nil"/>
              <w:tr2bl w:val="nil"/>
            </w:tcBorders>
            <w:vAlign w:val="center"/>
          </w:tcPr>
          <w:p w14:paraId="145C2680">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溢流处</w:t>
            </w:r>
          </w:p>
        </w:tc>
        <w:tc>
          <w:tcPr>
            <w:tcW w:w="1539" w:type="pct"/>
            <w:vMerge w:val="continue"/>
            <w:tcBorders>
              <w:tl2br w:val="nil"/>
              <w:tr2bl w:val="nil"/>
            </w:tcBorders>
            <w:vAlign w:val="center"/>
          </w:tcPr>
          <w:p w14:paraId="7EBBDD45">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r w14:paraId="1B9882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47A5412A">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4</w:t>
            </w:r>
          </w:p>
        </w:tc>
        <w:tc>
          <w:tcPr>
            <w:tcW w:w="770" w:type="pct"/>
            <w:tcBorders>
              <w:tl2br w:val="nil"/>
              <w:tr2bl w:val="nil"/>
            </w:tcBorders>
            <w:vAlign w:val="center"/>
          </w:tcPr>
          <w:p w14:paraId="3AF6129D">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lang w:val="en-US" w:eastAsia="zh-CN"/>
              </w:rPr>
              <w:t>断面Ⅳ</w:t>
            </w:r>
          </w:p>
        </w:tc>
        <w:tc>
          <w:tcPr>
            <w:tcW w:w="984" w:type="pct"/>
            <w:tcBorders>
              <w:tl2br w:val="nil"/>
              <w:tr2bl w:val="nil"/>
            </w:tcBorders>
            <w:vAlign w:val="center"/>
          </w:tcPr>
          <w:p w14:paraId="0067196A">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老北凌</w:t>
            </w:r>
          </w:p>
        </w:tc>
        <w:tc>
          <w:tcPr>
            <w:tcW w:w="1175" w:type="pct"/>
            <w:tcBorders>
              <w:tl2br w:val="nil"/>
              <w:tr2bl w:val="nil"/>
            </w:tcBorders>
            <w:vAlign w:val="center"/>
          </w:tcPr>
          <w:p w14:paraId="6B82461D">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排口下游500m</w:t>
            </w:r>
          </w:p>
        </w:tc>
        <w:tc>
          <w:tcPr>
            <w:tcW w:w="1539" w:type="pct"/>
            <w:vMerge w:val="continue"/>
            <w:tcBorders>
              <w:tl2br w:val="nil"/>
              <w:tr2bl w:val="nil"/>
            </w:tcBorders>
            <w:vAlign w:val="center"/>
          </w:tcPr>
          <w:p w14:paraId="1C3020ED">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r w14:paraId="35785F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0" w:type="pct"/>
            <w:tcBorders>
              <w:tl2br w:val="nil"/>
              <w:tr2bl w:val="nil"/>
            </w:tcBorders>
            <w:vAlign w:val="center"/>
          </w:tcPr>
          <w:p w14:paraId="24E3407E">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5</w:t>
            </w:r>
          </w:p>
        </w:tc>
        <w:tc>
          <w:tcPr>
            <w:tcW w:w="770" w:type="pct"/>
            <w:tcBorders>
              <w:tl2br w:val="nil"/>
              <w:tr2bl w:val="nil"/>
            </w:tcBorders>
            <w:vAlign w:val="center"/>
          </w:tcPr>
          <w:p w14:paraId="0B034570">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lang w:val="en-US" w:eastAsia="zh-CN"/>
              </w:rPr>
              <w:t>断面Ⅴ</w:t>
            </w:r>
          </w:p>
        </w:tc>
        <w:tc>
          <w:tcPr>
            <w:tcW w:w="984" w:type="pct"/>
            <w:tcBorders>
              <w:tl2br w:val="nil"/>
              <w:tr2bl w:val="nil"/>
            </w:tcBorders>
            <w:vAlign w:val="center"/>
          </w:tcPr>
          <w:p w14:paraId="4163095D">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老北凌</w:t>
            </w:r>
          </w:p>
        </w:tc>
        <w:tc>
          <w:tcPr>
            <w:tcW w:w="1175" w:type="pct"/>
            <w:tcBorders>
              <w:tl2br w:val="nil"/>
              <w:tr2bl w:val="nil"/>
            </w:tcBorders>
            <w:vAlign w:val="center"/>
          </w:tcPr>
          <w:p w14:paraId="535FFC5C">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排口下游1000m</w:t>
            </w:r>
          </w:p>
        </w:tc>
        <w:tc>
          <w:tcPr>
            <w:tcW w:w="1539" w:type="pct"/>
            <w:vMerge w:val="continue"/>
            <w:tcBorders>
              <w:tl2br w:val="nil"/>
              <w:tr2bl w:val="nil"/>
            </w:tcBorders>
            <w:vAlign w:val="center"/>
          </w:tcPr>
          <w:p w14:paraId="6491B860">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bl>
    <w:p w14:paraId="3AC40C7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现场应急监测分析方法及方法来源见表5-2。</w:t>
      </w:r>
    </w:p>
    <w:p w14:paraId="3DC78F0A">
      <w:pPr>
        <w:pageBreakBefore w:val="0"/>
        <w:kinsoku/>
        <w:overflowPunct/>
        <w:bidi w:val="0"/>
        <w:spacing w:line="500" w:lineRule="exact"/>
        <w:ind w:firstLine="562"/>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4"/>
          <w:szCs w:val="24"/>
          <w:highlight w:val="none"/>
        </w:rPr>
        <w:t>表5-2 废水现场应急监测分析方法及方法来源</w:t>
      </w:r>
    </w:p>
    <w:tbl>
      <w:tblPr>
        <w:tblStyle w:val="34"/>
        <w:tblW w:w="501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510"/>
        <w:gridCol w:w="1168"/>
        <w:gridCol w:w="2600"/>
        <w:gridCol w:w="2432"/>
        <w:gridCol w:w="1371"/>
      </w:tblGrid>
      <w:tr w14:paraId="117EF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039" w:hRule="atLeast"/>
          <w:tblHeader/>
          <w:jc w:val="center"/>
        </w:trPr>
        <w:tc>
          <w:tcPr>
            <w:tcW w:w="831" w:type="pct"/>
            <w:tcBorders>
              <w:tl2br w:val="nil"/>
              <w:tr2bl w:val="nil"/>
            </w:tcBorders>
            <w:vAlign w:val="center"/>
          </w:tcPr>
          <w:p w14:paraId="5288E3BD">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监测项目</w:t>
            </w:r>
          </w:p>
        </w:tc>
        <w:tc>
          <w:tcPr>
            <w:tcW w:w="643" w:type="pct"/>
            <w:tcBorders>
              <w:tl2br w:val="nil"/>
              <w:tr2bl w:val="nil"/>
            </w:tcBorders>
            <w:vAlign w:val="center"/>
          </w:tcPr>
          <w:p w14:paraId="4414E1AF">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现场应急监测方法</w:t>
            </w:r>
          </w:p>
        </w:tc>
        <w:tc>
          <w:tcPr>
            <w:tcW w:w="1431" w:type="pct"/>
            <w:tcBorders>
              <w:tl2br w:val="nil"/>
              <w:tr2bl w:val="nil"/>
            </w:tcBorders>
            <w:vAlign w:val="center"/>
          </w:tcPr>
          <w:p w14:paraId="35073CD9">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实验室应急监测方法</w:t>
            </w:r>
          </w:p>
        </w:tc>
        <w:tc>
          <w:tcPr>
            <w:tcW w:w="1338" w:type="pct"/>
            <w:tcBorders>
              <w:tl2br w:val="nil"/>
              <w:tr2bl w:val="nil"/>
            </w:tcBorders>
            <w:vAlign w:val="center"/>
          </w:tcPr>
          <w:p w14:paraId="45DC7521">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《地表水环境质量标准》（GB3838-2002）</w:t>
            </w:r>
            <w:r>
              <w:rPr>
                <w:rFonts w:hint="default" w:ascii="Times New Roman" w:hAnsi="Times New Roman" w:cs="Times New Roman" w:eastAsiaTheme="minorEastAsia"/>
                <w:bCs/>
                <w:color w:val="auto"/>
                <w:sz w:val="21"/>
                <w:szCs w:val="21"/>
                <w:highlight w:val="none"/>
                <w:lang w:val="en-US"/>
              </w:rPr>
              <w:t>Ⅲ</w:t>
            </w:r>
            <w:r>
              <w:rPr>
                <w:rFonts w:hint="default" w:ascii="Times New Roman" w:hAnsi="Times New Roman" w:cs="Times New Roman" w:eastAsiaTheme="minorEastAsia"/>
                <w:bCs/>
                <w:color w:val="auto"/>
                <w:sz w:val="21"/>
                <w:szCs w:val="21"/>
                <w:highlight w:val="none"/>
              </w:rPr>
              <w:t>类水质标准</w:t>
            </w:r>
          </w:p>
        </w:tc>
        <w:tc>
          <w:tcPr>
            <w:tcW w:w="754" w:type="pct"/>
            <w:tcBorders>
              <w:tl2br w:val="nil"/>
              <w:tr2bl w:val="nil"/>
            </w:tcBorders>
            <w:vAlign w:val="center"/>
          </w:tcPr>
          <w:p w14:paraId="56B5839A">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备注</w:t>
            </w:r>
          </w:p>
        </w:tc>
      </w:tr>
      <w:tr w14:paraId="280235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31" w:type="pct"/>
            <w:tcBorders>
              <w:tl2br w:val="nil"/>
              <w:tr2bl w:val="nil"/>
            </w:tcBorders>
            <w:vAlign w:val="center"/>
          </w:tcPr>
          <w:p w14:paraId="224B5CAB">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pH</w:t>
            </w:r>
          </w:p>
        </w:tc>
        <w:tc>
          <w:tcPr>
            <w:tcW w:w="643" w:type="pct"/>
            <w:tcBorders>
              <w:tl2br w:val="nil"/>
              <w:tr2bl w:val="nil"/>
            </w:tcBorders>
            <w:vAlign w:val="center"/>
          </w:tcPr>
          <w:p w14:paraId="4A38FE89">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pH试纸</w:t>
            </w:r>
          </w:p>
        </w:tc>
        <w:tc>
          <w:tcPr>
            <w:tcW w:w="1431" w:type="pct"/>
            <w:tcBorders>
              <w:tl2br w:val="nil"/>
              <w:tr2bl w:val="nil"/>
            </w:tcBorders>
            <w:vAlign w:val="center"/>
          </w:tcPr>
          <w:p w14:paraId="24BA19F0">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《水和废水监测分析方法》（第四版增补版） 国家环保总局2002年便携式pH计法3.1.6(2)</w:t>
            </w:r>
          </w:p>
        </w:tc>
        <w:tc>
          <w:tcPr>
            <w:tcW w:w="1338" w:type="pct"/>
            <w:tcBorders>
              <w:tl2br w:val="nil"/>
              <w:tr2bl w:val="nil"/>
            </w:tcBorders>
            <w:vAlign w:val="center"/>
          </w:tcPr>
          <w:p w14:paraId="3BB25E9A">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6-9</w:t>
            </w:r>
          </w:p>
        </w:tc>
        <w:tc>
          <w:tcPr>
            <w:tcW w:w="754" w:type="pct"/>
            <w:vMerge w:val="restart"/>
            <w:tcBorders>
              <w:tl2br w:val="nil"/>
              <w:tr2bl w:val="nil"/>
            </w:tcBorders>
            <w:vAlign w:val="center"/>
          </w:tcPr>
          <w:p w14:paraId="3A2605C9">
            <w:pPr>
              <w:pageBreakBefore w:val="0"/>
              <w:kinsoku/>
              <w:overflowPunct/>
              <w:bidi w:val="0"/>
              <w:spacing w:line="240" w:lineRule="auto"/>
              <w:jc w:val="center"/>
              <w:rPr>
                <w:rFonts w:hint="eastAsia" w:ascii="Times New Roman" w:hAnsi="Times New Roman" w:cs="Times New Roman" w:eastAsiaTheme="minorEastAsia"/>
                <w:bCs/>
                <w:color w:val="auto"/>
                <w:sz w:val="21"/>
                <w:szCs w:val="21"/>
                <w:highlight w:val="none"/>
                <w:lang w:eastAsia="zh-CN"/>
              </w:rPr>
            </w:pPr>
            <w:r>
              <w:rPr>
                <w:rFonts w:hint="eastAsia" w:ascii="Times New Roman" w:hAnsi="Times New Roman" w:cs="Times New Roman" w:eastAsiaTheme="minorEastAsia"/>
                <w:bCs/>
                <w:color w:val="auto"/>
                <w:sz w:val="21"/>
                <w:szCs w:val="21"/>
                <w:highlight w:val="none"/>
                <w:lang w:eastAsia="zh-CN"/>
              </w:rPr>
              <w:t>江苏裕和检测技术有限公司</w:t>
            </w:r>
          </w:p>
        </w:tc>
      </w:tr>
      <w:tr w14:paraId="323ED6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31" w:type="pct"/>
            <w:tcBorders>
              <w:tl2br w:val="nil"/>
              <w:tr2bl w:val="nil"/>
            </w:tcBorders>
            <w:vAlign w:val="center"/>
          </w:tcPr>
          <w:p w14:paraId="4A5D90B2">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COD</w:t>
            </w:r>
          </w:p>
        </w:tc>
        <w:tc>
          <w:tcPr>
            <w:tcW w:w="643" w:type="pct"/>
            <w:vMerge w:val="restart"/>
            <w:tcBorders>
              <w:tl2br w:val="nil"/>
              <w:tr2bl w:val="nil"/>
            </w:tcBorders>
            <w:vAlign w:val="center"/>
          </w:tcPr>
          <w:p w14:paraId="7CC6A1EF">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便携废水测定仪</w:t>
            </w:r>
          </w:p>
        </w:tc>
        <w:tc>
          <w:tcPr>
            <w:tcW w:w="1431" w:type="pct"/>
            <w:tcBorders>
              <w:tl2br w:val="nil"/>
              <w:tr2bl w:val="nil"/>
            </w:tcBorders>
            <w:vAlign w:val="center"/>
          </w:tcPr>
          <w:p w14:paraId="35D27B2F">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水质 化学需氧量的测定 重铬酸盐法</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HJ 828-2017</w:t>
            </w:r>
            <w:r>
              <w:rPr>
                <w:rFonts w:hint="eastAsia" w:ascii="Times New Roman" w:hAnsi="Times New Roman" w:cs="Times New Roman" w:eastAsiaTheme="minorEastAsia"/>
                <w:bCs/>
                <w:color w:val="auto"/>
                <w:sz w:val="21"/>
                <w:szCs w:val="21"/>
                <w:highlight w:val="none"/>
                <w:lang w:eastAsia="zh-CN"/>
              </w:rPr>
              <w:t>）</w:t>
            </w:r>
          </w:p>
        </w:tc>
        <w:tc>
          <w:tcPr>
            <w:tcW w:w="1338" w:type="pct"/>
            <w:tcBorders>
              <w:tl2br w:val="nil"/>
              <w:tr2bl w:val="nil"/>
            </w:tcBorders>
            <w:vAlign w:val="center"/>
          </w:tcPr>
          <w:p w14:paraId="4E9C2859">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w:t>
            </w:r>
            <w:r>
              <w:rPr>
                <w:rFonts w:hint="eastAsia" w:ascii="Times New Roman" w:hAnsi="Times New Roman" w:cs="Times New Roman" w:eastAsiaTheme="minorEastAsia"/>
                <w:bCs/>
                <w:color w:val="auto"/>
                <w:sz w:val="21"/>
                <w:szCs w:val="21"/>
                <w:highlight w:val="none"/>
                <w:lang w:val="en-US" w:eastAsia="zh-CN"/>
              </w:rPr>
              <w:t>20</w:t>
            </w:r>
            <w:r>
              <w:rPr>
                <w:rFonts w:hint="default" w:ascii="Times New Roman" w:hAnsi="Times New Roman" w:cs="Times New Roman" w:eastAsiaTheme="minorEastAsia"/>
                <w:bCs/>
                <w:color w:val="auto"/>
                <w:sz w:val="21"/>
                <w:szCs w:val="21"/>
                <w:highlight w:val="none"/>
              </w:rPr>
              <w:t>mg/L</w:t>
            </w:r>
          </w:p>
        </w:tc>
        <w:tc>
          <w:tcPr>
            <w:tcW w:w="754" w:type="pct"/>
            <w:vMerge w:val="continue"/>
            <w:tcBorders>
              <w:tl2br w:val="nil"/>
              <w:tr2bl w:val="nil"/>
            </w:tcBorders>
            <w:vAlign w:val="center"/>
          </w:tcPr>
          <w:p w14:paraId="779314F1">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r w14:paraId="5B0B54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31" w:type="pct"/>
            <w:tcBorders>
              <w:tl2br w:val="nil"/>
              <w:tr2bl w:val="nil"/>
            </w:tcBorders>
            <w:vAlign w:val="center"/>
          </w:tcPr>
          <w:p w14:paraId="02943959">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NH</w:t>
            </w:r>
            <w:r>
              <w:rPr>
                <w:rFonts w:hint="default" w:ascii="Times New Roman" w:hAnsi="Times New Roman" w:cs="Times New Roman" w:eastAsiaTheme="minorEastAsia"/>
                <w:bCs/>
                <w:color w:val="auto"/>
                <w:sz w:val="21"/>
                <w:szCs w:val="21"/>
                <w:highlight w:val="none"/>
                <w:vertAlign w:val="subscript"/>
              </w:rPr>
              <w:t>3</w:t>
            </w:r>
            <w:r>
              <w:rPr>
                <w:rFonts w:hint="default" w:ascii="Times New Roman" w:hAnsi="Times New Roman" w:cs="Times New Roman" w:eastAsiaTheme="minorEastAsia"/>
                <w:bCs/>
                <w:color w:val="auto"/>
                <w:sz w:val="21"/>
                <w:szCs w:val="21"/>
                <w:highlight w:val="none"/>
              </w:rPr>
              <w:t>-N</w:t>
            </w:r>
          </w:p>
        </w:tc>
        <w:tc>
          <w:tcPr>
            <w:tcW w:w="643" w:type="pct"/>
            <w:vMerge w:val="continue"/>
            <w:tcBorders>
              <w:tl2br w:val="nil"/>
              <w:tr2bl w:val="nil"/>
            </w:tcBorders>
            <w:vAlign w:val="center"/>
          </w:tcPr>
          <w:p w14:paraId="1B4E4D25">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1431" w:type="pct"/>
            <w:tcBorders>
              <w:tl2br w:val="nil"/>
              <w:tr2bl w:val="nil"/>
            </w:tcBorders>
            <w:vAlign w:val="center"/>
          </w:tcPr>
          <w:p w14:paraId="7C4DF7A2">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水质 氨氮的测定 纳氏试剂分光光度法</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HJ 535-2009</w:t>
            </w:r>
            <w:r>
              <w:rPr>
                <w:rFonts w:hint="eastAsia" w:ascii="Times New Roman" w:hAnsi="Times New Roman" w:cs="Times New Roman" w:eastAsiaTheme="minorEastAsia"/>
                <w:bCs/>
                <w:color w:val="auto"/>
                <w:sz w:val="21"/>
                <w:szCs w:val="21"/>
                <w:highlight w:val="none"/>
                <w:lang w:eastAsia="zh-CN"/>
              </w:rPr>
              <w:t>）</w:t>
            </w:r>
          </w:p>
        </w:tc>
        <w:tc>
          <w:tcPr>
            <w:tcW w:w="1338" w:type="pct"/>
            <w:tcBorders>
              <w:tl2br w:val="nil"/>
              <w:tr2bl w:val="nil"/>
            </w:tcBorders>
            <w:vAlign w:val="center"/>
          </w:tcPr>
          <w:p w14:paraId="56433F87">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≤1.</w:t>
            </w:r>
            <w:r>
              <w:rPr>
                <w:rFonts w:hint="eastAsia" w:ascii="Times New Roman" w:hAnsi="Times New Roman" w:cs="Times New Roman" w:eastAsiaTheme="minorEastAsia"/>
                <w:bCs/>
                <w:color w:val="auto"/>
                <w:sz w:val="21"/>
                <w:szCs w:val="21"/>
                <w:highlight w:val="none"/>
                <w:lang w:val="en-US" w:eastAsia="zh-CN"/>
              </w:rPr>
              <w:t>0</w:t>
            </w:r>
            <w:r>
              <w:rPr>
                <w:rFonts w:hint="default" w:ascii="Times New Roman" w:hAnsi="Times New Roman" w:cs="Times New Roman" w:eastAsiaTheme="minorEastAsia"/>
                <w:bCs/>
                <w:color w:val="auto"/>
                <w:sz w:val="21"/>
                <w:szCs w:val="21"/>
                <w:highlight w:val="none"/>
              </w:rPr>
              <w:t>mg/L</w:t>
            </w:r>
          </w:p>
        </w:tc>
        <w:tc>
          <w:tcPr>
            <w:tcW w:w="754" w:type="pct"/>
            <w:vMerge w:val="continue"/>
            <w:tcBorders>
              <w:tl2br w:val="nil"/>
              <w:tr2bl w:val="nil"/>
            </w:tcBorders>
            <w:vAlign w:val="center"/>
          </w:tcPr>
          <w:p w14:paraId="3D4ECD25">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bl>
    <w:p w14:paraId="68302033">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67" w:name="_Toc10380"/>
      <w:bookmarkStart w:id="368" w:name="_Toc25416"/>
      <w:bookmarkStart w:id="369" w:name="_Toc21042"/>
      <w:bookmarkStart w:id="370" w:name="_Toc27457"/>
      <w:bookmarkStart w:id="371" w:name="_Toc531716495"/>
      <w:bookmarkStart w:id="372" w:name="_Toc23043"/>
      <w:bookmarkStart w:id="373" w:name="_Toc10873"/>
      <w:bookmarkStart w:id="374" w:name="_Toc405454881"/>
      <w:bookmarkStart w:id="375" w:name="_Toc496887049"/>
      <w:r>
        <w:rPr>
          <w:rFonts w:hint="default" w:ascii="Times New Roman" w:hAnsi="Times New Roman" w:cs="Times New Roman" w:eastAsiaTheme="minorEastAsia"/>
          <w:color w:val="auto"/>
          <w:sz w:val="24"/>
          <w:szCs w:val="24"/>
          <w:highlight w:val="none"/>
          <w:lang w:val="zh-CN"/>
        </w:rPr>
        <w:t>5.1.</w:t>
      </w:r>
      <w:r>
        <w:rPr>
          <w:rFonts w:hint="eastAsia" w:cs="Times New Roman"/>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lang w:val="zh-CN"/>
        </w:rPr>
        <w:t xml:space="preserve"> </w:t>
      </w:r>
      <w:bookmarkEnd w:id="367"/>
      <w:bookmarkEnd w:id="368"/>
      <w:bookmarkEnd w:id="369"/>
      <w:bookmarkEnd w:id="370"/>
      <w:bookmarkEnd w:id="371"/>
      <w:r>
        <w:rPr>
          <w:rFonts w:hint="default" w:ascii="Times New Roman" w:hAnsi="Times New Roman" w:cs="Times New Roman" w:eastAsiaTheme="minorEastAsia"/>
          <w:color w:val="auto"/>
          <w:sz w:val="24"/>
          <w:szCs w:val="24"/>
          <w:highlight w:val="none"/>
          <w:lang w:val="zh-CN"/>
        </w:rPr>
        <w:t>大气应急监测方案</w:t>
      </w:r>
      <w:bookmarkEnd w:id="372"/>
      <w:bookmarkEnd w:id="373"/>
    </w:p>
    <w:p w14:paraId="38798EA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①采样点应设在整个监测区域的高、中、低三种不同污染物浓度的地方；</w:t>
      </w:r>
    </w:p>
    <w:p w14:paraId="47FC6EC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②在污染源比较集中、主导风向比较明显的情况下，应将污染源的下风向作为主要监测范围，布设较多的采样点，上风向布设少量点作为对照；</w:t>
      </w:r>
    </w:p>
    <w:p w14:paraId="1482668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③工业较密集的城区和工矿区，人口密度及污染物超标地区，要适当增设采样点；城市郊区和农村，人口密度小及污染物浓度低的地区，可酌情少设采样点；</w:t>
      </w:r>
    </w:p>
    <w:p w14:paraId="7D0B71B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④采样点的周围应开阔，采样口水平线与周围建筑物高度的夹角应不大于30°，测点周围无局部污染源，并应避开树木及吸附能力较强的建筑物。交通密集区的采样点应设在距人行道边缘至少1.5m远处；</w:t>
      </w:r>
    </w:p>
    <w:p w14:paraId="384984F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⑤各采样点的设置条件要尽可能一致或标准化，使获得的监测数据具有可比性；</w:t>
      </w:r>
    </w:p>
    <w:p w14:paraId="18169E0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⑥采样高度根据监测目的而定，研究大气污染对人体的危害，应将采样器或测定仪器设置于常人呼吸带高度，即采样口应在离地面1.2m处；研究大气污染对植物或器物的影响，采样口高度应与植物或器物高度相近；连续采样例行监测采样口高度应距地面3～15m；若置于屋顶采样，采样口应与基础面有1.5m以上的相对高度，以减小扬尘的影响。特殊地形地区可视实际情况选择采样高度。</w:t>
      </w:r>
    </w:p>
    <w:bookmarkEnd w:id="374"/>
    <w:bookmarkEnd w:id="375"/>
    <w:p w14:paraId="03C7B9B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监测因子：</w:t>
      </w:r>
      <w:r>
        <w:rPr>
          <w:rFonts w:hint="eastAsia" w:ascii="Times New Roman" w:hAnsi="Times New Roman" w:cs="Times New Roman" w:eastAsiaTheme="minorEastAsia"/>
          <w:color w:val="auto"/>
          <w:sz w:val="24"/>
          <w:szCs w:val="24"/>
          <w:highlight w:val="none"/>
          <w:lang w:val="en-US" w:eastAsia="zh-CN"/>
        </w:rPr>
        <w:t>颗粒物、挥发性有机物、CO</w:t>
      </w:r>
      <w:r>
        <w:rPr>
          <w:rFonts w:hint="default" w:ascii="Times New Roman" w:hAnsi="Times New Roman" w:cs="Times New Roman" w:eastAsiaTheme="minorEastAsia"/>
          <w:color w:val="auto"/>
          <w:sz w:val="24"/>
          <w:szCs w:val="24"/>
          <w:highlight w:val="none"/>
        </w:rPr>
        <w:t>。</w:t>
      </w:r>
    </w:p>
    <w:p w14:paraId="0AA12FB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监测时间和频次：按照事故持续时间决定监测时间，根据事故严重性决定监测频次。一般情况下每30分钟监测1次，随事故控制减弱，适当减少监测频次。</w:t>
      </w:r>
    </w:p>
    <w:p w14:paraId="620AF86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大气风险应急监测方案见表5-3。</w:t>
      </w:r>
    </w:p>
    <w:p w14:paraId="04A16E57">
      <w:pPr>
        <w:pageBreakBefore w:val="0"/>
        <w:kinsoku/>
        <w:overflowPunct/>
        <w:bidi w:val="0"/>
        <w:spacing w:line="500" w:lineRule="exact"/>
        <w:ind w:firstLine="562"/>
        <w:jc w:val="center"/>
        <w:rPr>
          <w:rFonts w:hint="default"/>
          <w:color w:val="auto"/>
          <w:sz w:val="24"/>
          <w:szCs w:val="24"/>
          <w:highlight w:val="none"/>
        </w:rPr>
      </w:pPr>
      <w:r>
        <w:rPr>
          <w:rFonts w:hint="default" w:ascii="Times New Roman" w:hAnsi="Times New Roman" w:cs="Times New Roman" w:eastAsiaTheme="minorEastAsia"/>
          <w:b/>
          <w:color w:val="auto"/>
          <w:sz w:val="24"/>
          <w:szCs w:val="24"/>
          <w:highlight w:val="none"/>
        </w:rPr>
        <w:t>表5-3 大气风险应急监测点布设</w:t>
      </w:r>
    </w:p>
    <w:tbl>
      <w:tblPr>
        <w:tblStyle w:val="34"/>
        <w:tblW w:w="508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590"/>
        <w:gridCol w:w="2980"/>
        <w:gridCol w:w="2801"/>
        <w:gridCol w:w="1830"/>
      </w:tblGrid>
      <w:tr w14:paraId="433F7A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tcBorders>
              <w:tl2br w:val="nil"/>
              <w:tr2bl w:val="nil"/>
            </w:tcBorders>
            <w:vAlign w:val="center"/>
          </w:tcPr>
          <w:p w14:paraId="57978C7E">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类型</w:t>
            </w:r>
          </w:p>
        </w:tc>
        <w:tc>
          <w:tcPr>
            <w:tcW w:w="1619" w:type="pct"/>
            <w:tcBorders>
              <w:tl2br w:val="nil"/>
              <w:tr2bl w:val="nil"/>
            </w:tcBorders>
            <w:vAlign w:val="center"/>
          </w:tcPr>
          <w:p w14:paraId="6DAA09A3">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监测点位置</w:t>
            </w:r>
          </w:p>
        </w:tc>
        <w:tc>
          <w:tcPr>
            <w:tcW w:w="1522" w:type="pct"/>
            <w:tcBorders>
              <w:tl2br w:val="nil"/>
              <w:tr2bl w:val="nil"/>
            </w:tcBorders>
            <w:vAlign w:val="center"/>
          </w:tcPr>
          <w:p w14:paraId="4E00A426">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监测项目</w:t>
            </w:r>
          </w:p>
        </w:tc>
        <w:tc>
          <w:tcPr>
            <w:tcW w:w="994" w:type="pct"/>
            <w:tcBorders>
              <w:tl2br w:val="nil"/>
              <w:tr2bl w:val="nil"/>
            </w:tcBorders>
            <w:vAlign w:val="center"/>
          </w:tcPr>
          <w:p w14:paraId="0DE8FA0D">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所在环境功能区</w:t>
            </w:r>
          </w:p>
        </w:tc>
      </w:tr>
      <w:tr w14:paraId="564D21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restart"/>
            <w:tcBorders>
              <w:tl2br w:val="nil"/>
              <w:tr2bl w:val="nil"/>
            </w:tcBorders>
            <w:vAlign w:val="center"/>
          </w:tcPr>
          <w:p w14:paraId="61094855">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废气超标排放</w:t>
            </w:r>
          </w:p>
        </w:tc>
        <w:tc>
          <w:tcPr>
            <w:tcW w:w="1619" w:type="pct"/>
            <w:tcBorders>
              <w:tl2br w:val="nil"/>
              <w:tr2bl w:val="nil"/>
            </w:tcBorders>
            <w:vAlign w:val="center"/>
          </w:tcPr>
          <w:p w14:paraId="45652C75">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上风向500m处</w:t>
            </w:r>
          </w:p>
        </w:tc>
        <w:tc>
          <w:tcPr>
            <w:tcW w:w="1522" w:type="pct"/>
            <w:vMerge w:val="restart"/>
            <w:tcBorders>
              <w:tl2br w:val="nil"/>
              <w:tr2bl w:val="nil"/>
            </w:tcBorders>
            <w:vAlign w:val="center"/>
          </w:tcPr>
          <w:p w14:paraId="76A403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lang w:val="en-US" w:eastAsia="zh-CN"/>
              </w:rPr>
              <w:t>颗粒物、</w:t>
            </w:r>
            <w:r>
              <w:rPr>
                <w:rFonts w:hint="eastAsia" w:ascii="Times New Roman" w:hAnsi="Times New Roman" w:cs="Times New Roman" w:eastAsiaTheme="minorEastAsia"/>
                <w:color w:val="auto"/>
                <w:sz w:val="21"/>
                <w:szCs w:val="21"/>
                <w:highlight w:val="none"/>
                <w:lang w:val="en-US" w:eastAsia="zh-CN"/>
              </w:rPr>
              <w:t>挥发性有机物</w:t>
            </w:r>
            <w:r>
              <w:rPr>
                <w:rFonts w:hint="eastAsia"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eastAsiaTheme="minorEastAsia"/>
                <w:bCs/>
                <w:color w:val="auto"/>
                <w:sz w:val="21"/>
                <w:szCs w:val="21"/>
                <w:highlight w:val="none"/>
                <w:lang w:val="en-US" w:eastAsia="zh-CN"/>
              </w:rPr>
              <w:t>CO</w:t>
            </w:r>
          </w:p>
        </w:tc>
        <w:tc>
          <w:tcPr>
            <w:tcW w:w="994" w:type="pct"/>
            <w:vMerge w:val="restart"/>
            <w:tcBorders>
              <w:tl2br w:val="nil"/>
              <w:tr2bl w:val="nil"/>
            </w:tcBorders>
            <w:vAlign w:val="center"/>
          </w:tcPr>
          <w:p w14:paraId="1936FA28">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二类区</w:t>
            </w:r>
          </w:p>
        </w:tc>
      </w:tr>
      <w:tr w14:paraId="1B96DD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continue"/>
            <w:tcBorders>
              <w:tl2br w:val="nil"/>
              <w:tr2bl w:val="nil"/>
            </w:tcBorders>
            <w:vAlign w:val="center"/>
          </w:tcPr>
          <w:p w14:paraId="283C1A39">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c>
          <w:tcPr>
            <w:tcW w:w="1619" w:type="pct"/>
            <w:tcBorders>
              <w:tl2br w:val="nil"/>
              <w:tr2bl w:val="nil"/>
            </w:tcBorders>
            <w:vAlign w:val="center"/>
          </w:tcPr>
          <w:p w14:paraId="0215974A">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rPr>
              <w:t>下风向</w:t>
            </w:r>
            <w:r>
              <w:rPr>
                <w:rFonts w:hint="eastAsia" w:ascii="Times New Roman" w:hAnsi="Times New Roman" w:cs="Times New Roman" w:eastAsiaTheme="minorEastAsia"/>
                <w:bCs/>
                <w:color w:val="auto"/>
                <w:sz w:val="21"/>
                <w:szCs w:val="21"/>
                <w:highlight w:val="none"/>
                <w:lang w:val="en-US" w:eastAsia="zh-CN"/>
              </w:rPr>
              <w:t>124</w:t>
            </w:r>
            <w:r>
              <w:rPr>
                <w:rFonts w:hint="default" w:ascii="Times New Roman" w:hAnsi="Times New Roman" w:cs="Times New Roman" w:eastAsiaTheme="minorEastAsia"/>
                <w:bCs/>
                <w:color w:val="auto"/>
                <w:sz w:val="21"/>
                <w:szCs w:val="21"/>
                <w:highlight w:val="none"/>
              </w:rPr>
              <w:t>m处</w:t>
            </w:r>
            <w:r>
              <w:rPr>
                <w:rFonts w:hint="eastAsia" w:ascii="Times New Roman" w:hAnsi="Times New Roman" w:cs="Times New Roman" w:eastAsiaTheme="minorEastAsia"/>
                <w:bCs/>
                <w:color w:val="auto"/>
                <w:sz w:val="21"/>
                <w:szCs w:val="21"/>
                <w:highlight w:val="none"/>
                <w:lang w:eastAsia="zh-CN"/>
              </w:rPr>
              <w:t>（</w:t>
            </w:r>
            <w:r>
              <w:rPr>
                <w:rFonts w:hint="eastAsia" w:ascii="Times New Roman" w:hAnsi="Times New Roman" w:cs="Times New Roman" w:eastAsiaTheme="minorEastAsia"/>
                <w:bCs/>
                <w:color w:val="auto"/>
                <w:sz w:val="21"/>
                <w:szCs w:val="21"/>
                <w:highlight w:val="none"/>
                <w:lang w:val="en-US" w:eastAsia="zh-CN"/>
              </w:rPr>
              <w:t>最大落地浓度点</w:t>
            </w:r>
            <w:r>
              <w:rPr>
                <w:rFonts w:hint="eastAsia" w:ascii="Times New Roman" w:hAnsi="Times New Roman" w:cs="Times New Roman" w:eastAsiaTheme="minorEastAsia"/>
                <w:bCs/>
                <w:color w:val="auto"/>
                <w:sz w:val="21"/>
                <w:szCs w:val="21"/>
                <w:highlight w:val="none"/>
                <w:lang w:eastAsia="zh-CN"/>
              </w:rPr>
              <w:t>）</w:t>
            </w:r>
          </w:p>
        </w:tc>
        <w:tc>
          <w:tcPr>
            <w:tcW w:w="1522" w:type="pct"/>
            <w:vMerge w:val="continue"/>
            <w:tcBorders>
              <w:tl2br w:val="nil"/>
              <w:tr2bl w:val="nil"/>
            </w:tcBorders>
            <w:vAlign w:val="center"/>
          </w:tcPr>
          <w:p w14:paraId="31C0B947">
            <w:pPr>
              <w:pageBreakBefore w:val="0"/>
              <w:kinsoku/>
              <w:overflowPunct/>
              <w:bidi w:val="0"/>
              <w:spacing w:line="500" w:lineRule="exact"/>
              <w:jc w:val="center"/>
              <w:rPr>
                <w:rFonts w:hint="eastAsia" w:ascii="Times New Roman" w:hAnsi="Times New Roman" w:cs="Times New Roman" w:eastAsiaTheme="minorEastAsia"/>
                <w:color w:val="auto"/>
                <w:sz w:val="21"/>
                <w:szCs w:val="21"/>
                <w:highlight w:val="none"/>
                <w:lang w:val="en-US" w:eastAsia="zh-CN"/>
              </w:rPr>
            </w:pPr>
          </w:p>
        </w:tc>
        <w:tc>
          <w:tcPr>
            <w:tcW w:w="994" w:type="pct"/>
            <w:vMerge w:val="continue"/>
            <w:tcBorders>
              <w:tl2br w:val="nil"/>
              <w:tr2bl w:val="nil"/>
            </w:tcBorders>
            <w:vAlign w:val="center"/>
          </w:tcPr>
          <w:p w14:paraId="183E39E0">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r w14:paraId="52329B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continue"/>
            <w:tcBorders>
              <w:tl2br w:val="nil"/>
              <w:tr2bl w:val="nil"/>
            </w:tcBorders>
            <w:vAlign w:val="center"/>
          </w:tcPr>
          <w:p w14:paraId="5D579AED">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c>
          <w:tcPr>
            <w:tcW w:w="1619" w:type="pct"/>
            <w:tcBorders>
              <w:tl2br w:val="nil"/>
              <w:tr2bl w:val="nil"/>
            </w:tcBorders>
            <w:vAlign w:val="center"/>
          </w:tcPr>
          <w:p w14:paraId="0D951149">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eastAsia="zh-CN"/>
              </w:rPr>
            </w:pPr>
            <w:r>
              <w:rPr>
                <w:rFonts w:hint="default" w:ascii="Times New Roman" w:hAnsi="Times New Roman" w:cs="Times New Roman" w:eastAsiaTheme="minorEastAsia"/>
                <w:bCs/>
                <w:color w:val="auto"/>
                <w:sz w:val="21"/>
                <w:szCs w:val="21"/>
                <w:highlight w:val="none"/>
              </w:rPr>
              <w:t>下风向</w:t>
            </w:r>
            <w:r>
              <w:rPr>
                <w:rFonts w:hint="eastAsia" w:ascii="Times New Roman" w:hAnsi="Times New Roman" w:cs="Times New Roman" w:eastAsiaTheme="minorEastAsia"/>
                <w:bCs/>
                <w:color w:val="auto"/>
                <w:sz w:val="21"/>
                <w:szCs w:val="21"/>
                <w:highlight w:val="none"/>
                <w:lang w:val="en-US" w:eastAsia="zh-CN"/>
              </w:rPr>
              <w:t>30</w:t>
            </w:r>
            <w:r>
              <w:rPr>
                <w:rFonts w:hint="default" w:ascii="Times New Roman" w:hAnsi="Times New Roman" w:cs="Times New Roman" w:eastAsiaTheme="minorEastAsia"/>
                <w:bCs/>
                <w:color w:val="auto"/>
                <w:sz w:val="21"/>
                <w:szCs w:val="21"/>
                <w:highlight w:val="none"/>
              </w:rPr>
              <w:t>0m处</w:t>
            </w:r>
          </w:p>
        </w:tc>
        <w:tc>
          <w:tcPr>
            <w:tcW w:w="1522" w:type="pct"/>
            <w:vMerge w:val="continue"/>
            <w:tcBorders>
              <w:tl2br w:val="nil"/>
              <w:tr2bl w:val="nil"/>
            </w:tcBorders>
            <w:vAlign w:val="center"/>
          </w:tcPr>
          <w:p w14:paraId="121E7715">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eastAsia="zh-CN"/>
              </w:rPr>
            </w:pPr>
          </w:p>
        </w:tc>
        <w:tc>
          <w:tcPr>
            <w:tcW w:w="994" w:type="pct"/>
            <w:vMerge w:val="continue"/>
            <w:tcBorders>
              <w:tl2br w:val="nil"/>
              <w:tr2bl w:val="nil"/>
            </w:tcBorders>
            <w:vAlign w:val="center"/>
          </w:tcPr>
          <w:p w14:paraId="31896BE1">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r w14:paraId="534E3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continue"/>
            <w:tcBorders>
              <w:tl2br w:val="nil"/>
              <w:tr2bl w:val="nil"/>
            </w:tcBorders>
            <w:vAlign w:val="center"/>
          </w:tcPr>
          <w:p w14:paraId="20D28EA7">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c>
          <w:tcPr>
            <w:tcW w:w="1619" w:type="pct"/>
            <w:tcBorders>
              <w:tl2br w:val="nil"/>
              <w:tr2bl w:val="nil"/>
            </w:tcBorders>
            <w:vAlign w:val="center"/>
          </w:tcPr>
          <w:p w14:paraId="3FEE2DF9">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下风向500m处</w:t>
            </w:r>
          </w:p>
        </w:tc>
        <w:tc>
          <w:tcPr>
            <w:tcW w:w="1522" w:type="pct"/>
            <w:vMerge w:val="continue"/>
            <w:tcBorders>
              <w:tl2br w:val="nil"/>
              <w:tr2bl w:val="nil"/>
            </w:tcBorders>
            <w:vAlign w:val="center"/>
          </w:tcPr>
          <w:p w14:paraId="6749A59C">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c>
          <w:tcPr>
            <w:tcW w:w="994" w:type="pct"/>
            <w:vMerge w:val="continue"/>
            <w:tcBorders>
              <w:tl2br w:val="nil"/>
              <w:tr2bl w:val="nil"/>
            </w:tcBorders>
            <w:vAlign w:val="center"/>
          </w:tcPr>
          <w:p w14:paraId="5357632B">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bl>
    <w:p w14:paraId="6748F31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现场应急监测分析方法及方法来源见表5-4。</w:t>
      </w:r>
    </w:p>
    <w:p w14:paraId="5010C586">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表5-4 废气现场应急监测分析方法及方法来源</w:t>
      </w:r>
    </w:p>
    <w:tbl>
      <w:tblPr>
        <w:tblStyle w:val="34"/>
        <w:tblW w:w="50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08"/>
        <w:gridCol w:w="1314"/>
        <w:gridCol w:w="3441"/>
        <w:gridCol w:w="2204"/>
        <w:gridCol w:w="1259"/>
      </w:tblGrid>
      <w:tr w14:paraId="3B8B1A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4CE89970">
            <w:pPr>
              <w:pageBreakBefore w:val="0"/>
              <w:kinsoku/>
              <w:overflowPunct/>
              <w:bidi w:val="0"/>
              <w:spacing w:line="240" w:lineRule="auto"/>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监测项目</w:t>
            </w:r>
          </w:p>
        </w:tc>
        <w:tc>
          <w:tcPr>
            <w:tcW w:w="712" w:type="pct"/>
            <w:tcBorders>
              <w:tl2br w:val="nil"/>
              <w:tr2bl w:val="nil"/>
            </w:tcBorders>
            <w:vAlign w:val="center"/>
          </w:tcPr>
          <w:p w14:paraId="2FFD4395">
            <w:pPr>
              <w:pageBreakBefore w:val="0"/>
              <w:kinsoku/>
              <w:overflowPunct/>
              <w:bidi w:val="0"/>
              <w:spacing w:line="240" w:lineRule="auto"/>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现场应急监测方法</w:t>
            </w:r>
          </w:p>
        </w:tc>
        <w:tc>
          <w:tcPr>
            <w:tcW w:w="1864" w:type="pct"/>
            <w:tcBorders>
              <w:tl2br w:val="nil"/>
              <w:tr2bl w:val="nil"/>
            </w:tcBorders>
            <w:vAlign w:val="center"/>
          </w:tcPr>
          <w:p w14:paraId="643A8700">
            <w:pPr>
              <w:pageBreakBefore w:val="0"/>
              <w:kinsoku/>
              <w:overflowPunct/>
              <w:bidi w:val="0"/>
              <w:spacing w:line="240" w:lineRule="auto"/>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实验室应急监测方法</w:t>
            </w:r>
          </w:p>
        </w:tc>
        <w:tc>
          <w:tcPr>
            <w:tcW w:w="1194" w:type="pct"/>
            <w:tcBorders>
              <w:tl2br w:val="nil"/>
              <w:tr2bl w:val="nil"/>
            </w:tcBorders>
            <w:vAlign w:val="center"/>
          </w:tcPr>
          <w:p w14:paraId="780C72F3">
            <w:pPr>
              <w:pageBreakBefore w:val="0"/>
              <w:kinsoku/>
              <w:overflowPunct/>
              <w:bidi w:val="0"/>
              <w:spacing w:line="240" w:lineRule="auto"/>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标准值</w:t>
            </w:r>
          </w:p>
        </w:tc>
        <w:tc>
          <w:tcPr>
            <w:tcW w:w="682" w:type="pct"/>
            <w:tcBorders>
              <w:tl2br w:val="nil"/>
              <w:tr2bl w:val="nil"/>
            </w:tcBorders>
            <w:vAlign w:val="center"/>
          </w:tcPr>
          <w:p w14:paraId="6970079B">
            <w:pPr>
              <w:pageBreakBefore w:val="0"/>
              <w:kinsoku/>
              <w:overflowPunct/>
              <w:bidi w:val="0"/>
              <w:spacing w:line="240" w:lineRule="auto"/>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备注</w:t>
            </w:r>
          </w:p>
        </w:tc>
      </w:tr>
      <w:tr w14:paraId="74B6A7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36F911DE">
            <w:pPr>
              <w:pageBreakBefore w:val="0"/>
              <w:kinsoku/>
              <w:overflowPunct/>
              <w:bidi w:val="0"/>
              <w:spacing w:line="240" w:lineRule="auto"/>
              <w:jc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颗粒物</w:t>
            </w:r>
          </w:p>
        </w:tc>
        <w:tc>
          <w:tcPr>
            <w:tcW w:w="712" w:type="pct"/>
            <w:vMerge w:val="restart"/>
            <w:tcBorders>
              <w:tl2br w:val="nil"/>
              <w:tr2bl w:val="nil"/>
            </w:tcBorders>
            <w:vAlign w:val="center"/>
          </w:tcPr>
          <w:p w14:paraId="2E4498FD">
            <w:pPr>
              <w:adjustRightInd w:val="0"/>
              <w:snapToGrid w:val="0"/>
              <w:spacing w:line="240" w:lineRule="auto"/>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便携式</w:t>
            </w:r>
            <w:r>
              <w:rPr>
                <w:rFonts w:hint="eastAsia" w:ascii="Times New Roman" w:hAnsi="Times New Roman" w:cs="Times New Roman" w:eastAsiaTheme="minorEastAsia"/>
                <w:bCs/>
                <w:color w:val="auto"/>
                <w:sz w:val="21"/>
                <w:szCs w:val="21"/>
                <w:lang w:val="en-US" w:eastAsia="zh-CN"/>
              </w:rPr>
              <w:t>气体</w:t>
            </w:r>
            <w:r>
              <w:rPr>
                <w:rFonts w:hint="default" w:ascii="Times New Roman" w:hAnsi="Times New Roman" w:cs="Times New Roman" w:eastAsiaTheme="minorEastAsia"/>
                <w:bCs/>
                <w:color w:val="auto"/>
                <w:sz w:val="21"/>
                <w:szCs w:val="21"/>
              </w:rPr>
              <w:t>检测仪</w:t>
            </w:r>
          </w:p>
        </w:tc>
        <w:tc>
          <w:tcPr>
            <w:tcW w:w="1864" w:type="pct"/>
            <w:tcBorders>
              <w:tl2br w:val="nil"/>
              <w:tr2bl w:val="nil"/>
            </w:tcBorders>
            <w:vAlign w:val="center"/>
          </w:tcPr>
          <w:p w14:paraId="1CFD30F4">
            <w:pPr>
              <w:pageBreakBefore w:val="0"/>
              <w:kinsoku/>
              <w:overflowPunct/>
              <w:bidi w:val="0"/>
              <w:spacing w:line="240" w:lineRule="auto"/>
              <w:jc w:val="center"/>
              <w:rPr>
                <w:rFonts w:hint="default" w:ascii="Times New Roman" w:hAnsi="Times New Roman" w:cs="Times New Roman" w:eastAsiaTheme="minorEastAsia"/>
                <w:bCs/>
                <w:color w:val="auto"/>
                <w:sz w:val="21"/>
                <w:szCs w:val="21"/>
              </w:rPr>
            </w:pP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固定污染源排气中颗粒物测定与气态污染物采样方法</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GB/T 16157-1996</w:t>
            </w:r>
            <w:r>
              <w:rPr>
                <w:rFonts w:hint="eastAsia" w:ascii="Times New Roman" w:hAnsi="Times New Roman" w:cs="Times New Roman" w:eastAsiaTheme="minorEastAsia"/>
                <w:bCs/>
                <w:color w:val="auto"/>
                <w:sz w:val="21"/>
                <w:szCs w:val="21"/>
                <w:lang w:eastAsia="zh-CN"/>
              </w:rPr>
              <w:t>）</w:t>
            </w:r>
          </w:p>
        </w:tc>
        <w:tc>
          <w:tcPr>
            <w:tcW w:w="1194" w:type="pct"/>
            <w:tcBorders>
              <w:tl2br w:val="nil"/>
              <w:tr2bl w:val="nil"/>
            </w:tcBorders>
            <w:vAlign w:val="center"/>
          </w:tcPr>
          <w:p w14:paraId="741AD819">
            <w:pPr>
              <w:pageBreakBefore w:val="0"/>
              <w:kinsoku/>
              <w:overflowPunct/>
              <w:bidi w:val="0"/>
              <w:spacing w:line="240" w:lineRule="auto"/>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lang w:val="en-US" w:eastAsia="zh-CN"/>
              </w:rPr>
              <w:t>150μg/m</w:t>
            </w:r>
            <w:r>
              <w:rPr>
                <w:rFonts w:hint="default" w:ascii="Times New Roman" w:hAnsi="Times New Roman" w:cs="Times New Roman" w:eastAsiaTheme="minorEastAsia"/>
                <w:color w:val="auto"/>
                <w:sz w:val="21"/>
                <w:szCs w:val="21"/>
                <w:vertAlign w:val="superscript"/>
                <w:lang w:val="en-US" w:eastAsia="zh-CN"/>
              </w:rPr>
              <w:t>3</w:t>
            </w:r>
            <w:r>
              <w:rPr>
                <w:rFonts w:hint="default" w:ascii="Times New Roman" w:hAnsi="Times New Roman" w:cs="Times New Roman" w:eastAsiaTheme="minorEastAsia"/>
                <w:color w:val="auto"/>
                <w:sz w:val="21"/>
                <w:szCs w:val="21"/>
                <w:vertAlign w:val="baseline"/>
                <w:lang w:val="en-US" w:eastAsia="zh-CN"/>
              </w:rPr>
              <w:t>《环境空气质量标准》（GB 3095-2012）二级标准 24h平均值</w:t>
            </w:r>
          </w:p>
        </w:tc>
        <w:tc>
          <w:tcPr>
            <w:tcW w:w="682" w:type="pct"/>
            <w:vMerge w:val="restart"/>
            <w:tcBorders>
              <w:tl2br w:val="nil"/>
              <w:tr2bl w:val="nil"/>
            </w:tcBorders>
            <w:vAlign w:val="center"/>
          </w:tcPr>
          <w:p w14:paraId="6E32897C">
            <w:pPr>
              <w:pageBreakBefore w:val="0"/>
              <w:kinsoku/>
              <w:overflowPunct/>
              <w:bidi w:val="0"/>
              <w:spacing w:line="240" w:lineRule="auto"/>
              <w:jc w:val="center"/>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江苏裕和检测技术有限公司</w:t>
            </w:r>
          </w:p>
        </w:tc>
      </w:tr>
      <w:tr w14:paraId="2B521F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562CB9F8">
            <w:pPr>
              <w:pageBreakBefore w:val="0"/>
              <w:kinsoku/>
              <w:overflowPunct/>
              <w:bidi w:val="0"/>
              <w:spacing w:line="240" w:lineRule="auto"/>
              <w:jc w:val="center"/>
              <w:rPr>
                <w:rFonts w:hint="default" w:ascii="宋体" w:hAnsi="宋体" w:eastAsia="宋体" w:cs="宋体"/>
                <w:sz w:val="21"/>
                <w:szCs w:val="21"/>
                <w:lang w:val="en-US" w:eastAsia="zh-CN"/>
              </w:rPr>
            </w:pPr>
            <w:r>
              <w:rPr>
                <w:rFonts w:hint="eastAsia" w:ascii="宋体" w:eastAsia="宋体" w:cs="宋体"/>
                <w:sz w:val="21"/>
                <w:szCs w:val="21"/>
                <w:lang w:val="en-US" w:eastAsia="zh-CN"/>
              </w:rPr>
              <w:t>挥发性有机物</w:t>
            </w:r>
          </w:p>
        </w:tc>
        <w:tc>
          <w:tcPr>
            <w:tcW w:w="712" w:type="pct"/>
            <w:vMerge w:val="continue"/>
            <w:tcBorders>
              <w:tl2br w:val="nil"/>
              <w:tr2bl w:val="nil"/>
            </w:tcBorders>
            <w:vAlign w:val="center"/>
          </w:tcPr>
          <w:p w14:paraId="7D73B506">
            <w:pPr>
              <w:adjustRightInd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1864" w:type="pct"/>
            <w:tcBorders>
              <w:tl2br w:val="nil"/>
              <w:tr2bl w:val="nil"/>
            </w:tcBorders>
            <w:vAlign w:val="center"/>
          </w:tcPr>
          <w:p w14:paraId="413EDA2E">
            <w:pPr>
              <w:pageBreakBefore w:val="0"/>
              <w:kinsoku/>
              <w:overflowPunct/>
              <w:bidi w:val="0"/>
              <w:spacing w:line="240" w:lineRule="auto"/>
              <w:jc w:val="center"/>
              <w:rPr>
                <w:rFonts w:hint="eastAsia" w:ascii="Times New Roman" w:hAnsi="Times New Roman" w:cs="Times New Roman" w:eastAsiaTheme="minorEastAsia"/>
                <w:bCs/>
                <w:color w:val="auto"/>
                <w:sz w:val="21"/>
                <w:szCs w:val="21"/>
                <w:lang w:val="en-US" w:eastAsia="zh-CN"/>
              </w:rPr>
            </w:pP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固定污染源</w:t>
            </w:r>
            <w:r>
              <w:rPr>
                <w:rFonts w:hint="eastAsia" w:ascii="Times New Roman" w:hAnsi="Times New Roman" w:cs="Times New Roman" w:eastAsiaTheme="minorEastAsia"/>
                <w:bCs/>
                <w:color w:val="auto"/>
                <w:sz w:val="21"/>
                <w:szCs w:val="21"/>
                <w:lang w:val="en-US" w:eastAsia="zh-CN"/>
              </w:rPr>
              <w:t>废气 挥发性有机物的测定 固相吸附-热脱附/气相色谱-质谱法</w:t>
            </w:r>
            <w:r>
              <w:rPr>
                <w:rFonts w:hint="eastAsia" w:ascii="Times New Roman" w:hAnsi="Times New Roman" w:cs="Times New Roman" w:eastAsiaTheme="minorEastAsia"/>
                <w:bCs/>
                <w:color w:val="auto"/>
                <w:sz w:val="21"/>
                <w:szCs w:val="21"/>
                <w:lang w:eastAsia="zh-CN"/>
              </w:rPr>
              <w:t>》（</w:t>
            </w:r>
            <w:r>
              <w:rPr>
                <w:rFonts w:hint="eastAsia" w:ascii="Times New Roman" w:hAnsi="Times New Roman" w:cs="Times New Roman" w:eastAsiaTheme="minorEastAsia"/>
                <w:bCs/>
                <w:color w:val="auto"/>
                <w:sz w:val="21"/>
                <w:szCs w:val="21"/>
                <w:lang w:val="en-US" w:eastAsia="zh-CN"/>
              </w:rPr>
              <w:t>HJ734-2014</w:t>
            </w:r>
            <w:r>
              <w:rPr>
                <w:rFonts w:hint="eastAsia" w:ascii="Times New Roman" w:hAnsi="Times New Roman" w:cs="Times New Roman" w:eastAsiaTheme="minorEastAsia"/>
                <w:bCs/>
                <w:color w:val="auto"/>
                <w:sz w:val="21"/>
                <w:szCs w:val="21"/>
                <w:lang w:eastAsia="zh-CN"/>
              </w:rPr>
              <w:t>）</w:t>
            </w:r>
          </w:p>
        </w:tc>
        <w:tc>
          <w:tcPr>
            <w:tcW w:w="1194" w:type="pct"/>
            <w:tcBorders>
              <w:tl2br w:val="nil"/>
              <w:tr2bl w:val="nil"/>
            </w:tcBorders>
            <w:vAlign w:val="center"/>
          </w:tcPr>
          <w:p w14:paraId="1704A270">
            <w:pPr>
              <w:keepNext w:val="0"/>
              <w:keepLines w:val="0"/>
              <w:widowControl/>
              <w:suppressLineNumbers w:val="0"/>
              <w:jc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cs="Times New Roman" w:eastAsiaTheme="minorEastAsia"/>
                <w:color w:val="auto"/>
                <w:sz w:val="21"/>
                <w:szCs w:val="21"/>
                <w:highlight w:val="none"/>
                <w:lang w:val="en-US" w:eastAsia="zh-CN"/>
              </w:rPr>
              <w:t>600</w:t>
            </w:r>
            <w:r>
              <w:rPr>
                <w:rFonts w:hint="default" w:ascii="Times New Roman" w:hAnsi="Times New Roman" w:eastAsia="宋体" w:cs="Times New Roman"/>
                <w:color w:val="auto"/>
                <w:sz w:val="21"/>
                <w:szCs w:val="21"/>
                <w:highlight w:val="none"/>
                <w:lang w:val="en-US" w:eastAsia="zh-CN"/>
              </w:rPr>
              <w:t>µ</w:t>
            </w:r>
            <w:r>
              <w:rPr>
                <w:rFonts w:hint="eastAsia" w:ascii="Times New Roman" w:hAnsi="Times New Roman" w:cs="Times New Roman" w:eastAsiaTheme="minorEastAsia"/>
                <w:color w:val="auto"/>
                <w:sz w:val="21"/>
                <w:szCs w:val="21"/>
                <w:highlight w:val="none"/>
                <w:lang w:val="en-US" w:eastAsia="zh-CN"/>
              </w:rPr>
              <w:t>g/m</w:t>
            </w:r>
            <w:r>
              <w:rPr>
                <w:rFonts w:hint="eastAsia" w:ascii="Times New Roman" w:hAnsi="Times New Roman" w:cs="Times New Roman" w:eastAsiaTheme="minorEastAsia"/>
                <w:color w:val="auto"/>
                <w:sz w:val="21"/>
                <w:szCs w:val="21"/>
                <w:highlight w:val="none"/>
                <w:vertAlign w:val="superscript"/>
                <w:lang w:val="en-US" w:eastAsia="zh-CN"/>
              </w:rPr>
              <w:t>3</w:t>
            </w:r>
            <w:r>
              <w:rPr>
                <w:rFonts w:hint="default" w:ascii="Times New Roman" w:hAnsi="Times New Roman" w:cs="Times New Roman" w:eastAsiaTheme="minorEastAsia"/>
                <w:color w:val="auto"/>
                <w:sz w:val="21"/>
                <w:szCs w:val="21"/>
                <w:highlight w:val="none"/>
              </w:rPr>
              <w:t>《环境影响评价技术导则 大气环境》（HJ2.2-2018）附录D</w:t>
            </w:r>
            <w:r>
              <w:rPr>
                <w:rFonts w:hint="eastAsia" w:ascii="Times New Roman" w:hAnsi="Times New Roman" w:cs="Times New Roman" w:eastAsiaTheme="minorEastAsia"/>
                <w:color w:val="auto"/>
                <w:sz w:val="21"/>
                <w:szCs w:val="21"/>
                <w:highlight w:val="none"/>
                <w:lang w:val="en-US" w:eastAsia="zh-CN"/>
              </w:rPr>
              <w:t xml:space="preserve"> 8h平均值</w:t>
            </w:r>
          </w:p>
        </w:tc>
        <w:tc>
          <w:tcPr>
            <w:tcW w:w="682" w:type="pct"/>
            <w:vMerge w:val="continue"/>
            <w:tcBorders>
              <w:tl2br w:val="nil"/>
              <w:tr2bl w:val="nil"/>
            </w:tcBorders>
            <w:vAlign w:val="center"/>
          </w:tcPr>
          <w:p w14:paraId="30B74448">
            <w:pPr>
              <w:pageBreakBefore w:val="0"/>
              <w:kinsoku/>
              <w:overflowPunct/>
              <w:bidi w:val="0"/>
              <w:spacing w:line="240" w:lineRule="auto"/>
              <w:jc w:val="center"/>
              <w:rPr>
                <w:rFonts w:hint="default" w:ascii="Times New Roman" w:hAnsi="Times New Roman" w:cs="Times New Roman" w:eastAsiaTheme="minorEastAsia"/>
                <w:bCs/>
                <w:color w:val="auto"/>
                <w:sz w:val="21"/>
                <w:szCs w:val="21"/>
              </w:rPr>
            </w:pPr>
          </w:p>
        </w:tc>
      </w:tr>
      <w:tr w14:paraId="451ACE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6" w:type="pct"/>
            <w:tcBorders>
              <w:tl2br w:val="nil"/>
              <w:tr2bl w:val="nil"/>
            </w:tcBorders>
            <w:vAlign w:val="center"/>
          </w:tcPr>
          <w:p w14:paraId="4E277FC4">
            <w:pPr>
              <w:pageBreakBefore w:val="0"/>
              <w:kinsoku/>
              <w:overflowPunct/>
              <w:bidi w:val="0"/>
              <w:spacing w:line="240" w:lineRule="auto"/>
              <w:jc w:val="center"/>
              <w:rPr>
                <w:rFonts w:hint="default" w:ascii="Times New Roman" w:hAnsi="Times New Roman" w:cs="Times New Roman" w:eastAsiaTheme="minorEastAsia"/>
                <w:bCs/>
                <w:color w:val="auto"/>
                <w:kern w:val="2"/>
                <w:sz w:val="21"/>
                <w:szCs w:val="21"/>
                <w:lang w:val="en-US" w:eastAsia="zh-CN" w:bidi="ar-SA"/>
              </w:rPr>
            </w:pPr>
            <w:r>
              <w:rPr>
                <w:rFonts w:hint="default" w:ascii="Times New Roman" w:hAnsi="Times New Roman" w:cs="Times New Roman" w:eastAsiaTheme="minorEastAsia"/>
                <w:bCs/>
                <w:color w:val="auto"/>
                <w:sz w:val="21"/>
                <w:szCs w:val="21"/>
                <w:lang w:val="en-US" w:eastAsia="zh-CN"/>
              </w:rPr>
              <w:t>CO</w:t>
            </w:r>
          </w:p>
        </w:tc>
        <w:tc>
          <w:tcPr>
            <w:tcW w:w="712" w:type="pct"/>
            <w:vMerge w:val="continue"/>
            <w:tcBorders>
              <w:tl2br w:val="nil"/>
              <w:tr2bl w:val="nil"/>
            </w:tcBorders>
            <w:vAlign w:val="center"/>
          </w:tcPr>
          <w:p w14:paraId="16FA9896">
            <w:pPr>
              <w:adjustRightInd/>
              <w:snapToGrid/>
              <w:spacing w:line="240" w:lineRule="auto"/>
              <w:jc w:val="center"/>
              <w:rPr>
                <w:rFonts w:hint="default" w:ascii="Times New Roman" w:hAnsi="Times New Roman" w:cs="Times New Roman" w:eastAsiaTheme="minorEastAsia"/>
                <w:bCs/>
                <w:color w:val="auto"/>
                <w:kern w:val="2"/>
                <w:sz w:val="21"/>
                <w:szCs w:val="21"/>
                <w:lang w:val="en-US" w:eastAsia="zh-CN" w:bidi="ar-SA"/>
              </w:rPr>
            </w:pPr>
          </w:p>
        </w:tc>
        <w:tc>
          <w:tcPr>
            <w:tcW w:w="1864" w:type="pct"/>
            <w:tcBorders>
              <w:tl2br w:val="nil"/>
              <w:tr2bl w:val="nil"/>
            </w:tcBorders>
            <w:vAlign w:val="center"/>
          </w:tcPr>
          <w:p w14:paraId="73950E60">
            <w:pPr>
              <w:pageBreakBefore w:val="0"/>
              <w:kinsoku/>
              <w:overflowPunct/>
              <w:bidi w:val="0"/>
              <w:spacing w:line="240" w:lineRule="auto"/>
              <w:jc w:val="center"/>
              <w:rPr>
                <w:rFonts w:hint="default" w:ascii="Times New Roman" w:hAnsi="Times New Roman" w:cs="Times New Roman" w:eastAsiaTheme="minorEastAsia"/>
                <w:bCs/>
                <w:color w:val="auto"/>
                <w:kern w:val="2"/>
                <w:sz w:val="21"/>
                <w:szCs w:val="21"/>
                <w:lang w:val="en-US" w:eastAsia="zh-CN" w:bidi="ar-SA"/>
              </w:rPr>
            </w:pPr>
            <w:r>
              <w:rPr>
                <w:rFonts w:hint="eastAsia" w:ascii="Times New Roman" w:hAnsi="Times New Roman" w:cs="Times New Roman" w:eastAsiaTheme="minorEastAsia"/>
                <w:bCs/>
                <w:color w:val="auto"/>
                <w:sz w:val="21"/>
                <w:szCs w:val="21"/>
                <w:lang w:val="en-US" w:eastAsia="zh-CN"/>
              </w:rPr>
              <w:t>《</w:t>
            </w:r>
            <w:r>
              <w:rPr>
                <w:rFonts w:hint="default" w:ascii="Times New Roman" w:hAnsi="Times New Roman" w:cs="Times New Roman" w:eastAsiaTheme="minorEastAsia"/>
                <w:bCs/>
                <w:color w:val="auto"/>
                <w:sz w:val="21"/>
                <w:szCs w:val="21"/>
                <w:lang w:val="en-US" w:eastAsia="zh-CN"/>
              </w:rPr>
              <w:t>环境空气 一氧化碳的自动测定 非分散红外法</w:t>
            </w:r>
            <w:r>
              <w:rPr>
                <w:rFonts w:hint="eastAsia" w:ascii="Times New Roman" w:hAnsi="Times New Roman" w:cs="Times New Roman" w:eastAsiaTheme="minorEastAsia"/>
                <w:bCs/>
                <w:color w:val="auto"/>
                <w:sz w:val="21"/>
                <w:szCs w:val="21"/>
                <w:lang w:val="en-US" w:eastAsia="zh-CN"/>
              </w:rPr>
              <w:t>》（</w:t>
            </w:r>
            <w:r>
              <w:rPr>
                <w:rFonts w:hint="default" w:ascii="Times New Roman" w:hAnsi="Times New Roman" w:cs="Times New Roman" w:eastAsiaTheme="minorEastAsia"/>
                <w:bCs/>
                <w:color w:val="auto"/>
                <w:sz w:val="21"/>
                <w:szCs w:val="21"/>
                <w:lang w:val="en-US" w:eastAsia="zh-CN"/>
              </w:rPr>
              <w:t>HJ965-2018</w:t>
            </w:r>
            <w:r>
              <w:rPr>
                <w:rFonts w:hint="eastAsia" w:ascii="Times New Roman" w:hAnsi="Times New Roman" w:cs="Times New Roman" w:eastAsiaTheme="minorEastAsia"/>
                <w:bCs/>
                <w:color w:val="auto"/>
                <w:sz w:val="21"/>
                <w:szCs w:val="21"/>
                <w:lang w:val="en-US" w:eastAsia="zh-CN"/>
              </w:rPr>
              <w:t>）</w:t>
            </w:r>
          </w:p>
        </w:tc>
        <w:tc>
          <w:tcPr>
            <w:tcW w:w="1194" w:type="pct"/>
            <w:tcBorders>
              <w:tl2br w:val="nil"/>
              <w:tr2bl w:val="nil"/>
            </w:tcBorders>
            <w:vAlign w:val="center"/>
          </w:tcPr>
          <w:p w14:paraId="7CEB9540">
            <w:pPr>
              <w:pageBreakBefore w:val="0"/>
              <w:kinsoku/>
              <w:overflowPunct/>
              <w:bidi w:val="0"/>
              <w:spacing w:line="240" w:lineRule="auto"/>
              <w:jc w:val="center"/>
              <w:rPr>
                <w:rFonts w:hint="default" w:ascii="Times New Roman" w:hAnsi="Times New Roman" w:cs="Times New Roman" w:eastAsiaTheme="minorEastAsia"/>
                <w:bCs/>
                <w:color w:val="auto"/>
                <w:kern w:val="2"/>
                <w:sz w:val="21"/>
                <w:szCs w:val="21"/>
                <w:lang w:val="en-US" w:eastAsia="zh-CN" w:bidi="ar-SA"/>
              </w:rPr>
            </w:pPr>
            <w:r>
              <w:rPr>
                <w:rFonts w:hint="default" w:ascii="Times New Roman" w:hAnsi="Times New Roman" w:cs="Times New Roman" w:eastAsiaTheme="minorEastAsia"/>
                <w:bCs/>
                <w:color w:val="auto"/>
                <w:sz w:val="21"/>
                <w:szCs w:val="21"/>
                <w:highlight w:val="none"/>
                <w:lang w:val="en-US" w:eastAsia="zh-CN"/>
              </w:rPr>
              <w:t>4mg/m</w:t>
            </w:r>
            <w:r>
              <w:rPr>
                <w:rFonts w:hint="default" w:ascii="Times New Roman" w:hAnsi="Times New Roman" w:cs="Times New Roman" w:eastAsiaTheme="minorEastAsia"/>
                <w:bCs/>
                <w:color w:val="auto"/>
                <w:sz w:val="21"/>
                <w:szCs w:val="21"/>
                <w:highlight w:val="none"/>
                <w:vertAlign w:val="superscript"/>
                <w:lang w:val="en-US" w:eastAsia="zh-CN"/>
              </w:rPr>
              <w:t>3</w:t>
            </w:r>
            <w:r>
              <w:rPr>
                <w:rFonts w:hint="default" w:ascii="Times New Roman" w:hAnsi="Times New Roman" w:cs="Times New Roman" w:eastAsiaTheme="minorEastAsia"/>
                <w:bCs/>
                <w:color w:val="auto"/>
                <w:sz w:val="21"/>
                <w:szCs w:val="21"/>
                <w:highlight w:val="none"/>
                <w:vertAlign w:val="baseline"/>
                <w:lang w:val="en-US" w:eastAsia="zh-CN"/>
              </w:rPr>
              <w:t>《环境空气质量标准》（GB 3095-2012）二级标准 24h平均值</w:t>
            </w:r>
          </w:p>
        </w:tc>
        <w:tc>
          <w:tcPr>
            <w:tcW w:w="682" w:type="pct"/>
            <w:vMerge w:val="continue"/>
            <w:tcBorders>
              <w:tl2br w:val="nil"/>
              <w:tr2bl w:val="nil"/>
            </w:tcBorders>
            <w:vAlign w:val="center"/>
          </w:tcPr>
          <w:p w14:paraId="0F9556A1">
            <w:pPr>
              <w:pageBreakBefore w:val="0"/>
              <w:kinsoku/>
              <w:overflowPunct/>
              <w:bidi w:val="0"/>
              <w:spacing w:line="240" w:lineRule="auto"/>
              <w:jc w:val="center"/>
              <w:rPr>
                <w:rFonts w:hint="default" w:ascii="Times New Roman" w:hAnsi="Times New Roman" w:cs="Times New Roman" w:eastAsiaTheme="minorEastAsia"/>
                <w:bCs/>
                <w:color w:val="auto"/>
                <w:sz w:val="21"/>
                <w:szCs w:val="21"/>
              </w:rPr>
            </w:pPr>
          </w:p>
        </w:tc>
      </w:tr>
    </w:tbl>
    <w:p w14:paraId="5FF565D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我公司根据监测结果，选择《环境影响评价技术导则 大气环境》（HJ2.2-2018）中推荐模式预测大气污染物扩散范围和变化趋势，适时调整监测方案。</w:t>
      </w:r>
    </w:p>
    <w:p w14:paraId="39393112">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76" w:name="_Toc14982"/>
      <w:bookmarkStart w:id="377" w:name="_Toc29444"/>
      <w:bookmarkStart w:id="378" w:name="_Toc27399"/>
      <w:bookmarkStart w:id="379" w:name="_Toc11776"/>
      <w:bookmarkStart w:id="380" w:name="_Toc11553"/>
      <w:bookmarkStart w:id="381" w:name="_Toc27662227"/>
      <w:bookmarkStart w:id="382" w:name="_Toc46679821"/>
      <w:bookmarkStart w:id="383" w:name="_Toc38773888"/>
      <w:r>
        <w:rPr>
          <w:rFonts w:hint="default" w:ascii="Times New Roman" w:hAnsi="Times New Roman" w:cs="Times New Roman" w:eastAsiaTheme="minorEastAsia"/>
          <w:color w:val="auto"/>
          <w:sz w:val="24"/>
          <w:szCs w:val="24"/>
          <w:highlight w:val="none"/>
          <w:lang w:val="zh-CN"/>
        </w:rPr>
        <w:t>5.1.</w:t>
      </w:r>
      <w:r>
        <w:rPr>
          <w:rFonts w:hint="eastAsia" w:cs="Times New Roman"/>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lang w:val="zh-CN"/>
        </w:rPr>
        <w:t xml:space="preserve"> </w:t>
      </w:r>
      <w:r>
        <w:rPr>
          <w:rFonts w:hint="eastAsia" w:ascii="Times New Roman" w:hAnsi="Times New Roman" w:cs="Times New Roman"/>
          <w:color w:val="auto"/>
          <w:sz w:val="24"/>
          <w:szCs w:val="24"/>
          <w:highlight w:val="none"/>
          <w:lang w:val="en-US" w:eastAsia="zh-CN"/>
        </w:rPr>
        <w:t>土壤</w:t>
      </w:r>
      <w:r>
        <w:rPr>
          <w:rFonts w:hint="default" w:ascii="Times New Roman" w:hAnsi="Times New Roman" w:cs="Times New Roman" w:eastAsiaTheme="minorEastAsia"/>
          <w:color w:val="auto"/>
          <w:sz w:val="24"/>
          <w:szCs w:val="24"/>
          <w:highlight w:val="none"/>
          <w:lang w:val="zh-CN"/>
        </w:rPr>
        <w:t>应急监测方案</w:t>
      </w:r>
      <w:bookmarkEnd w:id="376"/>
      <w:bookmarkEnd w:id="377"/>
    </w:p>
    <w:p w14:paraId="3A3113C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若泄漏化学品、未处理废水等污染物进入土壤环境，应以事故地点为中心，按一定间隔的扇形或圆形布点采样，并根据污染物的特性及污染范围在不同深度采样，对pH、泄漏污染物等进行监测。在相对开阔的污染区域采集垂直深 10cm 的表层土。一般在 10m×10m 范围内采样点不少于 5 个。将多点采集的土壤样品除去石块、草根等杂物，现场混合后取 1-2kg 样品装在塑料袋内密封。</w:t>
      </w:r>
    </w:p>
    <w:p w14:paraId="04F8927E">
      <w:pPr>
        <w:keepNext/>
        <w:keepLines/>
        <w:pageBreakBefore w:val="0"/>
        <w:widowControl w:val="0"/>
        <w:tabs>
          <w:tab w:val="left" w:pos="1555"/>
        </w:tabs>
        <w:kinsoku/>
        <w:wordWrap/>
        <w:overflowPunct/>
        <w:topLinePunct w:val="0"/>
        <w:autoSpaceDE/>
        <w:autoSpaceDN/>
        <w:bidi w:val="0"/>
        <w:adjustRightInd w:val="0"/>
        <w:snapToGrid w:val="0"/>
        <w:spacing w:beforeLines="0" w:afterLines="0" w:line="500" w:lineRule="exact"/>
        <w:ind w:left="505"/>
        <w:jc w:val="center"/>
        <w:textAlignment w:val="auto"/>
        <w:outlineLvl w:val="9"/>
      </w:pPr>
      <w:r>
        <w:rPr>
          <w:rFonts w:hint="default" w:ascii="Times New Roman" w:hAnsi="Times New Roman" w:cs="Times New Roman" w:eastAsiaTheme="minorEastAsia"/>
          <w:b/>
          <w:bCs w:val="0"/>
          <w:color w:val="auto"/>
          <w:kern w:val="2"/>
          <w:sz w:val="24"/>
          <w:szCs w:val="24"/>
          <w:highlight w:val="none"/>
          <w:lang w:val="en-US" w:eastAsia="zh-CN" w:bidi="ar-SA"/>
        </w:rPr>
        <w:t>表 5-</w:t>
      </w:r>
      <w:r>
        <w:rPr>
          <w:rFonts w:hint="eastAsia" w:ascii="Times New Roman" w:hAnsi="Times New Roman" w:cs="Times New Roman" w:eastAsiaTheme="minorEastAsia"/>
          <w:b/>
          <w:bCs w:val="0"/>
          <w:color w:val="auto"/>
          <w:kern w:val="2"/>
          <w:sz w:val="24"/>
          <w:szCs w:val="24"/>
          <w:highlight w:val="none"/>
          <w:lang w:val="en-US" w:eastAsia="zh-CN" w:bidi="ar-SA"/>
        </w:rPr>
        <w:t xml:space="preserve">5 </w:t>
      </w:r>
      <w:r>
        <w:rPr>
          <w:rFonts w:hint="default" w:ascii="Times New Roman" w:hAnsi="Times New Roman" w:cs="Times New Roman" w:eastAsiaTheme="minorEastAsia"/>
          <w:b/>
          <w:bCs w:val="0"/>
          <w:color w:val="auto"/>
          <w:kern w:val="2"/>
          <w:sz w:val="24"/>
          <w:szCs w:val="24"/>
          <w:highlight w:val="none"/>
          <w:lang w:val="en-US" w:eastAsia="zh-CN" w:bidi="ar-SA"/>
        </w:rPr>
        <w:t>土壤应急监测点布设</w:t>
      </w:r>
    </w:p>
    <w:tbl>
      <w:tblPr>
        <w:tblStyle w:val="34"/>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65"/>
        <w:gridCol w:w="1356"/>
        <w:gridCol w:w="3811"/>
        <w:gridCol w:w="1848"/>
        <w:gridCol w:w="1376"/>
      </w:tblGrid>
      <w:tr w14:paraId="668FC4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115" w:type="pct"/>
            <w:gridSpan w:val="2"/>
            <w:tcBorders>
              <w:tl2br w:val="nil"/>
              <w:tr2bl w:val="nil"/>
            </w:tcBorders>
            <w:shd w:val="clear" w:color="auto" w:fill="auto"/>
            <w:vAlign w:val="center"/>
          </w:tcPr>
          <w:p w14:paraId="46506A14">
            <w:pPr>
              <w:pStyle w:val="159"/>
              <w:spacing w:before="1"/>
              <w:ind w:left="456"/>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污染类型</w:t>
            </w:r>
          </w:p>
        </w:tc>
        <w:tc>
          <w:tcPr>
            <w:tcW w:w="2103" w:type="pct"/>
            <w:tcBorders>
              <w:tl2br w:val="nil"/>
              <w:tr2bl w:val="nil"/>
            </w:tcBorders>
            <w:shd w:val="clear" w:color="auto" w:fill="auto"/>
            <w:vAlign w:val="center"/>
          </w:tcPr>
          <w:p w14:paraId="29CD094E">
            <w:pPr>
              <w:pStyle w:val="159"/>
              <w:spacing w:before="1"/>
              <w:ind w:left="1324" w:right="1298"/>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采样位置</w:t>
            </w:r>
          </w:p>
        </w:tc>
        <w:tc>
          <w:tcPr>
            <w:tcW w:w="1020" w:type="pct"/>
            <w:tcBorders>
              <w:tl2br w:val="nil"/>
              <w:tr2bl w:val="nil"/>
            </w:tcBorders>
            <w:shd w:val="clear" w:color="auto" w:fill="auto"/>
            <w:vAlign w:val="center"/>
          </w:tcPr>
          <w:p w14:paraId="7B3AA827">
            <w:pPr>
              <w:pStyle w:val="159"/>
              <w:spacing w:before="1"/>
              <w:ind w:left="37" w:right="12"/>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采样频次</w:t>
            </w:r>
          </w:p>
        </w:tc>
        <w:tc>
          <w:tcPr>
            <w:tcW w:w="759" w:type="pct"/>
            <w:tcBorders>
              <w:tl2br w:val="nil"/>
              <w:tr2bl w:val="nil"/>
            </w:tcBorders>
            <w:shd w:val="clear" w:color="auto" w:fill="auto"/>
            <w:vAlign w:val="center"/>
          </w:tcPr>
          <w:p w14:paraId="0F8FD6A2">
            <w:pPr>
              <w:pStyle w:val="159"/>
              <w:spacing w:before="1"/>
              <w:ind w:left="135"/>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监测项目</w:t>
            </w:r>
          </w:p>
        </w:tc>
      </w:tr>
      <w:tr w14:paraId="16C705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37" w:hRule="atLeast"/>
        </w:trPr>
        <w:tc>
          <w:tcPr>
            <w:tcW w:w="367" w:type="pct"/>
            <w:tcBorders>
              <w:tl2br w:val="nil"/>
              <w:tr2bl w:val="nil"/>
            </w:tcBorders>
            <w:shd w:val="clear" w:color="auto" w:fill="auto"/>
            <w:vAlign w:val="center"/>
          </w:tcPr>
          <w:p w14:paraId="3B7F3E33">
            <w:pPr>
              <w:pStyle w:val="159"/>
              <w:spacing w:before="1" w:line="364" w:lineRule="auto"/>
              <w:ind w:left="62" w:right="3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土壤污染</w:t>
            </w:r>
          </w:p>
        </w:tc>
        <w:tc>
          <w:tcPr>
            <w:tcW w:w="747" w:type="pct"/>
            <w:tcBorders>
              <w:tl2br w:val="nil"/>
              <w:tr2bl w:val="nil"/>
            </w:tcBorders>
            <w:shd w:val="clear" w:color="auto" w:fill="auto"/>
            <w:vAlign w:val="center"/>
          </w:tcPr>
          <w:p w14:paraId="25412124">
            <w:pPr>
              <w:pStyle w:val="159"/>
              <w:spacing w:before="187" w:line="364" w:lineRule="auto"/>
              <w:ind w:left="15" w:right="-29" w:firstLine="23"/>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厂区火灾</w:t>
            </w:r>
            <w:r>
              <w:rPr>
                <w:rFonts w:hint="default" w:ascii="Times New Roman" w:hAnsi="Times New Roman" w:eastAsia="宋体" w:cs="Times New Roman"/>
                <w:spacing w:val="-15"/>
                <w:sz w:val="21"/>
                <w:szCs w:val="21"/>
              </w:rPr>
              <w:t>爆炸、</w:t>
            </w:r>
            <w:r>
              <w:rPr>
                <w:rFonts w:hint="default" w:ascii="Times New Roman" w:hAnsi="Times New Roman" w:eastAsia="宋体" w:cs="Times New Roman"/>
                <w:spacing w:val="-6"/>
                <w:sz w:val="21"/>
                <w:szCs w:val="21"/>
              </w:rPr>
              <w:t>危险</w:t>
            </w:r>
            <w:r>
              <w:rPr>
                <w:rFonts w:hint="default" w:ascii="Times New Roman" w:hAnsi="Times New Roman" w:eastAsia="宋体" w:cs="Times New Roman"/>
                <w:spacing w:val="-15"/>
                <w:sz w:val="21"/>
                <w:szCs w:val="21"/>
              </w:rPr>
              <w:t>化学</w:t>
            </w:r>
            <w:r>
              <w:rPr>
                <w:rFonts w:hint="default" w:ascii="Times New Roman" w:hAnsi="Times New Roman" w:eastAsia="宋体" w:cs="Times New Roman"/>
                <w:spacing w:val="-6"/>
                <w:sz w:val="21"/>
                <w:szCs w:val="21"/>
              </w:rPr>
              <w:t>品泄漏</w:t>
            </w:r>
          </w:p>
        </w:tc>
        <w:tc>
          <w:tcPr>
            <w:tcW w:w="2103" w:type="pct"/>
            <w:tcBorders>
              <w:tl2br w:val="nil"/>
              <w:tr2bl w:val="nil"/>
            </w:tcBorders>
            <w:shd w:val="clear" w:color="auto" w:fill="auto"/>
            <w:vAlign w:val="center"/>
          </w:tcPr>
          <w:p w14:paraId="5A00FC18">
            <w:pPr>
              <w:pStyle w:val="159"/>
              <w:spacing w:before="3" w:line="364" w:lineRule="auto"/>
              <w:ind w:left="13" w:right="-29"/>
              <w:jc w:val="center"/>
              <w:rPr>
                <w:rFonts w:hint="default" w:ascii="Times New Roman" w:hAnsi="Times New Roman" w:eastAsia="宋体" w:cs="Times New Roman"/>
                <w:sz w:val="21"/>
                <w:szCs w:val="21"/>
              </w:rPr>
            </w:pPr>
            <w:r>
              <w:rPr>
                <w:rFonts w:hint="default" w:ascii="Times New Roman" w:hAnsi="Times New Roman" w:eastAsia="宋体" w:cs="Times New Roman"/>
                <w:spacing w:val="-13"/>
                <w:sz w:val="21"/>
                <w:szCs w:val="21"/>
              </w:rPr>
              <w:t>以事故地点为中心，按一定间隔</w:t>
            </w:r>
            <w:r>
              <w:rPr>
                <w:rFonts w:hint="default" w:ascii="Times New Roman" w:hAnsi="Times New Roman" w:eastAsia="宋体" w:cs="Times New Roman"/>
                <w:spacing w:val="-14"/>
                <w:sz w:val="21"/>
                <w:szCs w:val="21"/>
              </w:rPr>
              <w:t>的扇形或圆形布点采样，并根据</w:t>
            </w:r>
            <w:r>
              <w:rPr>
                <w:rFonts w:hint="default" w:ascii="Times New Roman" w:hAnsi="Times New Roman" w:eastAsia="宋体" w:cs="Times New Roman"/>
                <w:spacing w:val="-5"/>
                <w:sz w:val="21"/>
                <w:szCs w:val="21"/>
              </w:rPr>
              <w:t>污染物的特性及污染范围在不</w:t>
            </w:r>
            <w:r>
              <w:rPr>
                <w:rFonts w:hint="default" w:ascii="Times New Roman" w:hAnsi="Times New Roman" w:eastAsia="宋体" w:cs="Times New Roman"/>
                <w:spacing w:val="-3"/>
                <w:sz w:val="21"/>
                <w:szCs w:val="21"/>
              </w:rPr>
              <w:t>同深度采样，同时采集对照样</w:t>
            </w:r>
            <w:r>
              <w:rPr>
                <w:rFonts w:hint="default" w:ascii="Times New Roman" w:hAnsi="Times New Roman" w:eastAsia="宋体" w:cs="Times New Roman"/>
                <w:spacing w:val="-14"/>
                <w:sz w:val="21"/>
                <w:szCs w:val="21"/>
              </w:rPr>
              <w:t>品，必要时在事故地附近采集作</w:t>
            </w:r>
            <w:r>
              <w:rPr>
                <w:rFonts w:hint="default" w:ascii="Times New Roman" w:hAnsi="Times New Roman" w:eastAsia="宋体" w:cs="Times New Roman"/>
                <w:sz w:val="21"/>
                <w:szCs w:val="21"/>
              </w:rPr>
              <w:t>物样品。</w:t>
            </w:r>
          </w:p>
        </w:tc>
        <w:tc>
          <w:tcPr>
            <w:tcW w:w="1020" w:type="pct"/>
            <w:tcBorders>
              <w:tl2br w:val="nil"/>
              <w:tr2bl w:val="nil"/>
            </w:tcBorders>
            <w:shd w:val="clear" w:color="auto" w:fill="auto"/>
            <w:vAlign w:val="center"/>
          </w:tcPr>
          <w:p w14:paraId="04CD6343">
            <w:pPr>
              <w:pStyle w:val="159"/>
              <w:ind w:left="40" w:right="1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spacing w:val="-36"/>
                <w:sz w:val="21"/>
                <w:szCs w:val="21"/>
              </w:rPr>
              <w:t xml:space="preserve"> 次</w:t>
            </w:r>
            <w:r>
              <w:rPr>
                <w:rFonts w:hint="eastAsia" w:ascii="Times New Roman" w:hAnsi="Times New Roman" w:eastAsia="宋体" w:cs="Times New Roman"/>
                <w:spacing w:val="-36"/>
                <w:sz w:val="21"/>
                <w:szCs w:val="21"/>
                <w:lang w:val="en-US" w:eastAsia="zh-CN"/>
              </w:rPr>
              <w:t xml:space="preserve"> </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pacing w:val="-2"/>
                <w:sz w:val="21"/>
                <w:szCs w:val="21"/>
              </w:rPr>
              <w:t>应急期间</w:t>
            </w:r>
          </w:p>
        </w:tc>
        <w:tc>
          <w:tcPr>
            <w:tcW w:w="759" w:type="pct"/>
            <w:tcBorders>
              <w:tl2br w:val="nil"/>
              <w:tr2bl w:val="nil"/>
            </w:tcBorders>
            <w:shd w:val="clear" w:color="auto" w:fill="auto"/>
            <w:vAlign w:val="center"/>
          </w:tcPr>
          <w:p w14:paraId="513FCFED">
            <w:pPr>
              <w:pStyle w:val="159"/>
              <w:spacing w:before="1" w:line="364" w:lineRule="auto"/>
              <w:ind w:left="276" w:right="-29" w:hanging="26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pH</w:t>
            </w:r>
            <w:r>
              <w:rPr>
                <w:rFonts w:hint="default" w:ascii="Times New Roman" w:hAnsi="Times New Roman" w:eastAsia="宋体" w:cs="Times New Roman"/>
                <w:spacing w:val="-10"/>
                <w:sz w:val="21"/>
                <w:szCs w:val="21"/>
              </w:rPr>
              <w:t>、泄漏污</w:t>
            </w:r>
            <w:r>
              <w:rPr>
                <w:rFonts w:hint="default" w:ascii="Times New Roman" w:hAnsi="Times New Roman" w:eastAsia="宋体" w:cs="Times New Roman"/>
                <w:spacing w:val="-5"/>
                <w:sz w:val="21"/>
                <w:szCs w:val="21"/>
              </w:rPr>
              <w:t>染物等</w:t>
            </w:r>
          </w:p>
        </w:tc>
      </w:tr>
    </w:tbl>
    <w:p w14:paraId="30D662EF">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84" w:name="_Toc26544"/>
      <w:bookmarkStart w:id="385" w:name="_Toc12487"/>
      <w:r>
        <w:rPr>
          <w:rFonts w:hint="default" w:ascii="Times New Roman" w:hAnsi="Times New Roman" w:cs="Times New Roman" w:eastAsiaTheme="minorEastAsia"/>
          <w:color w:val="auto"/>
          <w:sz w:val="24"/>
          <w:szCs w:val="24"/>
          <w:highlight w:val="none"/>
          <w:lang w:val="zh-CN"/>
        </w:rPr>
        <w:t>5.1.</w:t>
      </w:r>
      <w:r>
        <w:rPr>
          <w:rFonts w:hint="eastAsia" w:cs="Times New Roman"/>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lang w:val="zh-CN"/>
        </w:rPr>
        <w:t xml:space="preserve"> </w:t>
      </w:r>
      <w:r>
        <w:rPr>
          <w:rFonts w:hint="eastAsia" w:ascii="Times New Roman" w:hAnsi="Times New Roman" w:cs="Times New Roman"/>
          <w:color w:val="auto"/>
          <w:sz w:val="24"/>
          <w:szCs w:val="24"/>
          <w:highlight w:val="none"/>
          <w:lang w:val="en-US" w:eastAsia="zh-CN"/>
        </w:rPr>
        <w:t>地下水</w:t>
      </w:r>
      <w:r>
        <w:rPr>
          <w:rFonts w:hint="default" w:ascii="Times New Roman" w:hAnsi="Times New Roman" w:cs="Times New Roman" w:eastAsiaTheme="minorEastAsia"/>
          <w:color w:val="auto"/>
          <w:sz w:val="24"/>
          <w:szCs w:val="24"/>
          <w:highlight w:val="none"/>
          <w:lang w:val="zh-CN"/>
        </w:rPr>
        <w:t>应急监测方案</w:t>
      </w:r>
      <w:bookmarkEnd w:id="384"/>
      <w:bookmarkEnd w:id="385"/>
    </w:p>
    <w:p w14:paraId="2567328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当泄漏化学品、事故废水对地下水环境造成影响，应以事故地点为中心，根据本地区地下水流向采用网格法或辐射法布设监测井采样，同时视地下水主要补给来源，在垂直地下水流上方向，设置对照监测井采样以地下水为饮用水源的取水处必须设置采样点，对pH、氨氮、泄漏污染物等进行监测。</w:t>
      </w:r>
    </w:p>
    <w:p w14:paraId="19F5B255">
      <w:pPr>
        <w:keepNext/>
        <w:keepLines/>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lang w:val="zh-CN"/>
        </w:rPr>
      </w:pPr>
      <w:bookmarkStart w:id="386" w:name="_Toc25755"/>
      <w:r>
        <w:rPr>
          <w:rFonts w:hint="default" w:ascii="Times New Roman" w:hAnsi="Times New Roman" w:eastAsia="宋体" w:cs="Times New Roman"/>
          <w:b/>
          <w:bCs w:val="0"/>
          <w:color w:val="auto"/>
          <w:kern w:val="2"/>
          <w:sz w:val="24"/>
          <w:szCs w:val="24"/>
          <w:highlight w:val="none"/>
          <w:lang w:val="en-US" w:eastAsia="zh-CN" w:bidi="ar-SA"/>
        </w:rPr>
        <w:t>表 5-6</w:t>
      </w:r>
      <w:r>
        <w:rPr>
          <w:rFonts w:hint="default" w:ascii="Times New Roman" w:hAnsi="Times New Roman" w:eastAsia="宋体" w:cs="Times New Roman"/>
          <w:b/>
          <w:bCs w:val="0"/>
          <w:color w:val="auto"/>
          <w:kern w:val="2"/>
          <w:sz w:val="24"/>
          <w:szCs w:val="24"/>
          <w:highlight w:val="none"/>
          <w:lang w:val="en-US" w:eastAsia="zh-CN" w:bidi="ar-SA"/>
        </w:rPr>
        <w:tab/>
      </w:r>
      <w:r>
        <w:rPr>
          <w:rFonts w:hint="default" w:ascii="Times New Roman" w:hAnsi="Times New Roman" w:eastAsia="宋体" w:cs="Times New Roman"/>
          <w:b/>
          <w:bCs w:val="0"/>
          <w:color w:val="auto"/>
          <w:kern w:val="2"/>
          <w:sz w:val="24"/>
          <w:szCs w:val="24"/>
          <w:highlight w:val="none"/>
          <w:lang w:val="en-US" w:eastAsia="zh-CN" w:bidi="ar-SA"/>
        </w:rPr>
        <w:t xml:space="preserve"> 地下水应急监测点布设</w:t>
      </w:r>
      <w:bookmarkEnd w:id="386"/>
    </w:p>
    <w:tbl>
      <w:tblPr>
        <w:tblStyle w:val="34"/>
        <w:tblW w:w="9026" w:type="dxa"/>
        <w:tblInd w:w="23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64"/>
        <w:gridCol w:w="1350"/>
        <w:gridCol w:w="4222"/>
        <w:gridCol w:w="1700"/>
        <w:gridCol w:w="1090"/>
      </w:tblGrid>
      <w:tr w14:paraId="7E820A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89" w:hRule="atLeast"/>
        </w:trPr>
        <w:tc>
          <w:tcPr>
            <w:tcW w:w="2014" w:type="dxa"/>
            <w:gridSpan w:val="2"/>
            <w:tcBorders>
              <w:tl2br w:val="nil"/>
              <w:tr2bl w:val="nil"/>
            </w:tcBorders>
            <w:shd w:val="clear" w:color="auto" w:fill="auto"/>
            <w:vAlign w:val="center"/>
          </w:tcPr>
          <w:p w14:paraId="5C74D417">
            <w:pPr>
              <w:pStyle w:val="159"/>
              <w:spacing w:before="1"/>
              <w:ind w:left="455"/>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污染类型</w:t>
            </w:r>
          </w:p>
        </w:tc>
        <w:tc>
          <w:tcPr>
            <w:tcW w:w="4222" w:type="dxa"/>
            <w:tcBorders>
              <w:tl2br w:val="nil"/>
              <w:tr2bl w:val="nil"/>
            </w:tcBorders>
            <w:shd w:val="clear" w:color="auto" w:fill="auto"/>
            <w:vAlign w:val="center"/>
          </w:tcPr>
          <w:p w14:paraId="2A89F431">
            <w:pPr>
              <w:pStyle w:val="159"/>
              <w:spacing w:before="1"/>
              <w:ind w:left="561" w:right="531"/>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采样位置</w:t>
            </w:r>
          </w:p>
        </w:tc>
        <w:tc>
          <w:tcPr>
            <w:tcW w:w="1700" w:type="dxa"/>
            <w:tcBorders>
              <w:tl2br w:val="nil"/>
              <w:tr2bl w:val="nil"/>
            </w:tcBorders>
            <w:shd w:val="clear" w:color="auto" w:fill="auto"/>
            <w:vAlign w:val="center"/>
          </w:tcPr>
          <w:p w14:paraId="6AD9334E">
            <w:pPr>
              <w:pStyle w:val="159"/>
              <w:spacing w:before="1"/>
              <w:ind w:left="296"/>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采样频次</w:t>
            </w:r>
          </w:p>
        </w:tc>
        <w:tc>
          <w:tcPr>
            <w:tcW w:w="1090" w:type="dxa"/>
            <w:tcBorders>
              <w:tl2br w:val="nil"/>
              <w:tr2bl w:val="nil"/>
            </w:tcBorders>
            <w:shd w:val="clear" w:color="auto" w:fill="auto"/>
            <w:vAlign w:val="center"/>
          </w:tcPr>
          <w:p w14:paraId="5F17CB91">
            <w:pPr>
              <w:pStyle w:val="159"/>
              <w:spacing w:before="2"/>
              <w:ind w:left="114" w:right="87"/>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监测项</w:t>
            </w:r>
            <w:r>
              <w:rPr>
                <w:rFonts w:hint="default" w:ascii="Times New Roman" w:hAnsi="Times New Roman" w:eastAsia="宋体" w:cs="Times New Roman"/>
                <w:b/>
                <w:w w:val="99"/>
                <w:sz w:val="21"/>
                <w:szCs w:val="21"/>
              </w:rPr>
              <w:t>目</w:t>
            </w:r>
          </w:p>
        </w:tc>
      </w:tr>
      <w:tr w14:paraId="31C4DE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661" w:hRule="atLeast"/>
        </w:trPr>
        <w:tc>
          <w:tcPr>
            <w:tcW w:w="664" w:type="dxa"/>
            <w:tcBorders>
              <w:tl2br w:val="nil"/>
              <w:tr2bl w:val="nil"/>
            </w:tcBorders>
            <w:shd w:val="clear" w:color="auto" w:fill="auto"/>
            <w:vAlign w:val="center"/>
          </w:tcPr>
          <w:p w14:paraId="6622388F">
            <w:pPr>
              <w:pStyle w:val="159"/>
              <w:spacing w:before="2" w:line="364" w:lineRule="auto"/>
              <w:ind w:left="62" w:right="3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地下水污染</w:t>
            </w:r>
          </w:p>
        </w:tc>
        <w:tc>
          <w:tcPr>
            <w:tcW w:w="1350" w:type="dxa"/>
            <w:tcBorders>
              <w:tl2br w:val="nil"/>
              <w:tr2bl w:val="nil"/>
            </w:tcBorders>
            <w:shd w:val="clear" w:color="auto" w:fill="auto"/>
            <w:vAlign w:val="center"/>
          </w:tcPr>
          <w:p w14:paraId="708EA0CE">
            <w:pPr>
              <w:pStyle w:val="159"/>
              <w:spacing w:before="2" w:line="364" w:lineRule="auto"/>
              <w:ind w:left="41" w:right="-44"/>
              <w:jc w:val="center"/>
              <w:rPr>
                <w:rFonts w:hint="default" w:ascii="Times New Roman" w:hAnsi="Times New Roman" w:eastAsia="宋体" w:cs="Times New Roman"/>
                <w:sz w:val="21"/>
                <w:szCs w:val="21"/>
              </w:rPr>
            </w:pPr>
            <w:r>
              <w:rPr>
                <w:rFonts w:hint="default" w:ascii="Times New Roman" w:hAnsi="Times New Roman" w:eastAsia="宋体" w:cs="Times New Roman"/>
                <w:spacing w:val="-17"/>
                <w:sz w:val="21"/>
                <w:szCs w:val="21"/>
              </w:rPr>
              <w:t>火灾爆炸、</w:t>
            </w:r>
            <w:r>
              <w:rPr>
                <w:rFonts w:hint="default" w:ascii="Times New Roman" w:hAnsi="Times New Roman" w:eastAsia="宋体" w:cs="Times New Roman"/>
                <w:spacing w:val="-2"/>
                <w:sz w:val="21"/>
                <w:szCs w:val="21"/>
              </w:rPr>
              <w:t>危险化学品泄漏</w:t>
            </w:r>
          </w:p>
        </w:tc>
        <w:tc>
          <w:tcPr>
            <w:tcW w:w="4222" w:type="dxa"/>
            <w:tcBorders>
              <w:tl2br w:val="nil"/>
              <w:tr2bl w:val="nil"/>
            </w:tcBorders>
            <w:shd w:val="clear" w:color="auto" w:fill="auto"/>
            <w:vAlign w:val="center"/>
          </w:tcPr>
          <w:p w14:paraId="39987971">
            <w:pPr>
              <w:pStyle w:val="159"/>
              <w:spacing w:before="2" w:line="364" w:lineRule="auto"/>
              <w:ind w:left="20" w:right="-15"/>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以事故地点为中心，根据本地区地下水流向采用网格法或辐射法布设监测井采样，以地下水为饮用水源的取水处必须设置采样点</w:t>
            </w:r>
          </w:p>
        </w:tc>
        <w:tc>
          <w:tcPr>
            <w:tcW w:w="1700" w:type="dxa"/>
            <w:tcBorders>
              <w:tl2br w:val="nil"/>
              <w:tr2bl w:val="nil"/>
            </w:tcBorders>
            <w:shd w:val="clear" w:color="auto" w:fill="auto"/>
            <w:vAlign w:val="center"/>
          </w:tcPr>
          <w:p w14:paraId="1304CAE2">
            <w:pPr>
              <w:pStyle w:val="159"/>
              <w:spacing w:before="2" w:line="364" w:lineRule="auto"/>
              <w:ind w:left="13" w:right="-29" w:firstLine="4"/>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初始1～2次</w:t>
            </w:r>
            <w:r>
              <w:rPr>
                <w:rFonts w:hint="eastAsia" w:ascii="Times New Roman" w:hAnsi="Times New Roman" w:eastAsia="宋体" w:cs="Times New Roman"/>
                <w:sz w:val="21"/>
                <w:szCs w:val="21"/>
                <w:lang w:val="en-US" w:eastAsia="zh-CN"/>
              </w:rPr>
              <w:t>/天，第 3天后，1次/周直至应急结束</w:t>
            </w:r>
          </w:p>
        </w:tc>
        <w:tc>
          <w:tcPr>
            <w:tcW w:w="1090" w:type="dxa"/>
            <w:tcBorders>
              <w:tl2br w:val="nil"/>
              <w:tr2bl w:val="nil"/>
            </w:tcBorders>
            <w:shd w:val="clear" w:color="auto" w:fill="auto"/>
            <w:vAlign w:val="center"/>
          </w:tcPr>
          <w:p w14:paraId="5C60FAAA">
            <w:pPr>
              <w:pStyle w:val="159"/>
              <w:spacing w:before="2" w:line="364" w:lineRule="auto"/>
              <w:ind w:left="15" w:right="-29"/>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pH、氨</w:t>
            </w:r>
            <w:r>
              <w:rPr>
                <w:rFonts w:hint="default" w:ascii="Times New Roman" w:hAnsi="Times New Roman" w:eastAsia="宋体" w:cs="Times New Roman"/>
                <w:spacing w:val="-11"/>
                <w:sz w:val="21"/>
                <w:szCs w:val="21"/>
              </w:rPr>
              <w:t>氮、泄漏</w:t>
            </w:r>
            <w:r>
              <w:rPr>
                <w:rFonts w:hint="default" w:ascii="Times New Roman" w:hAnsi="Times New Roman" w:eastAsia="宋体" w:cs="Times New Roman"/>
                <w:spacing w:val="-6"/>
                <w:sz w:val="21"/>
                <w:szCs w:val="21"/>
              </w:rPr>
              <w:t>污染物</w:t>
            </w:r>
            <w:r>
              <w:rPr>
                <w:rFonts w:hint="eastAsia" w:ascii="Times New Roman" w:hAnsi="Times New Roman" w:eastAsia="宋体" w:cs="Times New Roman"/>
                <w:spacing w:val="-6"/>
                <w:sz w:val="21"/>
                <w:szCs w:val="21"/>
                <w:lang w:val="en-US" w:eastAsia="zh-CN"/>
              </w:rPr>
              <w:t>等</w:t>
            </w:r>
          </w:p>
        </w:tc>
      </w:tr>
    </w:tbl>
    <w:p w14:paraId="4A6A69F4">
      <w:pPr>
        <w:pStyle w:val="90"/>
        <w:pageBreakBefore w:val="0"/>
        <w:kinsoku/>
        <w:overflowPunct/>
        <w:bidi w:val="0"/>
        <w:spacing w:before="120" w:line="500" w:lineRule="exact"/>
        <w:ind w:firstLine="0" w:firstLineChars="0"/>
        <w:outlineLvl w:val="1"/>
        <w:rPr>
          <w:rFonts w:hint="default" w:ascii="Times New Roman" w:hAnsi="Times New Roman" w:cs="Times New Roman" w:eastAsiaTheme="minorEastAsia"/>
          <w:color w:val="auto"/>
          <w:sz w:val="24"/>
          <w:szCs w:val="24"/>
          <w:highlight w:val="none"/>
        </w:rPr>
      </w:pPr>
      <w:bookmarkStart w:id="387" w:name="_Toc1239"/>
      <w:bookmarkStart w:id="388" w:name="_Toc9465"/>
      <w:r>
        <w:rPr>
          <w:rFonts w:hint="default" w:ascii="Times New Roman" w:hAnsi="Times New Roman" w:cs="Times New Roman" w:eastAsiaTheme="minorEastAsia"/>
          <w:color w:val="auto"/>
          <w:sz w:val="24"/>
          <w:szCs w:val="24"/>
          <w:highlight w:val="none"/>
        </w:rPr>
        <w:t>5.2 监测、抢险、救护人员防护、监护措施</w:t>
      </w:r>
      <w:bookmarkEnd w:id="378"/>
      <w:bookmarkEnd w:id="379"/>
      <w:bookmarkEnd w:id="380"/>
      <w:bookmarkEnd w:id="381"/>
      <w:bookmarkEnd w:id="382"/>
      <w:bookmarkEnd w:id="383"/>
      <w:bookmarkEnd w:id="387"/>
      <w:bookmarkEnd w:id="388"/>
    </w:p>
    <w:p w14:paraId="39E5E80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(1)监测、抢险、救援人员进入有毒区域必须事先了解有毒区域的地形、建筑物分布，有无燃烧爆炸的危险，</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 xml:space="preserve">泄漏的大致数量和浓度，选择合适的防毒用品，必要时穿好防化服，并且进入现场前必须统一向总指挥汇报。 </w:t>
      </w:r>
    </w:p>
    <w:p w14:paraId="24F584D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(2)各负责人应用对讲机等通信工具随时与总指挥联系。</w:t>
      </w:r>
    </w:p>
    <w:p w14:paraId="10BF857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(3)现场救援人员应实行分工合作，做到任务到人，职责明确，团结协作。</w:t>
      </w:r>
    </w:p>
    <w:p w14:paraId="57D75AD2">
      <w:pPr>
        <w:pageBreakBefore w:val="0"/>
        <w:widowControl/>
        <w:kinsoku/>
        <w:overflowPunct/>
        <w:bidi w:val="0"/>
        <w:spacing w:line="500" w:lineRule="exact"/>
        <w:ind w:firstLine="200"/>
        <w:rPr>
          <w:rFonts w:hint="default" w:ascii="Times New Roman" w:hAnsi="Times New Roman" w:cs="Times New Roman" w:eastAsiaTheme="minorEastAsia"/>
          <w:bCs/>
          <w:color w:val="auto"/>
          <w:kern w:val="0"/>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720" w:num="1"/>
        </w:sectPr>
      </w:pPr>
    </w:p>
    <w:p w14:paraId="40A08730">
      <w:pPr>
        <w:pStyle w:val="3"/>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389" w:name="_Toc27768"/>
      <w:bookmarkStart w:id="390" w:name="_Toc10656"/>
      <w:bookmarkStart w:id="391" w:name="_Toc24606"/>
      <w:bookmarkStart w:id="392" w:name="_Toc18599"/>
      <w:r>
        <w:rPr>
          <w:rFonts w:hint="default" w:ascii="Times New Roman" w:hAnsi="Times New Roman" w:cs="Times New Roman" w:eastAsiaTheme="minorEastAsia"/>
          <w:color w:val="auto"/>
          <w:sz w:val="28"/>
          <w:szCs w:val="28"/>
          <w:highlight w:val="none"/>
        </w:rPr>
        <w:t>6 应急响应与措施</w:t>
      </w:r>
      <w:bookmarkEnd w:id="343"/>
      <w:bookmarkEnd w:id="344"/>
      <w:bookmarkEnd w:id="345"/>
      <w:bookmarkEnd w:id="389"/>
      <w:bookmarkEnd w:id="390"/>
      <w:bookmarkEnd w:id="391"/>
      <w:bookmarkEnd w:id="392"/>
    </w:p>
    <w:p w14:paraId="42045DC4">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93" w:name="_Toc496529022"/>
      <w:bookmarkStart w:id="394" w:name="_Toc15195"/>
      <w:bookmarkStart w:id="395" w:name="_Toc31401"/>
      <w:bookmarkStart w:id="396" w:name="_Toc32720"/>
      <w:bookmarkStart w:id="397" w:name="_Toc685"/>
      <w:bookmarkStart w:id="398" w:name="_Toc18444"/>
      <w:bookmarkStart w:id="399" w:name="_Toc32618"/>
      <w:r>
        <w:rPr>
          <w:rFonts w:hint="default" w:ascii="Times New Roman" w:hAnsi="Times New Roman" w:cs="Times New Roman" w:eastAsiaTheme="minorEastAsia"/>
          <w:color w:val="auto"/>
          <w:sz w:val="24"/>
          <w:szCs w:val="24"/>
          <w:highlight w:val="none"/>
        </w:rPr>
        <w:t xml:space="preserve">6.1 </w:t>
      </w:r>
      <w:bookmarkEnd w:id="393"/>
      <w:bookmarkEnd w:id="394"/>
      <w:bookmarkEnd w:id="395"/>
      <w:r>
        <w:rPr>
          <w:rFonts w:hint="default" w:ascii="Times New Roman" w:hAnsi="Times New Roman" w:cs="Times New Roman" w:eastAsiaTheme="minorEastAsia"/>
          <w:color w:val="auto"/>
          <w:sz w:val="24"/>
          <w:szCs w:val="24"/>
          <w:highlight w:val="none"/>
        </w:rPr>
        <w:t>响应程序</w:t>
      </w:r>
      <w:bookmarkEnd w:id="396"/>
      <w:bookmarkEnd w:id="397"/>
      <w:bookmarkEnd w:id="398"/>
      <w:bookmarkEnd w:id="399"/>
    </w:p>
    <w:p w14:paraId="47C9433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bookmarkStart w:id="400" w:name="_Toc496529028"/>
      <w:r>
        <w:rPr>
          <w:rFonts w:hint="default" w:ascii="Times New Roman" w:hAnsi="Times New Roman" w:cs="Times New Roman" w:eastAsiaTheme="minorEastAsia"/>
          <w:color w:val="auto"/>
          <w:sz w:val="24"/>
          <w:szCs w:val="24"/>
          <w:highlight w:val="none"/>
        </w:rPr>
        <w:t>事故发生后现场人员必须在第一时间报告</w:t>
      </w:r>
      <w:r>
        <w:rPr>
          <w:rFonts w:hint="eastAsia" w:ascii="Times New Roman" w:hAnsi="Times New Roman" w:cs="Times New Roman" w:eastAsiaTheme="minorEastAsia"/>
          <w:color w:val="auto"/>
          <w:sz w:val="24"/>
          <w:szCs w:val="24"/>
          <w:highlight w:val="none"/>
          <w:lang w:eastAsia="zh-CN"/>
        </w:rPr>
        <w:t>公司应急救援指挥组</w:t>
      </w:r>
      <w:r>
        <w:rPr>
          <w:rFonts w:hint="default" w:ascii="Times New Roman" w:hAnsi="Times New Roman" w:cs="Times New Roman" w:eastAsiaTheme="minorEastAsia"/>
          <w:color w:val="auto"/>
          <w:sz w:val="24"/>
          <w:szCs w:val="24"/>
          <w:highlight w:val="none"/>
        </w:rPr>
        <w:t>和报警。应急指挥领导接警后要立即赶赴现场，迅速查明事件原因、组织部署，按照：“以人为本、救人为先”、“先控制后处理”的原则，立即切断污染源，设立隔离带，隔离污染区，防止污染扩大，尽量减少污染范围。具体事件分级情况详见表6-1。</w:t>
      </w:r>
    </w:p>
    <w:p w14:paraId="37A40556">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表6-1 具体事件应急响应分级一览表</w:t>
      </w:r>
    </w:p>
    <w:tbl>
      <w:tblPr>
        <w:tblStyle w:val="34"/>
        <w:tblW w:w="511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340"/>
        <w:gridCol w:w="2724"/>
        <w:gridCol w:w="2761"/>
        <w:gridCol w:w="2430"/>
      </w:tblGrid>
      <w:tr w14:paraId="6974A9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724" w:type="pct"/>
            <w:tcBorders>
              <w:tl2br w:val="nil"/>
              <w:tr2bl w:val="nil"/>
            </w:tcBorders>
            <w:vAlign w:val="center"/>
          </w:tcPr>
          <w:p w14:paraId="1E39728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事件类别</w:t>
            </w:r>
          </w:p>
        </w:tc>
        <w:tc>
          <w:tcPr>
            <w:tcW w:w="1471" w:type="pct"/>
            <w:tcBorders>
              <w:tl2br w:val="nil"/>
              <w:tr2bl w:val="nil"/>
            </w:tcBorders>
            <w:vAlign w:val="center"/>
          </w:tcPr>
          <w:p w14:paraId="54DBCB8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一级响应（社会级）</w:t>
            </w:r>
          </w:p>
        </w:tc>
        <w:tc>
          <w:tcPr>
            <w:tcW w:w="1491" w:type="pct"/>
            <w:tcBorders>
              <w:tl2br w:val="nil"/>
              <w:tr2bl w:val="nil"/>
            </w:tcBorders>
            <w:vAlign w:val="center"/>
          </w:tcPr>
          <w:p w14:paraId="04BAFC4D">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二级响应（</w:t>
            </w:r>
            <w:r>
              <w:rPr>
                <w:rFonts w:hint="eastAsia" w:ascii="Times New Roman" w:hAnsi="Times New Roman" w:cs="Times New Roman" w:eastAsiaTheme="minorEastAsia"/>
                <w:color w:val="auto"/>
                <w:kern w:val="0"/>
                <w:sz w:val="21"/>
                <w:szCs w:val="21"/>
                <w:highlight w:val="none"/>
                <w:lang w:eastAsia="zh-CN"/>
              </w:rPr>
              <w:t>公司</w:t>
            </w:r>
            <w:r>
              <w:rPr>
                <w:rFonts w:hint="eastAsia" w:ascii="Times New Roman" w:hAnsi="Times New Roman" w:cs="Times New Roman" w:eastAsiaTheme="minorEastAsia"/>
                <w:color w:val="auto"/>
                <w:kern w:val="0"/>
                <w:sz w:val="21"/>
                <w:szCs w:val="21"/>
                <w:highlight w:val="none"/>
                <w:lang w:val="en-US" w:eastAsia="zh-CN"/>
              </w:rPr>
              <w:t>级</w:t>
            </w:r>
            <w:r>
              <w:rPr>
                <w:rFonts w:hint="default" w:ascii="Times New Roman" w:hAnsi="Times New Roman" w:cs="Times New Roman" w:eastAsiaTheme="minorEastAsia"/>
                <w:color w:val="auto"/>
                <w:kern w:val="0"/>
                <w:sz w:val="21"/>
                <w:szCs w:val="21"/>
                <w:highlight w:val="none"/>
              </w:rPr>
              <w:t>）</w:t>
            </w:r>
          </w:p>
        </w:tc>
        <w:tc>
          <w:tcPr>
            <w:tcW w:w="1312" w:type="pct"/>
            <w:tcBorders>
              <w:tl2br w:val="nil"/>
              <w:tr2bl w:val="nil"/>
            </w:tcBorders>
            <w:vAlign w:val="center"/>
          </w:tcPr>
          <w:p w14:paraId="5A74C446">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三级响应（车间级）</w:t>
            </w:r>
          </w:p>
        </w:tc>
      </w:tr>
      <w:tr w14:paraId="1B8FC3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724" w:type="pct"/>
            <w:tcBorders>
              <w:tl2br w:val="nil"/>
              <w:tr2bl w:val="nil"/>
            </w:tcBorders>
            <w:vAlign w:val="center"/>
          </w:tcPr>
          <w:p w14:paraId="562D691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负责人</w:t>
            </w:r>
          </w:p>
        </w:tc>
        <w:tc>
          <w:tcPr>
            <w:tcW w:w="1471" w:type="pct"/>
            <w:tcBorders>
              <w:tl2br w:val="nil"/>
              <w:tr2bl w:val="nil"/>
            </w:tcBorders>
            <w:vAlign w:val="center"/>
          </w:tcPr>
          <w:p w14:paraId="1F4EE366">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应急指挥中心/政府现场负责人</w:t>
            </w:r>
          </w:p>
        </w:tc>
        <w:tc>
          <w:tcPr>
            <w:tcW w:w="1491" w:type="pct"/>
            <w:tcBorders>
              <w:tl2br w:val="nil"/>
              <w:tr2bl w:val="nil"/>
            </w:tcBorders>
            <w:vAlign w:val="center"/>
          </w:tcPr>
          <w:p w14:paraId="267CE5F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eastAsia="zh-CN"/>
              </w:rPr>
              <w:t>应急救援指挥组</w:t>
            </w:r>
            <w:r>
              <w:rPr>
                <w:rFonts w:hint="default" w:ascii="Times New Roman" w:hAnsi="Times New Roman" w:cs="Times New Roman" w:eastAsiaTheme="minorEastAsia"/>
                <w:color w:val="auto"/>
                <w:kern w:val="0"/>
                <w:sz w:val="21"/>
                <w:szCs w:val="21"/>
                <w:highlight w:val="none"/>
              </w:rPr>
              <w:t>/</w:t>
            </w:r>
            <w:r>
              <w:rPr>
                <w:rFonts w:hint="eastAsia" w:ascii="Times New Roman" w:hAnsi="Times New Roman" w:cs="Times New Roman" w:eastAsiaTheme="minorEastAsia"/>
                <w:color w:val="auto"/>
                <w:kern w:val="0"/>
                <w:sz w:val="21"/>
                <w:szCs w:val="21"/>
                <w:highlight w:val="none"/>
                <w:lang w:val="en-US" w:eastAsia="zh-CN"/>
              </w:rPr>
              <w:t>总经理</w:t>
            </w:r>
          </w:p>
        </w:tc>
        <w:tc>
          <w:tcPr>
            <w:tcW w:w="1312" w:type="pct"/>
            <w:tcBorders>
              <w:tl2br w:val="nil"/>
              <w:tr2bl w:val="nil"/>
            </w:tcBorders>
            <w:vAlign w:val="center"/>
          </w:tcPr>
          <w:p w14:paraId="74C7DDE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生产单元</w:t>
            </w:r>
            <w:r>
              <w:rPr>
                <w:rFonts w:hint="eastAsia" w:ascii="Times New Roman" w:hAnsi="Times New Roman" w:cs="Times New Roman" w:eastAsiaTheme="minorEastAsia"/>
                <w:color w:val="auto"/>
                <w:kern w:val="0"/>
                <w:sz w:val="21"/>
                <w:szCs w:val="21"/>
                <w:highlight w:val="none"/>
                <w:lang w:val="en-US" w:eastAsia="zh-CN"/>
              </w:rPr>
              <w:t>负责人</w:t>
            </w:r>
            <w:r>
              <w:rPr>
                <w:rFonts w:hint="default" w:ascii="Times New Roman" w:hAnsi="Times New Roman" w:cs="Times New Roman" w:eastAsiaTheme="minorEastAsia"/>
                <w:color w:val="auto"/>
                <w:kern w:val="0"/>
                <w:sz w:val="21"/>
                <w:szCs w:val="21"/>
                <w:highlight w:val="none"/>
              </w:rPr>
              <w:t>/</w:t>
            </w:r>
            <w:r>
              <w:rPr>
                <w:rFonts w:hint="eastAsia" w:ascii="Times New Roman" w:hAnsi="Times New Roman" w:cs="Times New Roman" w:eastAsiaTheme="minorEastAsia"/>
                <w:color w:val="auto"/>
                <w:kern w:val="0"/>
                <w:sz w:val="21"/>
                <w:szCs w:val="21"/>
                <w:highlight w:val="none"/>
                <w:lang w:val="en-US" w:eastAsia="zh-CN"/>
              </w:rPr>
              <w:t>总经理</w:t>
            </w:r>
          </w:p>
        </w:tc>
      </w:tr>
      <w:tr w14:paraId="5AA75A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724" w:type="pct"/>
            <w:tcBorders>
              <w:tl2br w:val="nil"/>
              <w:tr2bl w:val="nil"/>
            </w:tcBorders>
            <w:vAlign w:val="center"/>
          </w:tcPr>
          <w:p w14:paraId="726C3731">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支援</w:t>
            </w:r>
          </w:p>
        </w:tc>
        <w:tc>
          <w:tcPr>
            <w:tcW w:w="1471" w:type="pct"/>
            <w:tcBorders>
              <w:tl2br w:val="nil"/>
              <w:tr2bl w:val="nil"/>
            </w:tcBorders>
            <w:vAlign w:val="center"/>
          </w:tcPr>
          <w:p w14:paraId="6A5C68F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rPr>
            </w:pPr>
            <w:r>
              <w:rPr>
                <w:rFonts w:hint="default" w:ascii="Times New Roman" w:hAnsi="Times New Roman" w:cs="Times New Roman" w:eastAsiaTheme="minorEastAsia"/>
                <w:color w:val="auto"/>
                <w:kern w:val="0"/>
                <w:sz w:val="21"/>
                <w:szCs w:val="21"/>
                <w:highlight w:val="none"/>
              </w:rPr>
              <w:t>地方政府</w:t>
            </w:r>
            <w:r>
              <w:rPr>
                <w:rFonts w:hint="eastAsia" w:ascii="Times New Roman" w:hAnsi="Times New Roman" w:cs="Times New Roman" w:eastAsiaTheme="minorEastAsia"/>
                <w:color w:val="auto"/>
                <w:kern w:val="0"/>
                <w:sz w:val="21"/>
                <w:szCs w:val="21"/>
                <w:highlight w:val="none"/>
                <w:lang w:eastAsia="zh-CN"/>
              </w:rPr>
              <w:t>、</w:t>
            </w:r>
            <w:r>
              <w:rPr>
                <w:rFonts w:hint="default" w:ascii="Times New Roman" w:hAnsi="Times New Roman" w:cs="Times New Roman" w:eastAsiaTheme="minorEastAsia"/>
                <w:color w:val="auto"/>
                <w:kern w:val="0"/>
                <w:sz w:val="21"/>
                <w:szCs w:val="21"/>
                <w:highlight w:val="none"/>
              </w:rPr>
              <w:t>环保部门</w:t>
            </w:r>
            <w:r>
              <w:rPr>
                <w:rFonts w:hint="eastAsia" w:ascii="Times New Roman" w:hAnsi="Times New Roman" w:cs="Times New Roman" w:eastAsiaTheme="minorEastAsia"/>
                <w:color w:val="auto"/>
                <w:kern w:val="0"/>
                <w:sz w:val="21"/>
                <w:szCs w:val="21"/>
                <w:highlight w:val="none"/>
                <w:lang w:val="en-US" w:eastAsia="zh-CN"/>
              </w:rPr>
              <w:t>及应急管理局、南通欣宇源环保科技有限公司</w:t>
            </w:r>
          </w:p>
        </w:tc>
        <w:tc>
          <w:tcPr>
            <w:tcW w:w="1491" w:type="pct"/>
            <w:tcBorders>
              <w:tl2br w:val="nil"/>
              <w:tr2bl w:val="nil"/>
            </w:tcBorders>
            <w:vAlign w:val="center"/>
          </w:tcPr>
          <w:p w14:paraId="30A01CCE">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公司各部门</w:t>
            </w:r>
          </w:p>
        </w:tc>
        <w:tc>
          <w:tcPr>
            <w:tcW w:w="1312" w:type="pct"/>
            <w:tcBorders>
              <w:tl2br w:val="nil"/>
              <w:tr2bl w:val="nil"/>
            </w:tcBorders>
            <w:vAlign w:val="center"/>
          </w:tcPr>
          <w:p w14:paraId="710288FA">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相联工序</w:t>
            </w:r>
          </w:p>
        </w:tc>
      </w:tr>
      <w:tr w14:paraId="4CD530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724" w:type="pct"/>
            <w:tcBorders>
              <w:tl2br w:val="nil"/>
              <w:tr2bl w:val="nil"/>
            </w:tcBorders>
            <w:vAlign w:val="center"/>
          </w:tcPr>
          <w:p w14:paraId="2EFECE9D">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应急范围</w:t>
            </w:r>
          </w:p>
        </w:tc>
        <w:tc>
          <w:tcPr>
            <w:tcW w:w="1471" w:type="pct"/>
            <w:tcBorders>
              <w:tl2br w:val="nil"/>
              <w:tr2bl w:val="nil"/>
            </w:tcBorders>
            <w:vAlign w:val="center"/>
          </w:tcPr>
          <w:p w14:paraId="4910EAAA">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公司及公司外受影响区域</w:t>
            </w:r>
          </w:p>
        </w:tc>
        <w:tc>
          <w:tcPr>
            <w:tcW w:w="1491" w:type="pct"/>
            <w:tcBorders>
              <w:tl2br w:val="nil"/>
              <w:tr2bl w:val="nil"/>
            </w:tcBorders>
            <w:vAlign w:val="center"/>
          </w:tcPr>
          <w:p w14:paraId="6486B3A4">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公司各部门</w:t>
            </w:r>
          </w:p>
        </w:tc>
        <w:tc>
          <w:tcPr>
            <w:tcW w:w="1312" w:type="pct"/>
            <w:tcBorders>
              <w:tl2br w:val="nil"/>
              <w:tr2bl w:val="nil"/>
            </w:tcBorders>
            <w:vAlign w:val="center"/>
          </w:tcPr>
          <w:p w14:paraId="2F2BDC65">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生产单元/工序</w:t>
            </w:r>
          </w:p>
        </w:tc>
      </w:tr>
      <w:tr w14:paraId="2C9E2B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724" w:type="pct"/>
            <w:tcBorders>
              <w:tl2br w:val="nil"/>
              <w:tr2bl w:val="nil"/>
            </w:tcBorders>
            <w:vAlign w:val="center"/>
          </w:tcPr>
          <w:p w14:paraId="0A9A937A">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火灾、爆炸次生污染</w:t>
            </w:r>
          </w:p>
        </w:tc>
        <w:tc>
          <w:tcPr>
            <w:tcW w:w="1471" w:type="pct"/>
            <w:tcBorders>
              <w:tl2br w:val="nil"/>
              <w:tr2bl w:val="nil"/>
            </w:tcBorders>
            <w:vAlign w:val="center"/>
          </w:tcPr>
          <w:p w14:paraId="1520219F">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情势失控，次生环境污染，发生中毒，甚至人员死亡，消防水进入外环境</w:t>
            </w:r>
          </w:p>
        </w:tc>
        <w:tc>
          <w:tcPr>
            <w:tcW w:w="1491" w:type="pct"/>
            <w:tcBorders>
              <w:tl2br w:val="nil"/>
              <w:tr2bl w:val="nil"/>
            </w:tcBorders>
            <w:vAlign w:val="center"/>
          </w:tcPr>
          <w:p w14:paraId="6CCF37E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情势有扩大趋势，人员轻微伤害，但公司可控，消防水未进入外环境</w:t>
            </w:r>
          </w:p>
        </w:tc>
        <w:tc>
          <w:tcPr>
            <w:tcW w:w="1312" w:type="pct"/>
            <w:tcBorders>
              <w:tl2br w:val="nil"/>
              <w:tr2bl w:val="nil"/>
            </w:tcBorders>
            <w:vAlign w:val="center"/>
          </w:tcPr>
          <w:p w14:paraId="041219F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小型火灾，无人受伤，生产单元内可快速解决，消防水未进入外环境</w:t>
            </w:r>
          </w:p>
        </w:tc>
      </w:tr>
      <w:tr w14:paraId="655B1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32" w:hRule="atLeast"/>
          <w:jc w:val="center"/>
        </w:trPr>
        <w:tc>
          <w:tcPr>
            <w:tcW w:w="724" w:type="pct"/>
            <w:tcBorders>
              <w:tl2br w:val="nil"/>
              <w:tr2bl w:val="nil"/>
            </w:tcBorders>
            <w:vAlign w:val="center"/>
          </w:tcPr>
          <w:p w14:paraId="244F180D">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泄漏污染</w:t>
            </w:r>
          </w:p>
        </w:tc>
        <w:tc>
          <w:tcPr>
            <w:tcW w:w="1471" w:type="pct"/>
            <w:tcBorders>
              <w:tl2br w:val="nil"/>
              <w:tr2bl w:val="nil"/>
            </w:tcBorders>
            <w:vAlign w:val="center"/>
          </w:tcPr>
          <w:p w14:paraId="427045F3">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大量泄漏，进入外环境，公司不可控</w:t>
            </w:r>
          </w:p>
        </w:tc>
        <w:tc>
          <w:tcPr>
            <w:tcW w:w="1491" w:type="pct"/>
            <w:tcBorders>
              <w:tl2br w:val="nil"/>
              <w:tr2bl w:val="nil"/>
            </w:tcBorders>
            <w:vAlign w:val="center"/>
          </w:tcPr>
          <w:p w14:paraId="50A96D2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少量泄漏，进入</w:t>
            </w:r>
            <w:r>
              <w:rPr>
                <w:rFonts w:hint="eastAsia" w:ascii="Times New Roman" w:hAnsi="Times New Roman" w:cs="Times New Roman" w:eastAsiaTheme="minorEastAsia"/>
                <w:color w:val="auto"/>
                <w:kern w:val="0"/>
                <w:sz w:val="21"/>
                <w:szCs w:val="21"/>
                <w:highlight w:val="none"/>
                <w:lang w:val="en-US" w:eastAsia="zh-CN"/>
              </w:rPr>
              <w:t>事故应急池</w:t>
            </w:r>
            <w:r>
              <w:rPr>
                <w:rFonts w:hint="default" w:ascii="Times New Roman" w:hAnsi="Times New Roman" w:cs="Times New Roman" w:eastAsiaTheme="minorEastAsia"/>
                <w:color w:val="auto"/>
                <w:kern w:val="0"/>
                <w:sz w:val="21"/>
                <w:szCs w:val="21"/>
                <w:highlight w:val="none"/>
              </w:rPr>
              <w:t>，公司可控</w:t>
            </w:r>
          </w:p>
        </w:tc>
        <w:tc>
          <w:tcPr>
            <w:tcW w:w="1312" w:type="pct"/>
            <w:tcBorders>
              <w:tl2br w:val="nil"/>
              <w:tr2bl w:val="nil"/>
            </w:tcBorders>
            <w:vAlign w:val="center"/>
          </w:tcPr>
          <w:p w14:paraId="7E27411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液体渗漏、事故性溢出等少量泄漏，未进入外环境，对环境轻度伤害</w:t>
            </w:r>
            <w:r>
              <w:rPr>
                <w:rFonts w:hint="eastAsia" w:ascii="Times New Roman" w:hAnsi="Times New Roman" w:cs="Times New Roman" w:eastAsiaTheme="minorEastAsia"/>
                <w:color w:val="auto"/>
                <w:kern w:val="0"/>
                <w:sz w:val="21"/>
                <w:szCs w:val="21"/>
                <w:highlight w:val="none"/>
                <w:lang w:eastAsia="zh-CN"/>
              </w:rPr>
              <w:t>，</w:t>
            </w:r>
            <w:r>
              <w:rPr>
                <w:rFonts w:hint="default" w:ascii="Times New Roman" w:hAnsi="Times New Roman" w:cs="Times New Roman" w:eastAsiaTheme="minorEastAsia"/>
                <w:color w:val="auto"/>
                <w:kern w:val="0"/>
                <w:sz w:val="21"/>
                <w:szCs w:val="21"/>
                <w:highlight w:val="none"/>
              </w:rPr>
              <w:t>生产单元可控</w:t>
            </w:r>
          </w:p>
        </w:tc>
      </w:tr>
      <w:tr w14:paraId="458BEB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724" w:type="pct"/>
            <w:tcBorders>
              <w:tl2br w:val="nil"/>
              <w:tr2bl w:val="nil"/>
            </w:tcBorders>
            <w:vAlign w:val="center"/>
          </w:tcPr>
          <w:p w14:paraId="4C56D39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废气处理设施非正常排放</w:t>
            </w:r>
          </w:p>
        </w:tc>
        <w:tc>
          <w:tcPr>
            <w:tcW w:w="1471" w:type="pct"/>
            <w:tcBorders>
              <w:tl2br w:val="nil"/>
              <w:tr2bl w:val="nil"/>
            </w:tcBorders>
            <w:vAlign w:val="center"/>
          </w:tcPr>
          <w:p w14:paraId="7A8C4C4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废气处理设施故障、运行中断，有毒、有害废气未经处理，排入大气，公司不可控</w:t>
            </w:r>
          </w:p>
        </w:tc>
        <w:tc>
          <w:tcPr>
            <w:tcW w:w="1491" w:type="pct"/>
            <w:tcBorders>
              <w:tl2br w:val="nil"/>
              <w:tr2bl w:val="nil"/>
            </w:tcBorders>
            <w:vAlign w:val="center"/>
          </w:tcPr>
          <w:p w14:paraId="75DDCA64">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废气处理设施异常，超标排放，公司可控</w:t>
            </w:r>
          </w:p>
        </w:tc>
        <w:tc>
          <w:tcPr>
            <w:tcW w:w="1312" w:type="pct"/>
            <w:tcBorders>
              <w:tl2br w:val="nil"/>
              <w:tr2bl w:val="nil"/>
            </w:tcBorders>
            <w:vAlign w:val="center"/>
          </w:tcPr>
          <w:p w14:paraId="365D35F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废气处理设施异常，短时间能够恢复，生产单元可控</w:t>
            </w:r>
          </w:p>
        </w:tc>
      </w:tr>
      <w:tr w14:paraId="7BF237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724" w:type="pct"/>
            <w:tcBorders>
              <w:tl2br w:val="nil"/>
              <w:tr2bl w:val="nil"/>
            </w:tcBorders>
            <w:vAlign w:val="center"/>
          </w:tcPr>
          <w:p w14:paraId="02841211">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eastAsia" w:ascii="Times New Roman" w:hAnsi="Times New Roman" w:cs="Times New Roman" w:eastAsiaTheme="minorEastAsia"/>
                <w:color w:val="auto"/>
                <w:kern w:val="0"/>
                <w:sz w:val="21"/>
                <w:szCs w:val="21"/>
                <w:highlight w:val="none"/>
                <w:lang w:val="en-US" w:eastAsia="zh-CN"/>
              </w:rPr>
              <w:t>废水处理设施非正常排放</w:t>
            </w:r>
          </w:p>
        </w:tc>
        <w:tc>
          <w:tcPr>
            <w:tcW w:w="1471" w:type="pct"/>
            <w:tcBorders>
              <w:tl2br w:val="nil"/>
              <w:tr2bl w:val="nil"/>
            </w:tcBorders>
            <w:vAlign w:val="center"/>
          </w:tcPr>
          <w:p w14:paraId="56BFBFA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废</w:t>
            </w:r>
            <w:r>
              <w:rPr>
                <w:rFonts w:hint="eastAsia" w:ascii="Times New Roman" w:hAnsi="Times New Roman" w:cs="Times New Roman" w:eastAsiaTheme="minorEastAsia"/>
                <w:color w:val="auto"/>
                <w:kern w:val="0"/>
                <w:sz w:val="21"/>
                <w:szCs w:val="21"/>
                <w:highlight w:val="none"/>
                <w:lang w:val="en-US" w:eastAsia="zh-CN"/>
              </w:rPr>
              <w:t>水</w:t>
            </w:r>
            <w:r>
              <w:rPr>
                <w:rFonts w:hint="default" w:ascii="Times New Roman" w:hAnsi="Times New Roman" w:cs="Times New Roman" w:eastAsiaTheme="minorEastAsia"/>
                <w:color w:val="auto"/>
                <w:kern w:val="0"/>
                <w:sz w:val="21"/>
                <w:szCs w:val="21"/>
                <w:highlight w:val="none"/>
              </w:rPr>
              <w:t>处理设施故障、运行中断，</w:t>
            </w:r>
            <w:r>
              <w:rPr>
                <w:rFonts w:hint="eastAsia" w:ascii="Times New Roman" w:hAnsi="Times New Roman" w:cs="Times New Roman" w:eastAsiaTheme="minorEastAsia"/>
                <w:color w:val="auto"/>
                <w:kern w:val="0"/>
                <w:sz w:val="21"/>
                <w:szCs w:val="21"/>
                <w:highlight w:val="none"/>
                <w:lang w:val="en-US" w:eastAsia="zh-CN"/>
              </w:rPr>
              <w:t>生产废水</w:t>
            </w:r>
            <w:r>
              <w:rPr>
                <w:rFonts w:hint="default" w:ascii="Times New Roman" w:hAnsi="Times New Roman" w:cs="Times New Roman" w:eastAsiaTheme="minorEastAsia"/>
                <w:color w:val="auto"/>
                <w:kern w:val="0"/>
                <w:sz w:val="21"/>
                <w:szCs w:val="21"/>
                <w:highlight w:val="none"/>
              </w:rPr>
              <w:t>排入</w:t>
            </w:r>
            <w:r>
              <w:rPr>
                <w:rFonts w:hint="eastAsia" w:ascii="Times New Roman" w:hAnsi="Times New Roman" w:cs="Times New Roman" w:eastAsiaTheme="minorEastAsia"/>
                <w:color w:val="auto"/>
                <w:kern w:val="0"/>
                <w:sz w:val="21"/>
                <w:szCs w:val="21"/>
                <w:highlight w:val="none"/>
                <w:lang w:val="en-US" w:eastAsia="zh-CN"/>
              </w:rPr>
              <w:t>外环境</w:t>
            </w:r>
            <w:r>
              <w:rPr>
                <w:rFonts w:hint="default" w:ascii="Times New Roman" w:hAnsi="Times New Roman" w:cs="Times New Roman" w:eastAsiaTheme="minorEastAsia"/>
                <w:color w:val="auto"/>
                <w:kern w:val="0"/>
                <w:sz w:val="21"/>
                <w:szCs w:val="21"/>
                <w:highlight w:val="none"/>
              </w:rPr>
              <w:t>，公司不可控</w:t>
            </w:r>
          </w:p>
        </w:tc>
        <w:tc>
          <w:tcPr>
            <w:tcW w:w="1491" w:type="pct"/>
            <w:tcBorders>
              <w:tl2br w:val="nil"/>
              <w:tr2bl w:val="nil"/>
            </w:tcBorders>
            <w:vAlign w:val="center"/>
          </w:tcPr>
          <w:p w14:paraId="179D9097">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废</w:t>
            </w:r>
            <w:r>
              <w:rPr>
                <w:rFonts w:hint="eastAsia" w:ascii="Times New Roman" w:hAnsi="Times New Roman" w:cs="Times New Roman" w:eastAsiaTheme="minorEastAsia"/>
                <w:color w:val="auto"/>
                <w:kern w:val="0"/>
                <w:sz w:val="21"/>
                <w:szCs w:val="21"/>
                <w:highlight w:val="none"/>
                <w:lang w:val="en-US" w:eastAsia="zh-CN"/>
              </w:rPr>
              <w:t>水</w:t>
            </w:r>
            <w:r>
              <w:rPr>
                <w:rFonts w:hint="default" w:ascii="Times New Roman" w:hAnsi="Times New Roman" w:cs="Times New Roman" w:eastAsiaTheme="minorEastAsia"/>
                <w:color w:val="auto"/>
                <w:kern w:val="0"/>
                <w:sz w:val="21"/>
                <w:szCs w:val="21"/>
                <w:highlight w:val="none"/>
              </w:rPr>
              <w:t>处理设施异常，公司可控</w:t>
            </w:r>
            <w:r>
              <w:rPr>
                <w:rFonts w:hint="eastAsia" w:ascii="Times New Roman" w:hAnsi="Times New Roman" w:cs="Times New Roman" w:eastAsiaTheme="minorEastAsia"/>
                <w:color w:val="auto"/>
                <w:kern w:val="0"/>
                <w:sz w:val="21"/>
                <w:szCs w:val="21"/>
                <w:highlight w:val="none"/>
                <w:lang w:val="en-US" w:eastAsia="zh-CN"/>
              </w:rPr>
              <w:t>在厂内</w:t>
            </w:r>
          </w:p>
        </w:tc>
        <w:tc>
          <w:tcPr>
            <w:tcW w:w="1312" w:type="pct"/>
            <w:tcBorders>
              <w:tl2br w:val="nil"/>
              <w:tr2bl w:val="nil"/>
            </w:tcBorders>
            <w:vAlign w:val="center"/>
          </w:tcPr>
          <w:p w14:paraId="472D6596">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废</w:t>
            </w:r>
            <w:r>
              <w:rPr>
                <w:rFonts w:hint="eastAsia" w:ascii="Times New Roman" w:hAnsi="Times New Roman" w:cs="Times New Roman" w:eastAsiaTheme="minorEastAsia"/>
                <w:color w:val="auto"/>
                <w:kern w:val="0"/>
                <w:sz w:val="21"/>
                <w:szCs w:val="21"/>
                <w:highlight w:val="none"/>
                <w:lang w:val="en-US" w:eastAsia="zh-CN"/>
              </w:rPr>
              <w:t>水</w:t>
            </w:r>
            <w:r>
              <w:rPr>
                <w:rFonts w:hint="default" w:ascii="Times New Roman" w:hAnsi="Times New Roman" w:cs="Times New Roman" w:eastAsiaTheme="minorEastAsia"/>
                <w:color w:val="auto"/>
                <w:kern w:val="0"/>
                <w:sz w:val="21"/>
                <w:szCs w:val="21"/>
                <w:highlight w:val="none"/>
              </w:rPr>
              <w:t>处理设施异常，短时间能够恢复，生产单元可控</w:t>
            </w:r>
          </w:p>
        </w:tc>
      </w:tr>
    </w:tbl>
    <w:p w14:paraId="4091F6EF">
      <w:pPr>
        <w:pStyle w:val="13"/>
        <w:rPr>
          <w:rFonts w:hint="default" w:ascii="Times New Roman" w:hAnsi="Times New Roman" w:cs="Times New Roman" w:eastAsiaTheme="minorEastAsia"/>
          <w:b/>
          <w:color w:val="auto"/>
          <w:sz w:val="24"/>
          <w:szCs w:val="24"/>
          <w:highlight w:val="none"/>
        </w:rPr>
      </w:pPr>
    </w:p>
    <w:p w14:paraId="43712749">
      <w:pPr>
        <w:pStyle w:val="13"/>
        <w:rPr>
          <w:rFonts w:hint="default" w:ascii="Times New Roman" w:hAnsi="Times New Roman" w:cs="Times New Roman" w:eastAsiaTheme="minorEastAsia"/>
          <w:b/>
          <w:color w:val="auto"/>
          <w:sz w:val="24"/>
          <w:szCs w:val="24"/>
          <w:highlight w:val="none"/>
        </w:rPr>
      </w:pPr>
    </w:p>
    <w:p w14:paraId="16369E9C">
      <w:pPr>
        <w:pStyle w:val="13"/>
        <w:rPr>
          <w:rFonts w:hint="default" w:ascii="Times New Roman" w:hAnsi="Times New Roman" w:cs="Times New Roman" w:eastAsiaTheme="minorEastAsia"/>
          <w:b/>
          <w:color w:val="auto"/>
          <w:sz w:val="24"/>
          <w:szCs w:val="24"/>
          <w:highlight w:val="none"/>
        </w:rPr>
      </w:pPr>
    </w:p>
    <w:p w14:paraId="16A345C5">
      <w:pPr>
        <w:pStyle w:val="13"/>
        <w:rPr>
          <w:rFonts w:hint="default" w:ascii="Times New Roman" w:hAnsi="Times New Roman" w:cs="Times New Roman" w:eastAsiaTheme="minorEastAsia"/>
          <w:b/>
          <w:color w:val="auto"/>
          <w:sz w:val="24"/>
          <w:szCs w:val="24"/>
          <w:highlight w:val="none"/>
        </w:rPr>
      </w:pPr>
    </w:p>
    <w:p w14:paraId="45DA5CBD">
      <w:pPr>
        <w:pStyle w:val="13"/>
        <w:rPr>
          <w:rFonts w:hint="default" w:ascii="Times New Roman" w:hAnsi="Times New Roman" w:cs="Times New Roman" w:eastAsiaTheme="minorEastAsia"/>
          <w:b/>
          <w:color w:val="auto"/>
          <w:sz w:val="24"/>
          <w:szCs w:val="24"/>
          <w:highlight w:val="none"/>
        </w:rPr>
      </w:pPr>
    </w:p>
    <w:p w14:paraId="4CD350D1">
      <w:pPr>
        <w:pStyle w:val="13"/>
        <w:rPr>
          <w:rFonts w:hint="default" w:ascii="Times New Roman" w:hAnsi="Times New Roman" w:cs="Times New Roman" w:eastAsiaTheme="minorEastAsia"/>
          <w:b/>
          <w:color w:val="auto"/>
          <w:sz w:val="24"/>
          <w:szCs w:val="24"/>
          <w:highlight w:val="none"/>
        </w:rPr>
      </w:pPr>
    </w:p>
    <w:p w14:paraId="157078B1">
      <w:pPr>
        <w:pStyle w:val="13"/>
        <w:rPr>
          <w:rFonts w:hint="default" w:ascii="Times New Roman" w:hAnsi="Times New Roman" w:cs="Times New Roman" w:eastAsiaTheme="minorEastAsia"/>
          <w:b/>
          <w:color w:val="auto"/>
          <w:sz w:val="24"/>
          <w:szCs w:val="24"/>
          <w:highlight w:val="none"/>
        </w:rPr>
      </w:pPr>
      <w:r>
        <w:rPr>
          <w:sz w:val="28"/>
        </w:rPr>
        <mc:AlternateContent>
          <mc:Choice Requires="wps">
            <w:drawing>
              <wp:anchor distT="0" distB="0" distL="114300" distR="114300" simplePos="0" relativeHeight="251668480" behindDoc="0" locked="0" layoutInCell="1" allowOverlap="1">
                <wp:simplePos x="0" y="0"/>
                <wp:positionH relativeFrom="column">
                  <wp:posOffset>4036695</wp:posOffset>
                </wp:positionH>
                <wp:positionV relativeFrom="paragraph">
                  <wp:posOffset>3851275</wp:posOffset>
                </wp:positionV>
                <wp:extent cx="635" cy="1583690"/>
                <wp:effectExtent l="4445" t="0" r="13970" b="16510"/>
                <wp:wrapNone/>
                <wp:docPr id="43" name="直接连接符 43"/>
                <wp:cNvGraphicFramePr/>
                <a:graphic xmlns:a="http://schemas.openxmlformats.org/drawingml/2006/main">
                  <a:graphicData uri="http://schemas.microsoft.com/office/word/2010/wordprocessingShape">
                    <wps:wsp>
                      <wps:cNvCnPr/>
                      <wps:spPr>
                        <a:xfrm>
                          <a:off x="4951095" y="4765675"/>
                          <a:ext cx="635" cy="15836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7.85pt;margin-top:303.25pt;height:124.7pt;width:0.05pt;z-index:251668480;mso-width-relative:page;mso-height-relative:page;" filled="f" stroked="t" coordsize="21600,21600" o:gfxdata="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vBFJnZAAAACwEAAA8AAAAAAAAAAQAgAAAAIgAAAGRycy9k&#10;b3ducmV2LnhtbFBLAQIUABQAAAAIAIdO4kA2tEpGAQIAAOMDAAAOAAAAAAAAAAEAIAAAACgBAABk&#10;cnMvZTJvRG9jLnhtbFBLBQYAAAAABgAGAFkBAACbBQAAAAA=&#10;">
                <v:fill on="f" focussize="0,0"/>
                <v:stroke color="#000000 [32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4050665</wp:posOffset>
                </wp:positionH>
                <wp:positionV relativeFrom="paragraph">
                  <wp:posOffset>5427345</wp:posOffset>
                </wp:positionV>
                <wp:extent cx="278765" cy="0"/>
                <wp:effectExtent l="0" t="0" r="0" b="0"/>
                <wp:wrapNone/>
                <wp:docPr id="42" name="直线 507"/>
                <wp:cNvGraphicFramePr/>
                <a:graphic xmlns:a="http://schemas.openxmlformats.org/drawingml/2006/main">
                  <a:graphicData uri="http://schemas.microsoft.com/office/word/2010/wordprocessingShape">
                    <wps:wsp>
                      <wps:cNvCnPr>
                        <a:cxnSpLocks noChangeShapeType="1"/>
                      </wps:cNvCnPr>
                      <wps:spPr bwMode="auto">
                        <a:xfrm>
                          <a:off x="0" y="0"/>
                          <a:ext cx="278668" cy="0"/>
                        </a:xfrm>
                        <a:prstGeom prst="line">
                          <a:avLst/>
                        </a:prstGeom>
                        <a:noFill/>
                        <a:ln w="9525" cmpd="sng">
                          <a:solidFill>
                            <a:srgbClr val="000000"/>
                          </a:solidFill>
                          <a:round/>
                        </a:ln>
                        <a:effectLst/>
                      </wps:spPr>
                      <wps:bodyPr/>
                    </wps:wsp>
                  </a:graphicData>
                </a:graphic>
              </wp:anchor>
            </w:drawing>
          </mc:Choice>
          <mc:Fallback>
            <w:pict>
              <v:line id="直线 507" o:spid="_x0000_s1026" o:spt="20" style="position:absolute;left:0pt;margin-left:318.95pt;margin-top:427.35pt;height:0pt;width:21.95pt;z-index:251667456;mso-width-relative:page;mso-height-relative:page;" filled="f" stroked="t" coordsize="21600,21600" o:gfxdata="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OgiY2AAA&#10;AAsBAAAPAAAAAAAAAAEAIAAAACIAAABkcnMvZG93bnJldi54bWxQSwECFAAUAAAACACHTuJA/f6g&#10;YOUBAAC8AwAADgAAAAAAAAABACAAAAAn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4328795</wp:posOffset>
                </wp:positionH>
                <wp:positionV relativeFrom="paragraph">
                  <wp:posOffset>5278755</wp:posOffset>
                </wp:positionV>
                <wp:extent cx="1181735" cy="311150"/>
                <wp:effectExtent l="4445" t="5080" r="13970" b="7620"/>
                <wp:wrapNone/>
                <wp:docPr id="41" name="文本框 499"/>
                <wp:cNvGraphicFramePr/>
                <a:graphic xmlns:a="http://schemas.openxmlformats.org/drawingml/2006/main">
                  <a:graphicData uri="http://schemas.microsoft.com/office/word/2010/wordprocessingShape">
                    <wps:wsp>
                      <wps:cNvSpPr txBox="1">
                        <a:spLocks noChangeArrowheads="1"/>
                      </wps:cNvSpPr>
                      <wps:spPr bwMode="auto">
                        <a:xfrm>
                          <a:off x="0" y="0"/>
                          <a:ext cx="1181505" cy="311002"/>
                        </a:xfrm>
                        <a:prstGeom prst="rect">
                          <a:avLst/>
                        </a:prstGeom>
                        <a:solidFill>
                          <a:srgbClr val="FFFFFF"/>
                        </a:solidFill>
                        <a:ln w="9525" cmpd="sng">
                          <a:solidFill>
                            <a:srgbClr val="000000"/>
                          </a:solidFill>
                          <a:miter lim="800000"/>
                        </a:ln>
                        <a:effectLst/>
                      </wps:spPr>
                      <wps:txbx>
                        <w:txbxContent>
                          <w:p w14:paraId="0E394027">
                            <w:pPr>
                              <w:jc w:val="center"/>
                              <w:rPr>
                                <w:rFonts w:ascii="仿宋" w:hAnsi="仿宋" w:eastAsia="仿宋"/>
                                <w:sz w:val="24"/>
                                <w:szCs w:val="24"/>
                              </w:rPr>
                            </w:pPr>
                            <w:r>
                              <w:rPr>
                                <w:rFonts w:hint="eastAsia" w:ascii="仿宋" w:hAnsi="仿宋" w:eastAsia="仿宋"/>
                                <w:sz w:val="24"/>
                                <w:szCs w:val="24"/>
                                <w:lang w:val="en-US" w:eastAsia="zh-CN"/>
                              </w:rPr>
                              <w:t>应急监测</w:t>
                            </w:r>
                            <w:r>
                              <w:rPr>
                                <w:rFonts w:hint="eastAsia" w:ascii="仿宋" w:hAnsi="仿宋" w:eastAsia="仿宋"/>
                                <w:sz w:val="24"/>
                                <w:szCs w:val="24"/>
                              </w:rPr>
                              <w:t>组</w:t>
                            </w:r>
                          </w:p>
                        </w:txbxContent>
                      </wps:txbx>
                      <wps:bodyPr rot="0" vert="horz" wrap="square" lIns="91440" tIns="45720" rIns="91440" bIns="45720" anchor="t" anchorCtr="0" upright="1">
                        <a:noAutofit/>
                      </wps:bodyPr>
                    </wps:wsp>
                  </a:graphicData>
                </a:graphic>
              </wp:anchor>
            </w:drawing>
          </mc:Choice>
          <mc:Fallback>
            <w:pict>
              <v:shape id="文本框 499" o:spid="_x0000_s1026" o:spt="202" type="#_x0000_t202" style="position:absolute;left:0pt;margin-left:340.85pt;margin-top:415.65pt;height:24.5pt;width:93.05pt;z-index:251667456;mso-width-relative:page;mso-height-relative:page;" fillcolor="#FFFFFF" filled="t" stroked="t" coordsize="21600,21600" o:gfxdata="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L4zy/ZAAAACwEAAA8A&#10;AAAAAAAAAQAgAAAAIgAAAGRycy9kb3ducmV2LnhtbFBLAQIUABQAAAAIAIdO4kD3FoKCTwIAAKME&#10;AAAOAAAAAAAAAAEAIAAAACgBAABkcnMvZTJvRG9jLnhtbFBLBQYAAAAABgAGAFkBAADpBQAAAAA=&#10;">
                <v:fill on="t" focussize="0,0"/>
                <v:stroke color="#000000" miterlimit="8" joinstyle="miter"/>
                <v:imagedata o:title=""/>
                <o:lock v:ext="edit" aspectratio="f"/>
                <v:textbox>
                  <w:txbxContent>
                    <w:p w14:paraId="0E394027">
                      <w:pPr>
                        <w:jc w:val="center"/>
                        <w:rPr>
                          <w:rFonts w:ascii="仿宋" w:hAnsi="仿宋" w:eastAsia="仿宋"/>
                          <w:sz w:val="24"/>
                          <w:szCs w:val="24"/>
                        </w:rPr>
                      </w:pPr>
                      <w:r>
                        <w:rPr>
                          <w:rFonts w:hint="eastAsia" w:ascii="仿宋" w:hAnsi="仿宋" w:eastAsia="仿宋"/>
                          <w:sz w:val="24"/>
                          <w:szCs w:val="24"/>
                          <w:lang w:val="en-US" w:eastAsia="zh-CN"/>
                        </w:rPr>
                        <w:t>应急监测</w:t>
                      </w:r>
                      <w:r>
                        <w:rPr>
                          <w:rFonts w:hint="eastAsia" w:ascii="仿宋" w:hAnsi="仿宋" w:eastAsia="仿宋"/>
                          <w:sz w:val="24"/>
                          <w:szCs w:val="24"/>
                        </w:rPr>
                        <w:t>组</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4031615</wp:posOffset>
                </wp:positionH>
                <wp:positionV relativeFrom="paragraph">
                  <wp:posOffset>4989195</wp:posOffset>
                </wp:positionV>
                <wp:extent cx="278765" cy="0"/>
                <wp:effectExtent l="0" t="0" r="0" b="0"/>
                <wp:wrapNone/>
                <wp:docPr id="39" name="直线 507"/>
                <wp:cNvGraphicFramePr/>
                <a:graphic xmlns:a="http://schemas.openxmlformats.org/drawingml/2006/main">
                  <a:graphicData uri="http://schemas.microsoft.com/office/word/2010/wordprocessingShape">
                    <wps:wsp>
                      <wps:cNvCnPr>
                        <a:cxnSpLocks noChangeShapeType="1"/>
                      </wps:cNvCnPr>
                      <wps:spPr bwMode="auto">
                        <a:xfrm>
                          <a:off x="0" y="0"/>
                          <a:ext cx="278668" cy="0"/>
                        </a:xfrm>
                        <a:prstGeom prst="line">
                          <a:avLst/>
                        </a:prstGeom>
                        <a:noFill/>
                        <a:ln w="9525" cmpd="sng">
                          <a:solidFill>
                            <a:srgbClr val="000000"/>
                          </a:solidFill>
                          <a:round/>
                        </a:ln>
                        <a:effectLst/>
                      </wps:spPr>
                      <wps:bodyPr/>
                    </wps:wsp>
                  </a:graphicData>
                </a:graphic>
              </wp:anchor>
            </w:drawing>
          </mc:Choice>
          <mc:Fallback>
            <w:pict>
              <v:line id="直线 507" o:spid="_x0000_s1026" o:spt="20" style="position:absolute;left:0pt;margin-left:317.45pt;margin-top:392.85pt;height:0pt;width:21.95pt;z-index:251666432;mso-width-relative:page;mso-height-relative:page;" filled="f" stroked="t" coordsize="21600,21600" o:gfxdata="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2uHJ2AAA&#10;AAsBAAAPAAAAAAAAAAEAIAAAACIAAABkcnMvZG93bnJldi54bWxQSwECFAAUAAAACACHTuJAaRlC&#10;ceUBAAC8AwAADgAAAAAAAAABACAAAAAn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4309745</wp:posOffset>
                </wp:positionH>
                <wp:positionV relativeFrom="paragraph">
                  <wp:posOffset>4840605</wp:posOffset>
                </wp:positionV>
                <wp:extent cx="1181735" cy="311150"/>
                <wp:effectExtent l="4445" t="5080" r="13970" b="7620"/>
                <wp:wrapNone/>
                <wp:docPr id="37" name="文本框 499"/>
                <wp:cNvGraphicFramePr/>
                <a:graphic xmlns:a="http://schemas.openxmlformats.org/drawingml/2006/main">
                  <a:graphicData uri="http://schemas.microsoft.com/office/word/2010/wordprocessingShape">
                    <wps:wsp>
                      <wps:cNvSpPr txBox="1">
                        <a:spLocks noChangeArrowheads="1"/>
                      </wps:cNvSpPr>
                      <wps:spPr bwMode="auto">
                        <a:xfrm>
                          <a:off x="0" y="0"/>
                          <a:ext cx="1181505" cy="311002"/>
                        </a:xfrm>
                        <a:prstGeom prst="rect">
                          <a:avLst/>
                        </a:prstGeom>
                        <a:solidFill>
                          <a:srgbClr val="FFFFFF"/>
                        </a:solidFill>
                        <a:ln w="9525" cmpd="sng">
                          <a:solidFill>
                            <a:srgbClr val="000000"/>
                          </a:solidFill>
                          <a:miter lim="800000"/>
                        </a:ln>
                        <a:effectLst/>
                      </wps:spPr>
                      <wps:txbx>
                        <w:txbxContent>
                          <w:p w14:paraId="4BCCC581">
                            <w:pPr>
                              <w:jc w:val="center"/>
                              <w:rPr>
                                <w:rFonts w:ascii="仿宋" w:hAnsi="仿宋" w:eastAsia="仿宋"/>
                                <w:sz w:val="24"/>
                                <w:szCs w:val="24"/>
                              </w:rPr>
                            </w:pPr>
                            <w:r>
                              <w:rPr>
                                <w:rFonts w:hint="eastAsia" w:ascii="仿宋" w:hAnsi="仿宋" w:eastAsia="仿宋"/>
                                <w:sz w:val="24"/>
                                <w:szCs w:val="24"/>
                                <w:lang w:val="en-US" w:eastAsia="zh-CN"/>
                              </w:rPr>
                              <w:t>医疗救治</w:t>
                            </w:r>
                            <w:r>
                              <w:rPr>
                                <w:rFonts w:hint="eastAsia" w:ascii="仿宋" w:hAnsi="仿宋" w:eastAsia="仿宋"/>
                                <w:sz w:val="24"/>
                                <w:szCs w:val="24"/>
                              </w:rPr>
                              <w:t>组</w:t>
                            </w:r>
                          </w:p>
                        </w:txbxContent>
                      </wps:txbx>
                      <wps:bodyPr rot="0" vert="horz" wrap="square" lIns="91440" tIns="45720" rIns="91440" bIns="45720" anchor="t" anchorCtr="0" upright="1">
                        <a:noAutofit/>
                      </wps:bodyPr>
                    </wps:wsp>
                  </a:graphicData>
                </a:graphic>
              </wp:anchor>
            </w:drawing>
          </mc:Choice>
          <mc:Fallback>
            <w:pict>
              <v:shape id="文本框 499" o:spid="_x0000_s1026" o:spt="202" type="#_x0000_t202" style="position:absolute;left:0pt;margin-left:339.35pt;margin-top:381.15pt;height:24.5pt;width:93.05pt;z-index:251666432;mso-width-relative:page;mso-height-relative:page;" fillcolor="#FFFFFF" filled="t" stroked="t" coordsize="21600,21600" o:gfxdata="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uclKJdoAAAALAQAA&#10;DwAAAAAAAAABACAAAAAiAAAAZHJzL2Rvd25yZXYueG1sUEsBAhQAFAAAAAgAh07iQElAI8xQAgAA&#10;owQAAA4AAAAAAAAAAQAgAAAAKQEAAGRycy9lMm9Eb2MueG1sUEsFBgAAAAAGAAYAWQEAAOsFAAAA&#10;AA==&#10;">
                <v:fill on="t" focussize="0,0"/>
                <v:stroke color="#000000" miterlimit="8" joinstyle="miter"/>
                <v:imagedata o:title=""/>
                <o:lock v:ext="edit" aspectratio="f"/>
                <v:textbox>
                  <w:txbxContent>
                    <w:p w14:paraId="4BCCC581">
                      <w:pPr>
                        <w:jc w:val="center"/>
                        <w:rPr>
                          <w:rFonts w:ascii="仿宋" w:hAnsi="仿宋" w:eastAsia="仿宋"/>
                          <w:sz w:val="24"/>
                          <w:szCs w:val="24"/>
                        </w:rPr>
                      </w:pPr>
                      <w:r>
                        <w:rPr>
                          <w:rFonts w:hint="eastAsia" w:ascii="仿宋" w:hAnsi="仿宋" w:eastAsia="仿宋"/>
                          <w:sz w:val="24"/>
                          <w:szCs w:val="24"/>
                          <w:lang w:val="en-US" w:eastAsia="zh-CN"/>
                        </w:rPr>
                        <w:t>医疗救治</w:t>
                      </w:r>
                      <w:r>
                        <w:rPr>
                          <w:rFonts w:hint="eastAsia" w:ascii="仿宋" w:hAnsi="仿宋" w:eastAsia="仿宋"/>
                          <w:sz w:val="24"/>
                          <w:szCs w:val="24"/>
                        </w:rPr>
                        <w:t>组</w:t>
                      </w:r>
                    </w:p>
                  </w:txbxContent>
                </v:textbox>
              </v:shape>
            </w:pict>
          </mc:Fallback>
        </mc:AlternateContent>
      </w:r>
      <w:r>
        <w:rPr>
          <w:rFonts w:ascii="Times New Roman" w:hAnsi="Times New Roman" w:eastAsia="仿宋" w:cs="Times New Roman"/>
        </w:rPr>
        <mc:AlternateContent>
          <mc:Choice Requires="wpg">
            <w:drawing>
              <wp:inline distT="0" distB="0" distL="0" distR="0">
                <wp:extent cx="5111750" cy="6629400"/>
                <wp:effectExtent l="5080" t="12700" r="7620" b="6350"/>
                <wp:docPr id="5034" name="组合 5034"/>
                <wp:cNvGraphicFramePr/>
                <a:graphic xmlns:a="http://schemas.openxmlformats.org/drawingml/2006/main">
                  <a:graphicData uri="http://schemas.microsoft.com/office/word/2010/wordprocessingGroup">
                    <wpg:wgp>
                      <wpg:cNvGrpSpPr/>
                      <wpg:grpSpPr>
                        <a:xfrm>
                          <a:off x="0" y="0"/>
                          <a:ext cx="5112099" cy="6629400"/>
                          <a:chOff x="1653" y="2400"/>
                          <a:chExt cx="8567" cy="9571"/>
                        </a:xfrm>
                      </wpg:grpSpPr>
                      <wps:wsp>
                        <wps:cNvPr id="5035" name="文本框 468"/>
                        <wps:cNvSpPr txBox="1">
                          <a:spLocks noChangeArrowheads="1"/>
                        </wps:cNvSpPr>
                        <wps:spPr bwMode="auto">
                          <a:xfrm>
                            <a:off x="7953" y="5540"/>
                            <a:ext cx="495" cy="449"/>
                          </a:xfrm>
                          <a:prstGeom prst="rect">
                            <a:avLst/>
                          </a:prstGeom>
                          <a:solidFill>
                            <a:srgbClr val="FFFFFF"/>
                          </a:solidFill>
                          <a:ln>
                            <a:noFill/>
                          </a:ln>
                          <a:effectLst/>
                        </wps:spPr>
                        <wps:txbx>
                          <w:txbxContent>
                            <w:p w14:paraId="38CE6031">
                              <w:pPr>
                                <w:jc w:val="center"/>
                                <w:rPr>
                                  <w:rFonts w:ascii="仿宋" w:hAnsi="仿宋" w:eastAsia="仿宋"/>
                                  <w:sz w:val="24"/>
                                  <w:szCs w:val="24"/>
                                </w:rPr>
                              </w:pPr>
                              <w:r>
                                <w:rPr>
                                  <w:rFonts w:hint="eastAsia" w:ascii="仿宋" w:hAnsi="仿宋" w:eastAsia="仿宋"/>
                                  <w:sz w:val="24"/>
                                  <w:szCs w:val="24"/>
                                </w:rPr>
                                <w:t>否</w:t>
                              </w:r>
                            </w:p>
                          </w:txbxContent>
                        </wps:txbx>
                        <wps:bodyPr rot="0" vert="horz" wrap="square" lIns="91440" tIns="45720" rIns="91440" bIns="45720" anchor="t" anchorCtr="0" upright="1">
                          <a:noAutofit/>
                        </wps:bodyPr>
                      </wps:wsp>
                      <wpg:grpSp>
                        <wpg:cNvPr id="5036" name="组合 469"/>
                        <wpg:cNvGrpSpPr/>
                        <wpg:grpSpPr>
                          <a:xfrm>
                            <a:off x="1653" y="2400"/>
                            <a:ext cx="8567" cy="9571"/>
                            <a:chOff x="1653" y="2400"/>
                            <a:chExt cx="8567" cy="9571"/>
                          </a:xfrm>
                        </wpg:grpSpPr>
                        <wps:wsp>
                          <wps:cNvPr id="5037" name="文本框 470"/>
                          <wps:cNvSpPr txBox="1">
                            <a:spLocks noChangeArrowheads="1"/>
                          </wps:cNvSpPr>
                          <wps:spPr bwMode="auto">
                            <a:xfrm>
                              <a:off x="5748" y="9906"/>
                              <a:ext cx="720" cy="434"/>
                            </a:xfrm>
                            <a:prstGeom prst="rect">
                              <a:avLst/>
                            </a:prstGeom>
                            <a:solidFill>
                              <a:srgbClr val="FFFFFF"/>
                            </a:solidFill>
                            <a:ln>
                              <a:noFill/>
                            </a:ln>
                            <a:effectLst/>
                          </wps:spPr>
                          <wps:txbx>
                            <w:txbxContent>
                              <w:p w14:paraId="12D1E0C9">
                                <w:pPr>
                                  <w:jc w:val="center"/>
                                  <w:rPr>
                                    <w:rFonts w:ascii="仿宋" w:hAnsi="仿宋" w:eastAsia="仿宋"/>
                                    <w:sz w:val="24"/>
                                    <w:szCs w:val="24"/>
                                  </w:rPr>
                                </w:pPr>
                                <w:r>
                                  <w:rPr>
                                    <w:rFonts w:hint="eastAsia" w:ascii="仿宋" w:hAnsi="仿宋" w:eastAsia="仿宋"/>
                                    <w:sz w:val="24"/>
                                    <w:szCs w:val="24"/>
                                  </w:rPr>
                                  <w:t>是</w:t>
                                </w:r>
                              </w:p>
                            </w:txbxContent>
                          </wps:txbx>
                          <wps:bodyPr rot="0" vert="horz" wrap="square" lIns="91440" tIns="45720" rIns="91440" bIns="45720" anchor="t" anchorCtr="0" upright="1">
                            <a:noAutofit/>
                          </wps:bodyPr>
                        </wps:wsp>
                        <wpg:grpSp>
                          <wpg:cNvPr id="5038" name="组合 471"/>
                          <wpg:cNvGrpSpPr/>
                          <wpg:grpSpPr>
                            <a:xfrm>
                              <a:off x="1653" y="2400"/>
                              <a:ext cx="8567" cy="9571"/>
                              <a:chOff x="1653" y="2400"/>
                              <a:chExt cx="8567" cy="9571"/>
                            </a:xfrm>
                          </wpg:grpSpPr>
                          <wps:wsp>
                            <wps:cNvPr id="5039" name="文本框 472"/>
                            <wps:cNvSpPr txBox="1">
                              <a:spLocks noChangeArrowheads="1"/>
                            </wps:cNvSpPr>
                            <wps:spPr bwMode="auto">
                              <a:xfrm>
                                <a:off x="3663" y="9135"/>
                                <a:ext cx="495" cy="443"/>
                              </a:xfrm>
                              <a:prstGeom prst="rect">
                                <a:avLst/>
                              </a:prstGeom>
                              <a:solidFill>
                                <a:srgbClr val="FFFFFF"/>
                              </a:solidFill>
                              <a:ln>
                                <a:noFill/>
                              </a:ln>
                              <a:effectLst/>
                            </wps:spPr>
                            <wps:txbx>
                              <w:txbxContent>
                                <w:p w14:paraId="346A242F">
                                  <w:pPr>
                                    <w:jc w:val="center"/>
                                    <w:rPr>
                                      <w:rFonts w:ascii="仿宋" w:hAnsi="仿宋" w:eastAsia="仿宋"/>
                                      <w:sz w:val="24"/>
                                      <w:szCs w:val="24"/>
                                    </w:rPr>
                                  </w:pPr>
                                  <w:r>
                                    <w:rPr>
                                      <w:rFonts w:hint="eastAsia" w:ascii="仿宋" w:hAnsi="仿宋" w:eastAsia="仿宋"/>
                                      <w:sz w:val="24"/>
                                      <w:szCs w:val="24"/>
                                    </w:rPr>
                                    <w:t>否</w:t>
                                  </w:r>
                                </w:p>
                              </w:txbxContent>
                            </wps:txbx>
                            <wps:bodyPr rot="0" vert="horz" wrap="square" lIns="91440" tIns="45720" rIns="91440" bIns="45720" anchor="t" anchorCtr="0" upright="1">
                              <a:noAutofit/>
                            </wps:bodyPr>
                          </wps:wsp>
                          <wps:wsp>
                            <wps:cNvPr id="5040" name="直线 473"/>
                            <wps:cNvCnPr>
                              <a:cxnSpLocks noChangeShapeType="1"/>
                            </wps:cNvCnPr>
                            <wps:spPr bwMode="auto">
                              <a:xfrm flipH="1">
                                <a:off x="2868" y="9521"/>
                                <a:ext cx="1800" cy="0"/>
                              </a:xfrm>
                              <a:prstGeom prst="line">
                                <a:avLst/>
                              </a:prstGeom>
                              <a:noFill/>
                              <a:ln w="9525" cmpd="sng">
                                <a:solidFill>
                                  <a:srgbClr val="000000"/>
                                </a:solidFill>
                                <a:round/>
                              </a:ln>
                              <a:effectLst/>
                            </wps:spPr>
                            <wps:bodyPr/>
                          </wps:wsp>
                          <wps:wsp>
                            <wps:cNvPr id="5041" name="直线 474"/>
                            <wps:cNvCnPr>
                              <a:cxnSpLocks noChangeShapeType="1"/>
                            </wps:cNvCnPr>
                            <wps:spPr bwMode="auto">
                              <a:xfrm flipV="1">
                                <a:off x="2853" y="8649"/>
                                <a:ext cx="0" cy="898"/>
                              </a:xfrm>
                              <a:prstGeom prst="line">
                                <a:avLst/>
                              </a:prstGeom>
                              <a:noFill/>
                              <a:ln w="9525" cmpd="sng">
                                <a:solidFill>
                                  <a:srgbClr val="000000"/>
                                </a:solidFill>
                                <a:round/>
                                <a:tailEnd type="triangle" w="sm" len="med"/>
                              </a:ln>
                              <a:effectLst/>
                            </wps:spPr>
                            <wps:bodyPr/>
                          </wps:wsp>
                          <wpg:grpSp>
                            <wpg:cNvPr id="5042" name="组合 475"/>
                            <wpg:cNvGrpSpPr/>
                            <wpg:grpSpPr>
                              <a:xfrm>
                                <a:off x="1653" y="2400"/>
                                <a:ext cx="8567" cy="9571"/>
                                <a:chOff x="1653" y="2400"/>
                                <a:chExt cx="8567" cy="9571"/>
                              </a:xfrm>
                            </wpg:grpSpPr>
                            <wpg:grpSp>
                              <wpg:cNvPr id="5043" name="组合 476"/>
                              <wpg:cNvGrpSpPr/>
                              <wpg:grpSpPr>
                                <a:xfrm>
                                  <a:off x="1743" y="9670"/>
                                  <a:ext cx="2340" cy="2080"/>
                                  <a:chOff x="1743" y="9670"/>
                                  <a:chExt cx="2340" cy="2080"/>
                                </a:xfrm>
                              </wpg:grpSpPr>
                              <wps:wsp>
                                <wps:cNvPr id="21" name="直线 477"/>
                                <wps:cNvCnPr>
                                  <a:cxnSpLocks noChangeShapeType="1"/>
                                </wps:cNvCnPr>
                                <wps:spPr bwMode="auto">
                                  <a:xfrm flipH="1">
                                    <a:off x="4083" y="9912"/>
                                    <a:ext cx="0" cy="1645"/>
                                  </a:xfrm>
                                  <a:prstGeom prst="line">
                                    <a:avLst/>
                                  </a:prstGeom>
                                  <a:noFill/>
                                  <a:ln w="9525" cmpd="sng">
                                    <a:solidFill>
                                      <a:srgbClr val="000000"/>
                                    </a:solidFill>
                                    <a:round/>
                                  </a:ln>
                                  <a:effectLst/>
                                </wps:spPr>
                                <wps:bodyPr/>
                              </wps:wsp>
                              <wps:wsp>
                                <wps:cNvPr id="22" name="直线 478"/>
                                <wps:cNvCnPr>
                                  <a:cxnSpLocks noChangeShapeType="1"/>
                                </wps:cNvCnPr>
                                <wps:spPr bwMode="auto">
                                  <a:xfrm>
                                    <a:off x="3723" y="9912"/>
                                    <a:ext cx="360" cy="0"/>
                                  </a:xfrm>
                                  <a:prstGeom prst="line">
                                    <a:avLst/>
                                  </a:prstGeom>
                                  <a:noFill/>
                                  <a:ln w="9525" cmpd="sng">
                                    <a:solidFill>
                                      <a:srgbClr val="000000"/>
                                    </a:solidFill>
                                    <a:round/>
                                  </a:ln>
                                  <a:effectLst/>
                                </wps:spPr>
                                <wps:bodyPr/>
                              </wps:wsp>
                              <wps:wsp>
                                <wps:cNvPr id="23" name="直线 479"/>
                                <wps:cNvCnPr>
                                  <a:cxnSpLocks noChangeShapeType="1"/>
                                </wps:cNvCnPr>
                                <wps:spPr bwMode="auto">
                                  <a:xfrm>
                                    <a:off x="3723" y="10780"/>
                                    <a:ext cx="360" cy="0"/>
                                  </a:xfrm>
                                  <a:prstGeom prst="line">
                                    <a:avLst/>
                                  </a:prstGeom>
                                  <a:noFill/>
                                  <a:ln w="9525" cmpd="sng">
                                    <a:solidFill>
                                      <a:srgbClr val="000000"/>
                                    </a:solidFill>
                                    <a:round/>
                                  </a:ln>
                                  <a:effectLst/>
                                </wps:spPr>
                                <wps:bodyPr/>
                              </wps:wsp>
                              <wps:wsp>
                                <wps:cNvPr id="5047" name="直线 480"/>
                                <wps:cNvCnPr>
                                  <a:cxnSpLocks noChangeShapeType="1"/>
                                </wps:cNvCnPr>
                                <wps:spPr bwMode="auto">
                                  <a:xfrm>
                                    <a:off x="3723" y="11557"/>
                                    <a:ext cx="360" cy="0"/>
                                  </a:xfrm>
                                  <a:prstGeom prst="line">
                                    <a:avLst/>
                                  </a:prstGeom>
                                  <a:noFill/>
                                  <a:ln w="9525" cmpd="sng">
                                    <a:solidFill>
                                      <a:srgbClr val="000000"/>
                                    </a:solidFill>
                                    <a:round/>
                                  </a:ln>
                                  <a:effectLst/>
                                </wps:spPr>
                                <wps:bodyPr/>
                              </wps:wsp>
                              <wps:wsp>
                                <wps:cNvPr id="5048" name="文本框 481"/>
                                <wps:cNvSpPr txBox="1">
                                  <a:spLocks noChangeArrowheads="1"/>
                                </wps:cNvSpPr>
                                <wps:spPr bwMode="auto">
                                  <a:xfrm>
                                    <a:off x="1743" y="9670"/>
                                    <a:ext cx="1980" cy="449"/>
                                  </a:xfrm>
                                  <a:prstGeom prst="rect">
                                    <a:avLst/>
                                  </a:prstGeom>
                                  <a:solidFill>
                                    <a:srgbClr val="FFFFFF"/>
                                  </a:solidFill>
                                  <a:ln w="9525" cmpd="sng">
                                    <a:solidFill>
                                      <a:srgbClr val="000000"/>
                                    </a:solidFill>
                                    <a:miter lim="800000"/>
                                  </a:ln>
                                  <a:effectLst/>
                                </wps:spPr>
                                <wps:txbx>
                                  <w:txbxContent>
                                    <w:p w14:paraId="4DEE2CBE">
                                      <w:pPr>
                                        <w:jc w:val="center"/>
                                        <w:rPr>
                                          <w:rFonts w:ascii="仿宋" w:hAnsi="仿宋" w:eastAsia="仿宋"/>
                                          <w:sz w:val="24"/>
                                          <w:szCs w:val="24"/>
                                        </w:rPr>
                                      </w:pPr>
                                      <w:r>
                                        <w:rPr>
                                          <w:rFonts w:hint="eastAsia" w:ascii="仿宋" w:hAnsi="仿宋" w:eastAsia="仿宋"/>
                                          <w:sz w:val="24"/>
                                          <w:szCs w:val="24"/>
                                        </w:rPr>
                                        <w:t>解除警戒</w:t>
                                      </w:r>
                                    </w:p>
                                  </w:txbxContent>
                                </wps:txbx>
                                <wps:bodyPr rot="0" vert="horz" wrap="square" lIns="91440" tIns="45720" rIns="91440" bIns="45720" anchor="t" anchorCtr="0" upright="1">
                                  <a:noAutofit/>
                                </wps:bodyPr>
                              </wps:wsp>
                              <wps:wsp>
                                <wps:cNvPr id="5049" name="文本框 482"/>
                                <wps:cNvSpPr txBox="1">
                                  <a:spLocks noChangeArrowheads="1"/>
                                </wps:cNvSpPr>
                                <wps:spPr bwMode="auto">
                                  <a:xfrm>
                                    <a:off x="1743" y="10539"/>
                                    <a:ext cx="1980" cy="448"/>
                                  </a:xfrm>
                                  <a:prstGeom prst="rect">
                                    <a:avLst/>
                                  </a:prstGeom>
                                  <a:solidFill>
                                    <a:srgbClr val="FFFFFF"/>
                                  </a:solidFill>
                                  <a:ln w="9525" cmpd="sng">
                                    <a:solidFill>
                                      <a:srgbClr val="000000"/>
                                    </a:solidFill>
                                    <a:miter lim="800000"/>
                                  </a:ln>
                                  <a:effectLst/>
                                </wps:spPr>
                                <wps:txbx>
                                  <w:txbxContent>
                                    <w:p w14:paraId="5A5A125C">
                                      <w:pPr>
                                        <w:jc w:val="center"/>
                                        <w:rPr>
                                          <w:rFonts w:ascii="仿宋" w:hAnsi="仿宋" w:eastAsia="仿宋"/>
                                          <w:sz w:val="24"/>
                                          <w:szCs w:val="24"/>
                                        </w:rPr>
                                      </w:pPr>
                                      <w:r>
                                        <w:rPr>
                                          <w:rFonts w:hint="eastAsia" w:ascii="仿宋" w:hAnsi="仿宋" w:eastAsia="仿宋"/>
                                          <w:sz w:val="24"/>
                                          <w:szCs w:val="24"/>
                                        </w:rPr>
                                        <w:t>善后处理</w:t>
                                      </w:r>
                                    </w:p>
                                  </w:txbxContent>
                                </wps:txbx>
                                <wps:bodyPr rot="0" vert="horz" wrap="square" lIns="91440" tIns="45720" rIns="91440" bIns="45720" anchor="t" anchorCtr="0" upright="1">
                                  <a:noAutofit/>
                                </wps:bodyPr>
                              </wps:wsp>
                              <wps:wsp>
                                <wps:cNvPr id="5050" name="文本框 483"/>
                                <wps:cNvSpPr txBox="1">
                                  <a:spLocks noChangeArrowheads="1"/>
                                </wps:cNvSpPr>
                                <wps:spPr bwMode="auto">
                                  <a:xfrm>
                                    <a:off x="1743" y="11301"/>
                                    <a:ext cx="1980" cy="449"/>
                                  </a:xfrm>
                                  <a:prstGeom prst="rect">
                                    <a:avLst/>
                                  </a:prstGeom>
                                  <a:solidFill>
                                    <a:srgbClr val="FFFFFF"/>
                                  </a:solidFill>
                                  <a:ln w="9525" cmpd="sng">
                                    <a:solidFill>
                                      <a:srgbClr val="000000"/>
                                    </a:solidFill>
                                    <a:miter lim="800000"/>
                                  </a:ln>
                                  <a:effectLst/>
                                </wps:spPr>
                                <wps:txbx>
                                  <w:txbxContent>
                                    <w:p w14:paraId="6B54FD73">
                                      <w:pPr>
                                        <w:jc w:val="center"/>
                                        <w:rPr>
                                          <w:rFonts w:ascii="仿宋" w:hAnsi="仿宋" w:eastAsia="仿宋"/>
                                          <w:sz w:val="24"/>
                                          <w:szCs w:val="24"/>
                                        </w:rPr>
                                      </w:pPr>
                                      <w:r>
                                        <w:rPr>
                                          <w:rFonts w:hint="eastAsia" w:ascii="仿宋" w:hAnsi="仿宋" w:eastAsia="仿宋"/>
                                          <w:sz w:val="24"/>
                                          <w:szCs w:val="24"/>
                                        </w:rPr>
                                        <w:t>事故调查</w:t>
                                      </w:r>
                                    </w:p>
                                  </w:txbxContent>
                                </wps:txbx>
                                <wps:bodyPr rot="0" vert="horz" wrap="square" lIns="91440" tIns="45720" rIns="91440" bIns="45720" anchor="t" anchorCtr="0" upright="1">
                                  <a:noAutofit/>
                                </wps:bodyPr>
                              </wps:wsp>
                            </wpg:grpSp>
                            <wpg:grpSp>
                              <wpg:cNvPr id="24" name="组合 484"/>
                              <wpg:cNvGrpSpPr/>
                              <wpg:grpSpPr>
                                <a:xfrm>
                                  <a:off x="1653" y="2400"/>
                                  <a:ext cx="8567" cy="9571"/>
                                  <a:chOff x="1653" y="2400"/>
                                  <a:chExt cx="8567" cy="9571"/>
                                </a:xfrm>
                              </wpg:grpSpPr>
                              <wps:wsp>
                                <wps:cNvPr id="26" name="直线 485"/>
                                <wps:cNvCnPr>
                                  <a:cxnSpLocks noChangeShapeType="1"/>
                                </wps:cNvCnPr>
                                <wps:spPr bwMode="auto">
                                  <a:xfrm flipH="1">
                                    <a:off x="3993" y="6124"/>
                                    <a:ext cx="0" cy="1645"/>
                                  </a:xfrm>
                                  <a:prstGeom prst="line">
                                    <a:avLst/>
                                  </a:prstGeom>
                                  <a:noFill/>
                                  <a:ln w="9525" cmpd="sng">
                                    <a:solidFill>
                                      <a:srgbClr val="000000"/>
                                    </a:solidFill>
                                    <a:round/>
                                  </a:ln>
                                  <a:effectLst/>
                                </wps:spPr>
                                <wps:bodyPr/>
                              </wps:wsp>
                              <wps:wsp>
                                <wps:cNvPr id="5053" name="直线 486"/>
                                <wps:cNvCnPr>
                                  <a:cxnSpLocks noChangeShapeType="1"/>
                                </wps:cNvCnPr>
                                <wps:spPr bwMode="auto">
                                  <a:xfrm>
                                    <a:off x="3633" y="6139"/>
                                    <a:ext cx="360" cy="0"/>
                                  </a:xfrm>
                                  <a:prstGeom prst="line">
                                    <a:avLst/>
                                  </a:prstGeom>
                                  <a:noFill/>
                                  <a:ln w="9525" cmpd="sng">
                                    <a:solidFill>
                                      <a:srgbClr val="000000"/>
                                    </a:solidFill>
                                    <a:round/>
                                  </a:ln>
                                  <a:effectLst/>
                                </wps:spPr>
                                <wps:bodyPr/>
                              </wps:wsp>
                              <wps:wsp>
                                <wps:cNvPr id="5054" name="直线 487"/>
                                <wps:cNvCnPr>
                                  <a:cxnSpLocks noChangeShapeType="1"/>
                                </wps:cNvCnPr>
                                <wps:spPr bwMode="auto">
                                  <a:xfrm>
                                    <a:off x="3633" y="7007"/>
                                    <a:ext cx="360" cy="0"/>
                                  </a:xfrm>
                                  <a:prstGeom prst="line">
                                    <a:avLst/>
                                  </a:prstGeom>
                                  <a:noFill/>
                                  <a:ln w="9525" cmpd="sng">
                                    <a:solidFill>
                                      <a:srgbClr val="000000"/>
                                    </a:solidFill>
                                    <a:round/>
                                  </a:ln>
                                  <a:effectLst/>
                                </wps:spPr>
                                <wps:bodyPr/>
                              </wps:wsp>
                              <wps:wsp>
                                <wps:cNvPr id="5055" name="直线 488"/>
                                <wps:cNvCnPr>
                                  <a:cxnSpLocks noChangeShapeType="1"/>
                                </wps:cNvCnPr>
                                <wps:spPr bwMode="auto">
                                  <a:xfrm>
                                    <a:off x="3633" y="7784"/>
                                    <a:ext cx="360" cy="0"/>
                                  </a:xfrm>
                                  <a:prstGeom prst="line">
                                    <a:avLst/>
                                  </a:prstGeom>
                                  <a:noFill/>
                                  <a:ln w="9525" cmpd="sng">
                                    <a:solidFill>
                                      <a:srgbClr val="000000"/>
                                    </a:solidFill>
                                    <a:round/>
                                  </a:ln>
                                  <a:effectLst/>
                                </wps:spPr>
                                <wps:bodyPr/>
                              </wps:wsp>
                              <wps:wsp>
                                <wps:cNvPr id="192" name="文本框 489"/>
                                <wps:cNvSpPr txBox="1">
                                  <a:spLocks noChangeArrowheads="1"/>
                                </wps:cNvSpPr>
                                <wps:spPr bwMode="auto">
                                  <a:xfrm>
                                    <a:off x="1653" y="5897"/>
                                    <a:ext cx="1980" cy="449"/>
                                  </a:xfrm>
                                  <a:prstGeom prst="rect">
                                    <a:avLst/>
                                  </a:prstGeom>
                                  <a:solidFill>
                                    <a:srgbClr val="FFFFFF"/>
                                  </a:solidFill>
                                  <a:ln w="9525" cmpd="sng">
                                    <a:solidFill>
                                      <a:srgbClr val="000000"/>
                                    </a:solidFill>
                                    <a:miter lim="800000"/>
                                  </a:ln>
                                  <a:effectLst/>
                                </wps:spPr>
                                <wps:txbx>
                                  <w:txbxContent>
                                    <w:p w14:paraId="3E63B0F5">
                                      <w:pPr>
                                        <w:jc w:val="center"/>
                                        <w:rPr>
                                          <w:rFonts w:ascii="仿宋" w:hAnsi="仿宋" w:eastAsia="仿宋"/>
                                        </w:rPr>
                                      </w:pPr>
                                      <w:r>
                                        <w:rPr>
                                          <w:rFonts w:hint="eastAsia" w:ascii="仿宋" w:hAnsi="仿宋" w:eastAsia="仿宋"/>
                                          <w:sz w:val="24"/>
                                          <w:szCs w:val="24"/>
                                        </w:rPr>
                                        <w:t>成立现场指挥</w:t>
                                      </w:r>
                                      <w:r>
                                        <w:rPr>
                                          <w:rFonts w:hint="eastAsia" w:ascii="仿宋" w:hAnsi="仿宋" w:eastAsia="仿宋"/>
                                        </w:rPr>
                                        <w:t>部</w:t>
                                      </w:r>
                                    </w:p>
                                  </w:txbxContent>
                                </wps:txbx>
                                <wps:bodyPr rot="0" vert="horz" wrap="square" lIns="91440" tIns="45720" rIns="91440" bIns="45720" anchor="t" anchorCtr="0" upright="1">
                                  <a:noAutofit/>
                                </wps:bodyPr>
                              </wps:wsp>
                              <wps:wsp>
                                <wps:cNvPr id="193" name="文本框 490"/>
                                <wps:cNvSpPr txBox="1">
                                  <a:spLocks noChangeArrowheads="1"/>
                                </wps:cNvSpPr>
                                <wps:spPr bwMode="auto">
                                  <a:xfrm>
                                    <a:off x="1653" y="6766"/>
                                    <a:ext cx="1980" cy="448"/>
                                  </a:xfrm>
                                  <a:prstGeom prst="rect">
                                    <a:avLst/>
                                  </a:prstGeom>
                                  <a:solidFill>
                                    <a:srgbClr val="FFFFFF"/>
                                  </a:solidFill>
                                  <a:ln w="9525" cmpd="sng">
                                    <a:solidFill>
                                      <a:srgbClr val="000000"/>
                                    </a:solidFill>
                                    <a:miter lim="800000"/>
                                  </a:ln>
                                  <a:effectLst/>
                                </wps:spPr>
                                <wps:txbx>
                                  <w:txbxContent>
                                    <w:p w14:paraId="70081326">
                                      <w:pPr>
                                        <w:jc w:val="center"/>
                                        <w:rPr>
                                          <w:rFonts w:ascii="仿宋" w:hAnsi="仿宋" w:eastAsia="仿宋"/>
                                        </w:rPr>
                                      </w:pPr>
                                      <w:r>
                                        <w:rPr>
                                          <w:rFonts w:hint="eastAsia" w:ascii="仿宋" w:hAnsi="仿宋" w:eastAsia="仿宋"/>
                                          <w:sz w:val="24"/>
                                          <w:szCs w:val="24"/>
                                        </w:rPr>
                                        <w:t>信息网络开通</w:t>
                                      </w:r>
                                    </w:p>
                                  </w:txbxContent>
                                </wps:txbx>
                                <wps:bodyPr rot="0" vert="horz" wrap="square" lIns="91440" tIns="45720" rIns="91440" bIns="45720" anchor="t" anchorCtr="0" upright="1">
                                  <a:noAutofit/>
                                </wps:bodyPr>
                              </wps:wsp>
                              <wps:wsp>
                                <wps:cNvPr id="194" name="文本框 491"/>
                                <wps:cNvSpPr txBox="1">
                                  <a:spLocks noChangeArrowheads="1"/>
                                </wps:cNvSpPr>
                                <wps:spPr bwMode="auto">
                                  <a:xfrm>
                                    <a:off x="1653" y="7528"/>
                                    <a:ext cx="1980" cy="448"/>
                                  </a:xfrm>
                                  <a:prstGeom prst="rect">
                                    <a:avLst/>
                                  </a:prstGeom>
                                  <a:solidFill>
                                    <a:srgbClr val="FFFFFF"/>
                                  </a:solidFill>
                                  <a:ln w="9525" cmpd="sng">
                                    <a:solidFill>
                                      <a:srgbClr val="000000"/>
                                    </a:solidFill>
                                    <a:miter lim="800000"/>
                                  </a:ln>
                                  <a:effectLst/>
                                </wps:spPr>
                                <wps:txbx>
                                  <w:txbxContent>
                                    <w:p w14:paraId="1030B4BD">
                                      <w:pPr>
                                        <w:jc w:val="center"/>
                                        <w:rPr>
                                          <w:rFonts w:ascii="仿宋" w:hAnsi="仿宋" w:eastAsia="仿宋"/>
                                        </w:rPr>
                                      </w:pPr>
                                      <w:r>
                                        <w:rPr>
                                          <w:rFonts w:hint="eastAsia" w:ascii="仿宋" w:hAnsi="仿宋" w:eastAsia="仿宋"/>
                                          <w:sz w:val="24"/>
                                          <w:szCs w:val="24"/>
                                        </w:rPr>
                                        <w:t>应急资源调配</w:t>
                                      </w:r>
                                    </w:p>
                                  </w:txbxContent>
                                </wps:txbx>
                                <wps:bodyPr rot="0" vert="horz" wrap="square" lIns="91440" tIns="45720" rIns="91440" bIns="45720" anchor="t" anchorCtr="0" upright="1">
                                  <a:noAutofit/>
                                </wps:bodyPr>
                              </wps:wsp>
                              <wps:wsp>
                                <wps:cNvPr id="195" name="文本框 492"/>
                                <wps:cNvSpPr txBox="1">
                                  <a:spLocks noChangeArrowheads="1"/>
                                </wps:cNvSpPr>
                                <wps:spPr bwMode="auto">
                                  <a:xfrm>
                                    <a:off x="1653" y="8232"/>
                                    <a:ext cx="1980" cy="449"/>
                                  </a:xfrm>
                                  <a:prstGeom prst="rect">
                                    <a:avLst/>
                                  </a:prstGeom>
                                  <a:solidFill>
                                    <a:srgbClr val="FFFFFF"/>
                                  </a:solidFill>
                                  <a:ln w="9525" cmpd="sng">
                                    <a:solidFill>
                                      <a:srgbClr val="000000"/>
                                    </a:solidFill>
                                    <a:miter lim="800000"/>
                                  </a:ln>
                                  <a:effectLst/>
                                </wps:spPr>
                                <wps:txbx>
                                  <w:txbxContent>
                                    <w:p w14:paraId="3DC88FBD">
                                      <w:pPr>
                                        <w:jc w:val="center"/>
                                        <w:rPr>
                                          <w:rFonts w:ascii="仿宋" w:hAnsi="仿宋" w:eastAsia="仿宋"/>
                                        </w:rPr>
                                      </w:pPr>
                                      <w:r>
                                        <w:rPr>
                                          <w:rFonts w:hint="eastAsia" w:ascii="仿宋" w:hAnsi="仿宋" w:eastAsia="仿宋"/>
                                          <w:sz w:val="24"/>
                                          <w:szCs w:val="24"/>
                                        </w:rPr>
                                        <w:t>申请增援</w:t>
                                      </w:r>
                                    </w:p>
                                  </w:txbxContent>
                                </wps:txbx>
                                <wps:bodyPr rot="0" vert="horz" wrap="square" lIns="91440" tIns="45720" rIns="91440" bIns="45720" anchor="t" anchorCtr="0" upright="1">
                                  <a:noAutofit/>
                                </wps:bodyPr>
                              </wps:wsp>
                              <wpg:grpSp>
                                <wpg:cNvPr id="32" name="组合 493"/>
                                <wpg:cNvGrpSpPr/>
                                <wpg:grpSpPr>
                                  <a:xfrm>
                                    <a:off x="3633" y="2400"/>
                                    <a:ext cx="6587" cy="9571"/>
                                    <a:chOff x="3633" y="2400"/>
                                    <a:chExt cx="6587" cy="9571"/>
                                  </a:xfrm>
                                </wpg:grpSpPr>
                                <wpg:grpSp>
                                  <wpg:cNvPr id="197" name="组合 494"/>
                                  <wpg:cNvGrpSpPr/>
                                  <wpg:grpSpPr>
                                    <a:xfrm>
                                      <a:off x="7773" y="7689"/>
                                      <a:ext cx="2447" cy="1539"/>
                                      <a:chOff x="7773" y="7689"/>
                                      <a:chExt cx="2447" cy="1539"/>
                                    </a:xfrm>
                                  </wpg:grpSpPr>
                                  <wpg:grpSp>
                                    <wpg:cNvPr id="198" name="组合 495"/>
                                    <wpg:cNvGrpSpPr/>
                                    <wpg:grpSpPr>
                                      <a:xfrm>
                                        <a:off x="8240" y="7689"/>
                                        <a:ext cx="1980" cy="1539"/>
                                        <a:chOff x="8240" y="7689"/>
                                        <a:chExt cx="1980" cy="1539"/>
                                      </a:xfrm>
                                    </wpg:grpSpPr>
                                    <wps:wsp>
                                      <wps:cNvPr id="199" name="文本框 497"/>
                                      <wps:cNvSpPr txBox="1">
                                        <a:spLocks noChangeArrowheads="1"/>
                                      </wps:cNvSpPr>
                                      <wps:spPr bwMode="auto">
                                        <a:xfrm>
                                          <a:off x="8240" y="7689"/>
                                          <a:ext cx="1980" cy="449"/>
                                        </a:xfrm>
                                        <a:prstGeom prst="rect">
                                          <a:avLst/>
                                        </a:prstGeom>
                                        <a:solidFill>
                                          <a:srgbClr val="FFFFFF"/>
                                        </a:solidFill>
                                        <a:ln w="9525" cmpd="sng">
                                          <a:solidFill>
                                            <a:srgbClr val="000000"/>
                                          </a:solidFill>
                                          <a:miter lim="800000"/>
                                        </a:ln>
                                        <a:effectLst/>
                                      </wps:spPr>
                                      <wps:txbx>
                                        <w:txbxContent>
                                          <w:p w14:paraId="428D3810">
                                            <w:pPr>
                                              <w:jc w:val="center"/>
                                              <w:rPr>
                                                <w:rFonts w:ascii="仿宋" w:hAnsi="仿宋" w:eastAsia="仿宋"/>
                                                <w:sz w:val="24"/>
                                                <w:szCs w:val="24"/>
                                              </w:rPr>
                                            </w:pPr>
                                            <w:r>
                                              <w:rPr>
                                                <w:rFonts w:hint="eastAsia" w:ascii="仿宋" w:hAnsi="仿宋" w:eastAsia="仿宋"/>
                                                <w:sz w:val="24"/>
                                                <w:szCs w:val="24"/>
                                              </w:rPr>
                                              <w:t>综合协调组</w:t>
                                            </w:r>
                                          </w:p>
                                        </w:txbxContent>
                                      </wps:txbx>
                                      <wps:bodyPr rot="0" vert="horz" wrap="square" lIns="91440" tIns="45720" rIns="91440" bIns="45720" anchor="t" anchorCtr="0" upright="1">
                                        <a:noAutofit/>
                                      </wps:bodyPr>
                                    </wps:wsp>
                                    <wps:wsp>
                                      <wps:cNvPr id="200" name="文本框 498"/>
                                      <wps:cNvSpPr txBox="1">
                                        <a:spLocks noChangeArrowheads="1"/>
                                      </wps:cNvSpPr>
                                      <wps:spPr bwMode="auto">
                                        <a:xfrm>
                                          <a:off x="8240" y="8230"/>
                                          <a:ext cx="1980" cy="449"/>
                                        </a:xfrm>
                                        <a:prstGeom prst="rect">
                                          <a:avLst/>
                                        </a:prstGeom>
                                        <a:solidFill>
                                          <a:srgbClr val="FFFFFF"/>
                                        </a:solidFill>
                                        <a:ln w="9525" cmpd="sng">
                                          <a:solidFill>
                                            <a:srgbClr val="000000"/>
                                          </a:solidFill>
                                          <a:miter lim="800000"/>
                                        </a:ln>
                                        <a:effectLst/>
                                      </wps:spPr>
                                      <wps:txbx>
                                        <w:txbxContent>
                                          <w:p w14:paraId="75C507A9">
                                            <w:pPr>
                                              <w:jc w:val="center"/>
                                              <w:rPr>
                                                <w:rFonts w:ascii="仿宋" w:hAnsi="仿宋" w:eastAsia="仿宋"/>
                                                <w:sz w:val="24"/>
                                                <w:szCs w:val="24"/>
                                              </w:rPr>
                                            </w:pPr>
                                            <w:r>
                                              <w:rPr>
                                                <w:rFonts w:hint="eastAsia" w:ascii="仿宋" w:hAnsi="仿宋" w:eastAsia="仿宋"/>
                                                <w:sz w:val="24"/>
                                                <w:szCs w:val="24"/>
                                                <w:lang w:val="en-US" w:eastAsia="zh-CN"/>
                                              </w:rPr>
                                              <w:t>现场处置</w:t>
                                            </w:r>
                                            <w:r>
                                              <w:rPr>
                                                <w:rFonts w:hint="eastAsia" w:ascii="仿宋" w:hAnsi="仿宋" w:eastAsia="仿宋"/>
                                                <w:sz w:val="24"/>
                                                <w:szCs w:val="24"/>
                                              </w:rPr>
                                              <w:t>组</w:t>
                                            </w:r>
                                          </w:p>
                                        </w:txbxContent>
                                      </wps:txbx>
                                      <wps:bodyPr rot="0" vert="horz" wrap="square" lIns="91440" tIns="45720" rIns="91440" bIns="45720" anchor="t" anchorCtr="0" upright="1">
                                        <a:noAutofit/>
                                      </wps:bodyPr>
                                    </wps:wsp>
                                    <wps:wsp>
                                      <wps:cNvPr id="201" name="文本框 499"/>
                                      <wps:cNvSpPr txBox="1">
                                        <a:spLocks noChangeArrowheads="1"/>
                                      </wps:cNvSpPr>
                                      <wps:spPr bwMode="auto">
                                        <a:xfrm>
                                          <a:off x="8240" y="8779"/>
                                          <a:ext cx="1980" cy="449"/>
                                        </a:xfrm>
                                        <a:prstGeom prst="rect">
                                          <a:avLst/>
                                        </a:prstGeom>
                                        <a:solidFill>
                                          <a:srgbClr val="FFFFFF"/>
                                        </a:solidFill>
                                        <a:ln w="9525" cmpd="sng">
                                          <a:solidFill>
                                            <a:srgbClr val="000000"/>
                                          </a:solidFill>
                                          <a:miter lim="800000"/>
                                        </a:ln>
                                        <a:effectLst/>
                                      </wps:spPr>
                                      <wps:txbx>
                                        <w:txbxContent>
                                          <w:p w14:paraId="362DB2AF">
                                            <w:pPr>
                                              <w:jc w:val="center"/>
                                              <w:rPr>
                                                <w:rFonts w:ascii="仿宋" w:hAnsi="仿宋" w:eastAsia="仿宋"/>
                                                <w:sz w:val="24"/>
                                                <w:szCs w:val="24"/>
                                              </w:rPr>
                                            </w:pPr>
                                            <w:r>
                                              <w:rPr>
                                                <w:rFonts w:hint="eastAsia" w:ascii="仿宋" w:hAnsi="仿宋" w:eastAsia="仿宋"/>
                                                <w:sz w:val="24"/>
                                                <w:szCs w:val="24"/>
                                                <w:lang w:val="en-US" w:eastAsia="zh-CN"/>
                                              </w:rPr>
                                              <w:t>应急保障</w:t>
                                            </w:r>
                                            <w:r>
                                              <w:rPr>
                                                <w:rFonts w:hint="eastAsia" w:ascii="仿宋" w:hAnsi="仿宋" w:eastAsia="仿宋"/>
                                                <w:sz w:val="24"/>
                                                <w:szCs w:val="24"/>
                                              </w:rPr>
                                              <w:t>组</w:t>
                                            </w:r>
                                          </w:p>
                                        </w:txbxContent>
                                      </wps:txbx>
                                      <wps:bodyPr rot="0" vert="horz" wrap="square" lIns="91440" tIns="45720" rIns="91440" bIns="45720" anchor="t" anchorCtr="0" upright="1">
                                        <a:noAutofit/>
                                      </wps:bodyPr>
                                    </wps:wsp>
                                  </wpg:grpSp>
                                  <wpg:grpSp>
                                    <wpg:cNvPr id="204" name="组合 503"/>
                                    <wpg:cNvGrpSpPr/>
                                    <wpg:grpSpPr>
                                      <a:xfrm>
                                        <a:off x="7773" y="7939"/>
                                        <a:ext cx="467" cy="1055"/>
                                        <a:chOff x="7773" y="7939"/>
                                        <a:chExt cx="467" cy="1055"/>
                                      </a:xfrm>
                                    </wpg:grpSpPr>
                                    <wps:wsp>
                                      <wps:cNvPr id="205" name="直线 504"/>
                                      <wps:cNvCnPr>
                                        <a:cxnSpLocks noChangeShapeType="1"/>
                                      </wps:cNvCnPr>
                                      <wps:spPr bwMode="auto">
                                        <a:xfrm>
                                          <a:off x="7895" y="7939"/>
                                          <a:ext cx="0" cy="1055"/>
                                        </a:xfrm>
                                        <a:prstGeom prst="line">
                                          <a:avLst/>
                                        </a:prstGeom>
                                        <a:noFill/>
                                        <a:ln>
                                          <a:noFill/>
                                        </a:ln>
                                        <a:effectLst/>
                                      </wps:spPr>
                                      <wps:bodyPr/>
                                    </wps:wsp>
                                    <wps:wsp>
                                      <wps:cNvPr id="206" name="直线 506"/>
                                      <wps:cNvCnPr>
                                        <a:cxnSpLocks noChangeShapeType="1"/>
                                      </wps:cNvCnPr>
                                      <wps:spPr bwMode="auto">
                                        <a:xfrm>
                                          <a:off x="7788" y="7939"/>
                                          <a:ext cx="452" cy="0"/>
                                        </a:xfrm>
                                        <a:prstGeom prst="line">
                                          <a:avLst/>
                                        </a:prstGeom>
                                        <a:noFill/>
                                        <a:ln w="9525" cmpd="sng">
                                          <a:solidFill>
                                            <a:srgbClr val="000000"/>
                                          </a:solidFill>
                                          <a:round/>
                                        </a:ln>
                                        <a:effectLst/>
                                      </wps:spPr>
                                      <wps:bodyPr/>
                                    </wps:wsp>
                                    <wps:wsp>
                                      <wps:cNvPr id="207" name="直线 507"/>
                                      <wps:cNvCnPr>
                                        <a:cxnSpLocks noChangeShapeType="1"/>
                                      </wps:cNvCnPr>
                                      <wps:spPr bwMode="auto">
                                        <a:xfrm>
                                          <a:off x="7773" y="8994"/>
                                          <a:ext cx="467" cy="0"/>
                                        </a:xfrm>
                                        <a:prstGeom prst="line">
                                          <a:avLst/>
                                        </a:prstGeom>
                                        <a:noFill/>
                                        <a:ln w="9525" cmpd="sng">
                                          <a:solidFill>
                                            <a:srgbClr val="000000"/>
                                          </a:solidFill>
                                          <a:round/>
                                        </a:ln>
                                        <a:effectLst/>
                                      </wps:spPr>
                                      <wps:bodyPr/>
                                    </wps:wsp>
                                    <wps:wsp>
                                      <wps:cNvPr id="208" name="直线 508"/>
                                      <wps:cNvCnPr>
                                        <a:cxnSpLocks noChangeShapeType="1"/>
                                      </wps:cNvCnPr>
                                      <wps:spPr bwMode="auto">
                                        <a:xfrm>
                                          <a:off x="7804" y="8460"/>
                                          <a:ext cx="436" cy="0"/>
                                        </a:xfrm>
                                        <a:prstGeom prst="line">
                                          <a:avLst/>
                                        </a:prstGeom>
                                        <a:noFill/>
                                        <a:ln w="9525" cmpd="sng">
                                          <a:solidFill>
                                            <a:srgbClr val="000000"/>
                                          </a:solidFill>
                                          <a:round/>
                                        </a:ln>
                                        <a:effectLst/>
                                      </wps:spPr>
                                      <wps:bodyPr/>
                                    </wps:wsp>
                                  </wpg:grpSp>
                                </wpg:grpSp>
                                <wpg:grpSp>
                                  <wpg:cNvPr id="211" name="组合 512"/>
                                  <wpg:cNvGrpSpPr/>
                                  <wpg:grpSpPr>
                                    <a:xfrm>
                                      <a:off x="3633" y="2400"/>
                                      <a:ext cx="6135" cy="9571"/>
                                      <a:chOff x="3633" y="2400"/>
                                      <a:chExt cx="6135" cy="9571"/>
                                    </a:xfrm>
                                  </wpg:grpSpPr>
                                  <wpg:grpSp>
                                    <wpg:cNvPr id="212" name="组合 513"/>
                                    <wpg:cNvGrpSpPr/>
                                    <wpg:grpSpPr>
                                      <a:xfrm>
                                        <a:off x="6847" y="4113"/>
                                        <a:ext cx="2490" cy="2187"/>
                                        <a:chOff x="6847" y="4113"/>
                                        <a:chExt cx="2490" cy="2187"/>
                                      </a:xfrm>
                                    </wpg:grpSpPr>
                                    <wps:wsp>
                                      <wps:cNvPr id="213" name="直线 514"/>
                                      <wps:cNvCnPr>
                                        <a:cxnSpLocks noChangeShapeType="1"/>
                                        <a:stCxn id="277" idx="3"/>
                                      </wps:cNvCnPr>
                                      <wps:spPr bwMode="auto">
                                        <a:xfrm flipV="1">
                                          <a:off x="7537" y="6292"/>
                                          <a:ext cx="870" cy="8"/>
                                        </a:xfrm>
                                        <a:prstGeom prst="line">
                                          <a:avLst/>
                                        </a:prstGeom>
                                        <a:noFill/>
                                        <a:ln w="9525" cmpd="sng">
                                          <a:solidFill>
                                            <a:srgbClr val="000000"/>
                                          </a:solidFill>
                                          <a:round/>
                                        </a:ln>
                                        <a:effectLst/>
                                      </wps:spPr>
                                      <wps:bodyPr/>
                                    </wps:wsp>
                                    <wps:wsp>
                                      <wps:cNvPr id="214" name="直线 515"/>
                                      <wps:cNvCnPr>
                                        <a:cxnSpLocks noChangeShapeType="1"/>
                                      </wps:cNvCnPr>
                                      <wps:spPr bwMode="auto">
                                        <a:xfrm flipH="1" flipV="1">
                                          <a:off x="8407" y="4947"/>
                                          <a:ext cx="0" cy="1345"/>
                                        </a:xfrm>
                                        <a:prstGeom prst="line">
                                          <a:avLst/>
                                        </a:prstGeom>
                                        <a:noFill/>
                                        <a:ln w="9525" cmpd="sng">
                                          <a:solidFill>
                                            <a:srgbClr val="000000"/>
                                          </a:solidFill>
                                          <a:round/>
                                          <a:tailEnd type="triangle" w="sm" len="med"/>
                                        </a:ln>
                                        <a:effectLst/>
                                      </wps:spPr>
                                      <wps:bodyPr/>
                                    </wps:wsp>
                                    <wps:wsp>
                                      <wps:cNvPr id="215" name="文本框 516"/>
                                      <wps:cNvSpPr txBox="1">
                                        <a:spLocks noChangeArrowheads="1"/>
                                      </wps:cNvSpPr>
                                      <wps:spPr bwMode="auto">
                                        <a:xfrm>
                                          <a:off x="7537" y="4527"/>
                                          <a:ext cx="1800" cy="448"/>
                                        </a:xfrm>
                                        <a:prstGeom prst="rect">
                                          <a:avLst/>
                                        </a:prstGeom>
                                        <a:solidFill>
                                          <a:srgbClr val="FFFFFF"/>
                                        </a:solidFill>
                                        <a:ln w="9525" cmpd="sng">
                                          <a:solidFill>
                                            <a:srgbClr val="000000"/>
                                          </a:solidFill>
                                          <a:miter lim="800000"/>
                                        </a:ln>
                                        <a:effectLst/>
                                      </wps:spPr>
                                      <wps:txbx>
                                        <w:txbxContent>
                                          <w:p w14:paraId="5DB81E40">
                                            <w:pPr>
                                              <w:jc w:val="center"/>
                                              <w:rPr>
                                                <w:rFonts w:ascii="仿宋" w:hAnsi="仿宋" w:eastAsia="仿宋"/>
                                                <w:sz w:val="24"/>
                                                <w:szCs w:val="24"/>
                                              </w:rPr>
                                            </w:pPr>
                                            <w:r>
                                              <w:rPr>
                                                <w:rFonts w:hint="eastAsia" w:ascii="仿宋" w:hAnsi="仿宋" w:eastAsia="仿宋"/>
                                                <w:sz w:val="24"/>
                                                <w:szCs w:val="24"/>
                                              </w:rPr>
                                              <w:t>信息反馈</w:t>
                                            </w:r>
                                          </w:p>
                                        </w:txbxContent>
                                      </wps:txbx>
                                      <wps:bodyPr rot="0" vert="horz" wrap="square" lIns="91440" tIns="45720" rIns="91440" bIns="45720" anchor="t" anchorCtr="0" upright="1">
                                        <a:noAutofit/>
                                      </wps:bodyPr>
                                    </wps:wsp>
                                    <wps:wsp>
                                      <wps:cNvPr id="216" name="直线 517"/>
                                      <wps:cNvCnPr>
                                        <a:cxnSpLocks noChangeShapeType="1"/>
                                      </wps:cNvCnPr>
                                      <wps:spPr bwMode="auto">
                                        <a:xfrm flipV="1">
                                          <a:off x="8362" y="4130"/>
                                          <a:ext cx="0" cy="391"/>
                                        </a:xfrm>
                                        <a:prstGeom prst="line">
                                          <a:avLst/>
                                        </a:prstGeom>
                                        <a:noFill/>
                                        <a:ln w="9525" cmpd="sng">
                                          <a:solidFill>
                                            <a:srgbClr val="000000"/>
                                          </a:solidFill>
                                          <a:round/>
                                        </a:ln>
                                        <a:effectLst/>
                                      </wps:spPr>
                                      <wps:bodyPr/>
                                    </wps:wsp>
                                    <wps:wsp>
                                      <wps:cNvPr id="217" name="直线 518"/>
                                      <wps:cNvCnPr>
                                        <a:cxnSpLocks noChangeShapeType="1"/>
                                      </wps:cNvCnPr>
                                      <wps:spPr bwMode="auto">
                                        <a:xfrm flipH="1">
                                          <a:off x="6847" y="4113"/>
                                          <a:ext cx="1508" cy="0"/>
                                        </a:xfrm>
                                        <a:prstGeom prst="line">
                                          <a:avLst/>
                                        </a:prstGeom>
                                        <a:noFill/>
                                        <a:ln w="9525" cmpd="sng">
                                          <a:solidFill>
                                            <a:srgbClr val="000000"/>
                                          </a:solidFill>
                                          <a:round/>
                                          <a:tailEnd type="triangle" w="sm" len="med"/>
                                        </a:ln>
                                        <a:effectLst/>
                                      </wps:spPr>
                                      <wps:bodyPr/>
                                    </wps:wsp>
                                  </wpg:grpSp>
                                  <wpg:grpSp>
                                    <wpg:cNvPr id="218" name="组合 519"/>
                                    <wpg:cNvGrpSpPr/>
                                    <wpg:grpSpPr>
                                      <a:xfrm>
                                        <a:off x="3633" y="2400"/>
                                        <a:ext cx="6135" cy="9571"/>
                                        <a:chOff x="3633" y="2400"/>
                                        <a:chExt cx="6135" cy="9571"/>
                                      </a:xfrm>
                                    </wpg:grpSpPr>
                                    <wps:wsp>
                                      <wps:cNvPr id="219" name="直线 520"/>
                                      <wps:cNvCnPr>
                                        <a:cxnSpLocks noChangeShapeType="1"/>
                                      </wps:cNvCnPr>
                                      <wps:spPr bwMode="auto">
                                        <a:xfrm flipV="1">
                                          <a:off x="6873" y="8468"/>
                                          <a:ext cx="900" cy="0"/>
                                        </a:xfrm>
                                        <a:prstGeom prst="line">
                                          <a:avLst/>
                                        </a:prstGeom>
                                        <a:noFill/>
                                        <a:ln w="9525" cmpd="sng">
                                          <a:solidFill>
                                            <a:srgbClr val="000000"/>
                                          </a:solidFill>
                                          <a:round/>
                                        </a:ln>
                                        <a:effectLst/>
                                      </wps:spPr>
                                      <wps:bodyPr/>
                                    </wps:wsp>
                                    <wps:wsp>
                                      <wps:cNvPr id="220" name="自选图形 521"/>
                                      <wps:cNvSpPr>
                                        <a:spLocks noChangeArrowheads="1"/>
                                      </wps:cNvSpPr>
                                      <wps:spPr bwMode="auto">
                                        <a:xfrm>
                                          <a:off x="4579" y="9150"/>
                                          <a:ext cx="2640" cy="802"/>
                                        </a:xfrm>
                                        <a:prstGeom prst="diamond">
                                          <a:avLst/>
                                        </a:prstGeom>
                                        <a:solidFill>
                                          <a:srgbClr val="FFFFFF"/>
                                        </a:solidFill>
                                        <a:ln w="9525" cmpd="sng">
                                          <a:solidFill>
                                            <a:srgbClr val="000000"/>
                                          </a:solidFill>
                                          <a:miter lim="800000"/>
                                        </a:ln>
                                        <a:effectLst/>
                                      </wps:spPr>
                                      <wps:txbx>
                                        <w:txbxContent>
                                          <w:p w14:paraId="068AD248">
                                            <w:pPr>
                                              <w:rPr>
                                                <w:rFonts w:ascii="仿宋" w:hAnsi="仿宋" w:eastAsia="仿宋"/>
                                              </w:rPr>
                                            </w:pPr>
                                            <w:r>
                                              <w:rPr>
                                                <w:rFonts w:hint="eastAsia" w:ascii="仿宋" w:hAnsi="仿宋" w:eastAsia="仿宋"/>
                                                <w:sz w:val="24"/>
                                                <w:szCs w:val="24"/>
                                              </w:rPr>
                                              <w:t>控制事态？</w:t>
                                            </w:r>
                                            <w:r>
                                              <w:rPr>
                                                <w:rFonts w:hint="eastAsia" w:ascii="仿宋" w:hAnsi="仿宋" w:eastAsia="仿宋"/>
                                              </w:rPr>
                                              <w:t>态？</w:t>
                                            </w:r>
                                          </w:p>
                                        </w:txbxContent>
                                      </wps:txbx>
                                      <wps:bodyPr rot="0" vert="horz" wrap="square" lIns="0" tIns="45720" rIns="0" bIns="45720" anchor="t" anchorCtr="0" upright="1">
                                        <a:noAutofit/>
                                      </wps:bodyPr>
                                    </wps:wsp>
                                    <wps:wsp>
                                      <wps:cNvPr id="221" name="直线 522"/>
                                      <wps:cNvCnPr>
                                        <a:cxnSpLocks noChangeShapeType="1"/>
                                      </wps:cNvCnPr>
                                      <wps:spPr bwMode="auto">
                                        <a:xfrm>
                                          <a:off x="5913" y="8687"/>
                                          <a:ext cx="0" cy="448"/>
                                        </a:xfrm>
                                        <a:prstGeom prst="line">
                                          <a:avLst/>
                                        </a:prstGeom>
                                        <a:noFill/>
                                        <a:ln w="9525" cmpd="sng">
                                          <a:solidFill>
                                            <a:srgbClr val="000000"/>
                                          </a:solidFill>
                                          <a:round/>
                                          <a:tailEnd type="triangle" w="sm" len="med"/>
                                        </a:ln>
                                        <a:effectLst/>
                                      </wps:spPr>
                                      <wps:bodyPr/>
                                    </wps:wsp>
                                    <wps:wsp>
                                      <wps:cNvPr id="222" name="直线 523"/>
                                      <wps:cNvCnPr>
                                        <a:cxnSpLocks noChangeShapeType="1"/>
                                      </wps:cNvCnPr>
                                      <wps:spPr bwMode="auto">
                                        <a:xfrm>
                                          <a:off x="5913" y="9892"/>
                                          <a:ext cx="0" cy="448"/>
                                        </a:xfrm>
                                        <a:prstGeom prst="line">
                                          <a:avLst/>
                                        </a:prstGeom>
                                        <a:noFill/>
                                        <a:ln w="9525" cmpd="sng">
                                          <a:solidFill>
                                            <a:srgbClr val="000000"/>
                                          </a:solidFill>
                                          <a:round/>
                                          <a:tailEnd type="triangle" w="sm" len="med"/>
                                        </a:ln>
                                        <a:effectLst/>
                                      </wps:spPr>
                                      <wps:bodyPr/>
                                    </wps:wsp>
                                    <wps:wsp>
                                      <wps:cNvPr id="223" name="文本框 524"/>
                                      <wps:cNvSpPr txBox="1">
                                        <a:spLocks noChangeArrowheads="1"/>
                                      </wps:cNvSpPr>
                                      <wps:spPr bwMode="auto">
                                        <a:xfrm>
                                          <a:off x="4938" y="10326"/>
                                          <a:ext cx="1980" cy="449"/>
                                        </a:xfrm>
                                        <a:prstGeom prst="rect">
                                          <a:avLst/>
                                        </a:prstGeom>
                                        <a:solidFill>
                                          <a:srgbClr val="FFFFFF"/>
                                        </a:solidFill>
                                        <a:ln w="9525" cmpd="sng">
                                          <a:solidFill>
                                            <a:srgbClr val="000000"/>
                                          </a:solidFill>
                                          <a:miter lim="800000"/>
                                        </a:ln>
                                        <a:effectLst/>
                                      </wps:spPr>
                                      <wps:txbx>
                                        <w:txbxContent>
                                          <w:p w14:paraId="2C0061D5">
                                            <w:pPr>
                                              <w:jc w:val="center"/>
                                              <w:rPr>
                                                <w:rFonts w:ascii="仿宋" w:hAnsi="仿宋" w:eastAsia="仿宋"/>
                                                <w:sz w:val="24"/>
                                                <w:szCs w:val="24"/>
                                              </w:rPr>
                                            </w:pPr>
                                            <w:r>
                                              <w:rPr>
                                                <w:rFonts w:hint="eastAsia" w:ascii="仿宋" w:hAnsi="仿宋" w:eastAsia="仿宋"/>
                                                <w:sz w:val="24"/>
                                                <w:szCs w:val="24"/>
                                              </w:rPr>
                                              <w:t>后期处置</w:t>
                                            </w:r>
                                          </w:p>
                                        </w:txbxContent>
                                      </wps:txbx>
                                      <wps:bodyPr rot="0" vert="horz" wrap="square" lIns="91440" tIns="45720" rIns="91440" bIns="45720" anchor="t" anchorCtr="0" upright="1">
                                        <a:noAutofit/>
                                      </wps:bodyPr>
                                    </wps:wsp>
                                    <wps:wsp>
                                      <wps:cNvPr id="263" name="直线 525"/>
                                      <wps:cNvCnPr>
                                        <a:cxnSpLocks noChangeShapeType="1"/>
                                      </wps:cNvCnPr>
                                      <wps:spPr bwMode="auto">
                                        <a:xfrm flipH="1">
                                          <a:off x="4068" y="10582"/>
                                          <a:ext cx="855" cy="0"/>
                                        </a:xfrm>
                                        <a:prstGeom prst="line">
                                          <a:avLst/>
                                        </a:prstGeom>
                                        <a:noFill/>
                                        <a:ln w="9525" cmpd="sng">
                                          <a:solidFill>
                                            <a:srgbClr val="000000"/>
                                          </a:solidFill>
                                          <a:round/>
                                          <a:tailEnd type="triangle" w="sm" len="med"/>
                                        </a:ln>
                                        <a:effectLst/>
                                      </wps:spPr>
                                      <wps:bodyPr/>
                                    </wps:wsp>
                                    <wps:wsp>
                                      <wps:cNvPr id="33" name="直线 526"/>
                                      <wps:cNvCnPr>
                                        <a:cxnSpLocks noChangeShapeType="1"/>
                                      </wps:cNvCnPr>
                                      <wps:spPr bwMode="auto">
                                        <a:xfrm>
                                          <a:off x="5913" y="10775"/>
                                          <a:ext cx="0" cy="448"/>
                                        </a:xfrm>
                                        <a:prstGeom prst="line">
                                          <a:avLst/>
                                        </a:prstGeom>
                                        <a:noFill/>
                                        <a:ln w="9525" cmpd="sng">
                                          <a:solidFill>
                                            <a:srgbClr val="000000"/>
                                          </a:solidFill>
                                          <a:round/>
                                          <a:tailEnd type="triangle" w="sm" len="med"/>
                                        </a:ln>
                                        <a:effectLst/>
                                      </wps:spPr>
                                      <wps:bodyPr/>
                                    </wps:wsp>
                                    <wps:wsp>
                                      <wps:cNvPr id="265" name="文本框 527"/>
                                      <wps:cNvSpPr txBox="1">
                                        <a:spLocks noChangeArrowheads="1"/>
                                      </wps:cNvSpPr>
                                      <wps:spPr bwMode="auto">
                                        <a:xfrm>
                                          <a:off x="4908" y="11209"/>
                                          <a:ext cx="2025" cy="762"/>
                                        </a:xfrm>
                                        <a:prstGeom prst="rect">
                                          <a:avLst/>
                                        </a:prstGeom>
                                        <a:solidFill>
                                          <a:srgbClr val="FFFFFF"/>
                                        </a:solidFill>
                                        <a:ln w="9525" cmpd="sng">
                                          <a:solidFill>
                                            <a:srgbClr val="000000"/>
                                          </a:solidFill>
                                          <a:miter lim="800000"/>
                                        </a:ln>
                                        <a:effectLst/>
                                      </wps:spPr>
                                      <wps:txbx>
                                        <w:txbxContent>
                                          <w:p w14:paraId="6846149D">
                                            <w:pPr>
                                              <w:jc w:val="center"/>
                                              <w:rPr>
                                                <w:rFonts w:ascii="仿宋" w:hAnsi="仿宋" w:eastAsia="仿宋"/>
                                              </w:rPr>
                                            </w:pPr>
                                            <w:r>
                                              <w:rPr>
                                                <w:rFonts w:hint="eastAsia" w:ascii="仿宋" w:hAnsi="仿宋" w:eastAsia="仿宋"/>
                                                <w:sz w:val="24"/>
                                                <w:szCs w:val="24"/>
                                              </w:rPr>
                                              <w:t>结束应急救援行动终止预案</w:t>
                                            </w:r>
                                          </w:p>
                                        </w:txbxContent>
                                      </wps:txbx>
                                      <wps:bodyPr rot="0" vert="horz" wrap="square" lIns="91440" tIns="45720" rIns="91440" bIns="45720" anchor="t" anchorCtr="0" upright="1">
                                        <a:noAutofit/>
                                      </wps:bodyPr>
                                    </wps:wsp>
                                    <wps:wsp>
                                      <wps:cNvPr id="266" name="直线 528"/>
                                      <wps:cNvCnPr>
                                        <a:cxnSpLocks noChangeShapeType="1"/>
                                      </wps:cNvCnPr>
                                      <wps:spPr bwMode="auto">
                                        <a:xfrm flipH="1">
                                          <a:off x="6933" y="11563"/>
                                          <a:ext cx="855" cy="0"/>
                                        </a:xfrm>
                                        <a:prstGeom prst="line">
                                          <a:avLst/>
                                        </a:prstGeom>
                                        <a:noFill/>
                                        <a:ln w="9525" cmpd="sng">
                                          <a:solidFill>
                                            <a:srgbClr val="000000"/>
                                          </a:solidFill>
                                          <a:round/>
                                          <a:headEnd type="triangle" w="sm" len="med"/>
                                          <a:tailEnd type="none" w="sm" len="med"/>
                                        </a:ln>
                                        <a:effectLst/>
                                      </wps:spPr>
                                      <wps:bodyPr/>
                                    </wps:wsp>
                                    <wps:wsp>
                                      <wps:cNvPr id="35" name="文本框 529"/>
                                      <wps:cNvSpPr txBox="1">
                                        <a:spLocks noChangeArrowheads="1"/>
                                      </wps:cNvSpPr>
                                      <wps:spPr bwMode="auto">
                                        <a:xfrm>
                                          <a:off x="7788" y="11344"/>
                                          <a:ext cx="1980" cy="449"/>
                                        </a:xfrm>
                                        <a:prstGeom prst="rect">
                                          <a:avLst/>
                                        </a:prstGeom>
                                        <a:solidFill>
                                          <a:srgbClr val="FFFFFF"/>
                                        </a:solidFill>
                                        <a:ln w="9525" cmpd="sng">
                                          <a:solidFill>
                                            <a:srgbClr val="000000"/>
                                          </a:solidFill>
                                          <a:miter lim="800000"/>
                                        </a:ln>
                                        <a:effectLst/>
                                      </wps:spPr>
                                      <wps:txbx>
                                        <w:txbxContent>
                                          <w:p w14:paraId="307B4E90">
                                            <w:pPr>
                                              <w:jc w:val="center"/>
                                              <w:rPr>
                                                <w:rFonts w:ascii="仿宋" w:hAnsi="仿宋" w:eastAsia="仿宋"/>
                                                <w:sz w:val="24"/>
                                                <w:szCs w:val="24"/>
                                              </w:rPr>
                                            </w:pPr>
                                            <w:r>
                                              <w:rPr>
                                                <w:rFonts w:hint="eastAsia" w:ascii="仿宋" w:hAnsi="仿宋" w:eastAsia="仿宋"/>
                                                <w:sz w:val="24"/>
                                                <w:szCs w:val="24"/>
                                              </w:rPr>
                                              <w:t>总  结</w:t>
                                            </w:r>
                                          </w:p>
                                        </w:txbxContent>
                                      </wps:txbx>
                                      <wps:bodyPr rot="0" vert="horz" wrap="square" lIns="91440" tIns="45720" rIns="91440" bIns="45720" anchor="t" anchorCtr="0" upright="1">
                                        <a:noAutofit/>
                                      </wps:bodyPr>
                                    </wps:wsp>
                                    <wpg:grpSp>
                                      <wpg:cNvPr id="268" name="组合 530"/>
                                      <wpg:cNvGrpSpPr/>
                                      <wpg:grpSpPr>
                                        <a:xfrm>
                                          <a:off x="3633" y="2400"/>
                                          <a:ext cx="3904" cy="6295"/>
                                          <a:chOff x="3633" y="2400"/>
                                          <a:chExt cx="3904" cy="6295"/>
                                        </a:xfrm>
                                      </wpg:grpSpPr>
                                      <wpg:grpSp>
                                        <wpg:cNvPr id="36" name="组合 531"/>
                                        <wpg:cNvGrpSpPr/>
                                        <wpg:grpSpPr>
                                          <a:xfrm>
                                            <a:off x="4218" y="2400"/>
                                            <a:ext cx="3319" cy="4935"/>
                                            <a:chOff x="4218" y="2400"/>
                                            <a:chExt cx="3319" cy="4935"/>
                                          </a:xfrm>
                                        </wpg:grpSpPr>
                                        <wps:wsp>
                                          <wps:cNvPr id="270" name="文本框 532"/>
                                          <wps:cNvSpPr txBox="1">
                                            <a:spLocks noChangeArrowheads="1"/>
                                          </wps:cNvSpPr>
                                          <wps:spPr bwMode="auto">
                                            <a:xfrm>
                                              <a:off x="5973" y="6886"/>
                                              <a:ext cx="495" cy="449"/>
                                            </a:xfrm>
                                            <a:prstGeom prst="rect">
                                              <a:avLst/>
                                            </a:prstGeom>
                                            <a:solidFill>
                                              <a:srgbClr val="FFFFFF"/>
                                            </a:solidFill>
                                            <a:ln>
                                              <a:noFill/>
                                            </a:ln>
                                            <a:effectLst/>
                                          </wps:spPr>
                                          <wps:txbx>
                                            <w:txbxContent>
                                              <w:p w14:paraId="1D611DF4">
                                                <w:pPr>
                                                  <w:jc w:val="center"/>
                                                  <w:rPr>
                                                    <w:rFonts w:ascii="仿宋" w:hAnsi="仿宋" w:eastAsia="仿宋"/>
                                                    <w:sz w:val="24"/>
                                                    <w:szCs w:val="24"/>
                                                  </w:rPr>
                                                </w:pPr>
                                                <w:r>
                                                  <w:rPr>
                                                    <w:rFonts w:hint="eastAsia" w:ascii="仿宋" w:hAnsi="仿宋" w:eastAsia="仿宋"/>
                                                    <w:sz w:val="24"/>
                                                    <w:szCs w:val="24"/>
                                                  </w:rPr>
                                                  <w:t>是</w:t>
                                                </w:r>
                                              </w:p>
                                            </w:txbxContent>
                                          </wps:txbx>
                                          <wps:bodyPr rot="0" vert="horz" wrap="square" lIns="91440" tIns="45720" rIns="91440" bIns="45720" anchor="t" anchorCtr="0" upright="1">
                                            <a:noAutofit/>
                                          </wps:bodyPr>
                                        </wps:wsp>
                                        <wpg:grpSp>
                                          <wpg:cNvPr id="271" name="组合 533"/>
                                          <wpg:cNvGrpSpPr/>
                                          <wpg:grpSpPr>
                                            <a:xfrm>
                                              <a:off x="4218" y="2400"/>
                                              <a:ext cx="3319" cy="4524"/>
                                              <a:chOff x="4218" y="2400"/>
                                              <a:chExt cx="3319" cy="4524"/>
                                            </a:xfrm>
                                          </wpg:grpSpPr>
                                          <wps:wsp>
                                            <wps:cNvPr id="272" name="直线 534"/>
                                            <wps:cNvCnPr>
                                              <a:cxnSpLocks noChangeShapeType="1"/>
                                            </wps:cNvCnPr>
                                            <wps:spPr bwMode="auto">
                                              <a:xfrm>
                                                <a:off x="5868" y="3254"/>
                                                <a:ext cx="0" cy="598"/>
                                              </a:xfrm>
                                              <a:prstGeom prst="line">
                                                <a:avLst/>
                                              </a:prstGeom>
                                              <a:noFill/>
                                              <a:ln w="9525" cmpd="sng">
                                                <a:solidFill>
                                                  <a:srgbClr val="000000"/>
                                                </a:solidFill>
                                                <a:round/>
                                                <a:tailEnd type="triangle" w="sm" len="med"/>
                                              </a:ln>
                                              <a:effectLst/>
                                            </wps:spPr>
                                            <wps:bodyPr/>
                                          </wps:wsp>
                                          <wpg:grpSp>
                                            <wpg:cNvPr id="273" name="组合 535"/>
                                            <wpg:cNvGrpSpPr/>
                                            <wpg:grpSpPr>
                                              <a:xfrm>
                                                <a:off x="4782" y="2400"/>
                                                <a:ext cx="2192" cy="1915"/>
                                                <a:chOff x="4782" y="2400"/>
                                                <a:chExt cx="2192" cy="1915"/>
                                              </a:xfrm>
                                            </wpg:grpSpPr>
                                            <wps:wsp>
                                              <wps:cNvPr id="274" name="自选图形 536"/>
                                              <wps:cNvSpPr>
                                                <a:spLocks noChangeArrowheads="1"/>
                                              </wps:cNvSpPr>
                                              <wps:spPr bwMode="auto">
                                                <a:xfrm>
                                                  <a:off x="4782" y="2400"/>
                                                  <a:ext cx="2192" cy="1196"/>
                                                </a:xfrm>
                                                <a:prstGeom prst="irregularSeal1">
                                                  <a:avLst/>
                                                </a:prstGeom>
                                                <a:solidFill>
                                                  <a:srgbClr val="FFFFFF"/>
                                                </a:solidFill>
                                                <a:ln w="9525" cmpd="sng">
                                                  <a:solidFill>
                                                    <a:srgbClr val="000000"/>
                                                  </a:solidFill>
                                                  <a:miter lim="800000"/>
                                                </a:ln>
                                                <a:effectLst/>
                                              </wps:spPr>
                                              <wps:txbx>
                                                <w:txbxContent>
                                                  <w:p w14:paraId="2A696132">
                                                    <w:pPr>
                                                      <w:rPr>
                                                        <w:rFonts w:ascii="仿宋" w:hAnsi="仿宋" w:eastAsia="仿宋"/>
                                                        <w:spacing w:val="-16"/>
                                                        <w:sz w:val="24"/>
                                                        <w:szCs w:val="24"/>
                                                      </w:rPr>
                                                    </w:pPr>
                                                    <w:r>
                                                      <w:rPr>
                                                        <w:rFonts w:hint="eastAsia" w:ascii="仿宋" w:hAnsi="仿宋" w:eastAsia="仿宋"/>
                                                        <w:spacing w:val="-16"/>
                                                        <w:sz w:val="24"/>
                                                        <w:szCs w:val="24"/>
                                                      </w:rPr>
                                                      <w:t>事故现场</w:t>
                                                    </w:r>
                                                  </w:p>
                                                </w:txbxContent>
                                              </wps:txbx>
                                              <wps:bodyPr rot="0" vert="horz" wrap="square" lIns="91440" tIns="45720" rIns="91440" bIns="45720" anchor="t" anchorCtr="0" upright="1">
                                                <a:noAutofit/>
                                              </wps:bodyPr>
                                            </wps:wsp>
                                            <wps:wsp>
                                              <wps:cNvPr id="275" name="文本框 537"/>
                                              <wps:cNvSpPr txBox="1">
                                                <a:spLocks noChangeArrowheads="1"/>
                                              </wps:cNvSpPr>
                                              <wps:spPr bwMode="auto">
                                                <a:xfrm>
                                                  <a:off x="4893" y="3867"/>
                                                  <a:ext cx="1980" cy="448"/>
                                                </a:xfrm>
                                                <a:prstGeom prst="rect">
                                                  <a:avLst/>
                                                </a:prstGeom>
                                                <a:solidFill>
                                                  <a:srgbClr val="FFFFFF"/>
                                                </a:solidFill>
                                                <a:ln w="9525" cmpd="sng">
                                                  <a:solidFill>
                                                    <a:srgbClr val="000000"/>
                                                  </a:solidFill>
                                                  <a:miter lim="800000"/>
                                                </a:ln>
                                                <a:effectLst/>
                                              </wps:spPr>
                                              <wps:txbx>
                                                <w:txbxContent>
                                                  <w:p w14:paraId="283E6D8A">
                                                    <w:pPr>
                                                      <w:jc w:val="center"/>
                                                      <w:rPr>
                                                        <w:rFonts w:ascii="仿宋" w:hAnsi="仿宋" w:eastAsia="仿宋"/>
                                                        <w:sz w:val="24"/>
                                                        <w:szCs w:val="24"/>
                                                      </w:rPr>
                                                    </w:pPr>
                                                    <w:r>
                                                      <w:rPr>
                                                        <w:rFonts w:hint="eastAsia" w:ascii="仿宋" w:hAnsi="仿宋" w:eastAsia="仿宋"/>
                                                        <w:sz w:val="24"/>
                                                        <w:szCs w:val="24"/>
                                                      </w:rPr>
                                                      <w:t>接警</w:t>
                                                    </w:r>
                                                  </w:p>
                                                </w:txbxContent>
                                              </wps:txbx>
                                              <wps:bodyPr rot="0" vert="horz" wrap="square" lIns="91440" tIns="45720" rIns="91440" bIns="45720" anchor="t" anchorCtr="0" upright="1">
                                                <a:noAutofit/>
                                              </wps:bodyPr>
                                            </wps:wsp>
                                          </wpg:grpSp>
                                          <wps:wsp>
                                            <wps:cNvPr id="276" name="直线 538"/>
                                            <wps:cNvCnPr>
                                              <a:cxnSpLocks noChangeShapeType="1"/>
                                            </wps:cNvCnPr>
                                            <wps:spPr bwMode="auto">
                                              <a:xfrm>
                                                <a:off x="5883" y="4315"/>
                                                <a:ext cx="0" cy="449"/>
                                              </a:xfrm>
                                              <a:prstGeom prst="line">
                                                <a:avLst/>
                                              </a:prstGeom>
                                              <a:noFill/>
                                              <a:ln w="9525" cmpd="sng">
                                                <a:solidFill>
                                                  <a:srgbClr val="000000"/>
                                                </a:solidFill>
                                                <a:round/>
                                                <a:tailEnd type="triangle" w="sm" len="med"/>
                                              </a:ln>
                                              <a:effectLst/>
                                            </wps:spPr>
                                            <wps:bodyPr/>
                                          </wps:wsp>
                                          <wps:wsp>
                                            <wps:cNvPr id="277" name="自选图形 539"/>
                                            <wps:cNvSpPr>
                                              <a:spLocks noChangeArrowheads="1"/>
                                            </wps:cNvSpPr>
                                            <wps:spPr bwMode="auto">
                                              <a:xfrm>
                                                <a:off x="4218" y="5676"/>
                                                <a:ext cx="3319" cy="1248"/>
                                              </a:xfrm>
                                              <a:prstGeom prst="diamond">
                                                <a:avLst/>
                                              </a:prstGeom>
                                              <a:solidFill>
                                                <a:srgbClr val="FFFFFF"/>
                                              </a:solidFill>
                                              <a:ln w="9525" cmpd="sng">
                                                <a:solidFill>
                                                  <a:srgbClr val="000000"/>
                                                </a:solidFill>
                                                <a:miter lim="800000"/>
                                              </a:ln>
                                              <a:effectLst/>
                                            </wps:spPr>
                                            <wps:txbx>
                                              <w:txbxContent>
                                                <w:p w14:paraId="16E31281">
                                                  <w:pPr>
                                                    <w:jc w:val="center"/>
                                                    <w:rPr>
                                                      <w:rFonts w:ascii="仿宋" w:hAnsi="仿宋" w:eastAsia="仿宋"/>
                                                    </w:rPr>
                                                  </w:pPr>
                                                  <w:r>
                                                    <w:rPr>
                                                      <w:rFonts w:hint="eastAsia" w:ascii="仿宋" w:hAnsi="仿宋" w:eastAsia="仿宋"/>
                                                      <w:sz w:val="24"/>
                                                      <w:szCs w:val="24"/>
                                                    </w:rPr>
                                                    <w:t>警情判断是否启动本预案？</w:t>
                                                  </w:r>
                                                  <w:r>
                                                    <w:rPr>
                                                      <w:rFonts w:hint="eastAsia" w:ascii="仿宋" w:hAnsi="仿宋" w:eastAsia="仿宋"/>
                                                    </w:rPr>
                                                    <w:t>案？</w:t>
                                                  </w:r>
                                                </w:p>
                                              </w:txbxContent>
                                            </wps:txbx>
                                            <wps:bodyPr rot="0" vert="horz" wrap="square" lIns="18000" tIns="0" rIns="18000" bIns="0" anchor="t" anchorCtr="0" upright="1">
                                              <a:noAutofit/>
                                            </wps:bodyPr>
                                          </wps:wsp>
                                          <wps:wsp>
                                            <wps:cNvPr id="278" name="文本框 540"/>
                                            <wps:cNvSpPr txBox="1">
                                              <a:spLocks noChangeArrowheads="1"/>
                                            </wps:cNvSpPr>
                                            <wps:spPr bwMode="auto">
                                              <a:xfrm>
                                                <a:off x="4353" y="4793"/>
                                                <a:ext cx="3060" cy="448"/>
                                              </a:xfrm>
                                              <a:prstGeom prst="rect">
                                                <a:avLst/>
                                              </a:prstGeom>
                                              <a:solidFill>
                                                <a:srgbClr val="FFFFFF"/>
                                              </a:solidFill>
                                              <a:ln w="9525" cmpd="sng">
                                                <a:solidFill>
                                                  <a:srgbClr val="000000"/>
                                                </a:solidFill>
                                                <a:miter lim="800000"/>
                                              </a:ln>
                                              <a:effectLst/>
                                            </wps:spPr>
                                            <wps:txbx>
                                              <w:txbxContent>
                                                <w:p w14:paraId="2E132253">
                                                  <w:pPr>
                                                    <w:jc w:val="center"/>
                                                    <w:rPr>
                                                      <w:rFonts w:ascii="仿宋" w:hAnsi="仿宋" w:eastAsia="仿宋"/>
                                                      <w:sz w:val="24"/>
                                                      <w:szCs w:val="24"/>
                                                    </w:rPr>
                                                  </w:pPr>
                                                  <w:r>
                                                    <w:rPr>
                                                      <w:rFonts w:hint="eastAsia" w:ascii="仿宋" w:hAnsi="仿宋" w:eastAsia="仿宋"/>
                                                      <w:sz w:val="24"/>
                                                      <w:szCs w:val="24"/>
                                                    </w:rPr>
                                                    <w:t>向应急指挥部报告</w:t>
                                                  </w:r>
                                                </w:p>
                                              </w:txbxContent>
                                            </wps:txbx>
                                            <wps:bodyPr rot="0" vert="horz" wrap="square" lIns="91440" tIns="45720" rIns="91440" bIns="45720" anchor="t" anchorCtr="0" upright="1">
                                              <a:noAutofit/>
                                            </wps:bodyPr>
                                          </wps:wsp>
                                          <wps:wsp>
                                            <wps:cNvPr id="279" name="直线 541"/>
                                            <wps:cNvCnPr>
                                              <a:cxnSpLocks noChangeShapeType="1"/>
                                            </wps:cNvCnPr>
                                            <wps:spPr bwMode="auto">
                                              <a:xfrm>
                                                <a:off x="5868" y="5241"/>
                                                <a:ext cx="0" cy="449"/>
                                              </a:xfrm>
                                              <a:prstGeom prst="line">
                                                <a:avLst/>
                                              </a:prstGeom>
                                              <a:noFill/>
                                              <a:ln w="9525" cmpd="sng">
                                                <a:solidFill>
                                                  <a:srgbClr val="000000"/>
                                                </a:solidFill>
                                                <a:round/>
                                                <a:tailEnd type="triangle" w="sm" len="med"/>
                                              </a:ln>
                                              <a:effectLst/>
                                            </wps:spPr>
                                            <wps:bodyPr/>
                                          </wps:wsp>
                                        </wpg:grpSp>
                                      </wpg:grpSp>
                                      <wps:wsp>
                                        <wps:cNvPr id="280" name="文本框 542"/>
                                        <wps:cNvSpPr txBox="1">
                                          <a:spLocks noChangeArrowheads="1"/>
                                        </wps:cNvSpPr>
                                        <wps:spPr bwMode="auto">
                                          <a:xfrm>
                                            <a:off x="4893" y="7321"/>
                                            <a:ext cx="1980" cy="448"/>
                                          </a:xfrm>
                                          <a:prstGeom prst="rect">
                                            <a:avLst/>
                                          </a:prstGeom>
                                          <a:solidFill>
                                            <a:srgbClr val="FFFFFF"/>
                                          </a:solidFill>
                                          <a:ln w="9525" cmpd="sng">
                                            <a:solidFill>
                                              <a:srgbClr val="000000"/>
                                            </a:solidFill>
                                            <a:miter lim="800000"/>
                                          </a:ln>
                                          <a:effectLst/>
                                        </wps:spPr>
                                        <wps:txbx>
                                          <w:txbxContent>
                                            <w:p w14:paraId="4F40AEEB">
                                              <w:pPr>
                                                <w:jc w:val="center"/>
                                                <w:rPr>
                                                  <w:rFonts w:ascii="仿宋" w:hAnsi="仿宋" w:eastAsia="仿宋"/>
                                                  <w:sz w:val="24"/>
                                                  <w:szCs w:val="24"/>
                                                </w:rPr>
                                              </w:pPr>
                                              <w:r>
                                                <w:rPr>
                                                  <w:rFonts w:hint="eastAsia" w:ascii="仿宋" w:hAnsi="仿宋" w:eastAsia="仿宋"/>
                                                  <w:sz w:val="24"/>
                                                  <w:szCs w:val="24"/>
                                                </w:rPr>
                                                <w:t>启动预案</w:t>
                                              </w:r>
                                            </w:p>
                                          </w:txbxContent>
                                        </wps:txbx>
                                        <wps:bodyPr rot="0" vert="horz" wrap="square" lIns="91440" tIns="45720" rIns="91440" bIns="45720" anchor="t" anchorCtr="0" upright="1">
                                          <a:noAutofit/>
                                        </wps:bodyPr>
                                      </wps:wsp>
                                      <wps:wsp>
                                        <wps:cNvPr id="281" name="直线 543"/>
                                        <wps:cNvCnPr>
                                          <a:cxnSpLocks noChangeShapeType="1"/>
                                        </wps:cNvCnPr>
                                        <wps:spPr bwMode="auto">
                                          <a:xfrm flipH="1">
                                            <a:off x="4023" y="7562"/>
                                            <a:ext cx="855" cy="0"/>
                                          </a:xfrm>
                                          <a:prstGeom prst="line">
                                            <a:avLst/>
                                          </a:prstGeom>
                                          <a:noFill/>
                                          <a:ln w="9525" cmpd="sng">
                                            <a:solidFill>
                                              <a:srgbClr val="000000"/>
                                            </a:solidFill>
                                            <a:round/>
                                            <a:tailEnd type="triangle" w="sm" len="med"/>
                                          </a:ln>
                                          <a:effectLst/>
                                        </wps:spPr>
                                        <wps:bodyPr/>
                                      </wps:wsp>
                                      <wps:wsp>
                                        <wps:cNvPr id="282" name="直线 544"/>
                                        <wps:cNvCnPr>
                                          <a:cxnSpLocks noChangeShapeType="1"/>
                                        </wps:cNvCnPr>
                                        <wps:spPr bwMode="auto">
                                          <a:xfrm>
                                            <a:off x="3633" y="8460"/>
                                            <a:ext cx="1260" cy="0"/>
                                          </a:xfrm>
                                          <a:prstGeom prst="line">
                                            <a:avLst/>
                                          </a:prstGeom>
                                          <a:noFill/>
                                          <a:ln w="9525" cmpd="sng">
                                            <a:solidFill>
                                              <a:srgbClr val="000000"/>
                                            </a:solidFill>
                                            <a:round/>
                                          </a:ln>
                                          <a:effectLst/>
                                        </wps:spPr>
                                        <wps:bodyPr/>
                                      </wps:wsp>
                                      <wps:wsp>
                                        <wps:cNvPr id="283" name="直线 545"/>
                                        <wps:cNvCnPr>
                                          <a:cxnSpLocks noChangeShapeType="1"/>
                                        </wps:cNvCnPr>
                                        <wps:spPr bwMode="auto">
                                          <a:xfrm>
                                            <a:off x="5883" y="7784"/>
                                            <a:ext cx="0" cy="448"/>
                                          </a:xfrm>
                                          <a:prstGeom prst="line">
                                            <a:avLst/>
                                          </a:prstGeom>
                                          <a:noFill/>
                                          <a:ln w="9525" cmpd="sng">
                                            <a:solidFill>
                                              <a:srgbClr val="000000"/>
                                            </a:solidFill>
                                            <a:round/>
                                            <a:tailEnd type="triangle" w="sm" len="med"/>
                                          </a:ln>
                                          <a:effectLst/>
                                        </wps:spPr>
                                        <wps:bodyPr/>
                                      </wps:wsp>
                                      <wps:wsp>
                                        <wps:cNvPr id="284" name="文本框 546"/>
                                        <wps:cNvSpPr txBox="1">
                                          <a:spLocks noChangeArrowheads="1"/>
                                        </wps:cNvSpPr>
                                        <wps:spPr bwMode="auto">
                                          <a:xfrm>
                                            <a:off x="4893" y="8247"/>
                                            <a:ext cx="1980" cy="448"/>
                                          </a:xfrm>
                                          <a:prstGeom prst="rect">
                                            <a:avLst/>
                                          </a:prstGeom>
                                          <a:solidFill>
                                            <a:srgbClr val="FFFFFF"/>
                                          </a:solidFill>
                                          <a:ln w="9525" cmpd="sng">
                                            <a:solidFill>
                                              <a:srgbClr val="000000"/>
                                            </a:solidFill>
                                            <a:miter lim="800000"/>
                                          </a:ln>
                                          <a:effectLst/>
                                        </wps:spPr>
                                        <wps:txbx>
                                          <w:txbxContent>
                                            <w:p w14:paraId="7EF90610">
                                              <w:pPr>
                                                <w:jc w:val="center"/>
                                                <w:rPr>
                                                  <w:rFonts w:ascii="仿宋" w:hAnsi="仿宋" w:eastAsia="仿宋"/>
                                                </w:rPr>
                                              </w:pPr>
                                              <w:r>
                                                <w:rPr>
                                                  <w:rFonts w:hint="eastAsia" w:ascii="仿宋" w:hAnsi="仿宋" w:eastAsia="仿宋"/>
                                                  <w:sz w:val="24"/>
                                                  <w:szCs w:val="24"/>
                                                </w:rPr>
                                                <w:t>救援抢险行动</w:t>
                                              </w:r>
                                            </w:p>
                                          </w:txbxContent>
                                        </wps:txbx>
                                        <wps:bodyPr rot="0" vert="horz" wrap="square" lIns="91440" tIns="45720" rIns="91440" bIns="45720" anchor="t" anchorCtr="0" upright="1">
                                          <a:noAutofit/>
                                        </wps:bodyPr>
                                      </wps:wsp>
                                      <wps:wsp>
                                        <wps:cNvPr id="285" name="直线 547"/>
                                        <wps:cNvCnPr>
                                          <a:cxnSpLocks noChangeShapeType="1"/>
                                        </wps:cNvCnPr>
                                        <wps:spPr bwMode="auto">
                                          <a:xfrm>
                                            <a:off x="5853" y="6924"/>
                                            <a:ext cx="0" cy="468"/>
                                          </a:xfrm>
                                          <a:prstGeom prst="line">
                                            <a:avLst/>
                                          </a:prstGeom>
                                          <a:noFill/>
                                          <a:ln w="9525" cmpd="sng">
                                            <a:solidFill>
                                              <a:srgbClr val="000000"/>
                                            </a:solidFill>
                                            <a:round/>
                                            <a:tailEnd type="triangle" w="med" len="med"/>
                                          </a:ln>
                                          <a:effectLst/>
                                        </wps:spPr>
                                        <wps:bodyPr/>
                                      </wps:wsp>
                                    </wpg:grpSp>
                                  </wpg:grpSp>
                                </wpg:grpSp>
                              </wpg:grpSp>
                            </wpg:grpSp>
                          </wpg:grpSp>
                        </wpg:grpSp>
                      </wpg:grpSp>
                    </wpg:wgp>
                  </a:graphicData>
                </a:graphic>
              </wp:inline>
            </w:drawing>
          </mc:Choice>
          <mc:Fallback>
            <w:pict>
              <v:group id="_x0000_s1026" o:spid="_x0000_s1026" o:spt="203" style="height:522pt;width:402.5pt;" coordorigin="1653,2400" coordsize="8567,9571" o:gfxdata="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">
                <o:lock v:ext="edit" aspectratio="f"/>
                <v:shape id="文本框 468" o:spid="_x0000_s1026" o:spt="202" type="#_x0000_t202" style="position:absolute;left:7953;top:5540;height:449;width:495;" fillcolor="#FFFFFF" filled="t" stroked="f" coordsize="21600,21600" o:gfxdata="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V1rm/&#10;AAAA3QAAAA8AAAAAAAAAAQAgAAAAIgAAAGRycy9kb3ducmV2LnhtbFBLAQIUABQAAAAIAIdO4kAz&#10;LwWeOwAAADkAAAAQAAAAAAAAAAEAIAAAAA4BAABkcnMvc2hhcGV4bWwueG1sUEsFBgAAAAAGAAYA&#10;WwEAALgDAAAAAA==&#10;">
                  <v:fill on="t" focussize="0,0"/>
                  <v:stroke on="f"/>
                  <v:imagedata o:title=""/>
                  <o:lock v:ext="edit" aspectratio="f"/>
                  <v:textbox>
                    <w:txbxContent>
                      <w:p w14:paraId="38CE6031">
                        <w:pPr>
                          <w:jc w:val="center"/>
                          <w:rPr>
                            <w:rFonts w:ascii="仿宋" w:hAnsi="仿宋" w:eastAsia="仿宋"/>
                            <w:sz w:val="24"/>
                            <w:szCs w:val="24"/>
                          </w:rPr>
                        </w:pPr>
                        <w:r>
                          <w:rPr>
                            <w:rFonts w:hint="eastAsia" w:ascii="仿宋" w:hAnsi="仿宋" w:eastAsia="仿宋"/>
                            <w:sz w:val="24"/>
                            <w:szCs w:val="24"/>
                          </w:rPr>
                          <w:t>否</w:t>
                        </w:r>
                      </w:p>
                    </w:txbxContent>
                  </v:textbox>
                </v:shape>
                <v:group id="组合 469" o:spid="_x0000_s1026" o:spt="203" style="position:absolute;left:1653;top:2400;height:9571;width:8567;" coordorigin="1653,2400" coordsize="8567,9571" o:gfxdata="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lWaMm+AAAA3QAAAA8AAAAAAAAAAQAgAAAAIgAAAGRycy9kb3ducmV2Lnht&#10;bFBLAQIUABQAAAAIAIdO4kAzLwWeOwAAADkAAAAVAAAAAAAAAAEAIAAAAA0BAABkcnMvZ3JvdXBz&#10;aGFwZXhtbC54bWxQSwUGAAAAAAYABgBgAQAAygMAAAAA&#10;">
                  <o:lock v:ext="edit" aspectratio="f"/>
                  <v:shape id="文本框 470" o:spid="_x0000_s1026" o:spt="202" type="#_x0000_t202" style="position:absolute;left:5748;top:9906;height:434;width:720;" fillcolor="#FFFFFF" filled="t" stroked="f" coordsize="21600,21600" o:gfxdata="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L7VW/&#10;AAAA3QAAAA8AAAAAAAAAAQAgAAAAIgAAAGRycy9kb3ducmV2LnhtbFBLAQIUABQAAAAIAIdO4kAz&#10;LwWeOwAAADkAAAAQAAAAAAAAAAEAIAAAAA4BAABkcnMvc2hhcGV4bWwueG1sUEsFBgAAAAAGAAYA&#10;WwEAALgDAAAAAA==&#10;">
                    <v:fill on="t" focussize="0,0"/>
                    <v:stroke on="f"/>
                    <v:imagedata o:title=""/>
                    <o:lock v:ext="edit" aspectratio="f"/>
                    <v:textbox>
                      <w:txbxContent>
                        <w:p w14:paraId="12D1E0C9">
                          <w:pPr>
                            <w:jc w:val="center"/>
                            <w:rPr>
                              <w:rFonts w:ascii="仿宋" w:hAnsi="仿宋" w:eastAsia="仿宋"/>
                              <w:sz w:val="24"/>
                              <w:szCs w:val="24"/>
                            </w:rPr>
                          </w:pPr>
                          <w:r>
                            <w:rPr>
                              <w:rFonts w:hint="eastAsia" w:ascii="仿宋" w:hAnsi="仿宋" w:eastAsia="仿宋"/>
                              <w:sz w:val="24"/>
                              <w:szCs w:val="24"/>
                            </w:rPr>
                            <w:t>是</w:t>
                          </w:r>
                        </w:p>
                      </w:txbxContent>
                    </v:textbox>
                  </v:shape>
                  <v:group id="组合 471" o:spid="_x0000_s1026" o:spt="203" style="position:absolute;left:1653;top:2400;height:9571;width:8567;" coordorigin="1653,2400" coordsize="8567,9571" o:gfxdata="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eFWSC7AAAA3QAAAA8AAAAAAAAAAQAgAAAAIgAAAGRycy9kb3ducmV2LnhtbFBL&#10;AQIUABQAAAAIAIdO4kAzLwWeOwAAADkAAAAVAAAAAAAAAAEAIAAAAAoBAABkcnMvZ3JvdXBzaGFw&#10;ZXhtbC54bWxQSwUGAAAAAAYABgBgAQAAxwMAAAAA&#10;">
                    <o:lock v:ext="edit" aspectratio="f"/>
                    <v:shape id="文本框 472" o:spid="_x0000_s1026" o:spt="202" type="#_x0000_t202" style="position:absolute;left:3663;top:9135;height:443;width:495;" fillcolor="#FFFFFF" filled="t" stroked="f" coordsize="21600,21600" o:gfxdata="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djcvL4A&#10;AADdAAAADwAAAAAAAAABACAAAAAiAAAAZHJzL2Rvd25yZXYueG1sUEsBAhQAFAAAAAgAh07iQDMv&#10;BZ47AAAAOQAAABAAAAAAAAAAAQAgAAAADQEAAGRycy9zaGFwZXhtbC54bWxQSwUGAAAAAAYABgBb&#10;AQAAtwMAAAAA&#10;">
                      <v:fill on="t" focussize="0,0"/>
                      <v:stroke on="f"/>
                      <v:imagedata o:title=""/>
                      <o:lock v:ext="edit" aspectratio="f"/>
                      <v:textbox>
                        <w:txbxContent>
                          <w:p w14:paraId="346A242F">
                            <w:pPr>
                              <w:jc w:val="center"/>
                              <w:rPr>
                                <w:rFonts w:ascii="仿宋" w:hAnsi="仿宋" w:eastAsia="仿宋"/>
                                <w:sz w:val="24"/>
                                <w:szCs w:val="24"/>
                              </w:rPr>
                            </w:pPr>
                            <w:r>
                              <w:rPr>
                                <w:rFonts w:hint="eastAsia" w:ascii="仿宋" w:hAnsi="仿宋" w:eastAsia="仿宋"/>
                                <w:sz w:val="24"/>
                                <w:szCs w:val="24"/>
                              </w:rPr>
                              <w:t>否</w:t>
                            </w:r>
                          </w:p>
                        </w:txbxContent>
                      </v:textbox>
                    </v:shape>
                    <v:line id="直线 473" o:spid="_x0000_s1026" o:spt="20" style="position:absolute;left:2868;top:9521;flip:x;height:0;width:1800;" filled="f" stroked="t" coordsize="21600,21600" o:gfxdata="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ShbT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474" o:spid="_x0000_s1026" o:spt="20" style="position:absolute;left:2853;top:8649;flip:y;height:898;width:0;" filled="f" stroked="t" coordsize="21600,21600" o:gfxdata="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6c9m8AAAA&#10;3QAAAA8AAAAAAAAAAQAgAAAAIgAAAGRycy9kb3ducmV2LnhtbFBLAQIUABQAAAAIAIdO4kAzLwWe&#10;OwAAADkAAAAQAAAAAAAAAAEAIAAAAAsBAABkcnMvc2hhcGV4bWwueG1sUEsFBgAAAAAGAAYAWwEA&#10;ALUDAAAAAA==&#10;">
                      <v:fill on="f" focussize="0,0"/>
                      <v:stroke color="#000000" joinstyle="round" endarrow="block" endarrowwidth="narrow"/>
                      <v:imagedata o:title=""/>
                      <o:lock v:ext="edit" aspectratio="f"/>
                    </v:line>
                    <v:group id="组合 475" o:spid="_x0000_s1026" o:spt="203" style="position:absolute;left:1653;top:2400;height:9571;width:8567;" coordorigin="1653,2400" coordsize="8567,9571" o:gfxdata="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3msdt8AAAADdAAAADwAAAAAAAAABACAAAAAiAAAAZHJzL2Rvd25yZXYu&#10;eG1sUEsBAhQAFAAAAAgAh07iQDMvBZ47AAAAOQAAABUAAAAAAAAAAQAgAAAADwEAAGRycy9ncm91&#10;cHNoYXBleG1sLnhtbFBLBQYAAAAABgAGAGABAADMAwAAAAA=&#10;">
                      <o:lock v:ext="edit" aspectratio="f"/>
                      <v:group id="组合 476" o:spid="_x0000_s1026" o:spt="203" style="position:absolute;left:1743;top:9670;height:2080;width:2340;" coordorigin="1743,9670" coordsize="2340,2080" o:gfxdata="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sSe4LMAAAADdAAAADwAAAAAAAAABACAAAAAiAAAAZHJzL2Rvd25yZXYu&#10;eG1sUEsBAhQAFAAAAAgAh07iQDMvBZ47AAAAOQAAABUAAAAAAAAAAQAgAAAADwEAAGRycy9ncm91&#10;cHNoYXBleG1sLnhtbFBLBQYAAAAABgAGAGABAADMAwAAAAA=&#10;">
                        <o:lock v:ext="edit" aspectratio="f"/>
                        <v:line id="直线 477" o:spid="_x0000_s1026" o:spt="20" style="position:absolute;left:4083;top:9912;flip:x;height:1645;width: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78" o:spid="_x0000_s1026" o:spt="20" style="position:absolute;left:3723;top:9912;height:0;width:360;"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79" o:spid="_x0000_s1026" o:spt="20" style="position:absolute;left:3723;top:10780;height:0;width:360;"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80" o:spid="_x0000_s1026" o:spt="20" style="position:absolute;left:3723;top:11557;height:0;width:360;" filled="f" stroked="t" coordsize="21600,21600" o:gfxdata="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BJhu/&#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文本框 481" o:spid="_x0000_s1026" o:spt="202" type="#_x0000_t202" style="position:absolute;left:1743;top:9670;height:449;width:1980;" fillcolor="#FFFFFF" filled="t" stroked="t" coordsize="21600,21600" o:gfxdata="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lQT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4DEE2CBE">
                                <w:pPr>
                                  <w:jc w:val="center"/>
                                  <w:rPr>
                                    <w:rFonts w:ascii="仿宋" w:hAnsi="仿宋" w:eastAsia="仿宋"/>
                                    <w:sz w:val="24"/>
                                    <w:szCs w:val="24"/>
                                  </w:rPr>
                                </w:pPr>
                                <w:r>
                                  <w:rPr>
                                    <w:rFonts w:hint="eastAsia" w:ascii="仿宋" w:hAnsi="仿宋" w:eastAsia="仿宋"/>
                                    <w:sz w:val="24"/>
                                    <w:szCs w:val="24"/>
                                  </w:rPr>
                                  <w:t>解除警戒</w:t>
                                </w:r>
                              </w:p>
                            </w:txbxContent>
                          </v:textbox>
                        </v:shape>
                        <v:shape id="文本框 482" o:spid="_x0000_s1026" o:spt="202" type="#_x0000_t202" style="position:absolute;left:1743;top:10539;height:448;width:1980;" fillcolor="#FFFFFF" filled="t" stroked="t" coordsize="21600,21600" o:gfxdata="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6vGI&#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14:paraId="5A5A125C">
                                <w:pPr>
                                  <w:jc w:val="center"/>
                                  <w:rPr>
                                    <w:rFonts w:ascii="仿宋" w:hAnsi="仿宋" w:eastAsia="仿宋"/>
                                    <w:sz w:val="24"/>
                                    <w:szCs w:val="24"/>
                                  </w:rPr>
                                </w:pPr>
                                <w:r>
                                  <w:rPr>
                                    <w:rFonts w:hint="eastAsia" w:ascii="仿宋" w:hAnsi="仿宋" w:eastAsia="仿宋"/>
                                    <w:sz w:val="24"/>
                                    <w:szCs w:val="24"/>
                                  </w:rPr>
                                  <w:t>善后处理</w:t>
                                </w:r>
                              </w:p>
                            </w:txbxContent>
                          </v:textbox>
                        </v:shape>
                        <v:shape id="文本框 483" o:spid="_x0000_s1026" o:spt="202" type="#_x0000_t202" style="position:absolute;left:1743;top:11301;height:449;width:1980;" fillcolor="#FFFFFF" filled="t" stroked="t" coordsize="21600,21600" o:gfxdata="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Jzsi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6B54FD73">
                                <w:pPr>
                                  <w:jc w:val="center"/>
                                  <w:rPr>
                                    <w:rFonts w:ascii="仿宋" w:hAnsi="仿宋" w:eastAsia="仿宋"/>
                                    <w:sz w:val="24"/>
                                    <w:szCs w:val="24"/>
                                  </w:rPr>
                                </w:pPr>
                                <w:r>
                                  <w:rPr>
                                    <w:rFonts w:hint="eastAsia" w:ascii="仿宋" w:hAnsi="仿宋" w:eastAsia="仿宋"/>
                                    <w:sz w:val="24"/>
                                    <w:szCs w:val="24"/>
                                  </w:rPr>
                                  <w:t>事故调查</w:t>
                                </w:r>
                              </w:p>
                            </w:txbxContent>
                          </v:textbox>
                        </v:shape>
                      </v:group>
                      <v:group id="组合 484" o:spid="_x0000_s1026" o:spt="203" style="position:absolute;left:1653;top:2400;height:9571;width:8567;" coordorigin="1653,2400" coordsize="8567,9571"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line id="直线 485" o:spid="_x0000_s1026" o:spt="20" style="position:absolute;left:3993;top:6124;flip:x;height:1645;width: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86" o:spid="_x0000_s1026" o:spt="20" style="position:absolute;left:3633;top:6139;height:0;width:360;" filled="f" stroked="t" coordsize="21600,21600" o:gfxdata="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I7bF&#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线 487" o:spid="_x0000_s1026" o:spt="20" style="position:absolute;left:3633;top:7007;height:0;width:360;" filled="f" stroked="t" coordsize="21600,21600" o:gfxdata="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yi6x&#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线 488" o:spid="_x0000_s1026" o:spt="20" style="position:absolute;left:3633;top:7784;height:0;width:360;" filled="f" stroked="t" coordsize="21600,21600" o:gfxdata="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4aLK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489" o:spid="_x0000_s1026" o:spt="202" type="#_x0000_t202" style="position:absolute;left:1653;top:5897;height:449;width:1980;" fillcolor="#FFFFFF" filled="t" stroked="t" coordsize="21600,21600" o:gfxdata="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alcC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3E63B0F5">
                                <w:pPr>
                                  <w:jc w:val="center"/>
                                  <w:rPr>
                                    <w:rFonts w:ascii="仿宋" w:hAnsi="仿宋" w:eastAsia="仿宋"/>
                                  </w:rPr>
                                </w:pPr>
                                <w:r>
                                  <w:rPr>
                                    <w:rFonts w:hint="eastAsia" w:ascii="仿宋" w:hAnsi="仿宋" w:eastAsia="仿宋"/>
                                    <w:sz w:val="24"/>
                                    <w:szCs w:val="24"/>
                                  </w:rPr>
                                  <w:t>成立现场指挥</w:t>
                                </w:r>
                                <w:r>
                                  <w:rPr>
                                    <w:rFonts w:hint="eastAsia" w:ascii="仿宋" w:hAnsi="仿宋" w:eastAsia="仿宋"/>
                                  </w:rPr>
                                  <w:t>部</w:t>
                                </w:r>
                              </w:p>
                            </w:txbxContent>
                          </v:textbox>
                        </v:shape>
                        <v:shape id="文本框 490" o:spid="_x0000_s1026" o:spt="202" type="#_x0000_t202" style="position:absolute;left:1653;top:6766;height:448;width:1980;" fillcolor="#FFFFFF" filled="t" stroked="t" coordsize="21600,21600" o:gfxdata="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VjBb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70081326">
                                <w:pPr>
                                  <w:jc w:val="center"/>
                                  <w:rPr>
                                    <w:rFonts w:ascii="仿宋" w:hAnsi="仿宋" w:eastAsia="仿宋"/>
                                  </w:rPr>
                                </w:pPr>
                                <w:r>
                                  <w:rPr>
                                    <w:rFonts w:hint="eastAsia" w:ascii="仿宋" w:hAnsi="仿宋" w:eastAsia="仿宋"/>
                                    <w:sz w:val="24"/>
                                    <w:szCs w:val="24"/>
                                  </w:rPr>
                                  <w:t>信息网络开通</w:t>
                                </w:r>
                              </w:p>
                            </w:txbxContent>
                          </v:textbox>
                        </v:shape>
                        <v:shape id="文本框 491" o:spid="_x0000_s1026" o:spt="202" type="#_x0000_t202" style="position:absolute;left:1653;top:7528;height:448;width:1980;" fillcolor="#FFFFFF" filled="t" stroked="t" coordsize="21600,21600" o:gfxdata="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v6gv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1030B4BD">
                                <w:pPr>
                                  <w:jc w:val="center"/>
                                  <w:rPr>
                                    <w:rFonts w:ascii="仿宋" w:hAnsi="仿宋" w:eastAsia="仿宋"/>
                                  </w:rPr>
                                </w:pPr>
                                <w:r>
                                  <w:rPr>
                                    <w:rFonts w:hint="eastAsia" w:ascii="仿宋" w:hAnsi="仿宋" w:eastAsia="仿宋"/>
                                    <w:sz w:val="24"/>
                                    <w:szCs w:val="24"/>
                                  </w:rPr>
                                  <w:t>应急资源调配</w:t>
                                </w:r>
                              </w:p>
                            </w:txbxContent>
                          </v:textbox>
                        </v:shape>
                        <v:shape id="文本框 492" o:spid="_x0000_s1026" o:spt="202" type="#_x0000_t202" style="position:absolute;left:1653;top:8232;height:449;width:1980;" fillcolor="#FFFFFF" filled="t" stroked="t" coordsize="21600,21600" o:gfxdata="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zDbS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3DC88FBD">
                                <w:pPr>
                                  <w:jc w:val="center"/>
                                  <w:rPr>
                                    <w:rFonts w:ascii="仿宋" w:hAnsi="仿宋" w:eastAsia="仿宋"/>
                                  </w:rPr>
                                </w:pPr>
                                <w:r>
                                  <w:rPr>
                                    <w:rFonts w:hint="eastAsia" w:ascii="仿宋" w:hAnsi="仿宋" w:eastAsia="仿宋"/>
                                    <w:sz w:val="24"/>
                                    <w:szCs w:val="24"/>
                                  </w:rPr>
                                  <w:t>申请增援</w:t>
                                </w:r>
                              </w:p>
                            </w:txbxContent>
                          </v:textbox>
                        </v:shape>
                        <v:group id="组合 493" o:spid="_x0000_s1026" o:spt="203" style="position:absolute;left:3633;top:2400;height:9571;width:6587;" coordorigin="3633,2400" coordsize="6587,9571"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group id="组合 494" o:spid="_x0000_s1026" o:spt="203" style="position:absolute;left:7773;top:7689;height:1539;width:2447;" coordorigin="7773,7689" coordsize="2447,1539" o:gfxdata="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p5kCK+AAAA3AAAAA8AAAAAAAAAAQAgAAAAIgAAAGRycy9kb3ducmV2Lnht&#10;bFBLAQIUABQAAAAIAIdO4kAzLwWeOwAAADkAAAAVAAAAAAAAAAEAIAAAAA0BAABkcnMvZ3JvdXBz&#10;aGFwZXhtbC54bWxQSwUGAAAAAAYABgBgAQAAygMAAAAA&#10;">
                            <o:lock v:ext="edit" aspectratio="f"/>
                            <v:group id="组合 495" o:spid="_x0000_s1026" o:spt="203" style="position:absolute;left:8240;top:7689;height:1539;width:1980;" coordorigin="8240,7689" coordsize="1980,1539" o:gfxdata="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b5gRQvwAAANwAAAAPAAAAAAAAAAEAIAAAACIAAABkcnMvZG93bnJldi54&#10;bWxQSwECFAAUAAAACACHTuJAMy8FnjsAAAA5AAAAFQAAAAAAAAABACAAAAAOAQAAZHJzL2dyb3Vw&#10;c2hhcGV4bWwueG1sUEsFBgAAAAAGAAYAYAEAAMsDAAAAAA==&#10;">
                              <o:lock v:ext="edit" aspectratio="f"/>
                              <v:shape id="文本框 497" o:spid="_x0000_s1026" o:spt="202" type="#_x0000_t202" style="position:absolute;left:8240;top:7689;height:449;width:1980;" fillcolor="#FFFFFF" filled="t" stroked="t" coordsize="21600,21600" o:gfxdata="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B7G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428D3810">
                                      <w:pPr>
                                        <w:jc w:val="center"/>
                                        <w:rPr>
                                          <w:rFonts w:ascii="仿宋" w:hAnsi="仿宋" w:eastAsia="仿宋"/>
                                          <w:sz w:val="24"/>
                                          <w:szCs w:val="24"/>
                                        </w:rPr>
                                      </w:pPr>
                                      <w:r>
                                        <w:rPr>
                                          <w:rFonts w:hint="eastAsia" w:ascii="仿宋" w:hAnsi="仿宋" w:eastAsia="仿宋"/>
                                          <w:sz w:val="24"/>
                                          <w:szCs w:val="24"/>
                                        </w:rPr>
                                        <w:t>综合协调组</w:t>
                                      </w:r>
                                    </w:p>
                                  </w:txbxContent>
                                </v:textbox>
                              </v:shape>
                              <v:shape id="文本框 498" o:spid="_x0000_s1026" o:spt="202" type="#_x0000_t202" style="position:absolute;left:8240;top:8230;height:449;width:1980;" fillcolor="#FFFFFF" filled="t" stroked="t" coordsize="21600,21600" o:gfxdata="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q1rX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75C507A9">
                                      <w:pPr>
                                        <w:jc w:val="center"/>
                                        <w:rPr>
                                          <w:rFonts w:ascii="仿宋" w:hAnsi="仿宋" w:eastAsia="仿宋"/>
                                          <w:sz w:val="24"/>
                                          <w:szCs w:val="24"/>
                                        </w:rPr>
                                      </w:pPr>
                                      <w:r>
                                        <w:rPr>
                                          <w:rFonts w:hint="eastAsia" w:ascii="仿宋" w:hAnsi="仿宋" w:eastAsia="仿宋"/>
                                          <w:sz w:val="24"/>
                                          <w:szCs w:val="24"/>
                                          <w:lang w:val="en-US" w:eastAsia="zh-CN"/>
                                        </w:rPr>
                                        <w:t>现场处置</w:t>
                                      </w:r>
                                      <w:r>
                                        <w:rPr>
                                          <w:rFonts w:hint="eastAsia" w:ascii="仿宋" w:hAnsi="仿宋" w:eastAsia="仿宋"/>
                                          <w:sz w:val="24"/>
                                          <w:szCs w:val="24"/>
                                        </w:rPr>
                                        <w:t>组</w:t>
                                      </w:r>
                                    </w:p>
                                  </w:txbxContent>
                                </v:textbox>
                              </v:shape>
                              <v:shape id="文本框 499" o:spid="_x0000_s1026" o:spt="202" type="#_x0000_t202" style="position:absolute;left:8240;top:8779;height:449;width:1980;" fillcolor="#FFFFFF" filled="t" stroked="t" coordsize="21600,21600" o:gfxdata="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n/0y/&#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362DB2AF">
                                      <w:pPr>
                                        <w:jc w:val="center"/>
                                        <w:rPr>
                                          <w:rFonts w:ascii="仿宋" w:hAnsi="仿宋" w:eastAsia="仿宋"/>
                                          <w:sz w:val="24"/>
                                          <w:szCs w:val="24"/>
                                        </w:rPr>
                                      </w:pPr>
                                      <w:r>
                                        <w:rPr>
                                          <w:rFonts w:hint="eastAsia" w:ascii="仿宋" w:hAnsi="仿宋" w:eastAsia="仿宋"/>
                                          <w:sz w:val="24"/>
                                          <w:szCs w:val="24"/>
                                          <w:lang w:val="en-US" w:eastAsia="zh-CN"/>
                                        </w:rPr>
                                        <w:t>应急保障</w:t>
                                      </w:r>
                                      <w:r>
                                        <w:rPr>
                                          <w:rFonts w:hint="eastAsia" w:ascii="仿宋" w:hAnsi="仿宋" w:eastAsia="仿宋"/>
                                          <w:sz w:val="24"/>
                                          <w:szCs w:val="24"/>
                                        </w:rPr>
                                        <w:t>组</w:t>
                                      </w:r>
                                    </w:p>
                                  </w:txbxContent>
                                </v:textbox>
                              </v:shape>
                            </v:group>
                            <v:group id="组合 503" o:spid="_x0000_s1026" o:spt="203" style="position:absolute;left:7773;top:7939;height:1055;width:467;" coordorigin="7773,7939" coordsize="467,1055" o:gfxdata="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hPquvwAAANwAAAAPAAAAAAAAAAEAIAAAACIAAABkcnMvZG93bnJldi54&#10;bWxQSwECFAAUAAAACACHTuJAMy8FnjsAAAA5AAAAFQAAAAAAAAABACAAAAAOAQAAZHJzL2dyb3Vw&#10;c2hhcGV4bWwueG1sUEsFBgAAAAAGAAYAYAEAAMsDAAAAAA==&#10;">
                              <o:lock v:ext="edit" aspectratio="f"/>
                              <v:line id="直线 504" o:spid="_x0000_s1026" o:spt="20" style="position:absolute;left:7895;top:7939;height:1055;width:0;" filled="f" stroked="f" coordsize="21600,21600" o:gfxdata="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4Z6Ru/&#10;AAAA3AAAAA8AAAAAAAAAAQAgAAAAIgAAAGRycy9kb3ducmV2LnhtbFBLAQIUABQAAAAIAIdO4kAz&#10;LwWeOwAAADkAAAAQAAAAAAAAAAEAIAAAAA4BAABkcnMvc2hhcGV4bWwueG1sUEsFBgAAAAAGAAYA&#10;WwEAALgDAAAAAA==&#10;">
                                <v:fill on="f" focussize="0,0"/>
                                <v:stroke on="f"/>
                                <v:imagedata o:title=""/>
                                <o:lock v:ext="edit" aspectratio="f"/>
                              </v:line>
                              <v:line id="直线 506" o:spid="_x0000_s1026" o:spt="20" style="position:absolute;left:7788;top:7939;height:0;width:452;" filled="f" stroked="t" coordsize="21600,21600" o:gfxdata="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fcW0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07" o:spid="_x0000_s1026" o:spt="20" style="position:absolute;left:7773;top:8994;height:0;width:467;" filled="f" stroked="t" coordsize="21600,21600" o:gfxdata="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MWA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08" o:spid="_x0000_s1026" o:spt="20" style="position:absolute;left:7804;top:8460;height:0;width:436;" filled="f" stroked="t" coordsize="21600,21600" o:gfxdata="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rvRd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v:group id="组合 512" o:spid="_x0000_s1026" o:spt="203" style="position:absolute;left:3633;top:2400;height:9571;width:6135;" coordorigin="3633,2400" coordsize="6135,9571" o:gfxdata="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8Ks/rvwAAANwAAAAPAAAAAAAAAAEAIAAAACIAAABkcnMvZG93bnJldi54&#10;bWxQSwECFAAUAAAACACHTuJAMy8FnjsAAAA5AAAAFQAAAAAAAAABACAAAAAOAQAAZHJzL2dyb3Vw&#10;c2hhcGV4bWwueG1sUEsFBgAAAAAGAAYAYAEAAMsDAAAAAA==&#10;">
                            <o:lock v:ext="edit" aspectratio="f"/>
                            <v:group id="组合 513" o:spid="_x0000_s1026" o:spt="203" style="position:absolute;left:6847;top:4113;height:2187;width:2490;" coordorigin="6847,4113" coordsize="2490,2187" o:gfxdata="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z4UZy+AAAA3AAAAA8AAAAAAAAAAQAgAAAAIgAAAGRycy9kb3ducmV2Lnht&#10;bFBLAQIUABQAAAAIAIdO4kAzLwWeOwAAADkAAAAVAAAAAAAAAAEAIAAAAA0BAABkcnMvZ3JvdXBz&#10;aGFwZXhtbC54bWxQSwUGAAAAAAYABgBgAQAAygMAAAAA&#10;">
                              <o:lock v:ext="edit" aspectratio="f"/>
                              <v:line id="直线 514" o:spid="_x0000_s1026" o:spt="20" style="position:absolute;left:7537;top:6292;flip:y;height:8;width:870;" filled="f" stroked="t" coordsize="21600,21600" o:gfxdata="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QS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15" o:spid="_x0000_s1026" o:spt="20" style="position:absolute;left:8407;top:4947;flip:x y;height:1345;width:0;" filled="f" stroked="t" coordsize="21600,21600" o:gfxdata="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Tdxu8AAAA&#10;3AAAAA8AAAAAAAAAAQAgAAAAIgAAAGRycy9kb3ducmV2LnhtbFBLAQIUABQAAAAIAIdO4kAzLwWe&#10;OwAAADkAAAAQAAAAAAAAAAEAIAAAAAsBAABkcnMvc2hhcGV4bWwueG1sUEsFBgAAAAAGAAYAWwEA&#10;ALUDAAAAAA==&#10;">
                                <v:fill on="f" focussize="0,0"/>
                                <v:stroke color="#000000" joinstyle="round" endarrow="block" endarrowwidth="narrow"/>
                                <v:imagedata o:title=""/>
                                <o:lock v:ext="edit" aspectratio="f"/>
                              </v:line>
                              <v:shape id="文本框 516" o:spid="_x0000_s1026" o:spt="202" type="#_x0000_t202" style="position:absolute;left:7537;top:4527;height:448;width:1800;" fillcolor="#FFFFFF" filled="t" stroked="t" coordsize="21600,21600" o:gfxdata="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BW+S&#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14:paraId="5DB81E40">
                                      <w:pPr>
                                        <w:jc w:val="center"/>
                                        <w:rPr>
                                          <w:rFonts w:ascii="仿宋" w:hAnsi="仿宋" w:eastAsia="仿宋"/>
                                          <w:sz w:val="24"/>
                                          <w:szCs w:val="24"/>
                                        </w:rPr>
                                      </w:pPr>
                                      <w:r>
                                        <w:rPr>
                                          <w:rFonts w:hint="eastAsia" w:ascii="仿宋" w:hAnsi="仿宋" w:eastAsia="仿宋"/>
                                          <w:sz w:val="24"/>
                                          <w:szCs w:val="24"/>
                                        </w:rPr>
                                        <w:t>信息反馈</w:t>
                                      </w:r>
                                    </w:p>
                                  </w:txbxContent>
                                </v:textbox>
                              </v:shape>
                              <v:line id="直线 517" o:spid="_x0000_s1026" o:spt="20" style="position:absolute;left:8362;top:4130;flip:y;height:391;width:0;" filled="f" stroked="t" coordsize="21600,21600" o:gfxdata="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pqnO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18" o:spid="_x0000_s1026" o:spt="20" style="position:absolute;left:6847;top:4113;flip:x;height:0;width:1508;" filled="f" stroked="t" coordsize="21600,21600" o:gfxdata="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UUeYvQAA&#10;ANw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group>
                            <v:group id="组合 519" o:spid="_x0000_s1026" o:spt="203" style="position:absolute;left:3633;top:2400;height:9571;width:6135;" coordorigin="3633,2400" coordsize="6135,9571" o:gfxdata="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tEGZ2vAAAANwAAAAPAAAAAAAAAAEAIAAAACIAAABkcnMvZG93bnJldi54bWxQ&#10;SwECFAAUAAAACACHTuJAMy8FnjsAAAA5AAAAFQAAAAAAAAABACAAAAALAQAAZHJzL2dyb3Vwc2hh&#10;cGV4bWwueG1sUEsFBgAAAAAGAAYAYAEAAMgDAAAAAA==&#10;">
                              <o:lock v:ext="edit" aspectratio="f"/>
                              <v:line id="直线 520" o:spid="_x0000_s1026" o:spt="20" style="position:absolute;left:6873;top:8468;flip:y;height:0;width:900;" filled="f" stroked="t" coordsize="21600,21600" o:gfxdata="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BTN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自选图形 521" o:spid="_x0000_s1026" o:spt="4" type="#_x0000_t4" style="position:absolute;left:4579;top:9150;height:802;width:2640;" fillcolor="#FFFFFF" filled="t" stroked="t" coordsize="21600,21600" o:gfxdata="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Pwm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1.27mm,0mm,1.27mm">
                                  <w:txbxContent>
                                    <w:p w14:paraId="068AD248">
                                      <w:pPr>
                                        <w:rPr>
                                          <w:rFonts w:ascii="仿宋" w:hAnsi="仿宋" w:eastAsia="仿宋"/>
                                        </w:rPr>
                                      </w:pPr>
                                      <w:r>
                                        <w:rPr>
                                          <w:rFonts w:hint="eastAsia" w:ascii="仿宋" w:hAnsi="仿宋" w:eastAsia="仿宋"/>
                                          <w:sz w:val="24"/>
                                          <w:szCs w:val="24"/>
                                        </w:rPr>
                                        <w:t>控制事态？</w:t>
                                      </w:r>
                                      <w:r>
                                        <w:rPr>
                                          <w:rFonts w:hint="eastAsia" w:ascii="仿宋" w:hAnsi="仿宋" w:eastAsia="仿宋"/>
                                        </w:rPr>
                                        <w:t>态？</w:t>
                                      </w:r>
                                    </w:p>
                                  </w:txbxContent>
                                </v:textbox>
                              </v:shape>
                              <v:line id="直线 522" o:spid="_x0000_s1026" o:spt="20" style="position:absolute;left:5913;top:8687;height:448;width:0;" filled="f" stroked="t" coordsize="21600,21600" o:gfxdata="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49tQy/&#10;AAAA3A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line id="直线 523" o:spid="_x0000_s1026" o:spt="20" style="position:absolute;left:5913;top:9892;height:448;width:0;" filled="f" stroked="t" coordsize="21600,21600" o:gfxdata="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7vK3u/&#10;AAAA3A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shape id="文本框 524" o:spid="_x0000_s1026" o:spt="202" type="#_x0000_t202" style="position:absolute;left:4938;top:10326;height:449;width:1980;" fillcolor="#FFFFFF" filled="t" stroked="t" coordsize="21600,21600" o:gfxdata="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mMC/&#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2C0061D5">
                                      <w:pPr>
                                        <w:jc w:val="center"/>
                                        <w:rPr>
                                          <w:rFonts w:ascii="仿宋" w:hAnsi="仿宋" w:eastAsia="仿宋"/>
                                          <w:sz w:val="24"/>
                                          <w:szCs w:val="24"/>
                                        </w:rPr>
                                      </w:pPr>
                                      <w:r>
                                        <w:rPr>
                                          <w:rFonts w:hint="eastAsia" w:ascii="仿宋" w:hAnsi="仿宋" w:eastAsia="仿宋"/>
                                          <w:sz w:val="24"/>
                                          <w:szCs w:val="24"/>
                                        </w:rPr>
                                        <w:t>后期处置</w:t>
                                      </w:r>
                                    </w:p>
                                  </w:txbxContent>
                                </v:textbox>
                              </v:shape>
                              <v:line id="直线 525" o:spid="_x0000_s1026" o:spt="20" style="position:absolute;left:4068;top:10582;flip:x;height:0;width:855;" filled="f" stroked="t" coordsize="21600,21600" o:gfxdata="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bDLmvQAA&#10;ANw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line id="直线 526" o:spid="_x0000_s1026" o:spt="20" style="position:absolute;left:5913;top:10775;height:448;width:0;" filled="f" stroked="t" coordsize="21600,21600" o:gfxdata="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O97e/&#10;AAAA2w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shape id="文本框 527" o:spid="_x0000_s1026" o:spt="202" type="#_x0000_t202" style="position:absolute;left:4908;top:11209;height:762;width:2025;" fillcolor="#FFFFFF" filled="t" stroked="t" coordsize="21600,21600" o:gfxdata="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Mc7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6846149D">
                                      <w:pPr>
                                        <w:jc w:val="center"/>
                                        <w:rPr>
                                          <w:rFonts w:ascii="仿宋" w:hAnsi="仿宋" w:eastAsia="仿宋"/>
                                        </w:rPr>
                                      </w:pPr>
                                      <w:r>
                                        <w:rPr>
                                          <w:rFonts w:hint="eastAsia" w:ascii="仿宋" w:hAnsi="仿宋" w:eastAsia="仿宋"/>
                                          <w:sz w:val="24"/>
                                          <w:szCs w:val="24"/>
                                        </w:rPr>
                                        <w:t>结束应急救援行动终止预案</w:t>
                                      </w:r>
                                    </w:p>
                                  </w:txbxContent>
                                </v:textbox>
                              </v:shape>
                              <v:line id="直线 528" o:spid="_x0000_s1026" o:spt="20" style="position:absolute;left:6933;top:11563;flip:x;height:0;width:855;" filled="f" stroked="t" coordsize="21600,21600" o:gfxdata="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ybC8AAAA&#10;3AAAAA8AAAAAAAAAAQAgAAAAIgAAAGRycy9kb3ducmV2LnhtbFBLAQIUABQAAAAIAIdO4kAzLwWe&#10;OwAAADkAAAAQAAAAAAAAAAEAIAAAAAsBAABkcnMvc2hhcGV4bWwueG1sUEsFBgAAAAAGAAYAWwEA&#10;ALUDAAAAAA==&#10;">
                                <v:fill on="f" focussize="0,0"/>
                                <v:stroke color="#000000" joinstyle="round" startarrow="block" startarrowwidth="narrow" endarrowwidth="narrow"/>
                                <v:imagedata o:title=""/>
                                <o:lock v:ext="edit" aspectratio="f"/>
                              </v:line>
                              <v:shape id="文本框 529" o:spid="_x0000_s1026" o:spt="202" type="#_x0000_t202" style="position:absolute;left:7788;top:11344;height:449;width:1980;" fillcolor="#FFFFFF" filled="t" stroked="t" coordsize="21600,21600" o:gfxdata="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iAh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307B4E90">
                                      <w:pPr>
                                        <w:jc w:val="center"/>
                                        <w:rPr>
                                          <w:rFonts w:ascii="仿宋" w:hAnsi="仿宋" w:eastAsia="仿宋"/>
                                          <w:sz w:val="24"/>
                                          <w:szCs w:val="24"/>
                                        </w:rPr>
                                      </w:pPr>
                                      <w:r>
                                        <w:rPr>
                                          <w:rFonts w:hint="eastAsia" w:ascii="仿宋" w:hAnsi="仿宋" w:eastAsia="仿宋"/>
                                          <w:sz w:val="24"/>
                                          <w:szCs w:val="24"/>
                                        </w:rPr>
                                        <w:t>总  结</w:t>
                                      </w:r>
                                    </w:p>
                                  </w:txbxContent>
                                </v:textbox>
                              </v:shape>
                              <v:group id="组合 530" o:spid="_x0000_s1026" o:spt="203" style="position:absolute;left:3633;top:2400;height:6295;width:3904;" coordorigin="3633,2400" coordsize="3904,6295" o:gfxdata="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1FhULvAAAANwAAAAPAAAAAAAAAAEAIAAAACIAAABkcnMvZG93bnJldi54bWxQ&#10;SwECFAAUAAAACACHTuJAMy8FnjsAAAA5AAAAFQAAAAAAAAABACAAAAALAQAAZHJzL2dyb3Vwc2hh&#10;cGV4bWwueG1sUEsFBgAAAAAGAAYAYAEAAMgDAAAAAA==&#10;">
                                <o:lock v:ext="edit" aspectratio="f"/>
                                <v:group id="组合 531" o:spid="_x0000_s1026" o:spt="203" style="position:absolute;left:4218;top:2400;height:4935;width:3319;" coordorigin="4218,2400" coordsize="3319,4935"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文本框 532" o:spid="_x0000_s1026" o:spt="202" type="#_x0000_t202" style="position:absolute;left:5973;top:6886;height:449;width:495;" fillcolor="#FFFFFF" filled="t" stroked="f" coordsize="21600,21600" o:gfxdata="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rhWp22AAAA3AAAAA8A&#10;AAAAAAAAAQAgAAAAIgAAAGRycy9kb3ducmV2LnhtbFBLAQIUABQAAAAIAIdO4kAzLwWeOwAAADkA&#10;AAAQAAAAAAAAAAEAIAAAAAUBAABkcnMvc2hhcGV4bWwueG1sUEsFBgAAAAAGAAYAWwEAAK8DAAAA&#10;AA==&#10;">
                                    <v:fill on="t" focussize="0,0"/>
                                    <v:stroke on="f"/>
                                    <v:imagedata o:title=""/>
                                    <o:lock v:ext="edit" aspectratio="f"/>
                                    <v:textbox>
                                      <w:txbxContent>
                                        <w:p w14:paraId="1D611DF4">
                                          <w:pPr>
                                            <w:jc w:val="center"/>
                                            <w:rPr>
                                              <w:rFonts w:ascii="仿宋" w:hAnsi="仿宋" w:eastAsia="仿宋"/>
                                              <w:sz w:val="24"/>
                                              <w:szCs w:val="24"/>
                                            </w:rPr>
                                          </w:pPr>
                                          <w:r>
                                            <w:rPr>
                                              <w:rFonts w:hint="eastAsia" w:ascii="仿宋" w:hAnsi="仿宋" w:eastAsia="仿宋"/>
                                              <w:sz w:val="24"/>
                                              <w:szCs w:val="24"/>
                                            </w:rPr>
                                            <w:t>是</w:t>
                                          </w:r>
                                        </w:p>
                                      </w:txbxContent>
                                    </v:textbox>
                                  </v:shape>
                                  <v:group id="组合 533" o:spid="_x0000_s1026" o:spt="203" style="position:absolute;left:4218;top:2400;height:4524;width:3319;" coordorigin="4218,2400" coordsize="3319,4524" o:gfxdata="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h9SpLvwAAANwAAAAPAAAAAAAAAAEAIAAAACIAAABkcnMvZG93bnJldi54&#10;bWxQSwECFAAUAAAACACHTuJAMy8FnjsAAAA5AAAAFQAAAAAAAAABACAAAAAOAQAAZHJzL2dyb3Vw&#10;c2hhcGV4bWwueG1sUEsFBgAAAAAGAAYAYAEAAMsDAAAAAA==&#10;">
                                    <o:lock v:ext="edit" aspectratio="f"/>
                                    <v:line id="直线 534" o:spid="_x0000_s1026" o:spt="20" style="position:absolute;left:5868;top:3254;height:598;width:0;" filled="f" stroked="t" coordsize="21600,21600" o:gfxdata="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XARm&#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group id="组合 535" o:spid="_x0000_s1026" o:spt="203" style="position:absolute;left:4782;top:2400;height:1915;width:2192;" coordorigin="4782,2400" coordsize="2192,1915" o:gfxdata="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axGnvwAAANwAAAAPAAAAAAAAAAEAIAAAACIAAABkcnMvZG93bnJldi54&#10;bWxQSwECFAAUAAAACACHTuJAMy8FnjsAAAA5AAAAFQAAAAAAAAABACAAAAAOAQAAZHJzL2dyb3Vw&#10;c2hhcGV4bWwueG1sUEsFBgAAAAAGAAYAYAEAAMsDAAAAAA==&#10;">
                                      <o:lock v:ext="edit" aspectratio="f"/>
                                      <v:shape id="自选图形 536" o:spid="_x0000_s1026" o:spt="71" type="#_x0000_t71" style="position:absolute;left:4782;top:2400;height:1196;width:2192;" fillcolor="#FFFFFF" filled="t" stroked="t" coordsize="21600,21600" o:gfxdata="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A3wy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2A696132">
                                              <w:pPr>
                                                <w:rPr>
                                                  <w:rFonts w:ascii="仿宋" w:hAnsi="仿宋" w:eastAsia="仿宋"/>
                                                  <w:spacing w:val="-16"/>
                                                  <w:sz w:val="24"/>
                                                  <w:szCs w:val="24"/>
                                                </w:rPr>
                                              </w:pPr>
                                              <w:r>
                                                <w:rPr>
                                                  <w:rFonts w:hint="eastAsia" w:ascii="仿宋" w:hAnsi="仿宋" w:eastAsia="仿宋"/>
                                                  <w:spacing w:val="-16"/>
                                                  <w:sz w:val="24"/>
                                                  <w:szCs w:val="24"/>
                                                </w:rPr>
                                                <w:t>事故现场</w:t>
                                              </w:r>
                                            </w:p>
                                          </w:txbxContent>
                                        </v:textbox>
                                      </v:shape>
                                      <v:shape id="文本框 537" o:spid="_x0000_s1026" o:spt="202" type="#_x0000_t202" style="position:absolute;left:4893;top:3867;height:448;width:1980;" fillcolor="#FFFFFF" filled="t" stroked="t" coordsize="21600,21600" o:gfxdata="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aijK/&#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283E6D8A">
                                              <w:pPr>
                                                <w:jc w:val="center"/>
                                                <w:rPr>
                                                  <w:rFonts w:ascii="仿宋" w:hAnsi="仿宋" w:eastAsia="仿宋"/>
                                                  <w:sz w:val="24"/>
                                                  <w:szCs w:val="24"/>
                                                </w:rPr>
                                              </w:pPr>
                                              <w:r>
                                                <w:rPr>
                                                  <w:rFonts w:hint="eastAsia" w:ascii="仿宋" w:hAnsi="仿宋" w:eastAsia="仿宋"/>
                                                  <w:sz w:val="24"/>
                                                  <w:szCs w:val="24"/>
                                                </w:rPr>
                                                <w:t>接警</w:t>
                                              </w:r>
                                            </w:p>
                                          </w:txbxContent>
                                        </v:textbox>
                                      </v:shape>
                                    </v:group>
                                    <v:line id="直线 538" o:spid="_x0000_s1026" o:spt="20" style="position:absolute;left:5883;top:4315;height:449;width:0;" filled="f" stroked="t" coordsize="21600,21600" o:gfxdata="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ZwJl&#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shape id="自选图形 539" o:spid="_x0000_s1026" o:spt="4" type="#_x0000_t4" style="position:absolute;left:4218;top:5676;height:1248;width:3319;" fillcolor="#FFFFFF" filled="t" stroked="t" coordsize="21600,21600" o:gfxdata="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YxmV&#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inset="0.5mm,0mm,0.5mm,0mm">
                                        <w:txbxContent>
                                          <w:p w14:paraId="16E31281">
                                            <w:pPr>
                                              <w:jc w:val="center"/>
                                              <w:rPr>
                                                <w:rFonts w:ascii="仿宋" w:hAnsi="仿宋" w:eastAsia="仿宋"/>
                                              </w:rPr>
                                            </w:pPr>
                                            <w:r>
                                              <w:rPr>
                                                <w:rFonts w:hint="eastAsia" w:ascii="仿宋" w:hAnsi="仿宋" w:eastAsia="仿宋"/>
                                                <w:sz w:val="24"/>
                                                <w:szCs w:val="24"/>
                                              </w:rPr>
                                              <w:t>警情判断是否启动本预案？</w:t>
                                            </w:r>
                                            <w:r>
                                              <w:rPr>
                                                <w:rFonts w:hint="eastAsia" w:ascii="仿宋" w:hAnsi="仿宋" w:eastAsia="仿宋"/>
                                              </w:rPr>
                                              <w:t>案？</w:t>
                                            </w:r>
                                          </w:p>
                                        </w:txbxContent>
                                      </v:textbox>
                                    </v:shape>
                                    <v:shape id="文本框 540" o:spid="_x0000_s1026" o:spt="202" type="#_x0000_t202" style="position:absolute;left:4353;top:4793;height:448;width:3060;" fillcolor="#FFFFFF" filled="t" stroked="t" coordsize="21600,21600" o:gfxdata="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2yWs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2E132253">
                                            <w:pPr>
                                              <w:jc w:val="center"/>
                                              <w:rPr>
                                                <w:rFonts w:ascii="仿宋" w:hAnsi="仿宋" w:eastAsia="仿宋"/>
                                                <w:sz w:val="24"/>
                                                <w:szCs w:val="24"/>
                                              </w:rPr>
                                            </w:pPr>
                                            <w:r>
                                              <w:rPr>
                                                <w:rFonts w:hint="eastAsia" w:ascii="仿宋" w:hAnsi="仿宋" w:eastAsia="仿宋"/>
                                                <w:sz w:val="24"/>
                                                <w:szCs w:val="24"/>
                                              </w:rPr>
                                              <w:t>向应急指挥部报告</w:t>
                                            </w:r>
                                          </w:p>
                                        </w:txbxContent>
                                      </v:textbox>
                                    </v:shape>
                                    <v:line id="直线 541" o:spid="_x0000_s1026" o:spt="20" style="position:absolute;left:5868;top:5241;height:449;width:0;" filled="f" stroked="t" coordsize="21600,21600" o:gfxdata="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JYX&#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group>
                                </v:group>
                                <v:shape id="文本框 542" o:spid="_x0000_s1026" o:spt="202" type="#_x0000_t202" style="position:absolute;left:4893;top:7321;height:448;width:1980;" fillcolor="#FFFFFF" filled="t" stroked="t" coordsize="21600,21600" o:gfxdata="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XhZj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4F40AEEB">
                                        <w:pPr>
                                          <w:jc w:val="center"/>
                                          <w:rPr>
                                            <w:rFonts w:ascii="仿宋" w:hAnsi="仿宋" w:eastAsia="仿宋"/>
                                            <w:sz w:val="24"/>
                                            <w:szCs w:val="24"/>
                                          </w:rPr>
                                        </w:pPr>
                                        <w:r>
                                          <w:rPr>
                                            <w:rFonts w:hint="eastAsia" w:ascii="仿宋" w:hAnsi="仿宋" w:eastAsia="仿宋"/>
                                            <w:sz w:val="24"/>
                                            <w:szCs w:val="24"/>
                                          </w:rPr>
                                          <w:t>启动预案</w:t>
                                        </w:r>
                                      </w:p>
                                    </w:txbxContent>
                                  </v:textbox>
                                </v:shape>
                                <v:line id="直线 543" o:spid="_x0000_s1026" o:spt="20" style="position:absolute;left:4023;top:7562;flip:x;height:0;width:855;" filled="f" stroked="t" coordsize="21600,21600" o:gfxdata="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u/wvQAA&#10;ANw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line id="直线 544" o:spid="_x0000_s1026" o:spt="20" style="position:absolute;left:3633;top:8460;height:0;width:1260;" filled="f" stroked="t" coordsize="21600,21600" o:gfxdata="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lcD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45" o:spid="_x0000_s1026" o:spt="20" style="position:absolute;left:5883;top:7784;height:448;width:0;" filled="f" stroked="t" coordsize="21600,21600" o:gfxdata="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xdHa&#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shape id="文本框 546" o:spid="_x0000_s1026" o:spt="202" type="#_x0000_t202" style="position:absolute;left:4893;top:8247;height:448;width:1980;" fillcolor="#FFFFFF" filled="t" stroked="t" coordsize="21600,21600" o:gfxdata="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kNfj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7EF90610">
                                        <w:pPr>
                                          <w:jc w:val="center"/>
                                          <w:rPr>
                                            <w:rFonts w:ascii="仿宋" w:hAnsi="仿宋" w:eastAsia="仿宋"/>
                                          </w:rPr>
                                        </w:pPr>
                                        <w:r>
                                          <w:rPr>
                                            <w:rFonts w:hint="eastAsia" w:ascii="仿宋" w:hAnsi="仿宋" w:eastAsia="仿宋"/>
                                            <w:sz w:val="24"/>
                                            <w:szCs w:val="24"/>
                                          </w:rPr>
                                          <w:t>救援抢险行动</w:t>
                                        </w:r>
                                      </w:p>
                                    </w:txbxContent>
                                  </v:textbox>
                                </v:shape>
                                <v:line id="直线 547" o:spid="_x0000_s1026" o:spt="20" style="position:absolute;left:5853;top:6924;height:468;width:0;" filled="f" stroked="t" coordsize="21600,21600" o:gfxdata="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8Pw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v:group>
                        </v:group>
                      </v:group>
                    </v:group>
                  </v:group>
                </v:group>
                <w10:wrap type="none"/>
                <w10:anchorlock/>
              </v:group>
            </w:pict>
          </mc:Fallback>
        </mc:AlternateContent>
      </w:r>
    </w:p>
    <w:p w14:paraId="39E2AF86">
      <w:pPr>
        <w:pageBreakBefore w:val="0"/>
        <w:kinsoku/>
        <w:overflowPunct/>
        <w:bidi w:val="0"/>
        <w:spacing w:line="500" w:lineRule="exact"/>
        <w:ind w:firstLine="56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
          <w:color w:val="auto"/>
          <w:sz w:val="21"/>
          <w:szCs w:val="21"/>
          <w:highlight w:val="none"/>
        </w:rPr>
        <w:t>图6-1 应急响应程序图</w:t>
      </w:r>
    </w:p>
    <w:p w14:paraId="0B3226CE">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01" w:name="_Toc16065"/>
      <w:bookmarkStart w:id="402" w:name="_Toc3819"/>
      <w:bookmarkStart w:id="403" w:name="_Toc14178"/>
      <w:bookmarkStart w:id="404" w:name="_Toc493077663"/>
      <w:bookmarkStart w:id="405" w:name="_Toc13532"/>
      <w:bookmarkStart w:id="406" w:name="_Toc560"/>
      <w:bookmarkStart w:id="407" w:name="_Toc390094651"/>
      <w:bookmarkStart w:id="408" w:name="_Toc32344"/>
      <w:r>
        <w:rPr>
          <w:rFonts w:hint="default" w:ascii="Times New Roman" w:hAnsi="Times New Roman" w:cs="Times New Roman" w:eastAsiaTheme="minorEastAsia"/>
          <w:color w:val="auto"/>
          <w:sz w:val="24"/>
          <w:szCs w:val="24"/>
          <w:highlight w:val="none"/>
        </w:rPr>
        <w:t>6.2 分级响应</w:t>
      </w:r>
      <w:bookmarkEnd w:id="401"/>
      <w:bookmarkEnd w:id="402"/>
      <w:bookmarkEnd w:id="403"/>
      <w:bookmarkEnd w:id="404"/>
      <w:bookmarkEnd w:id="405"/>
      <w:bookmarkEnd w:id="406"/>
      <w:bookmarkEnd w:id="407"/>
      <w:bookmarkEnd w:id="408"/>
    </w:p>
    <w:p w14:paraId="71335E39">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kern w:val="0"/>
          <w:sz w:val="24"/>
          <w:szCs w:val="24"/>
          <w:highlight w:val="none"/>
        </w:rPr>
      </w:pPr>
      <w:bookmarkStart w:id="409" w:name="_Toc493077664"/>
      <w:bookmarkStart w:id="410" w:name="_Toc680"/>
      <w:bookmarkStart w:id="411" w:name="_Toc7737"/>
      <w:bookmarkStart w:id="412" w:name="_Toc18872"/>
      <w:bookmarkStart w:id="413" w:name="_Toc850"/>
      <w:bookmarkStart w:id="414" w:name="_Toc30403"/>
      <w:bookmarkStart w:id="415" w:name="_Toc24303"/>
      <w:bookmarkStart w:id="416" w:name="_Toc390094652"/>
      <w:r>
        <w:rPr>
          <w:rFonts w:hint="default" w:ascii="Times New Roman" w:hAnsi="Times New Roman" w:cs="Times New Roman" w:eastAsiaTheme="minorEastAsia"/>
          <w:color w:val="auto"/>
          <w:kern w:val="0"/>
          <w:sz w:val="24"/>
          <w:szCs w:val="24"/>
          <w:highlight w:val="none"/>
        </w:rPr>
        <w:t>6.2.1 分级响应机制</w:t>
      </w:r>
      <w:bookmarkEnd w:id="409"/>
      <w:bookmarkEnd w:id="410"/>
      <w:bookmarkEnd w:id="411"/>
      <w:bookmarkEnd w:id="412"/>
      <w:bookmarkEnd w:id="413"/>
      <w:bookmarkEnd w:id="414"/>
      <w:bookmarkEnd w:id="415"/>
      <w:bookmarkEnd w:id="416"/>
    </w:p>
    <w:p w14:paraId="6C6F41B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紧急情况：（1）厂内</w:t>
      </w:r>
      <w:r>
        <w:rPr>
          <w:rFonts w:hint="eastAsia" w:ascii="Times New Roman" w:hAnsi="Times New Roman" w:cs="Times New Roman" w:eastAsiaTheme="minorEastAsia"/>
          <w:color w:val="auto"/>
          <w:kern w:val="0"/>
          <w:sz w:val="24"/>
          <w:szCs w:val="24"/>
          <w:highlight w:val="none"/>
          <w:lang w:val="en-US" w:eastAsia="zh-CN"/>
        </w:rPr>
        <w:t>化学物质</w:t>
      </w:r>
      <w:r>
        <w:rPr>
          <w:rFonts w:hint="default" w:ascii="Times New Roman" w:hAnsi="Times New Roman" w:cs="Times New Roman" w:eastAsiaTheme="minorEastAsia"/>
          <w:color w:val="auto"/>
          <w:kern w:val="0"/>
          <w:sz w:val="24"/>
          <w:szCs w:val="24"/>
          <w:highlight w:val="none"/>
        </w:rPr>
        <w:t>泄漏引起的火灾事故的情况；（</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消防水</w:t>
      </w:r>
      <w:r>
        <w:rPr>
          <w:rFonts w:hint="default" w:ascii="Times New Roman" w:hAnsi="Times New Roman" w:cs="Times New Roman" w:eastAsiaTheme="minorEastAsia"/>
          <w:color w:val="auto"/>
          <w:kern w:val="0"/>
          <w:sz w:val="24"/>
          <w:szCs w:val="24"/>
          <w:highlight w:val="none"/>
        </w:rPr>
        <w:t>等事故水流入外环境等事故；（</w:t>
      </w:r>
      <w:r>
        <w:rPr>
          <w:rFonts w:hint="eastAsia" w:ascii="Times New Roman" w:hAnsi="Times New Roman" w:cs="Times New Roman" w:eastAsiaTheme="minorEastAsia"/>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废气处理设施故障引起的废气超标排放情况；</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4</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废水处理设施故障引起的废水超标排放情况；（5）</w:t>
      </w:r>
      <w:r>
        <w:rPr>
          <w:rFonts w:hint="default" w:ascii="Times New Roman" w:hAnsi="Times New Roman" w:cs="Times New Roman" w:eastAsiaTheme="minorEastAsia"/>
          <w:color w:val="auto"/>
          <w:kern w:val="0"/>
          <w:sz w:val="24"/>
          <w:szCs w:val="24"/>
          <w:highlight w:val="none"/>
        </w:rPr>
        <w:t>现场发生火灾、爆炸、人身伤亡、重大设备等事故。</w:t>
      </w:r>
    </w:p>
    <w:p w14:paraId="4E7F3A6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针对突发环境事件严重性、紧急程度、危害程度、影响范围、公司内部（生产单元等）控制事态的能力以及需要调动的应急资源，将突发环境事件分为不同的等级。等级依次为Ⅲ级（一般环境事件）响应，Ⅱ级（较大环境事件）响应、Ⅰ级（重大环境事件）响应。</w:t>
      </w:r>
    </w:p>
    <w:p w14:paraId="4B1A64F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对于Ⅲ级（一般环境污染事件），事故的有害影响局限在各生产单元之内，并且可被现场的操作者遏制和控制在公司局部区域内，启动Ⅲ级响应：由该生产单元负责人负责</w:t>
      </w:r>
      <w:r>
        <w:rPr>
          <w:rFonts w:hint="eastAsia" w:ascii="Times New Roman" w:hAnsi="Times New Roman" w:cs="Times New Roman" w:eastAsiaTheme="minorEastAsia"/>
          <w:color w:val="auto"/>
          <w:kern w:val="0"/>
          <w:sz w:val="24"/>
          <w:szCs w:val="24"/>
          <w:highlight w:val="none"/>
          <w:lang w:val="en-US" w:eastAsia="zh-CN"/>
        </w:rPr>
        <w:t>或</w:t>
      </w:r>
      <w:r>
        <w:rPr>
          <w:rFonts w:hint="default" w:ascii="Times New Roman" w:hAnsi="Times New Roman" w:cs="Times New Roman" w:eastAsiaTheme="minorEastAsia"/>
          <w:color w:val="auto"/>
          <w:kern w:val="0"/>
          <w:sz w:val="24"/>
          <w:szCs w:val="24"/>
          <w:highlight w:val="none"/>
        </w:rPr>
        <w:t>应急指挥，组织工艺人员进行应急处置，按照公司相关预案进行应急救援。</w:t>
      </w:r>
    </w:p>
    <w:p w14:paraId="1BEF6B6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对于Ⅱ级（较大环境污染事件），事故的有害影响超出生产单元范围，但局限在公司的界区之内并且可被遏制和控制在公司区域内。启动Ⅱ级响应：由公司</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总指挥负责指挥，组织公司各应急工作小组开展应急工作，同时启动公司相关子预案。</w:t>
      </w:r>
    </w:p>
    <w:p w14:paraId="357C83F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对于Ⅰ级（重大环境污染事件），事故影响超出公司控制范围的，启动Ⅰ级应急响应：由公司</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总指挥执行；应当根据严重的程度，通报</w:t>
      </w:r>
      <w:r>
        <w:rPr>
          <w:rFonts w:hint="eastAsia" w:ascii="Times New Roman" w:hAnsi="Times New Roman" w:cs="Times New Roman" w:eastAsiaTheme="minorEastAsia"/>
          <w:color w:val="auto"/>
          <w:kern w:val="0"/>
          <w:sz w:val="24"/>
          <w:szCs w:val="24"/>
          <w:highlight w:val="none"/>
          <w:lang w:val="en-US" w:eastAsia="zh-CN"/>
        </w:rPr>
        <w:t>大公镇管委会、</w:t>
      </w:r>
      <w:r>
        <w:rPr>
          <w:rFonts w:hint="default" w:ascii="Times New Roman" w:hAnsi="Times New Roman" w:cs="Times New Roman" w:eastAsiaTheme="minorEastAsia"/>
          <w:color w:val="auto"/>
          <w:kern w:val="0"/>
          <w:sz w:val="24"/>
          <w:szCs w:val="24"/>
          <w:highlight w:val="none"/>
        </w:rPr>
        <w:t>南通市海安生态环境局、应急管理局，由相关部门决定启动相关预案、并采取相应的应急措施。政府成立现场</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时，移交政府指挥部人员指挥并介绍事故情况和已采取的应急措施，配合协助应急指挥与处置。</w:t>
      </w:r>
    </w:p>
    <w:p w14:paraId="4F58F5CE">
      <w:pPr>
        <w:pStyle w:val="2"/>
        <w:pageBreakBefore w:val="0"/>
        <w:tabs>
          <w:tab w:val="left" w:pos="5184"/>
        </w:tabs>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417" w:name="_Toc448"/>
      <w:bookmarkStart w:id="418" w:name="_Toc20795"/>
      <w:bookmarkStart w:id="419" w:name="_Toc390094653"/>
      <w:bookmarkStart w:id="420" w:name="_Toc493077665"/>
      <w:bookmarkStart w:id="421" w:name="_Toc1993"/>
      <w:bookmarkStart w:id="422" w:name="_Toc2276"/>
      <w:bookmarkStart w:id="423" w:name="_Toc27868"/>
      <w:bookmarkStart w:id="424" w:name="_Toc3026"/>
      <w:r>
        <w:rPr>
          <w:rFonts w:hint="default" w:ascii="Times New Roman" w:hAnsi="Times New Roman" w:cs="Times New Roman" w:eastAsiaTheme="minorEastAsia"/>
          <w:color w:val="auto"/>
          <w:sz w:val="24"/>
          <w:szCs w:val="24"/>
          <w:highlight w:val="none"/>
        </w:rPr>
        <w:t xml:space="preserve">6.2.2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Ⅲ级响应程序</w:t>
      </w:r>
      <w:bookmarkEnd w:id="417"/>
      <w:bookmarkEnd w:id="418"/>
      <w:bookmarkEnd w:id="419"/>
      <w:bookmarkEnd w:id="420"/>
      <w:bookmarkEnd w:id="421"/>
      <w:bookmarkEnd w:id="422"/>
      <w:bookmarkEnd w:id="423"/>
      <w:bookmarkEnd w:id="424"/>
    </w:p>
    <w:p w14:paraId="298531C2">
      <w:pPr>
        <w:pStyle w:val="13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eastAsia"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Ⅲ级（</w:t>
      </w:r>
      <w:r>
        <w:rPr>
          <w:rFonts w:hint="eastAsia"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一般环境事件）：（发布人：</w:t>
      </w:r>
      <w:r>
        <w:rPr>
          <w:rFonts w:hint="eastAsia" w:cs="Times New Roman" w:eastAsiaTheme="minorEastAsia"/>
          <w:color w:val="auto"/>
          <w:kern w:val="0"/>
          <w:sz w:val="24"/>
          <w:szCs w:val="24"/>
          <w:highlight w:val="none"/>
          <w:lang w:eastAsia="zh-CN"/>
        </w:rPr>
        <w:t>邹志文</w:t>
      </w:r>
      <w:r>
        <w:rPr>
          <w:rFonts w:hint="default" w:ascii="Times New Roman" w:hAnsi="Times New Roman" w:cs="Times New Roman" w:eastAsiaTheme="minorEastAsia"/>
          <w:color w:val="auto"/>
          <w:kern w:val="0"/>
          <w:sz w:val="24"/>
          <w:szCs w:val="24"/>
          <w:highlight w:val="none"/>
        </w:rPr>
        <w:t>；现场负责人：</w:t>
      </w:r>
      <w:r>
        <w:rPr>
          <w:rFonts w:hint="eastAsia" w:cs="Times New Roman" w:eastAsiaTheme="minorEastAsia"/>
          <w:color w:val="auto"/>
          <w:kern w:val="0"/>
          <w:sz w:val="24"/>
          <w:szCs w:val="24"/>
          <w:highlight w:val="none"/>
          <w:lang w:val="en-US" w:eastAsia="zh-CN"/>
        </w:rPr>
        <w:t>各生产单元负责人</w:t>
      </w:r>
      <w:r>
        <w:rPr>
          <w:rFonts w:hint="default" w:ascii="Times New Roman" w:hAnsi="Times New Roman" w:cs="Times New Roman" w:eastAsiaTheme="minorEastAsia"/>
          <w:color w:val="auto"/>
          <w:kern w:val="0"/>
          <w:sz w:val="24"/>
          <w:szCs w:val="24"/>
          <w:highlight w:val="none"/>
        </w:rPr>
        <w:t>）</w:t>
      </w:r>
    </w:p>
    <w:bookmarkEnd w:id="400"/>
    <w:p w14:paraId="441F8E40">
      <w:pPr>
        <w:pStyle w:val="2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启动条件：当生产单元和贮存区，第一时间内出现一般环境事件(如局部泄漏)，造成生产单元局部影响，且不会对员工安全与健康造成不良影响时，区域负责人按现场应急处置方案启动三级响应进行应急救援处理。</w:t>
      </w:r>
    </w:p>
    <w:p w14:paraId="19E1F51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(1)基层发生事故，发现人立即向周围人员呼救，并及时向岗位人员、区域负责人汇报；</w:t>
      </w:r>
    </w:p>
    <w:p w14:paraId="7264141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(2)区域负责人接报后立即赶赴事件现场，下令启动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Ⅲ级响应，并通过对讲机或手机召集应急救援小组成员赶赴现场；</w:t>
      </w:r>
    </w:p>
    <w:p w14:paraId="2CA6A83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(3)当发生突发环境事件时，我公司在进入应急救援状态的同时，各专业救援小组15分钟内到达各自岗位，完成人员、装备调度；</w:t>
      </w:r>
    </w:p>
    <w:p w14:paraId="45A5370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w:t>
      </w:r>
      <w:r>
        <w:rPr>
          <w:rFonts w:hint="eastAsia" w:ascii="Times New Roman" w:hAnsi="Times New Roman" w:cs="Times New Roman" w:eastAsiaTheme="minorEastAsia"/>
          <w:color w:val="auto"/>
          <w:kern w:val="0"/>
          <w:sz w:val="24"/>
          <w:szCs w:val="24"/>
          <w:highlight w:val="none"/>
          <w:lang w:val="en-US" w:eastAsia="zh-CN"/>
        </w:rPr>
        <w:t>现场处置组</w:t>
      </w:r>
      <w:r>
        <w:rPr>
          <w:rFonts w:hint="default" w:ascii="Times New Roman" w:hAnsi="Times New Roman" w:cs="Times New Roman" w:eastAsiaTheme="minorEastAsia"/>
          <w:color w:val="auto"/>
          <w:kern w:val="0"/>
          <w:sz w:val="24"/>
          <w:szCs w:val="24"/>
          <w:highlight w:val="none"/>
        </w:rPr>
        <w:t>成员迅速切断污染源头，并采取可能的措施阻断污染物进入区域外；</w:t>
      </w:r>
    </w:p>
    <w:p w14:paraId="11C6BFC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(5)在环保负责人的协助下对污染物进行合理的处置；</w:t>
      </w:r>
    </w:p>
    <w:p w14:paraId="4EA2F36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(6)现场洗消；</w:t>
      </w:r>
    </w:p>
    <w:p w14:paraId="6EBD172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(7)由</w:t>
      </w:r>
      <w:r>
        <w:rPr>
          <w:rFonts w:hint="default" w:ascii="Times New Roman" w:hAnsi="Times New Roman" w:cs="Times New Roman" w:eastAsiaTheme="minorEastAsia"/>
          <w:color w:val="auto"/>
          <w:kern w:val="0"/>
          <w:sz w:val="24"/>
          <w:szCs w:val="24"/>
          <w:highlight w:val="none"/>
        </w:rPr>
        <w:t>应急总指挥</w:t>
      </w:r>
      <w:r>
        <w:rPr>
          <w:rFonts w:hint="default" w:ascii="Times New Roman" w:hAnsi="Times New Roman" w:cs="Times New Roman" w:eastAsiaTheme="minorEastAsia"/>
          <w:color w:val="auto"/>
          <w:sz w:val="24"/>
          <w:szCs w:val="24"/>
          <w:highlight w:val="none"/>
        </w:rPr>
        <w:t>确认后应急终止。</w:t>
      </w:r>
      <w:bookmarkStart w:id="425" w:name="_Hlk10519389"/>
    </w:p>
    <w:p w14:paraId="7B675FC4">
      <w:pPr>
        <w:rPr>
          <w:rFonts w:hint="default"/>
        </w:rPr>
      </w:pPr>
      <w:r>
        <w:rPr>
          <w:sz w:val="24"/>
        </w:rPr>
        <mc:AlternateContent>
          <mc:Choice Requires="wps">
            <w:drawing>
              <wp:anchor distT="0" distB="0" distL="114300" distR="114300" simplePos="0" relativeHeight="251663360" behindDoc="0" locked="0" layoutInCell="1" allowOverlap="1">
                <wp:simplePos x="0" y="0"/>
                <wp:positionH relativeFrom="column">
                  <wp:posOffset>1046480</wp:posOffset>
                </wp:positionH>
                <wp:positionV relativeFrom="paragraph">
                  <wp:posOffset>2988945</wp:posOffset>
                </wp:positionV>
                <wp:extent cx="3171190" cy="352425"/>
                <wp:effectExtent l="4445" t="5080" r="5715" b="4445"/>
                <wp:wrapNone/>
                <wp:docPr id="16" name="文本框 16"/>
                <wp:cNvGraphicFramePr/>
                <a:graphic xmlns:a="http://schemas.openxmlformats.org/drawingml/2006/main">
                  <a:graphicData uri="http://schemas.microsoft.com/office/word/2010/wordprocessingShape">
                    <wps:wsp>
                      <wps:cNvSpPr txBox="1"/>
                      <wps:spPr>
                        <a:xfrm>
                          <a:off x="0" y="0"/>
                          <a:ext cx="3171190" cy="35242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0ABBFE9">
                            <w:r>
                              <w:rPr>
                                <w:rFonts w:hint="eastAsia" w:ascii="仿宋" w:hAnsi="仿宋" w:eastAsia="仿宋"/>
                                <w:bCs/>
                                <w:kern w:val="0"/>
                                <w:sz w:val="24"/>
                                <w:szCs w:val="24"/>
                              </w:rPr>
                              <w:t>告知</w:t>
                            </w:r>
                            <w:r>
                              <w:rPr>
                                <w:rFonts w:hint="eastAsia" w:ascii="仿宋" w:hAnsi="仿宋" w:eastAsia="仿宋"/>
                                <w:bCs/>
                                <w:kern w:val="0"/>
                                <w:sz w:val="24"/>
                                <w:szCs w:val="24"/>
                                <w:lang w:val="en-US" w:eastAsia="zh-CN"/>
                              </w:rPr>
                              <w:t>当地人民政府和</w:t>
                            </w:r>
                            <w:r>
                              <w:rPr>
                                <w:rFonts w:hint="eastAsia" w:ascii="仿宋" w:hAnsi="仿宋" w:eastAsia="仿宋"/>
                                <w:sz w:val="24"/>
                                <w:szCs w:val="24"/>
                              </w:rPr>
                              <w:t>南通市海安生态环境局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4pt;margin-top:235.35pt;height:27.75pt;width:249.7pt;z-index:251663360;mso-width-relative:page;mso-height-relative:page;" filled="f" stroked="t" coordsize="21600,21600" o:gfxdata="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A/Cx/aAAAACwEA&#10;AA8AAAAAAAAAAQAgAAAAIgAAAGRycy9kb3ducmV2LnhtbFBLAQIUABQAAAAIAIdO4kBA7ODmUQIA&#10;AJAEAAAOAAAAAAAAAAEAIAAAACkBAABkcnMvZTJvRG9jLnhtbFBLBQYAAAAABgAGAFkBAADsBQAA&#10;AAA=&#10;">
                <v:fill on="f" focussize="0,0"/>
                <v:stroke weight="0.5pt" color="#000000 [3204]" joinstyle="round"/>
                <v:imagedata o:title=""/>
                <o:lock v:ext="edit" aspectratio="f"/>
                <v:textbox>
                  <w:txbxContent>
                    <w:p w14:paraId="60ABBFE9">
                      <w:r>
                        <w:rPr>
                          <w:rFonts w:hint="eastAsia" w:ascii="仿宋" w:hAnsi="仿宋" w:eastAsia="仿宋"/>
                          <w:bCs/>
                          <w:kern w:val="0"/>
                          <w:sz w:val="24"/>
                          <w:szCs w:val="24"/>
                        </w:rPr>
                        <w:t>告知</w:t>
                      </w:r>
                      <w:r>
                        <w:rPr>
                          <w:rFonts w:hint="eastAsia" w:ascii="仿宋" w:hAnsi="仿宋" w:eastAsia="仿宋"/>
                          <w:bCs/>
                          <w:kern w:val="0"/>
                          <w:sz w:val="24"/>
                          <w:szCs w:val="24"/>
                          <w:lang w:val="en-US" w:eastAsia="zh-CN"/>
                        </w:rPr>
                        <w:t>当地人民政府和</w:t>
                      </w:r>
                      <w:r>
                        <w:rPr>
                          <w:rFonts w:hint="eastAsia" w:ascii="仿宋" w:hAnsi="仿宋" w:eastAsia="仿宋"/>
                          <w:sz w:val="24"/>
                          <w:szCs w:val="24"/>
                        </w:rPr>
                        <w:t>南通市海安生态环境局</w:t>
                      </w:r>
                    </w:p>
                  </w:txbxContent>
                </v:textbox>
              </v:shape>
            </w:pict>
          </mc:Fallback>
        </mc:AlternateContent>
      </w:r>
      <w:r>
        <w:rPr>
          <w:rFonts w:hint="default" w:ascii="Times New Roman" w:hAnsi="Times New Roman" w:cs="Times New Roman" w:eastAsiaTheme="minorEastAsia"/>
          <w:color w:val="auto"/>
          <w:sz w:val="24"/>
          <w:szCs w:val="24"/>
          <w:highlight w:val="none"/>
        </w:rPr>
        <mc:AlternateContent>
          <mc:Choice Requires="wpc">
            <w:drawing>
              <wp:inline distT="0" distB="0" distL="0" distR="0">
                <wp:extent cx="5579745" cy="3415665"/>
                <wp:effectExtent l="0" t="0" r="0" b="0"/>
                <wp:docPr id="4" name="画布 4"/>
                <wp:cNvGraphicFramePr/>
                <a:graphic xmlns:a="http://schemas.openxmlformats.org/drawingml/2006/main">
                  <a:graphicData uri="http://schemas.microsoft.com/office/word/2010/wordprocessingCanvas">
                    <wpc:wpc>
                      <wpc:bg>
                        <a:noFill/>
                      </wpc:bg>
                      <wpc:whole/>
                      <wps:wsp>
                        <wps:cNvPr id="107" name="Rectangle 4"/>
                        <wps:cNvSpPr>
                          <a:spLocks noChangeArrowheads="1"/>
                        </wps:cNvSpPr>
                        <wps:spPr bwMode="auto">
                          <a:xfrm>
                            <a:off x="2049145" y="185420"/>
                            <a:ext cx="1080135" cy="288290"/>
                          </a:xfrm>
                          <a:prstGeom prst="rect">
                            <a:avLst/>
                          </a:prstGeom>
                          <a:solidFill>
                            <a:srgbClr val="FFFFFF"/>
                          </a:solidFill>
                          <a:ln w="9525">
                            <a:solidFill>
                              <a:srgbClr val="000000"/>
                            </a:solidFill>
                            <a:miter lim="800000"/>
                          </a:ln>
                        </wps:spPr>
                        <wps:txbx>
                          <w:txbxContent>
                            <w:p w14:paraId="3EECD167">
                              <w:pPr>
                                <w:jc w:val="center"/>
                                <w:rPr>
                                  <w:rFonts w:ascii="仿宋" w:hAnsi="仿宋" w:eastAsia="仿宋"/>
                                  <w:sz w:val="24"/>
                                  <w:szCs w:val="24"/>
                                </w:rPr>
                              </w:pPr>
                              <w:r>
                                <w:rPr>
                                  <w:rFonts w:hint="eastAsia" w:ascii="仿宋" w:hAnsi="仿宋" w:eastAsia="仿宋"/>
                                  <w:sz w:val="24"/>
                                  <w:szCs w:val="24"/>
                                </w:rPr>
                                <w:t>险情发现者</w:t>
                              </w:r>
                            </w:p>
                          </w:txbxContent>
                        </wps:txbx>
                        <wps:bodyPr rot="0" vert="horz" wrap="square" lIns="91440" tIns="45720" rIns="91440" bIns="45720" anchor="t" anchorCtr="0" upright="1">
                          <a:noAutofit/>
                        </wps:bodyPr>
                      </wps:wsp>
                      <wps:wsp>
                        <wps:cNvPr id="108" name="AutoShape 5"/>
                        <wps:cNvCnPr>
                          <a:cxnSpLocks noChangeShapeType="1"/>
                        </wps:cNvCnPr>
                        <wps:spPr bwMode="auto">
                          <a:xfrm>
                            <a:off x="2589530" y="473710"/>
                            <a:ext cx="5080" cy="288290"/>
                          </a:xfrm>
                          <a:prstGeom prst="straightConnector1">
                            <a:avLst/>
                          </a:prstGeom>
                          <a:noFill/>
                          <a:ln w="9525">
                            <a:solidFill>
                              <a:srgbClr val="000000"/>
                            </a:solidFill>
                            <a:round/>
                            <a:tailEnd type="triangle" w="med" len="med"/>
                          </a:ln>
                        </wps:spPr>
                        <wps:bodyPr/>
                      </wps:wsp>
                      <wps:wsp>
                        <wps:cNvPr id="109" name="AutoShape 6"/>
                        <wps:cNvCnPr>
                          <a:cxnSpLocks noChangeShapeType="1"/>
                        </wps:cNvCnPr>
                        <wps:spPr bwMode="auto">
                          <a:xfrm>
                            <a:off x="1381760" y="763270"/>
                            <a:ext cx="2520315" cy="635"/>
                          </a:xfrm>
                          <a:prstGeom prst="straightConnector1">
                            <a:avLst/>
                          </a:prstGeom>
                          <a:noFill/>
                          <a:ln w="9525">
                            <a:solidFill>
                              <a:srgbClr val="000000"/>
                            </a:solidFill>
                            <a:round/>
                          </a:ln>
                        </wps:spPr>
                        <wps:bodyPr/>
                      </wps:wsp>
                      <wps:wsp>
                        <wps:cNvPr id="110" name="AutoShape 7"/>
                        <wps:cNvCnPr>
                          <a:cxnSpLocks noChangeShapeType="1"/>
                        </wps:cNvCnPr>
                        <wps:spPr bwMode="auto">
                          <a:xfrm>
                            <a:off x="1381760" y="763905"/>
                            <a:ext cx="635" cy="288290"/>
                          </a:xfrm>
                          <a:prstGeom prst="straightConnector1">
                            <a:avLst/>
                          </a:prstGeom>
                          <a:noFill/>
                          <a:ln w="9525">
                            <a:solidFill>
                              <a:srgbClr val="000000"/>
                            </a:solidFill>
                            <a:round/>
                          </a:ln>
                        </wps:spPr>
                        <wps:bodyPr/>
                      </wps:wsp>
                      <wps:wsp>
                        <wps:cNvPr id="111" name="AutoShape 8"/>
                        <wps:cNvCnPr>
                          <a:cxnSpLocks noChangeShapeType="1"/>
                        </wps:cNvCnPr>
                        <wps:spPr bwMode="auto">
                          <a:xfrm>
                            <a:off x="3892550" y="754380"/>
                            <a:ext cx="635" cy="288290"/>
                          </a:xfrm>
                          <a:prstGeom prst="straightConnector1">
                            <a:avLst/>
                          </a:prstGeom>
                          <a:noFill/>
                          <a:ln w="9525">
                            <a:solidFill>
                              <a:srgbClr val="000000"/>
                            </a:solidFill>
                            <a:round/>
                          </a:ln>
                        </wps:spPr>
                        <wps:bodyPr/>
                      </wps:wsp>
                      <wps:wsp>
                        <wps:cNvPr id="112" name="AutoShape 9"/>
                        <wps:cNvCnPr>
                          <a:cxnSpLocks noChangeShapeType="1"/>
                        </wps:cNvCnPr>
                        <wps:spPr bwMode="auto">
                          <a:xfrm>
                            <a:off x="2593975" y="763905"/>
                            <a:ext cx="0" cy="288290"/>
                          </a:xfrm>
                          <a:prstGeom prst="straightConnector1">
                            <a:avLst/>
                          </a:prstGeom>
                          <a:noFill/>
                          <a:ln w="9525">
                            <a:solidFill>
                              <a:srgbClr val="000000"/>
                            </a:solidFill>
                            <a:round/>
                          </a:ln>
                        </wps:spPr>
                        <wps:bodyPr/>
                      </wps:wsp>
                      <wps:wsp>
                        <wps:cNvPr id="113" name="Rectangle 10"/>
                        <wps:cNvSpPr>
                          <a:spLocks noChangeArrowheads="1"/>
                        </wps:cNvSpPr>
                        <wps:spPr bwMode="auto">
                          <a:xfrm>
                            <a:off x="839470" y="1052195"/>
                            <a:ext cx="1080135" cy="288290"/>
                          </a:xfrm>
                          <a:prstGeom prst="rect">
                            <a:avLst/>
                          </a:prstGeom>
                          <a:solidFill>
                            <a:srgbClr val="FFFFFF"/>
                          </a:solidFill>
                          <a:ln w="9525">
                            <a:solidFill>
                              <a:srgbClr val="000000"/>
                            </a:solidFill>
                            <a:miter lim="800000"/>
                          </a:ln>
                        </wps:spPr>
                        <wps:txbx>
                          <w:txbxContent>
                            <w:p w14:paraId="7DA7CEA6">
                              <w:pPr>
                                <w:jc w:val="center"/>
                                <w:rPr>
                                  <w:rFonts w:ascii="仿宋" w:hAnsi="仿宋" w:eastAsia="仿宋"/>
                                  <w:sz w:val="24"/>
                                  <w:szCs w:val="24"/>
                                </w:rPr>
                              </w:pPr>
                              <w:r>
                                <w:rPr>
                                  <w:rFonts w:hint="eastAsia" w:ascii="仿宋" w:hAnsi="仿宋" w:eastAsia="仿宋"/>
                                  <w:sz w:val="24"/>
                                  <w:szCs w:val="24"/>
                                </w:rPr>
                                <w:t>周边人员</w:t>
                              </w:r>
                            </w:p>
                          </w:txbxContent>
                        </wps:txbx>
                        <wps:bodyPr rot="0" vert="horz" wrap="square" lIns="91440" tIns="45720" rIns="91440" bIns="45720" anchor="t" anchorCtr="0" upright="1">
                          <a:noAutofit/>
                        </wps:bodyPr>
                      </wps:wsp>
                      <wps:wsp>
                        <wps:cNvPr id="114" name="Rectangle 11"/>
                        <wps:cNvSpPr>
                          <a:spLocks noChangeArrowheads="1"/>
                        </wps:cNvSpPr>
                        <wps:spPr bwMode="auto">
                          <a:xfrm>
                            <a:off x="2049145" y="1052195"/>
                            <a:ext cx="1080135" cy="288290"/>
                          </a:xfrm>
                          <a:prstGeom prst="rect">
                            <a:avLst/>
                          </a:prstGeom>
                          <a:solidFill>
                            <a:srgbClr val="FFFFFF"/>
                          </a:solidFill>
                          <a:ln w="9525">
                            <a:solidFill>
                              <a:srgbClr val="000000"/>
                            </a:solidFill>
                            <a:miter lim="800000"/>
                          </a:ln>
                        </wps:spPr>
                        <wps:txbx>
                          <w:txbxContent>
                            <w:p w14:paraId="705E4AE5">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区域负责人</w:t>
                              </w:r>
                            </w:p>
                          </w:txbxContent>
                        </wps:txbx>
                        <wps:bodyPr rot="0" vert="horz" wrap="square" lIns="91440" tIns="45720" rIns="91440" bIns="45720" anchor="t" anchorCtr="0" upright="1">
                          <a:noAutofit/>
                        </wps:bodyPr>
                      </wps:wsp>
                      <wps:wsp>
                        <wps:cNvPr id="115" name="Rectangle 12"/>
                        <wps:cNvSpPr>
                          <a:spLocks noChangeArrowheads="1"/>
                        </wps:cNvSpPr>
                        <wps:spPr bwMode="auto">
                          <a:xfrm>
                            <a:off x="3344545" y="1052195"/>
                            <a:ext cx="1080135" cy="288290"/>
                          </a:xfrm>
                          <a:prstGeom prst="rect">
                            <a:avLst/>
                          </a:prstGeom>
                          <a:solidFill>
                            <a:srgbClr val="FFFFFF"/>
                          </a:solidFill>
                          <a:ln w="9525">
                            <a:solidFill>
                              <a:srgbClr val="000000"/>
                            </a:solidFill>
                            <a:miter lim="800000"/>
                          </a:ln>
                        </wps:spPr>
                        <wps:txbx>
                          <w:txbxContent>
                            <w:p w14:paraId="45D3FB3A">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岗位人员</w:t>
                              </w:r>
                            </w:p>
                          </w:txbxContent>
                        </wps:txbx>
                        <wps:bodyPr rot="0" vert="horz" wrap="square" lIns="91440" tIns="45720" rIns="91440" bIns="45720" anchor="t" anchorCtr="0" upright="1">
                          <a:noAutofit/>
                        </wps:bodyPr>
                      </wps:wsp>
                      <wps:wsp>
                        <wps:cNvPr id="116" name="AutoShape 15"/>
                        <wps:cNvCnPr>
                          <a:cxnSpLocks noChangeShapeType="1"/>
                        </wps:cNvCnPr>
                        <wps:spPr bwMode="auto">
                          <a:xfrm flipH="1">
                            <a:off x="2583180" y="1340485"/>
                            <a:ext cx="6350" cy="376555"/>
                          </a:xfrm>
                          <a:prstGeom prst="straightConnector1">
                            <a:avLst/>
                          </a:prstGeom>
                          <a:noFill/>
                          <a:ln w="9525">
                            <a:solidFill>
                              <a:srgbClr val="000000"/>
                            </a:solidFill>
                            <a:round/>
                            <a:tailEnd type="triangle" w="med" len="med"/>
                          </a:ln>
                        </wps:spPr>
                        <wps:bodyPr/>
                      </wps:wsp>
                      <wps:wsp>
                        <wps:cNvPr id="117" name="Rectangle 20"/>
                        <wps:cNvSpPr>
                          <a:spLocks noChangeArrowheads="1"/>
                        </wps:cNvSpPr>
                        <wps:spPr bwMode="auto">
                          <a:xfrm>
                            <a:off x="1692910" y="1727200"/>
                            <a:ext cx="1807845" cy="332105"/>
                          </a:xfrm>
                          <a:prstGeom prst="rect">
                            <a:avLst/>
                          </a:prstGeom>
                          <a:solidFill>
                            <a:srgbClr val="FFFFFF"/>
                          </a:solidFill>
                          <a:ln w="9525">
                            <a:solidFill>
                              <a:srgbClr val="000000"/>
                            </a:solidFill>
                            <a:miter lim="800000"/>
                          </a:ln>
                        </wps:spPr>
                        <wps:txbx>
                          <w:txbxContent>
                            <w:p w14:paraId="3C9EF6F0">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应急救援小组展开救援</w:t>
                              </w:r>
                            </w:p>
                          </w:txbxContent>
                        </wps:txbx>
                        <wps:bodyPr rot="0" vert="horz" wrap="square" lIns="91440" tIns="45720" rIns="91440" bIns="45720" anchor="t" anchorCtr="0" upright="1">
                          <a:noAutofit/>
                        </wps:bodyPr>
                      </wps:wsp>
                      <wps:wsp>
                        <wps:cNvPr id="118" name="AutoShape 5"/>
                        <wps:cNvCnPr>
                          <a:cxnSpLocks noChangeShapeType="1"/>
                        </wps:cNvCnPr>
                        <wps:spPr bwMode="auto">
                          <a:xfrm>
                            <a:off x="2600325" y="2065020"/>
                            <a:ext cx="5080" cy="288290"/>
                          </a:xfrm>
                          <a:prstGeom prst="straightConnector1">
                            <a:avLst/>
                          </a:prstGeom>
                          <a:noFill/>
                          <a:ln w="9525">
                            <a:solidFill>
                              <a:srgbClr val="000000"/>
                            </a:solidFill>
                            <a:round/>
                            <a:tailEnd type="triangle" w="med" len="med"/>
                          </a:ln>
                        </wps:spPr>
                        <wps:bodyPr/>
                      </wps:wsp>
                      <wps:wsp>
                        <wps:cNvPr id="51" name="Rectangle 20"/>
                        <wps:cNvSpPr>
                          <a:spLocks noChangeArrowheads="1"/>
                        </wps:cNvSpPr>
                        <wps:spPr bwMode="auto">
                          <a:xfrm>
                            <a:off x="2100580" y="2348865"/>
                            <a:ext cx="1003935" cy="332105"/>
                          </a:xfrm>
                          <a:prstGeom prst="rect">
                            <a:avLst/>
                          </a:prstGeom>
                          <a:solidFill>
                            <a:srgbClr val="FFFFFF"/>
                          </a:solidFill>
                          <a:ln w="9525">
                            <a:solidFill>
                              <a:srgbClr val="000000"/>
                            </a:solidFill>
                            <a:miter lim="800000"/>
                          </a:ln>
                        </wps:spPr>
                        <wps:txbx>
                          <w:txbxContent>
                            <w:p w14:paraId="4AD58707">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救援结束</w:t>
                              </w:r>
                            </w:p>
                          </w:txbxContent>
                        </wps:txbx>
                        <wps:bodyPr rot="0" vert="horz" wrap="square" lIns="91440" tIns="45720" rIns="91440" bIns="45720" anchor="t" anchorCtr="0" upright="1">
                          <a:noAutofit/>
                        </wps:bodyPr>
                      </wps:wsp>
                      <wps:wsp>
                        <wps:cNvPr id="52" name="AutoShape 5"/>
                        <wps:cNvCnPr>
                          <a:cxnSpLocks noChangeShapeType="1"/>
                        </wps:cNvCnPr>
                        <wps:spPr bwMode="auto">
                          <a:xfrm>
                            <a:off x="2621915" y="2686685"/>
                            <a:ext cx="5080" cy="288290"/>
                          </a:xfrm>
                          <a:prstGeom prst="straightConnector1">
                            <a:avLst/>
                          </a:prstGeom>
                          <a:noFill/>
                          <a:ln w="9525">
                            <a:solidFill>
                              <a:srgbClr val="000000"/>
                            </a:solidFill>
                            <a:round/>
                            <a:tailEnd type="triangle" w="med" len="med"/>
                          </a:ln>
                        </wps:spPr>
                        <wps:bodyPr/>
                      </wps:wsp>
                    </wpc:wpc>
                  </a:graphicData>
                </a:graphic>
              </wp:inline>
            </w:drawing>
          </mc:Choice>
          <mc:Fallback>
            <w:pict>
              <v:group id="_x0000_s1026" o:spid="_x0000_s1026" o:spt="203" style="height:268.95pt;width:439.35pt;" coordsize="5579745,3415665" editas="canvas" o:gfxdata="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">
                <o:lock v:ext="edit" aspectratio="f"/>
                <v:shape id="_x0000_s1026" o:spid="_x0000_s1026" style="position:absolute;left:0;top:0;height:3415665;width:5579745;" filled="f" stroked="f" coordsize="21600,21600" o:gfxdata="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">
                  <v:fill on="f" focussize="0,0"/>
                  <v:stroke on="f"/>
                  <v:imagedata o:title=""/>
                  <o:lock v:ext="edit" aspectratio="f"/>
                </v:shape>
                <v:rect id="Rectangle 4" o:spid="_x0000_s1026" o:spt="1" style="position:absolute;left:2049145;top:185420;height:288290;width:108013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dC2Rq9UAAAAFAQAADwAAAAAAAAABACAAAAAiAAAAZHJzL2Rvd25y&#10;ZXYueG1sUEsBAhQAFAAAAAgAh07iQD97H6E6AgAAigQAAA4AAAAAAAAAAQAgAAAAJAEAAGRycy9l&#10;Mm9Eb2MueG1sUEsFBgAAAAAGAAYAWQEAANAFAAAAAA==&#10;">
                  <v:fill on="t" focussize="0,0"/>
                  <v:stroke color="#000000" miterlimit="8" joinstyle="miter"/>
                  <v:imagedata o:title=""/>
                  <o:lock v:ext="edit" aspectratio="f"/>
                  <v:textbox>
                    <w:txbxContent>
                      <w:p w14:paraId="3EECD167">
                        <w:pPr>
                          <w:jc w:val="center"/>
                          <w:rPr>
                            <w:rFonts w:ascii="仿宋" w:hAnsi="仿宋" w:eastAsia="仿宋"/>
                            <w:sz w:val="24"/>
                            <w:szCs w:val="24"/>
                          </w:rPr>
                        </w:pPr>
                        <w:r>
                          <w:rPr>
                            <w:rFonts w:hint="eastAsia" w:ascii="仿宋" w:hAnsi="仿宋" w:eastAsia="仿宋"/>
                            <w:sz w:val="24"/>
                            <w:szCs w:val="24"/>
                          </w:rPr>
                          <w:t>险情发现者</w:t>
                        </w:r>
                      </w:p>
                    </w:txbxContent>
                  </v:textbox>
                </v:rect>
                <v:shape id="AutoShape 5" o:spid="_x0000_s1026" o:spt="32" type="#_x0000_t32" style="position:absolute;left:2589530;top:473710;height:288290;width:5080;" filled="f" stroked="t" coordsize="21600,21600" o:gfxdata="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UWwb2AAAAAUBAAAPAAAAAAAAAAEAIAAAACIAAABkcnMvZG93&#10;bnJldi54bWxQSwECFAAUAAAACACHTuJA9V2CpwACAADvAwAADgAAAAAAAAABACAAAAAnAQAAZHJz&#10;L2Uyb0RvYy54bWxQSwUGAAAAAAYABgBZAQAAmQUAAAAA&#10;">
                  <v:fill on="f" focussize="0,0"/>
                  <v:stroke color="#000000" joinstyle="round" endarrow="block"/>
                  <v:imagedata o:title=""/>
                  <o:lock v:ext="edit" aspectratio="f"/>
                </v:shape>
                <v:shape id="AutoShape 6" o:spid="_x0000_s1026" o:spt="32" type="#_x0000_t32" style="position:absolute;left:1381760;top:763270;height:635;width:2520315;" filled="f" stroked="t" coordsize="21600,21600" o:gfxdata="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UG19YAAAAF&#10;AQAADwAAAAAAAAABACAAAAAiAAAAZHJzL2Rvd25yZXYueG1sUEsBAhQAFAAAAAgAh07iQH93oZrl&#10;AQAAwQMAAA4AAAAAAAAAAQAgAAAAJQEAAGRycy9lMm9Eb2MueG1sUEsFBgAAAAAGAAYAWQEAAHwF&#10;AAAAAA==&#10;">
                  <v:fill on="f" focussize="0,0"/>
                  <v:stroke color="#000000" joinstyle="round"/>
                  <v:imagedata o:title=""/>
                  <o:lock v:ext="edit" aspectratio="f"/>
                </v:shape>
                <v:shape id="AutoShape 7" o:spid="_x0000_s1026" o:spt="32" type="#_x0000_t32" style="position:absolute;left:1381760;top:763905;height:288290;width:635;" filled="f" stroked="t" coordsize="21600,21600" o:gfxdata="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KVBtfWAAAA&#10;BQEAAA8AAAAAAAAAAQAgAAAAIgAAAGRycy9kb3ducmV2LnhtbFBLAQIUABQAAAAIAIdO4kA8d5vZ&#10;5gEAAMADAAAOAAAAAAAAAAEAIAAAACUBAABkcnMvZTJvRG9jLnhtbFBLBQYAAAAABgAGAFkBAAB9&#10;BQAAAAA=&#10;">
                  <v:fill on="f" focussize="0,0"/>
                  <v:stroke color="#000000" joinstyle="round"/>
                  <v:imagedata o:title=""/>
                  <o:lock v:ext="edit" aspectratio="f"/>
                </v:shape>
                <v:shape id="AutoShape 8" o:spid="_x0000_s1026" o:spt="32" type="#_x0000_t32" style="position:absolute;left:3892550;top:754380;height:288290;width:635;" filled="f" stroked="t" coordsize="21600,21600" o:gfxdata="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KVBtfWAAAA&#10;BQEAAA8AAAAAAAAAAQAgAAAAIgAAAGRycy9kb3ducmV2LnhtbFBLAQIUABQAAAAIAIdO4kDmwzIq&#10;5gEAAMADAAAOAAAAAAAAAAEAIAAAACUBAABkcnMvZTJvRG9jLnhtbFBLBQYAAAAABgAGAFkBAAB9&#10;BQAAAAA=&#10;">
                  <v:fill on="f" focussize="0,0"/>
                  <v:stroke color="#000000" joinstyle="round"/>
                  <v:imagedata o:title=""/>
                  <o:lock v:ext="edit" aspectratio="f"/>
                </v:shape>
                <v:shape id="AutoShape 9" o:spid="_x0000_s1026" o:spt="32" type="#_x0000_t32" style="position:absolute;left:2593975;top:763905;height:288290;width:0;" filled="f" stroked="t" coordsize="21600,21600" o:gfxdata="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UG19YAAAAF&#10;AQAADwAAAAAAAAABACAAAAAiAAAAZHJzL2Rvd25yZXYueG1sUEsBAhQAFAAAAAgAh07iQAuDhLzl&#10;AQAAvgMAAA4AAAAAAAAAAQAgAAAAJQEAAGRycy9lMm9Eb2MueG1sUEsFBgAAAAAGAAYAWQEAAHwF&#10;AAAAAA==&#10;">
                  <v:fill on="f" focussize="0,0"/>
                  <v:stroke color="#000000" joinstyle="round"/>
                  <v:imagedata o:title=""/>
                  <o:lock v:ext="edit" aspectratio="f"/>
                </v:shape>
                <v:rect id="Rectangle 10" o:spid="_x0000_s1026" o:spt="1" style="position:absolute;left:839470;top:1052195;height:288290;width:108013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C2Rq9UAAAAFAQAADwAAAAAAAAABACAAAAAiAAAAZHJzL2Rv&#10;d25yZXYueG1sUEsBAhQAFAAAAAgAh07iQF2sr9U9AgAAiwQAAA4AAAAAAAAAAQAgAAAAJAEAAGRy&#10;cy9lMm9Eb2MueG1sUEsFBgAAAAAGAAYAWQEAANMFAAAAAA==&#10;">
                  <v:fill on="t" focussize="0,0"/>
                  <v:stroke color="#000000" miterlimit="8" joinstyle="miter"/>
                  <v:imagedata o:title=""/>
                  <o:lock v:ext="edit" aspectratio="f"/>
                  <v:textbox>
                    <w:txbxContent>
                      <w:p w14:paraId="7DA7CEA6">
                        <w:pPr>
                          <w:jc w:val="center"/>
                          <w:rPr>
                            <w:rFonts w:ascii="仿宋" w:hAnsi="仿宋" w:eastAsia="仿宋"/>
                            <w:sz w:val="24"/>
                            <w:szCs w:val="24"/>
                          </w:rPr>
                        </w:pPr>
                        <w:r>
                          <w:rPr>
                            <w:rFonts w:hint="eastAsia" w:ascii="仿宋" w:hAnsi="仿宋" w:eastAsia="仿宋"/>
                            <w:sz w:val="24"/>
                            <w:szCs w:val="24"/>
                          </w:rPr>
                          <w:t>周边人员</w:t>
                        </w:r>
                      </w:p>
                    </w:txbxContent>
                  </v:textbox>
                </v:rect>
                <v:rect id="Rectangle 11" o:spid="_x0000_s1026" o:spt="1" style="position:absolute;left:2049145;top:1052195;height:288290;width:108013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QtkavVAAAABQEAAA8AAAAAAAAAAQAgAAAAIgAAAGRycy9kb3du&#10;cmV2LnhtbFBLAQIUABQAAAAIAIdO4kBf3ZlNOwIAAIwEAAAOAAAAAAAAAAEAIAAAACQBAABkcnMv&#10;ZTJvRG9jLnhtbFBLBQYAAAAABgAGAFkBAADRBQAAAAA=&#10;">
                  <v:fill on="t" focussize="0,0"/>
                  <v:stroke color="#000000" miterlimit="8" joinstyle="miter"/>
                  <v:imagedata o:title=""/>
                  <o:lock v:ext="edit" aspectratio="f"/>
                  <v:textbox>
                    <w:txbxContent>
                      <w:p w14:paraId="705E4AE5">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区域负责人</w:t>
                        </w:r>
                      </w:p>
                    </w:txbxContent>
                  </v:textbox>
                </v:rect>
                <v:rect id="Rectangle 12" o:spid="_x0000_s1026" o:spt="1" style="position:absolute;left:3344545;top:1052195;height:288290;width:108013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C2Rq9UAAAAFAQAADwAAAAAAAAABACAAAAAiAAAAZHJzL2Rv&#10;d25yZXYueG1sUEsBAhQAFAAAAAgAh07iQJAD1RQ9AgAAjAQAAA4AAAAAAAAAAQAgAAAAJAEAAGRy&#10;cy9lMm9Eb2MueG1sUEsFBgAAAAAGAAYAWQEAANMFAAAAAA==&#10;">
                  <v:fill on="t" focussize="0,0"/>
                  <v:stroke color="#000000" miterlimit="8" joinstyle="miter"/>
                  <v:imagedata o:title=""/>
                  <o:lock v:ext="edit" aspectratio="f"/>
                  <v:textbox>
                    <w:txbxContent>
                      <w:p w14:paraId="45D3FB3A">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岗位人员</w:t>
                        </w:r>
                      </w:p>
                    </w:txbxContent>
                  </v:textbox>
                </v:rect>
                <v:shape id="AutoShape 15" o:spid="_x0000_s1026" o:spt="32" type="#_x0000_t32" style="position:absolute;left:2583180;top:1340485;flip:x;height:376555;width:6350;" filled="f" stroked="t" coordsize="21600,21600" o:gfxdata="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&#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2zURl1wAAAAUBAAAPAAAAAAAAAAEAIAAAACIAAABk&#10;cnMvZG93bnJldi54bWxQSwECFAAUAAAACACHTuJAqLSRhAcCAAD7AwAADgAAAAAAAAABACAAAAAm&#10;AQAAZHJzL2Uyb0RvYy54bWxQSwUGAAAAAAYABgBZAQAAnwUAAAAA&#10;">
                  <v:fill on="f" focussize="0,0"/>
                  <v:stroke color="#000000" joinstyle="round" endarrow="block"/>
                  <v:imagedata o:title=""/>
                  <o:lock v:ext="edit" aspectratio="f"/>
                </v:shape>
                <v:rect id="Rectangle 20" o:spid="_x0000_s1026" o:spt="1" style="position:absolute;left:1692910;top:1727200;height:332105;width:180784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0LZGr1QAAAAUBAAAPAAAAAAAAAAEAIAAAACIAAABkcnMvZG93&#10;bnJldi54bWxQSwECFAAUAAAACACHTuJAeowsyDwCAACMBAAADgAAAAAAAAABACAAAAAkAQAAZHJz&#10;L2Uyb0RvYy54bWxQSwUGAAAAAAYABgBZAQAA0gUAAAAA&#10;">
                  <v:fill on="t" focussize="0,0"/>
                  <v:stroke color="#000000" miterlimit="8" joinstyle="miter"/>
                  <v:imagedata o:title=""/>
                  <o:lock v:ext="edit" aspectratio="f"/>
                  <v:textbox>
                    <w:txbxContent>
                      <w:p w14:paraId="3C9EF6F0">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应急救援小组展开救援</w:t>
                        </w:r>
                      </w:p>
                    </w:txbxContent>
                  </v:textbox>
                </v:rect>
                <v:shape id="AutoShape 5" o:spid="_x0000_s1026" o:spt="32" type="#_x0000_t32" style="position:absolute;left:2600325;top:2065020;height:288290;width:5080;" filled="f" stroked="t" coordsize="21600,21600" o:gfxdata="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ZRbBvYAAAABQEAAA8AAAAAAAAAAQAgAAAAIgAAAGRycy9kb3ducmV2&#10;LnhtbFBLAQIUABQAAAAIAIdO4kDXCH09/AEAAPADAAAOAAAAAAAAAAEAIAAAACcBAABkcnMvZTJv&#10;RG9jLnhtbFBLBQYAAAAABgAGAFkBAACVBQAAAAA=&#10;">
                  <v:fill on="f" focussize="0,0"/>
                  <v:stroke color="#000000" joinstyle="round" endarrow="block"/>
                  <v:imagedata o:title=""/>
                  <o:lock v:ext="edit" aspectratio="f"/>
                </v:shape>
                <v:rect id="Rectangle 20" o:spid="_x0000_s1026" o:spt="1" style="position:absolute;left:2100580;top:2348865;height:332105;width:1003935;" fillcolor="#FFFFFF" filled="t" stroked="t" coordsize="21600,21600" o:gfxdata="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0LZGr1QAAAAUBAAAPAAAAAAAAAAEAIAAAACIAAABkcnMvZG93&#10;bnJldi54bWxQSwECFAAUAAAACACHTuJA+MMdSjwCAACLBAAADgAAAAAAAAABACAAAAAkAQAAZHJz&#10;L2Uyb0RvYy54bWxQSwUGAAAAAAYABgBZAQAA0gUAAAAA&#10;">
                  <v:fill on="t" focussize="0,0"/>
                  <v:stroke color="#000000" miterlimit="8" joinstyle="miter"/>
                  <v:imagedata o:title=""/>
                  <o:lock v:ext="edit" aspectratio="f"/>
                  <v:textbox>
                    <w:txbxContent>
                      <w:p w14:paraId="4AD58707">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救援结束</w:t>
                        </w:r>
                      </w:p>
                    </w:txbxContent>
                  </v:textbox>
                </v:rect>
                <v:shape id="AutoShape 5" o:spid="_x0000_s1026" o:spt="32" type="#_x0000_t32" style="position:absolute;left:2621915;top:2686685;height:288290;width:5080;" filled="f" stroked="t" coordsize="21600,21600" o:gfxdata="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ZRbBvYAAAABQEAAA8AAAAAAAAAAQAgAAAAIgAAAGRycy9kb3du&#10;cmV2LnhtbFBLAQIUABQAAAAIAIdO4kBZujpu/wEAAO8DAAAOAAAAAAAAAAEAIAAAACcBAABkcnMv&#10;ZTJvRG9jLnhtbFBLBQYAAAAABgAGAFkBAACYBQAAAAA=&#10;">
                  <v:fill on="f" focussize="0,0"/>
                  <v:stroke color="#000000" joinstyle="round" endarrow="block"/>
                  <v:imagedata o:title=""/>
                  <o:lock v:ext="edit" aspectratio="f"/>
                </v:shape>
                <w10:wrap type="none"/>
                <w10:anchorlock/>
              </v:group>
            </w:pict>
          </mc:Fallback>
        </mc:AlternateContent>
      </w:r>
    </w:p>
    <w:bookmarkEnd w:id="425"/>
    <w:p w14:paraId="511E68C7">
      <w:pPr>
        <w:pageBreakBefore w:val="0"/>
        <w:widowControl/>
        <w:kinsoku/>
        <w:overflowPunct/>
        <w:bidi w:val="0"/>
        <w:spacing w:line="500" w:lineRule="exact"/>
        <w:ind w:firstLine="562"/>
        <w:jc w:val="center"/>
        <w:rPr>
          <w:rFonts w:hint="default" w:ascii="Times New Roman" w:hAnsi="Times New Roman" w:cs="Times New Roman" w:eastAsiaTheme="minorEastAsia"/>
          <w:b/>
          <w:color w:val="auto"/>
          <w:kern w:val="0"/>
          <w:sz w:val="21"/>
          <w:szCs w:val="21"/>
          <w:highlight w:val="none"/>
        </w:rPr>
      </w:pPr>
      <w:bookmarkStart w:id="426" w:name="_Toc493077666"/>
      <w:r>
        <w:rPr>
          <w:rFonts w:hint="default" w:ascii="Times New Roman" w:hAnsi="Times New Roman" w:cs="Times New Roman" w:eastAsiaTheme="minorEastAsia"/>
          <w:b/>
          <w:color w:val="auto"/>
          <w:kern w:val="0"/>
          <w:sz w:val="21"/>
          <w:szCs w:val="21"/>
          <w:highlight w:val="none"/>
        </w:rPr>
        <w:t xml:space="preserve">图6-2 </w:t>
      </w:r>
      <w:r>
        <w:rPr>
          <w:rFonts w:hint="eastAsia" w:ascii="Times New Roman" w:hAnsi="Times New Roman" w:cs="Times New Roman" w:eastAsiaTheme="minorEastAsia"/>
          <w:b/>
          <w:color w:val="auto"/>
          <w:kern w:val="0"/>
          <w:sz w:val="21"/>
          <w:szCs w:val="21"/>
          <w:highlight w:val="none"/>
          <w:lang w:eastAsia="zh-CN"/>
        </w:rPr>
        <w:t>公司</w:t>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b/>
          <w:color w:val="auto"/>
          <w:kern w:val="0"/>
          <w:sz w:val="21"/>
          <w:szCs w:val="21"/>
          <w:highlight w:val="none"/>
        </w:rPr>
        <w:instrText xml:space="preserve"> = 3 \* ROMAN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b/>
          <w:color w:val="auto"/>
          <w:kern w:val="0"/>
          <w:sz w:val="21"/>
          <w:szCs w:val="21"/>
          <w:highlight w:val="none"/>
        </w:rPr>
        <w:t>III</w: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b/>
          <w:color w:val="auto"/>
          <w:kern w:val="0"/>
          <w:sz w:val="21"/>
          <w:szCs w:val="21"/>
          <w:highlight w:val="none"/>
        </w:rPr>
        <w:t>级响应程序示意图</w:t>
      </w:r>
    </w:p>
    <w:p w14:paraId="4BD50E8B">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27" w:name="_Toc8543"/>
      <w:bookmarkStart w:id="428" w:name="_Toc25991"/>
      <w:bookmarkStart w:id="429" w:name="_Toc20961"/>
      <w:bookmarkStart w:id="430" w:name="_Toc14431"/>
      <w:bookmarkStart w:id="431" w:name="_Toc32"/>
      <w:bookmarkStart w:id="432" w:name="_Toc18895"/>
      <w:r>
        <w:rPr>
          <w:rFonts w:hint="default" w:ascii="Times New Roman" w:hAnsi="Times New Roman" w:cs="Times New Roman" w:eastAsiaTheme="minorEastAsia"/>
          <w:color w:val="auto"/>
          <w:sz w:val="24"/>
          <w:szCs w:val="24"/>
          <w:highlight w:val="none"/>
        </w:rPr>
        <w:t xml:space="preserve">6.2.3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Ⅱ级响应程序</w:t>
      </w:r>
      <w:bookmarkEnd w:id="426"/>
      <w:bookmarkEnd w:id="427"/>
      <w:bookmarkEnd w:id="428"/>
      <w:bookmarkEnd w:id="429"/>
      <w:bookmarkEnd w:id="430"/>
      <w:bookmarkEnd w:id="431"/>
      <w:bookmarkEnd w:id="432"/>
      <w:r>
        <w:rPr>
          <w:rFonts w:hint="default" w:ascii="Times New Roman" w:hAnsi="Times New Roman" w:cs="Times New Roman" w:eastAsiaTheme="minorEastAsia"/>
          <w:color w:val="auto"/>
          <w:sz w:val="24"/>
          <w:szCs w:val="24"/>
          <w:highlight w:val="none"/>
        </w:rPr>
        <w:tab/>
      </w:r>
    </w:p>
    <w:p w14:paraId="3644F55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w:t>
      </w:r>
      <w:r>
        <w:rPr>
          <w:rFonts w:hint="eastAsia" w:ascii="Times New Roman" w:hAnsi="Times New Roman" w:cs="Times New Roman" w:eastAsiaTheme="minorEastAsia"/>
          <w:color w:val="auto"/>
          <w:sz w:val="24"/>
          <w:szCs w:val="24"/>
          <w:highlight w:val="none"/>
          <w:lang w:eastAsia="zh-CN"/>
        </w:rPr>
        <w:t>公司</w:t>
      </w:r>
      <w:r>
        <w:rPr>
          <w:rFonts w:hint="eastAsia" w:ascii="Times New Roman" w:hAnsi="Times New Roman" w:cs="Times New Roman" w:eastAsiaTheme="minorEastAsia"/>
          <w:color w:val="auto"/>
          <w:sz w:val="24"/>
          <w:szCs w:val="24"/>
          <w:highlight w:val="none"/>
          <w:lang w:val="en-US" w:eastAsia="zh-CN"/>
        </w:rPr>
        <w:t>较</w:t>
      </w:r>
      <w:r>
        <w:rPr>
          <w:rFonts w:hint="default" w:ascii="Times New Roman" w:hAnsi="Times New Roman" w:cs="Times New Roman" w:eastAsiaTheme="minorEastAsia"/>
          <w:color w:val="auto"/>
          <w:sz w:val="24"/>
          <w:szCs w:val="24"/>
          <w:highlight w:val="none"/>
        </w:rPr>
        <w:t>大环境事件）：（发布人：</w:t>
      </w:r>
      <w:r>
        <w:rPr>
          <w:rFonts w:hint="eastAsia" w:ascii="Times New Roman" w:hAnsi="Times New Roman" w:cs="Times New Roman" w:eastAsiaTheme="minorEastAsia"/>
          <w:color w:val="auto"/>
          <w:kern w:val="0"/>
          <w:sz w:val="24"/>
          <w:szCs w:val="24"/>
          <w:highlight w:val="none"/>
          <w:lang w:eastAsia="zh-CN"/>
        </w:rPr>
        <w:t>邹志文</w:t>
      </w:r>
      <w:r>
        <w:rPr>
          <w:rFonts w:hint="default" w:ascii="Times New Roman" w:hAnsi="Times New Roman" w:cs="Times New Roman" w:eastAsiaTheme="minorEastAsia"/>
          <w:color w:val="auto"/>
          <w:sz w:val="24"/>
          <w:szCs w:val="24"/>
          <w:highlight w:val="none"/>
        </w:rPr>
        <w:t>；现场负责人：</w:t>
      </w:r>
      <w:r>
        <w:rPr>
          <w:rFonts w:hint="eastAsia" w:ascii="Times New Roman" w:hAnsi="Times New Roman" w:cs="Times New Roman" w:eastAsiaTheme="minorEastAsia"/>
          <w:color w:val="auto"/>
          <w:kern w:val="0"/>
          <w:sz w:val="24"/>
          <w:szCs w:val="24"/>
          <w:highlight w:val="none"/>
          <w:lang w:eastAsia="zh-CN"/>
        </w:rPr>
        <w:t>邹志文</w:t>
      </w:r>
      <w:r>
        <w:rPr>
          <w:rFonts w:hint="default" w:ascii="Times New Roman" w:hAnsi="Times New Roman" w:cs="Times New Roman" w:eastAsiaTheme="minorEastAsia"/>
          <w:color w:val="auto"/>
          <w:sz w:val="24"/>
          <w:szCs w:val="24"/>
          <w:highlight w:val="none"/>
        </w:rPr>
        <w:t>）</w:t>
      </w:r>
    </w:p>
    <w:p w14:paraId="1C1CA1F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启动条件：</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发生较大环境事件，造成整个生产厂区影响，或对员工安全与安全与健康造成不良影响时应启动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Ⅱ级响应</w:t>
      </w:r>
      <w:r>
        <w:rPr>
          <w:rFonts w:hint="eastAsia" w:ascii="Times New Roman" w:hAnsi="Times New Roman" w:cs="Times New Roman" w:eastAsiaTheme="minorEastAsia"/>
          <w:color w:val="auto"/>
          <w:kern w:val="0"/>
          <w:sz w:val="24"/>
          <w:szCs w:val="24"/>
          <w:highlight w:val="none"/>
          <w:lang w:eastAsia="zh-CN"/>
        </w:rPr>
        <w:t>。</w:t>
      </w:r>
    </w:p>
    <w:p w14:paraId="67AECC7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(1)当事故升级时，由区域负责人向</w:t>
      </w:r>
      <w:r>
        <w:rPr>
          <w:rFonts w:hint="eastAsia" w:ascii="Times New Roman" w:hAnsi="Times New Roman" w:cs="Times New Roman" w:eastAsiaTheme="minorEastAsia"/>
          <w:color w:val="auto"/>
          <w:kern w:val="0"/>
          <w:sz w:val="24"/>
          <w:szCs w:val="24"/>
          <w:highlight w:val="none"/>
          <w:lang w:val="en-US" w:eastAsia="zh-CN"/>
        </w:rPr>
        <w:t>总指挥</w:t>
      </w:r>
      <w:r>
        <w:rPr>
          <w:rFonts w:hint="default" w:ascii="Times New Roman" w:hAnsi="Times New Roman" w:cs="Times New Roman" w:eastAsiaTheme="minorEastAsia"/>
          <w:color w:val="auto"/>
          <w:kern w:val="0"/>
          <w:sz w:val="24"/>
          <w:szCs w:val="24"/>
          <w:highlight w:val="none"/>
        </w:rPr>
        <w:t>汇报，启动Ⅱ级响应，抽调公司范围内应急资源开展应急救援。当有人员受伤时，及时拨打120急救电话；</w:t>
      </w:r>
    </w:p>
    <w:p w14:paraId="2741AC5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(2)发生Ⅱ级响应时遇到重大险情，作业现场的区域负责人有权在第一时间内组织停产和人员撤离。发生事件后当事人应立即通过手机向总指挥汇报事件情况；</w:t>
      </w:r>
    </w:p>
    <w:p w14:paraId="7F96D9F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(3)接报后总指挥立即赶赴事件现场，并通过手机召集所有</w:t>
      </w:r>
      <w:r>
        <w:rPr>
          <w:rFonts w:hint="eastAsia" w:ascii="Times New Roman" w:hAnsi="Times New Roman" w:cs="Times New Roman" w:eastAsiaTheme="minorEastAsia"/>
          <w:color w:val="auto"/>
          <w:kern w:val="0"/>
          <w:sz w:val="24"/>
          <w:szCs w:val="24"/>
          <w:highlight w:val="none"/>
          <w:lang w:eastAsia="zh-CN"/>
        </w:rPr>
        <w:t>应急小组</w:t>
      </w:r>
      <w:r>
        <w:rPr>
          <w:rFonts w:hint="default" w:ascii="Times New Roman" w:hAnsi="Times New Roman" w:cs="Times New Roman" w:eastAsiaTheme="minorEastAsia"/>
          <w:color w:val="auto"/>
          <w:kern w:val="0"/>
          <w:sz w:val="24"/>
          <w:szCs w:val="24"/>
          <w:highlight w:val="none"/>
        </w:rPr>
        <w:t>成员赶赴现场</w:t>
      </w:r>
      <w:r>
        <w:rPr>
          <w:rFonts w:hint="default" w:ascii="Times New Roman" w:hAnsi="Times New Roman" w:cs="Times New Roman" w:eastAsiaTheme="minorEastAsia"/>
          <w:color w:val="auto"/>
          <w:sz w:val="24"/>
          <w:szCs w:val="24"/>
          <w:highlight w:val="none"/>
        </w:rPr>
        <w:t>；</w:t>
      </w:r>
    </w:p>
    <w:p w14:paraId="4160DFE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(4)到达事故现场后，进行取证调查，并对事故类型、发生时间、地点、污染源、主要污染物质、影响的范围和程度等基本情况进行初步调查分析，形成初步意见。应急总指挥根据事故情况下令启动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Ⅱ级响应，采取相应的应急措施，领导各</w:t>
      </w:r>
      <w:r>
        <w:rPr>
          <w:rFonts w:hint="eastAsia" w:ascii="Times New Roman" w:hAnsi="Times New Roman" w:cs="Times New Roman" w:eastAsiaTheme="minorEastAsia"/>
          <w:color w:val="auto"/>
          <w:kern w:val="0"/>
          <w:sz w:val="24"/>
          <w:szCs w:val="24"/>
          <w:highlight w:val="none"/>
          <w:lang w:eastAsia="zh-CN"/>
        </w:rPr>
        <w:t>应急小组</w:t>
      </w:r>
      <w:r>
        <w:rPr>
          <w:rFonts w:hint="default" w:ascii="Times New Roman" w:hAnsi="Times New Roman" w:cs="Times New Roman" w:eastAsiaTheme="minorEastAsia"/>
          <w:color w:val="auto"/>
          <w:kern w:val="0"/>
          <w:sz w:val="24"/>
          <w:szCs w:val="24"/>
          <w:highlight w:val="none"/>
        </w:rPr>
        <w:t>展开工作；</w:t>
      </w:r>
    </w:p>
    <w:p w14:paraId="6309E58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w:t>
      </w:r>
      <w:r>
        <w:rPr>
          <w:rFonts w:hint="eastAsia" w:ascii="Times New Roman" w:hAnsi="Times New Roman" w:cs="Times New Roman" w:eastAsiaTheme="minorEastAsia"/>
          <w:color w:val="auto"/>
          <w:kern w:val="0"/>
          <w:sz w:val="24"/>
          <w:szCs w:val="24"/>
          <w:highlight w:val="none"/>
          <w:lang w:val="en-US" w:eastAsia="zh-CN"/>
        </w:rPr>
        <w:t>应急处置组</w:t>
      </w:r>
      <w:r>
        <w:rPr>
          <w:rFonts w:hint="default" w:ascii="Times New Roman" w:hAnsi="Times New Roman" w:cs="Times New Roman" w:eastAsiaTheme="minorEastAsia"/>
          <w:color w:val="auto"/>
          <w:kern w:val="0"/>
          <w:sz w:val="24"/>
          <w:szCs w:val="24"/>
          <w:highlight w:val="none"/>
        </w:rPr>
        <w:t>在现场确定切断污染源的基本方案，明确防止污染物向外扩散的设施、措施的启动程序，明确减少与消除污染物的技术方案；</w:t>
      </w:r>
    </w:p>
    <w:p w14:paraId="6771B6B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w:t>
      </w:r>
      <w:r>
        <w:rPr>
          <w:rFonts w:hint="eastAsia" w:ascii="Times New Roman" w:hAnsi="Times New Roman" w:cs="Times New Roman" w:eastAsiaTheme="minorEastAsia"/>
          <w:color w:val="auto"/>
          <w:kern w:val="0"/>
          <w:sz w:val="24"/>
          <w:szCs w:val="24"/>
          <w:highlight w:val="none"/>
          <w:lang w:eastAsia="zh-CN"/>
        </w:rPr>
        <w:t>应急保障组</w:t>
      </w:r>
      <w:r>
        <w:rPr>
          <w:rFonts w:hint="default" w:ascii="Times New Roman" w:hAnsi="Times New Roman" w:cs="Times New Roman" w:eastAsiaTheme="minorEastAsia"/>
          <w:color w:val="auto"/>
          <w:kern w:val="0"/>
          <w:sz w:val="24"/>
          <w:szCs w:val="24"/>
          <w:highlight w:val="none"/>
        </w:rPr>
        <w:t>负责应急救援物资、药品、伤员生活必需品的供应，负责运输工具的保证；</w:t>
      </w:r>
    </w:p>
    <w:p w14:paraId="7B6D4AB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w:t>
      </w:r>
      <w:r>
        <w:rPr>
          <w:rFonts w:hint="eastAsia" w:ascii="Times New Roman" w:hAnsi="Times New Roman" w:cs="Times New Roman" w:eastAsiaTheme="minorEastAsia"/>
          <w:color w:val="auto"/>
          <w:kern w:val="0"/>
          <w:sz w:val="24"/>
          <w:szCs w:val="24"/>
          <w:highlight w:val="none"/>
          <w:lang w:val="en-US" w:eastAsia="zh-CN"/>
        </w:rPr>
        <w:t>医疗救治组</w:t>
      </w:r>
      <w:r>
        <w:rPr>
          <w:rFonts w:hint="default" w:ascii="Times New Roman" w:hAnsi="Times New Roman" w:cs="Times New Roman" w:eastAsiaTheme="minorEastAsia"/>
          <w:color w:val="auto"/>
          <w:kern w:val="0"/>
          <w:sz w:val="24"/>
          <w:szCs w:val="24"/>
          <w:highlight w:val="none"/>
        </w:rPr>
        <w:t>负责现场伤员的急救与转移；</w:t>
      </w:r>
      <w:r>
        <w:rPr>
          <w:rFonts w:hint="default" w:ascii="Times New Roman" w:hAnsi="Times New Roman" w:cs="Times New Roman" w:eastAsiaTheme="minorEastAsia"/>
          <w:color w:val="auto"/>
          <w:sz w:val="24"/>
          <w:szCs w:val="24"/>
          <w:highlight w:val="none"/>
        </w:rPr>
        <w:t>安保人员</w:t>
      </w:r>
      <w:r>
        <w:rPr>
          <w:rFonts w:hint="default" w:ascii="Times New Roman" w:hAnsi="Times New Roman" w:cs="Times New Roman" w:eastAsiaTheme="minorEastAsia"/>
          <w:color w:val="auto"/>
          <w:kern w:val="0"/>
          <w:sz w:val="24"/>
          <w:szCs w:val="24"/>
          <w:highlight w:val="none"/>
        </w:rPr>
        <w:t>负责危险区的隔离、安全区的设定、事故现场隔离区划分方式。加强警戒，严禁无关人员进入禁区。现场人员清点、确定撤离方式及安置点；</w:t>
      </w:r>
    </w:p>
    <w:p w14:paraId="79ED30E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(8)</w:t>
      </w:r>
      <w:r>
        <w:rPr>
          <w:rFonts w:hint="eastAsia" w:ascii="Times New Roman" w:hAnsi="Times New Roman" w:cs="Times New Roman" w:eastAsiaTheme="minorEastAsia"/>
          <w:color w:val="auto"/>
          <w:sz w:val="24"/>
          <w:szCs w:val="24"/>
          <w:highlight w:val="none"/>
          <w:lang w:val="en-US" w:eastAsia="zh-CN"/>
        </w:rPr>
        <w:t>综合协调组</w:t>
      </w:r>
      <w:r>
        <w:rPr>
          <w:rFonts w:hint="default" w:ascii="Times New Roman" w:hAnsi="Times New Roman" w:cs="Times New Roman" w:eastAsiaTheme="minorEastAsia"/>
          <w:color w:val="auto"/>
          <w:sz w:val="24"/>
          <w:szCs w:val="24"/>
          <w:highlight w:val="none"/>
        </w:rPr>
        <w:t>负责报警、对外联络；</w:t>
      </w:r>
    </w:p>
    <w:p w14:paraId="26FDE3B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(9)污染事故基本控制稳定后，现场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将根据专家意见，迅速调集后援力量展开事故处置工作。现场应急处理结束。以上各部程序按照现场实际情况可交叉进行或同时进行；</w:t>
      </w:r>
    </w:p>
    <w:p w14:paraId="7553820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(10)当污染事故有进一步扩大、发展趋势，或因事故衍生问题造成重大社会不稳定事态，现场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将根据事态发展，及时调整应急响应级别，并发布预警信息，同时可向上级应急处理指挥部请求援助。</w:t>
      </w:r>
    </w:p>
    <w:p w14:paraId="23929723">
      <w:pPr>
        <w:pageBreakBefore w:val="0"/>
        <w:widowControl/>
        <w:kinsoku/>
        <w:overflowPunct/>
        <w:bidi w:val="0"/>
        <w:spacing w:line="500" w:lineRule="exact"/>
        <w:ind w:firstLine="562"/>
        <w:jc w:val="center"/>
        <w:rPr>
          <w:rFonts w:hint="default" w:ascii="Times New Roman" w:hAnsi="Times New Roman" w:cs="Times New Roman" w:eastAsiaTheme="minorEastAsia"/>
          <w:b/>
          <w:color w:val="auto"/>
          <w:kern w:val="0"/>
          <w:sz w:val="21"/>
          <w:szCs w:val="21"/>
          <w:highlight w:val="none"/>
        </w:rPr>
      </w:pPr>
      <w:bookmarkStart w:id="433" w:name="_Hlk10519397"/>
      <w:r>
        <w:rPr>
          <w:rFonts w:hint="default" w:ascii="Times New Roman" w:hAnsi="Times New Roman" w:cs="Times New Roman" w:eastAsiaTheme="minorEastAsia"/>
          <w:color w:val="auto"/>
          <w:sz w:val="24"/>
          <w:szCs w:val="24"/>
          <w:highlight w:val="none"/>
        </w:rPr>
        <mc:AlternateContent>
          <mc:Choice Requires="wpc">
            <w:drawing>
              <wp:anchor distT="0" distB="0" distL="0" distR="0" simplePos="0" relativeHeight="251660288" behindDoc="0" locked="0" layoutInCell="1" allowOverlap="1">
                <wp:simplePos x="0" y="0"/>
                <wp:positionH relativeFrom="column">
                  <wp:posOffset>168275</wp:posOffset>
                </wp:positionH>
                <wp:positionV relativeFrom="paragraph">
                  <wp:posOffset>147955</wp:posOffset>
                </wp:positionV>
                <wp:extent cx="5494020" cy="3163570"/>
                <wp:effectExtent l="0" t="0" r="0" b="0"/>
                <wp:wrapTopAndBottom/>
                <wp:docPr id="5052" name="画布 5052"/>
                <wp:cNvGraphicFramePr/>
                <a:graphic xmlns:a="http://schemas.openxmlformats.org/drawingml/2006/main">
                  <a:graphicData uri="http://schemas.microsoft.com/office/word/2010/wordprocessingCanvas">
                    <wpc:wpc>
                      <wpc:bg>
                        <a:noFill/>
                      </wpc:bg>
                      <wpc:whole/>
                      <wps:wsp>
                        <wps:cNvPr id="38" name="文本框 212027"/>
                        <wps:cNvSpPr txBox="1">
                          <a:spLocks noChangeArrowheads="1"/>
                        </wps:cNvSpPr>
                        <wps:spPr bwMode="auto">
                          <a:xfrm>
                            <a:off x="1794758" y="130506"/>
                            <a:ext cx="1943100" cy="381000"/>
                          </a:xfrm>
                          <a:prstGeom prst="rect">
                            <a:avLst/>
                          </a:prstGeom>
                          <a:solidFill>
                            <a:srgbClr val="FFFFFF"/>
                          </a:solidFill>
                          <a:ln w="9525">
                            <a:solidFill>
                              <a:srgbClr val="000000"/>
                            </a:solidFill>
                            <a:miter lim="800000"/>
                          </a:ln>
                        </wps:spPr>
                        <wps:txbx>
                          <w:txbxContent>
                            <w:p w14:paraId="19C85C43">
                              <w:pPr>
                                <w:jc w:val="center"/>
                                <w:rPr>
                                  <w:rFonts w:ascii="仿宋" w:hAnsi="仿宋" w:eastAsia="仿宋"/>
                                  <w:sz w:val="24"/>
                                  <w:szCs w:val="24"/>
                                </w:rPr>
                              </w:pPr>
                              <w:r>
                                <w:rPr>
                                  <w:rFonts w:hint="eastAsia" w:ascii="仿宋" w:hAnsi="仿宋" w:eastAsia="仿宋"/>
                                  <w:sz w:val="24"/>
                                  <w:szCs w:val="24"/>
                                </w:rPr>
                                <w:t>总指挥现场查明情况</w:t>
                              </w:r>
                            </w:p>
                          </w:txbxContent>
                        </wps:txbx>
                        <wps:bodyPr rot="0" vert="horz" wrap="square" lIns="91440" tIns="45720" rIns="91440" bIns="45720" anchor="ctr" anchorCtr="0" upright="1">
                          <a:noAutofit/>
                        </wps:bodyPr>
                      </wps:wsp>
                      <wps:wsp>
                        <wps:cNvPr id="4822" name="文本框 212031"/>
                        <wps:cNvSpPr txBox="1">
                          <a:spLocks noChangeArrowheads="1"/>
                        </wps:cNvSpPr>
                        <wps:spPr bwMode="auto">
                          <a:xfrm>
                            <a:off x="2107565" y="1013874"/>
                            <a:ext cx="1409700" cy="547370"/>
                          </a:xfrm>
                          <a:prstGeom prst="rect">
                            <a:avLst/>
                          </a:prstGeom>
                          <a:solidFill>
                            <a:srgbClr val="FFFFFF"/>
                          </a:solidFill>
                          <a:ln w="9525">
                            <a:solidFill>
                              <a:srgbClr val="000000"/>
                            </a:solidFill>
                            <a:miter lim="800000"/>
                          </a:ln>
                        </wps:spPr>
                        <wps:txbx>
                          <w:txbxContent>
                            <w:p w14:paraId="158AF2A4">
                              <w:pPr>
                                <w:jc w:val="center"/>
                                <w:rPr>
                                  <w:rFonts w:hint="eastAsia" w:ascii="仿宋" w:hAnsi="仿宋" w:eastAsia="仿宋"/>
                                  <w:sz w:val="24"/>
                                  <w:szCs w:val="24"/>
                                </w:rPr>
                              </w:pPr>
                              <w:r>
                                <w:rPr>
                                  <w:rFonts w:hint="eastAsia" w:ascii="仿宋" w:hAnsi="仿宋" w:eastAsia="仿宋"/>
                                  <w:sz w:val="24"/>
                                  <w:szCs w:val="24"/>
                                </w:rPr>
                                <w:t>厂内各负责人</w:t>
                              </w:r>
                            </w:p>
                            <w:p w14:paraId="33167417">
                              <w:pPr>
                                <w:jc w:val="center"/>
                                <w:rPr>
                                  <w:rFonts w:ascii="仿宋" w:hAnsi="仿宋" w:eastAsia="仿宋"/>
                                  <w:sz w:val="24"/>
                                  <w:szCs w:val="24"/>
                                </w:rPr>
                              </w:pPr>
                              <w:r>
                                <w:rPr>
                                  <w:rFonts w:hint="eastAsia" w:ascii="仿宋" w:hAnsi="仿宋" w:eastAsia="仿宋"/>
                                  <w:sz w:val="24"/>
                                  <w:szCs w:val="24"/>
                                </w:rPr>
                                <w:t>开展救援工作</w:t>
                              </w:r>
                            </w:p>
                          </w:txbxContent>
                        </wps:txbx>
                        <wps:bodyPr rot="0" vert="horz" wrap="square" lIns="91440" tIns="45720" rIns="91440" bIns="45720" anchor="ctr" anchorCtr="0" upright="1">
                          <a:noAutofit/>
                        </wps:bodyPr>
                      </wps:wsp>
                      <wps:wsp>
                        <wps:cNvPr id="4823" name="文本框 212032"/>
                        <wps:cNvSpPr txBox="1">
                          <a:spLocks noChangeArrowheads="1"/>
                        </wps:cNvSpPr>
                        <wps:spPr bwMode="auto">
                          <a:xfrm>
                            <a:off x="2010410" y="1979295"/>
                            <a:ext cx="1602740" cy="285750"/>
                          </a:xfrm>
                          <a:prstGeom prst="rect">
                            <a:avLst/>
                          </a:prstGeom>
                          <a:solidFill>
                            <a:srgbClr val="FFFFFF"/>
                          </a:solidFill>
                          <a:ln>
                            <a:noFill/>
                          </a:ln>
                        </wps:spPr>
                        <wps:txbx>
                          <w:txbxContent>
                            <w:p w14:paraId="35614E50">
                              <w:pPr>
                                <w:jc w:val="center"/>
                                <w:rPr>
                                  <w:rFonts w:ascii="仿宋" w:hAnsi="仿宋" w:eastAsia="仿宋"/>
                                  <w:sz w:val="24"/>
                                  <w:szCs w:val="24"/>
                                </w:rPr>
                              </w:pPr>
                              <w:r>
                                <w:rPr>
                                  <w:rFonts w:hint="eastAsia" w:ascii="仿宋" w:hAnsi="仿宋" w:eastAsia="仿宋"/>
                                  <w:sz w:val="24"/>
                                  <w:szCs w:val="24"/>
                                </w:rPr>
                                <w:t>救援结束</w:t>
                              </w:r>
                            </w:p>
                            <w:p w14:paraId="5E83778B">
                              <w:pPr>
                                <w:ind w:firstLine="560"/>
                                <w:rPr>
                                  <w:rFonts w:ascii="仿宋" w:hAnsi="仿宋" w:eastAsia="仿宋"/>
                                  <w:szCs w:val="24"/>
                                </w:rPr>
                              </w:pPr>
                            </w:p>
                          </w:txbxContent>
                        </wps:txbx>
                        <wps:bodyPr rot="0" vert="horz" wrap="square" lIns="91440" tIns="45720" rIns="91440" bIns="45720" anchor="ctr" anchorCtr="0" upright="1">
                          <a:noAutofit/>
                        </wps:bodyPr>
                      </wps:wsp>
                      <wps:wsp>
                        <wps:cNvPr id="5044" name="自选图形 212034"/>
                        <wps:cNvCnPr>
                          <a:cxnSpLocks noChangeShapeType="1"/>
                        </wps:cNvCnPr>
                        <wps:spPr bwMode="auto">
                          <a:xfrm>
                            <a:off x="2812415" y="1561244"/>
                            <a:ext cx="635" cy="438785"/>
                          </a:xfrm>
                          <a:prstGeom prst="straightConnector1">
                            <a:avLst/>
                          </a:prstGeom>
                          <a:noFill/>
                          <a:ln w="9525">
                            <a:solidFill>
                              <a:srgbClr val="000000"/>
                            </a:solidFill>
                            <a:round/>
                            <a:tailEnd type="triangle" w="med" len="med"/>
                          </a:ln>
                        </wps:spPr>
                        <wps:bodyPr/>
                      </wps:wsp>
                      <wps:wsp>
                        <wps:cNvPr id="5045" name="文本框 212266"/>
                        <wps:cNvSpPr txBox="1">
                          <a:spLocks noChangeArrowheads="1"/>
                        </wps:cNvSpPr>
                        <wps:spPr bwMode="auto">
                          <a:xfrm>
                            <a:off x="920115" y="2565400"/>
                            <a:ext cx="3792220" cy="403860"/>
                          </a:xfrm>
                          <a:prstGeom prst="rect">
                            <a:avLst/>
                          </a:prstGeom>
                          <a:solidFill>
                            <a:srgbClr val="FFFFFF"/>
                          </a:solidFill>
                          <a:ln w="9525">
                            <a:solidFill>
                              <a:srgbClr val="000000"/>
                            </a:solidFill>
                            <a:miter lim="800000"/>
                          </a:ln>
                        </wps:spPr>
                        <wps:txbx>
                          <w:txbxContent>
                            <w:p w14:paraId="0A4DCE1F">
                              <w:pPr>
                                <w:jc w:val="center"/>
                                <w:rPr>
                                  <w:rFonts w:ascii="仿宋" w:hAnsi="仿宋" w:eastAsia="仿宋"/>
                                  <w:sz w:val="24"/>
                                  <w:szCs w:val="24"/>
                                </w:rPr>
                              </w:pPr>
                              <w:r>
                                <w:rPr>
                                  <w:rFonts w:hint="eastAsia" w:ascii="仿宋" w:hAnsi="仿宋" w:eastAsia="仿宋"/>
                                  <w:bCs/>
                                  <w:kern w:val="0"/>
                                  <w:sz w:val="24"/>
                                  <w:szCs w:val="24"/>
                                </w:rPr>
                                <w:t>告知</w:t>
                              </w:r>
                              <w:r>
                                <w:rPr>
                                  <w:rFonts w:hint="eastAsia" w:ascii="仿宋" w:hAnsi="仿宋" w:eastAsia="仿宋"/>
                                  <w:bCs/>
                                  <w:kern w:val="0"/>
                                  <w:sz w:val="24"/>
                                  <w:szCs w:val="24"/>
                                  <w:lang w:val="en-US" w:eastAsia="zh-CN"/>
                                </w:rPr>
                                <w:t>海安市人民政府和</w:t>
                              </w:r>
                              <w:r>
                                <w:rPr>
                                  <w:rFonts w:hint="eastAsia" w:ascii="仿宋" w:hAnsi="仿宋" w:eastAsia="仿宋"/>
                                  <w:sz w:val="24"/>
                                  <w:szCs w:val="24"/>
                                </w:rPr>
                                <w:t>南通市海安生态环境局</w:t>
                              </w:r>
                            </w:p>
                          </w:txbxContent>
                        </wps:txbx>
                        <wps:bodyPr rot="0" vert="horz" wrap="square" lIns="91440" tIns="45720" rIns="91440" bIns="45720" anchor="ctr" anchorCtr="0" upright="1">
                          <a:noAutofit/>
                        </wps:bodyPr>
                      </wps:wsp>
                      <wps:wsp>
                        <wps:cNvPr id="5046" name="自选图形 212268"/>
                        <wps:cNvCnPr>
                          <a:cxnSpLocks noChangeShapeType="1"/>
                        </wps:cNvCnPr>
                        <wps:spPr bwMode="auto">
                          <a:xfrm>
                            <a:off x="2811780" y="2238154"/>
                            <a:ext cx="6350" cy="333375"/>
                          </a:xfrm>
                          <a:prstGeom prst="straightConnector1">
                            <a:avLst/>
                          </a:prstGeom>
                          <a:noFill/>
                          <a:ln w="9525">
                            <a:solidFill>
                              <a:srgbClr val="000000"/>
                            </a:solidFill>
                            <a:round/>
                            <a:tailEnd type="triangle" w="med" len="med"/>
                          </a:ln>
                        </wps:spPr>
                        <wps:bodyPr/>
                      </wps:wsp>
                      <wps:wsp>
                        <wps:cNvPr id="5051" name="AutoShape 37"/>
                        <wps:cNvCnPr>
                          <a:cxnSpLocks noChangeShapeType="1"/>
                        </wps:cNvCnPr>
                        <wps:spPr bwMode="auto">
                          <a:xfrm>
                            <a:off x="2812415" y="516890"/>
                            <a:ext cx="0" cy="520065"/>
                          </a:xfrm>
                          <a:prstGeom prst="straightConnector1">
                            <a:avLst/>
                          </a:prstGeom>
                          <a:noFill/>
                          <a:ln w="9525">
                            <a:solidFill>
                              <a:srgbClr val="000000"/>
                            </a:solidFill>
                            <a:round/>
                            <a:tailEnd type="triangle" w="med" len="med"/>
                          </a:ln>
                        </wps:spPr>
                        <wps:bodyPr/>
                      </wps:wsp>
                    </wpc:wpc>
                  </a:graphicData>
                </a:graphic>
              </wp:anchor>
            </w:drawing>
          </mc:Choice>
          <mc:Fallback>
            <w:pict>
              <v:group id="_x0000_s1026" o:spid="_x0000_s1026" o:spt="203" style="position:absolute;left:0pt;margin-left:13.25pt;margin-top:11.65pt;height:249.1pt;width:432.6pt;mso-wrap-distance-bottom:0pt;mso-wrap-distance-top:0pt;z-index:251660288;mso-width-relative:page;mso-height-relative:page;" coordsize="5494020,3163570" editas="canvas" o:gfxdata="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">
                <o:lock v:ext="edit" aspectratio="f"/>
                <v:shape id="_x0000_s1026" o:spid="_x0000_s1026" style="position:absolute;left:0;top:0;height:3163570;width:5494020;" filled="f" stroked="f" coordsize="21600,21600" o:gfxdata="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">
                  <v:fill on="f" focussize="0,0"/>
                  <v:stroke on="f"/>
                  <v:imagedata o:title=""/>
                  <o:lock v:ext="edit" aspectratio="f"/>
                </v:shape>
                <v:shape id="文本框 212027" o:spid="_x0000_s1026" o:spt="202" type="#_x0000_t202" style="position:absolute;left:1794758;top:130506;height:381000;width:1943100;v-text-anchor:middle;" fillcolor="#FFFFFF" filled="t" stroked="t" coordsize="21600,21600" o:gfxdata="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j9O3j1wAAAAkBAAAP&#10;AAAAAAAAAAEAIAAAACIAAABkcnMvZG93bnJldi54bWxQSwECFAAUAAAACACHTuJAHvH7AlICAACa&#10;BAAADgAAAAAAAAABACAAAAAmAQAAZHJzL2Uyb0RvYy54bWxQSwUGAAAAAAYABgBZAQAA6gUAAAAA&#10;">
                  <v:fill on="t" focussize="0,0"/>
                  <v:stroke color="#000000" miterlimit="8" joinstyle="miter"/>
                  <v:imagedata o:title=""/>
                  <o:lock v:ext="edit" aspectratio="f"/>
                  <v:textbox>
                    <w:txbxContent>
                      <w:p w14:paraId="19C85C43">
                        <w:pPr>
                          <w:jc w:val="center"/>
                          <w:rPr>
                            <w:rFonts w:ascii="仿宋" w:hAnsi="仿宋" w:eastAsia="仿宋"/>
                            <w:sz w:val="24"/>
                            <w:szCs w:val="24"/>
                          </w:rPr>
                        </w:pPr>
                        <w:r>
                          <w:rPr>
                            <w:rFonts w:hint="eastAsia" w:ascii="仿宋" w:hAnsi="仿宋" w:eastAsia="仿宋"/>
                            <w:sz w:val="24"/>
                            <w:szCs w:val="24"/>
                          </w:rPr>
                          <w:t>总指挥现场查明情况</w:t>
                        </w:r>
                      </w:p>
                    </w:txbxContent>
                  </v:textbox>
                </v:shape>
                <v:shape id="文本框 212031" o:spid="_x0000_s1026" o:spt="202" type="#_x0000_t202" style="position:absolute;left:2107565;top:1013874;height:547370;width:1409700;v-text-anchor:middle;" fillcolor="#FFFFFF" filled="t" stroked="t" coordsize="21600,21600" o:gfxdata="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P07ePXAAAA&#10;CQEAAA8AAAAAAAAAAQAgAAAAIgAAAGRycy9kb3ducmV2LnhtbFBLAQIUABQAAAAIAIdO4kAl8vBn&#10;VwIAAJ0EAAAOAAAAAAAAAAEAIAAAACYBAABkcnMvZTJvRG9jLnhtbFBLBQYAAAAABgAGAFkBAADv&#10;BQAAAAA=&#10;">
                  <v:fill on="t" focussize="0,0"/>
                  <v:stroke color="#000000" miterlimit="8" joinstyle="miter"/>
                  <v:imagedata o:title=""/>
                  <o:lock v:ext="edit" aspectratio="f"/>
                  <v:textbox>
                    <w:txbxContent>
                      <w:p w14:paraId="158AF2A4">
                        <w:pPr>
                          <w:jc w:val="center"/>
                          <w:rPr>
                            <w:rFonts w:hint="eastAsia" w:ascii="仿宋" w:hAnsi="仿宋" w:eastAsia="仿宋"/>
                            <w:sz w:val="24"/>
                            <w:szCs w:val="24"/>
                          </w:rPr>
                        </w:pPr>
                        <w:r>
                          <w:rPr>
                            <w:rFonts w:hint="eastAsia" w:ascii="仿宋" w:hAnsi="仿宋" w:eastAsia="仿宋"/>
                            <w:sz w:val="24"/>
                            <w:szCs w:val="24"/>
                          </w:rPr>
                          <w:t>厂内各负责人</w:t>
                        </w:r>
                      </w:p>
                      <w:p w14:paraId="33167417">
                        <w:pPr>
                          <w:jc w:val="center"/>
                          <w:rPr>
                            <w:rFonts w:ascii="仿宋" w:hAnsi="仿宋" w:eastAsia="仿宋"/>
                            <w:sz w:val="24"/>
                            <w:szCs w:val="24"/>
                          </w:rPr>
                        </w:pPr>
                        <w:r>
                          <w:rPr>
                            <w:rFonts w:hint="eastAsia" w:ascii="仿宋" w:hAnsi="仿宋" w:eastAsia="仿宋"/>
                            <w:sz w:val="24"/>
                            <w:szCs w:val="24"/>
                          </w:rPr>
                          <w:t>开展救援工作</w:t>
                        </w:r>
                      </w:p>
                    </w:txbxContent>
                  </v:textbox>
                </v:shape>
                <v:shape id="文本框 212032" o:spid="_x0000_s1026" o:spt="202" type="#_x0000_t202" style="position:absolute;left:2010410;top:1979295;height:285750;width:1602740;v-text-anchor:middle;" fillcolor="#FFFFFF" filled="t" stroked="f" coordsize="21600,21600" o:gfxdata="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o0z/9oAAAAJAQAADwAAAAAAAAABACAAAAAiAAAA&#10;ZHJzL2Rvd25yZXYueG1sUEsBAhQAFAAAAAgAh07iQGwgchA+AgAAVAQAAA4AAAAAAAAAAQAgAAAA&#10;KQEAAGRycy9lMm9Eb2MueG1sUEsFBgAAAAAGAAYAWQEAANkFAAAAAA==&#10;">
                  <v:fill on="t" focussize="0,0"/>
                  <v:stroke on="f"/>
                  <v:imagedata o:title=""/>
                  <o:lock v:ext="edit" aspectratio="f"/>
                  <v:textbox>
                    <w:txbxContent>
                      <w:p w14:paraId="35614E50">
                        <w:pPr>
                          <w:jc w:val="center"/>
                          <w:rPr>
                            <w:rFonts w:ascii="仿宋" w:hAnsi="仿宋" w:eastAsia="仿宋"/>
                            <w:sz w:val="24"/>
                            <w:szCs w:val="24"/>
                          </w:rPr>
                        </w:pPr>
                        <w:r>
                          <w:rPr>
                            <w:rFonts w:hint="eastAsia" w:ascii="仿宋" w:hAnsi="仿宋" w:eastAsia="仿宋"/>
                            <w:sz w:val="24"/>
                            <w:szCs w:val="24"/>
                          </w:rPr>
                          <w:t>救援结束</w:t>
                        </w:r>
                      </w:p>
                      <w:p w14:paraId="5E83778B">
                        <w:pPr>
                          <w:ind w:firstLine="560"/>
                          <w:rPr>
                            <w:rFonts w:ascii="仿宋" w:hAnsi="仿宋" w:eastAsia="仿宋"/>
                            <w:szCs w:val="24"/>
                          </w:rPr>
                        </w:pPr>
                      </w:p>
                    </w:txbxContent>
                  </v:textbox>
                </v:shape>
                <v:shape id="自选图形 212034" o:spid="_x0000_s1026" o:spt="32" type="#_x0000_t32" style="position:absolute;left:2812415;top:1561244;height:438785;width:635;" filled="f" stroked="t" coordsize="21600,21600" o:gfxdata="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o8ekA2wAA&#10;AAkBAAAPAAAAAAAAAAEAIAAAACIAAABkcnMvZG93bnJldi54bWxQSwECFAAUAAAACACHTuJAvHq6&#10;yxsCAAD4AwAADgAAAAAAAAABACAAAAAqAQAAZHJzL2Uyb0RvYy54bWxQSwUGAAAAAAYABgBZAQAA&#10;twUAAAAA&#10;">
                  <v:fill on="f" focussize="0,0"/>
                  <v:stroke color="#000000" joinstyle="round" endarrow="block"/>
                  <v:imagedata o:title=""/>
                  <o:lock v:ext="edit" aspectratio="f"/>
                </v:shape>
                <v:shape id="文本框 212266" o:spid="_x0000_s1026" o:spt="202" type="#_x0000_t202" style="position:absolute;left:920115;top:2565400;height:403860;width:3792220;v-text-anchor:middle;" fillcolor="#FFFFFF" filled="t" stroked="t" coordsize="21600,21600" o:gfxdata="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j9O3j1wAAAAkBAAAP&#10;AAAAAAAAAAEAIAAAACIAAABkcnMvZG93bnJldi54bWxQSwECFAAUAAAACACHTuJAC/WCvVICAACc&#10;BAAADgAAAAAAAAABACAAAAAmAQAAZHJzL2Uyb0RvYy54bWxQSwUGAAAAAAYABgBZAQAA6gUAAAAA&#10;">
                  <v:fill on="t" focussize="0,0"/>
                  <v:stroke color="#000000" miterlimit="8" joinstyle="miter"/>
                  <v:imagedata o:title=""/>
                  <o:lock v:ext="edit" aspectratio="f"/>
                  <v:textbox>
                    <w:txbxContent>
                      <w:p w14:paraId="0A4DCE1F">
                        <w:pPr>
                          <w:jc w:val="center"/>
                          <w:rPr>
                            <w:rFonts w:ascii="仿宋" w:hAnsi="仿宋" w:eastAsia="仿宋"/>
                            <w:sz w:val="24"/>
                            <w:szCs w:val="24"/>
                          </w:rPr>
                        </w:pPr>
                        <w:r>
                          <w:rPr>
                            <w:rFonts w:hint="eastAsia" w:ascii="仿宋" w:hAnsi="仿宋" w:eastAsia="仿宋"/>
                            <w:bCs/>
                            <w:kern w:val="0"/>
                            <w:sz w:val="24"/>
                            <w:szCs w:val="24"/>
                          </w:rPr>
                          <w:t>告知</w:t>
                        </w:r>
                        <w:r>
                          <w:rPr>
                            <w:rFonts w:hint="eastAsia" w:ascii="仿宋" w:hAnsi="仿宋" w:eastAsia="仿宋"/>
                            <w:bCs/>
                            <w:kern w:val="0"/>
                            <w:sz w:val="24"/>
                            <w:szCs w:val="24"/>
                            <w:lang w:val="en-US" w:eastAsia="zh-CN"/>
                          </w:rPr>
                          <w:t>海安市人民政府和</w:t>
                        </w:r>
                        <w:r>
                          <w:rPr>
                            <w:rFonts w:hint="eastAsia" w:ascii="仿宋" w:hAnsi="仿宋" w:eastAsia="仿宋"/>
                            <w:sz w:val="24"/>
                            <w:szCs w:val="24"/>
                          </w:rPr>
                          <w:t>南通市海安生态环境局</w:t>
                        </w:r>
                      </w:p>
                    </w:txbxContent>
                  </v:textbox>
                </v:shape>
                <v:shape id="自选图形 212268" o:spid="_x0000_s1026" o:spt="32" type="#_x0000_t32" style="position:absolute;left:2811780;top:2238154;height:333375;width:6350;" filled="f" stroked="t" coordsize="21600,21600" o:gfxdata="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o8ekA2wAA&#10;AAkBAAAPAAAAAAAAAAEAIAAAACIAAABkcnMvZG93bnJldi54bWxQSwECFAAUAAAACACHTuJA51AB&#10;nBsCAAD5AwAADgAAAAAAAAABACAAAAAqAQAAZHJzL2Uyb0RvYy54bWxQSwUGAAAAAAYABgBZAQAA&#10;twUAAAAA&#10;">
                  <v:fill on="f" focussize="0,0"/>
                  <v:stroke color="#000000" joinstyle="round" endarrow="block"/>
                  <v:imagedata o:title=""/>
                  <o:lock v:ext="edit" aspectratio="f"/>
                </v:shape>
                <v:shape id="AutoShape 37" o:spid="_x0000_s1026" o:spt="32" type="#_x0000_t32" style="position:absolute;left:2812415;top:516890;height:520065;width:0;" filled="f" stroked="t" coordsize="21600,21600" o:gfxdata="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jx6QDbAAAACQEAAA8AAAAAAAAAAQAgAAAAIgAAAGRycy9kb3du&#10;cmV2LnhtbFBLAQIUABQAAAAIAIdO4kBJOBQt/AEAAO4DAAAOAAAAAAAAAAEAIAAAACoBAABkcnMv&#10;ZTJvRG9jLnhtbFBLBQYAAAAABgAGAFkBAACYBQAAAAA=&#10;">
                  <v:fill on="f" focussize="0,0"/>
                  <v:stroke color="#000000" joinstyle="round" endarrow="block"/>
                  <v:imagedata o:title=""/>
                  <o:lock v:ext="edit" aspectratio="f"/>
                </v:shape>
                <w10:wrap type="topAndBottom"/>
              </v:group>
            </w:pict>
          </mc:Fallback>
        </mc:AlternateContent>
      </w:r>
      <w:bookmarkEnd w:id="433"/>
      <w:r>
        <w:rPr>
          <w:rFonts w:hint="default" w:ascii="Times New Roman" w:hAnsi="Times New Roman" w:cs="Times New Roman" w:eastAsiaTheme="minorEastAsia"/>
          <w:b/>
          <w:color w:val="auto"/>
          <w:kern w:val="0"/>
          <w:sz w:val="21"/>
          <w:szCs w:val="21"/>
          <w:highlight w:val="none"/>
        </w:rPr>
        <w:t xml:space="preserve">图6-3 </w:t>
      </w:r>
      <w:r>
        <w:rPr>
          <w:rFonts w:hint="eastAsia" w:ascii="Times New Roman" w:hAnsi="Times New Roman" w:cs="Times New Roman" w:eastAsiaTheme="minorEastAsia"/>
          <w:b/>
          <w:color w:val="auto"/>
          <w:kern w:val="0"/>
          <w:sz w:val="21"/>
          <w:szCs w:val="21"/>
          <w:highlight w:val="none"/>
          <w:lang w:eastAsia="zh-CN"/>
        </w:rPr>
        <w:t>公司</w:t>
      </w:r>
      <w:r>
        <w:rPr>
          <w:rFonts w:hint="default" w:ascii="Times New Roman" w:hAnsi="Times New Roman" w:cs="Times New Roman" w:eastAsiaTheme="minorEastAsia"/>
          <w:b/>
          <w:color w:val="auto"/>
          <w:kern w:val="0"/>
          <w:sz w:val="21"/>
          <w:szCs w:val="21"/>
          <w:highlight w:val="none"/>
        </w:rPr>
        <w:t>Ⅱ级响应程序示意图</w:t>
      </w:r>
    </w:p>
    <w:p w14:paraId="4228B8F9">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34" w:name="_Toc390094654"/>
      <w:bookmarkStart w:id="435" w:name="_Toc17201"/>
      <w:bookmarkStart w:id="436" w:name="_Toc29450"/>
      <w:bookmarkStart w:id="437" w:name="_Toc16286"/>
      <w:bookmarkStart w:id="438" w:name="_Toc12985"/>
      <w:bookmarkStart w:id="439" w:name="_Toc30315"/>
      <w:bookmarkStart w:id="440" w:name="_Toc493077667"/>
      <w:bookmarkStart w:id="441" w:name="_Toc13379"/>
      <w:r>
        <w:rPr>
          <w:rFonts w:hint="default" w:ascii="Times New Roman" w:hAnsi="Times New Roman" w:cs="Times New Roman" w:eastAsiaTheme="minorEastAsia"/>
          <w:color w:val="auto"/>
          <w:sz w:val="24"/>
          <w:szCs w:val="24"/>
          <w:highlight w:val="none"/>
        </w:rPr>
        <w:t xml:space="preserve">6.2.4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Ⅰ级及响应程序</w:t>
      </w:r>
      <w:bookmarkEnd w:id="434"/>
      <w:bookmarkEnd w:id="435"/>
      <w:bookmarkEnd w:id="436"/>
      <w:bookmarkEnd w:id="437"/>
      <w:bookmarkEnd w:id="438"/>
      <w:bookmarkEnd w:id="439"/>
      <w:bookmarkEnd w:id="440"/>
      <w:bookmarkEnd w:id="441"/>
    </w:p>
    <w:p w14:paraId="52FE144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重大环境事件）：（发布人：</w:t>
      </w:r>
      <w:r>
        <w:rPr>
          <w:rFonts w:hint="eastAsia" w:ascii="Times New Roman" w:hAnsi="Times New Roman" w:cs="Times New Roman" w:eastAsiaTheme="minorEastAsia"/>
          <w:color w:val="auto"/>
          <w:kern w:val="0"/>
          <w:sz w:val="24"/>
          <w:szCs w:val="24"/>
          <w:highlight w:val="none"/>
          <w:lang w:eastAsia="zh-CN"/>
        </w:rPr>
        <w:t>邹志文</w:t>
      </w:r>
      <w:r>
        <w:rPr>
          <w:rFonts w:hint="default" w:ascii="Times New Roman" w:hAnsi="Times New Roman" w:cs="Times New Roman" w:eastAsiaTheme="minorEastAsia"/>
          <w:color w:val="auto"/>
          <w:sz w:val="24"/>
          <w:szCs w:val="24"/>
          <w:highlight w:val="none"/>
        </w:rPr>
        <w:t>；现场负责人：</w:t>
      </w:r>
      <w:r>
        <w:rPr>
          <w:rFonts w:hint="eastAsia" w:ascii="Times New Roman" w:hAnsi="Times New Roman" w:cs="Times New Roman" w:eastAsiaTheme="minorEastAsia"/>
          <w:color w:val="auto"/>
          <w:kern w:val="0"/>
          <w:sz w:val="24"/>
          <w:szCs w:val="24"/>
          <w:highlight w:val="none"/>
          <w:lang w:eastAsia="zh-CN"/>
        </w:rPr>
        <w:t>邹志文</w:t>
      </w:r>
      <w:r>
        <w:rPr>
          <w:rFonts w:hint="default" w:ascii="Times New Roman" w:hAnsi="Times New Roman" w:cs="Times New Roman" w:eastAsiaTheme="minorEastAsia"/>
          <w:color w:val="auto"/>
          <w:sz w:val="24"/>
          <w:szCs w:val="24"/>
          <w:highlight w:val="none"/>
        </w:rPr>
        <w:t>）</w:t>
      </w:r>
    </w:p>
    <w:p w14:paraId="7B04F47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启动条件：当公司二级响应启动实施后，仍不能有效控制事态的发展，或者发现人判断时间需要外部人力、物力的支援，此时应实施更高级别的响应即</w:t>
      </w:r>
      <w:r>
        <w:rPr>
          <w:rFonts w:hint="default" w:ascii="Times New Roman" w:hAnsi="Times New Roman" w:cs="Times New Roman" w:eastAsiaTheme="minorEastAsia"/>
          <w:color w:val="auto"/>
          <w:kern w:val="0"/>
          <w:sz w:val="24"/>
          <w:szCs w:val="24"/>
          <w:highlight w:val="none"/>
        </w:rPr>
        <w:t>Ⅰ级响应。</w:t>
      </w:r>
    </w:p>
    <w:p w14:paraId="49AD62E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sz w:val="24"/>
          <w:szCs w:val="24"/>
          <w:highlight w:val="none"/>
        </w:rPr>
        <w:t>(1)</w:t>
      </w:r>
      <w:r>
        <w:rPr>
          <w:rFonts w:hint="default" w:ascii="Times New Roman" w:hAnsi="Times New Roman" w:cs="Times New Roman" w:eastAsiaTheme="minorEastAsia"/>
          <w:color w:val="auto"/>
          <w:kern w:val="0"/>
          <w:sz w:val="24"/>
          <w:szCs w:val="24"/>
          <w:highlight w:val="none"/>
        </w:rPr>
        <w:t>当启动Ⅱ级响应，事故仍不能得到有效控制，且有扩大趋势，或者发现人判断事件需要外部人力、物力支援，应急总指挥立即启动Ⅰ级响应，并及时向</w:t>
      </w:r>
      <w:r>
        <w:rPr>
          <w:rFonts w:hint="eastAsia" w:ascii="宋体" w:eastAsia="宋体" w:cs="宋体"/>
          <w:sz w:val="24"/>
          <w:szCs w:val="24"/>
          <w:lang w:val="en-US" w:eastAsia="zh-CN"/>
        </w:rPr>
        <w:t>大公镇管委会</w:t>
      </w:r>
      <w:r>
        <w:rPr>
          <w:rFonts w:hint="eastAsia" w:ascii="宋体" w:hAnsi="宋体" w:eastAsia="宋体" w:cs="宋体"/>
          <w:sz w:val="24"/>
          <w:szCs w:val="24"/>
          <w:lang w:val="en-US" w:eastAsia="zh-CN"/>
        </w:rPr>
        <w:t>、</w:t>
      </w:r>
      <w:r>
        <w:rPr>
          <w:rFonts w:hint="eastAsia" w:ascii="Times New Roman" w:hAnsi="Times New Roman" w:cs="Times New Roman" w:eastAsiaTheme="minorEastAsia"/>
          <w:color w:val="auto"/>
          <w:kern w:val="0"/>
          <w:sz w:val="24"/>
          <w:szCs w:val="24"/>
          <w:highlight w:val="none"/>
          <w:lang w:val="en-US" w:eastAsia="zh-CN"/>
        </w:rPr>
        <w:t>海安市人民政府</w:t>
      </w:r>
      <w:r>
        <w:rPr>
          <w:rFonts w:hint="default" w:ascii="Times New Roman" w:hAnsi="Times New Roman" w:cs="Times New Roman" w:eastAsiaTheme="minorEastAsia"/>
          <w:color w:val="auto"/>
          <w:kern w:val="0"/>
          <w:sz w:val="24"/>
          <w:szCs w:val="24"/>
          <w:highlight w:val="none"/>
        </w:rPr>
        <w:t>、南通市海安生态环境局汇报，有人员死亡时及时向海安市公安局汇报。如发生火灾事故，当火势较大，公司范围内无法控制时及时拨打119；</w:t>
      </w:r>
    </w:p>
    <w:p w14:paraId="5B92619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(2)事件当事人通过手机等通信手段向应急总指挥汇报。总指挥接到事故报警后，立即亲自赶赴现场确认事件性质。事件性质确认为重大时，下令启动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Ⅰ级响应，</w:t>
      </w:r>
      <w:r>
        <w:rPr>
          <w:rFonts w:hint="default" w:ascii="Times New Roman" w:hAnsi="Times New Roman" w:cs="Times New Roman" w:eastAsiaTheme="minorEastAsia"/>
          <w:color w:val="auto"/>
          <w:sz w:val="24"/>
          <w:szCs w:val="24"/>
          <w:highlight w:val="none"/>
        </w:rPr>
        <w:t>立即通知各</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15分钟内到达各自岗位，完成人员、车辆及装备调度。在外部救援到达之前，</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按照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Ⅱ级响应程序开展救援工作；</w:t>
      </w:r>
    </w:p>
    <w:p w14:paraId="6D717C1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(3)外部救援到达事故现场，指挥权移交政府部门，但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应积极配合政府部门展开救援工作，遵循先撤离、再堵漏救援原则；</w:t>
      </w:r>
    </w:p>
    <w:p w14:paraId="4B2F970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mc:AlternateContent>
          <mc:Choice Requires="wpc">
            <w:drawing>
              <wp:anchor distT="0" distB="0" distL="0" distR="0" simplePos="0" relativeHeight="251661312" behindDoc="0" locked="0" layoutInCell="1" allowOverlap="1">
                <wp:simplePos x="0" y="0"/>
                <wp:positionH relativeFrom="column">
                  <wp:posOffset>-71120</wp:posOffset>
                </wp:positionH>
                <wp:positionV relativeFrom="paragraph">
                  <wp:posOffset>1231900</wp:posOffset>
                </wp:positionV>
                <wp:extent cx="5719445" cy="2785110"/>
                <wp:effectExtent l="0" t="4445" r="14605" b="0"/>
                <wp:wrapTopAndBottom/>
                <wp:docPr id="5073" name="画布 5073"/>
                <wp:cNvGraphicFramePr/>
                <a:graphic xmlns:a="http://schemas.openxmlformats.org/drawingml/2006/main">
                  <a:graphicData uri="http://schemas.microsoft.com/office/word/2010/wordprocessingCanvas">
                    <wpc:wpc>
                      <wpc:bg>
                        <a:noFill/>
                      </wpc:bg>
                      <wpc:whole/>
                      <wps:wsp>
                        <wps:cNvPr id="61" name="Rectangle 40"/>
                        <wps:cNvSpPr>
                          <a:spLocks noChangeArrowheads="1"/>
                        </wps:cNvSpPr>
                        <wps:spPr bwMode="auto">
                          <a:xfrm>
                            <a:off x="1163955" y="0"/>
                            <a:ext cx="1583690" cy="288290"/>
                          </a:xfrm>
                          <a:prstGeom prst="rect">
                            <a:avLst/>
                          </a:prstGeom>
                          <a:solidFill>
                            <a:srgbClr val="FFFFFF"/>
                          </a:solidFill>
                          <a:ln w="9525">
                            <a:solidFill>
                              <a:srgbClr val="000000"/>
                            </a:solidFill>
                            <a:miter lim="800000"/>
                          </a:ln>
                        </wps:spPr>
                        <wps:txbx>
                          <w:txbxContent>
                            <w:p w14:paraId="2F7BA4F2">
                              <w:pPr>
                                <w:rPr>
                                  <w:rFonts w:ascii="仿宋" w:hAnsi="仿宋" w:eastAsia="仿宋"/>
                                  <w:sz w:val="24"/>
                                  <w:szCs w:val="24"/>
                                </w:rPr>
                              </w:pPr>
                              <w:r>
                                <w:rPr>
                                  <w:rFonts w:hint="eastAsia" w:ascii="仿宋" w:hAnsi="仿宋" w:eastAsia="仿宋"/>
                                  <w:sz w:val="24"/>
                                  <w:szCs w:val="24"/>
                                </w:rPr>
                                <w:t>总指挥现场查明情况</w:t>
                              </w:r>
                            </w:p>
                          </w:txbxContent>
                        </wps:txbx>
                        <wps:bodyPr rot="0" vert="horz" wrap="square" lIns="91440" tIns="45720" rIns="91440" bIns="45720" anchor="t" anchorCtr="0" upright="1">
                          <a:noAutofit/>
                        </wps:bodyPr>
                      </wps:wsp>
                      <wps:wsp>
                        <wps:cNvPr id="62" name="AutoShape 41"/>
                        <wps:cNvCnPr>
                          <a:cxnSpLocks noChangeShapeType="1"/>
                        </wps:cNvCnPr>
                        <wps:spPr bwMode="auto">
                          <a:xfrm>
                            <a:off x="1955800" y="288290"/>
                            <a:ext cx="635" cy="360045"/>
                          </a:xfrm>
                          <a:prstGeom prst="straightConnector1">
                            <a:avLst/>
                          </a:prstGeom>
                          <a:noFill/>
                          <a:ln w="9525">
                            <a:solidFill>
                              <a:srgbClr val="000000"/>
                            </a:solidFill>
                            <a:round/>
                          </a:ln>
                        </wps:spPr>
                        <wps:bodyPr/>
                      </wps:wsp>
                      <wps:wsp>
                        <wps:cNvPr id="63" name="AutoShape 42"/>
                        <wps:cNvCnPr>
                          <a:cxnSpLocks noChangeShapeType="1"/>
                        </wps:cNvCnPr>
                        <wps:spPr bwMode="auto">
                          <a:xfrm>
                            <a:off x="887730" y="648335"/>
                            <a:ext cx="2160270" cy="635"/>
                          </a:xfrm>
                          <a:prstGeom prst="straightConnector1">
                            <a:avLst/>
                          </a:prstGeom>
                          <a:noFill/>
                          <a:ln w="9525">
                            <a:solidFill>
                              <a:srgbClr val="000000"/>
                            </a:solidFill>
                            <a:round/>
                          </a:ln>
                        </wps:spPr>
                        <wps:bodyPr/>
                      </wps:wsp>
                      <wps:wsp>
                        <wps:cNvPr id="64" name="AutoShape 43"/>
                        <wps:cNvCnPr>
                          <a:cxnSpLocks noChangeShapeType="1"/>
                        </wps:cNvCnPr>
                        <wps:spPr bwMode="auto">
                          <a:xfrm>
                            <a:off x="887730" y="648335"/>
                            <a:ext cx="635" cy="360045"/>
                          </a:xfrm>
                          <a:prstGeom prst="straightConnector1">
                            <a:avLst/>
                          </a:prstGeom>
                          <a:noFill/>
                          <a:ln w="9525">
                            <a:solidFill>
                              <a:srgbClr val="000000"/>
                            </a:solidFill>
                            <a:round/>
                            <a:tailEnd type="triangle" w="med" len="med"/>
                          </a:ln>
                        </wps:spPr>
                        <wps:bodyPr/>
                      </wps:wsp>
                      <wps:wsp>
                        <wps:cNvPr id="65" name="AutoShape 44"/>
                        <wps:cNvCnPr>
                          <a:cxnSpLocks noChangeShapeType="1"/>
                        </wps:cNvCnPr>
                        <wps:spPr bwMode="auto">
                          <a:xfrm>
                            <a:off x="3038475" y="638810"/>
                            <a:ext cx="635" cy="360045"/>
                          </a:xfrm>
                          <a:prstGeom prst="straightConnector1">
                            <a:avLst/>
                          </a:prstGeom>
                          <a:noFill/>
                          <a:ln w="9525">
                            <a:solidFill>
                              <a:srgbClr val="000000"/>
                            </a:solidFill>
                            <a:round/>
                            <a:tailEnd type="triangle" w="med" len="med"/>
                          </a:ln>
                        </wps:spPr>
                        <wps:bodyPr/>
                      </wps:wsp>
                      <wps:wsp>
                        <wps:cNvPr id="66" name="Rectangle 45"/>
                        <wps:cNvSpPr>
                          <a:spLocks noChangeArrowheads="1"/>
                        </wps:cNvSpPr>
                        <wps:spPr bwMode="auto">
                          <a:xfrm>
                            <a:off x="275590" y="998855"/>
                            <a:ext cx="1224280" cy="504190"/>
                          </a:xfrm>
                          <a:prstGeom prst="rect">
                            <a:avLst/>
                          </a:prstGeom>
                          <a:solidFill>
                            <a:srgbClr val="FFFFFF"/>
                          </a:solidFill>
                          <a:ln w="9525">
                            <a:solidFill>
                              <a:srgbClr val="000000"/>
                            </a:solidFill>
                            <a:miter lim="800000"/>
                          </a:ln>
                        </wps:spPr>
                        <wps:txbx>
                          <w:txbxContent>
                            <w:p w14:paraId="4B574487">
                              <w:pPr>
                                <w:jc w:val="center"/>
                                <w:rPr>
                                  <w:rFonts w:ascii="仿宋" w:hAnsi="仿宋" w:eastAsia="仿宋"/>
                                  <w:sz w:val="24"/>
                                  <w:szCs w:val="24"/>
                                </w:rPr>
                              </w:pPr>
                              <w:r>
                                <w:rPr>
                                  <w:rFonts w:hint="eastAsia" w:ascii="仿宋" w:hAnsi="仿宋" w:eastAsia="仿宋"/>
                                  <w:sz w:val="24"/>
                                  <w:szCs w:val="24"/>
                                </w:rPr>
                                <w:t>厂内各负责人开展救援工作</w:t>
                              </w:r>
                            </w:p>
                          </w:txbxContent>
                        </wps:txbx>
                        <wps:bodyPr rot="0" vert="horz" wrap="square" lIns="91440" tIns="45720" rIns="91440" bIns="45720" anchor="t" anchorCtr="0" upright="1">
                          <a:noAutofit/>
                        </wps:bodyPr>
                      </wps:wsp>
                      <wps:wsp>
                        <wps:cNvPr id="67" name="Rectangle 46"/>
                        <wps:cNvSpPr>
                          <a:spLocks noChangeArrowheads="1"/>
                        </wps:cNvSpPr>
                        <wps:spPr bwMode="auto">
                          <a:xfrm>
                            <a:off x="2425700" y="998855"/>
                            <a:ext cx="1224280" cy="504190"/>
                          </a:xfrm>
                          <a:prstGeom prst="rect">
                            <a:avLst/>
                          </a:prstGeom>
                          <a:solidFill>
                            <a:srgbClr val="FFFFFF"/>
                          </a:solidFill>
                          <a:ln w="9525">
                            <a:solidFill>
                              <a:srgbClr val="000000"/>
                            </a:solidFill>
                            <a:miter lim="800000"/>
                          </a:ln>
                        </wps:spPr>
                        <wps:txbx>
                          <w:txbxContent>
                            <w:p w14:paraId="6552A77E">
                              <w:pPr>
                                <w:jc w:val="center"/>
                                <w:rPr>
                                  <w:rFonts w:ascii="仿宋" w:hAnsi="仿宋" w:eastAsia="仿宋"/>
                                  <w:sz w:val="24"/>
                                  <w:szCs w:val="24"/>
                                </w:rPr>
                              </w:pPr>
                              <w:r>
                                <w:rPr>
                                  <w:rFonts w:hint="eastAsia" w:ascii="仿宋" w:hAnsi="仿宋" w:eastAsia="仿宋"/>
                                  <w:sz w:val="24"/>
                                  <w:szCs w:val="24"/>
                                </w:rPr>
                                <w:t>上报政府部门，请求支援</w:t>
                              </w:r>
                            </w:p>
                          </w:txbxContent>
                        </wps:txbx>
                        <wps:bodyPr rot="0" vert="horz" wrap="square" lIns="91440" tIns="45720" rIns="91440" bIns="45720" anchor="t" anchorCtr="0" upright="1">
                          <a:noAutofit/>
                        </wps:bodyPr>
                      </wps:wsp>
                      <wps:wsp>
                        <wps:cNvPr id="68" name="AutoShape 47"/>
                        <wps:cNvCnPr>
                          <a:cxnSpLocks noChangeShapeType="1"/>
                        </wps:cNvCnPr>
                        <wps:spPr bwMode="auto">
                          <a:xfrm>
                            <a:off x="3037840" y="1503045"/>
                            <a:ext cx="635" cy="360045"/>
                          </a:xfrm>
                          <a:prstGeom prst="straightConnector1">
                            <a:avLst/>
                          </a:prstGeom>
                          <a:noFill/>
                          <a:ln w="9525">
                            <a:solidFill>
                              <a:srgbClr val="000000"/>
                            </a:solidFill>
                            <a:round/>
                            <a:tailEnd type="triangle" w="med" len="med"/>
                          </a:ln>
                        </wps:spPr>
                        <wps:bodyPr/>
                      </wps:wsp>
                      <wps:wsp>
                        <wps:cNvPr id="69" name="Rectangle 48"/>
                        <wps:cNvSpPr>
                          <a:spLocks noChangeArrowheads="1"/>
                        </wps:cNvSpPr>
                        <wps:spPr bwMode="auto">
                          <a:xfrm>
                            <a:off x="2497455" y="1863090"/>
                            <a:ext cx="1080135" cy="288290"/>
                          </a:xfrm>
                          <a:prstGeom prst="rect">
                            <a:avLst/>
                          </a:prstGeom>
                          <a:solidFill>
                            <a:srgbClr val="FFFFFF"/>
                          </a:solidFill>
                          <a:ln w="9525">
                            <a:solidFill>
                              <a:srgbClr val="000000"/>
                            </a:solidFill>
                            <a:miter lim="800000"/>
                          </a:ln>
                        </wps:spPr>
                        <wps:txbx>
                          <w:txbxContent>
                            <w:p w14:paraId="36E83908">
                              <w:pPr>
                                <w:jc w:val="center"/>
                                <w:rPr>
                                  <w:rFonts w:ascii="仿宋" w:hAnsi="仿宋" w:eastAsia="仿宋"/>
                                  <w:sz w:val="24"/>
                                  <w:szCs w:val="24"/>
                                </w:rPr>
                              </w:pPr>
                              <w:r>
                                <w:rPr>
                                  <w:rFonts w:hint="eastAsia" w:ascii="仿宋" w:hAnsi="仿宋" w:eastAsia="仿宋"/>
                                  <w:sz w:val="24"/>
                                  <w:szCs w:val="24"/>
                                </w:rPr>
                                <w:t>外部救援</w:t>
                              </w:r>
                            </w:p>
                          </w:txbxContent>
                        </wps:txbx>
                        <wps:bodyPr rot="0" vert="horz" wrap="square" lIns="91440" tIns="45720" rIns="91440" bIns="45720" anchor="t" anchorCtr="0" upright="1">
                          <a:noAutofit/>
                        </wps:bodyPr>
                      </wps:wsp>
                      <wps:wsp>
                        <wps:cNvPr id="70" name="AutoShape 49"/>
                        <wps:cNvCnPr>
                          <a:cxnSpLocks noChangeShapeType="1"/>
                        </wps:cNvCnPr>
                        <wps:spPr bwMode="auto">
                          <a:xfrm flipH="1" flipV="1">
                            <a:off x="2137410" y="2006600"/>
                            <a:ext cx="360045" cy="635"/>
                          </a:xfrm>
                          <a:prstGeom prst="straightConnector1">
                            <a:avLst/>
                          </a:prstGeom>
                          <a:noFill/>
                          <a:ln w="9525">
                            <a:solidFill>
                              <a:srgbClr val="000000"/>
                            </a:solidFill>
                            <a:round/>
                            <a:tailEnd type="triangle" w="med" len="med"/>
                          </a:ln>
                        </wps:spPr>
                        <wps:bodyPr/>
                      </wps:wsp>
                      <wps:wsp>
                        <wps:cNvPr id="71" name="Rectangle 50"/>
                        <wps:cNvSpPr>
                          <a:spLocks noChangeArrowheads="1"/>
                        </wps:cNvSpPr>
                        <wps:spPr bwMode="auto">
                          <a:xfrm>
                            <a:off x="47625" y="1656080"/>
                            <a:ext cx="2087880" cy="720090"/>
                          </a:xfrm>
                          <a:prstGeom prst="rect">
                            <a:avLst/>
                          </a:prstGeom>
                          <a:solidFill>
                            <a:srgbClr val="FFFFFF"/>
                          </a:solidFill>
                          <a:ln w="9525">
                            <a:solidFill>
                              <a:srgbClr val="000000"/>
                            </a:solidFill>
                            <a:miter lim="800000"/>
                          </a:ln>
                        </wps:spPr>
                        <wps:txbx>
                          <w:txbxContent>
                            <w:p w14:paraId="7D4544A4">
                              <w:pPr>
                                <w:rPr>
                                  <w:rFonts w:ascii="仿宋" w:hAnsi="仿宋" w:eastAsia="仿宋"/>
                                  <w:sz w:val="24"/>
                                  <w:szCs w:val="24"/>
                                </w:rPr>
                              </w:pPr>
                              <w:r>
                                <w:rPr>
                                  <w:rFonts w:hint="eastAsia" w:ascii="仿宋" w:hAnsi="仿宋" w:eastAsia="仿宋"/>
                                  <w:sz w:val="24"/>
                                  <w:szCs w:val="24"/>
                                </w:rPr>
                                <w:t>上级应急预案救援指挥机构到达事故现场，厂内应急总指挥移交事故现场指挥权</w:t>
                              </w:r>
                            </w:p>
                            <w:p w14:paraId="3AD12A7F">
                              <w:pPr>
                                <w:ind w:firstLine="560"/>
                              </w:pPr>
                            </w:p>
                          </w:txbxContent>
                        </wps:txbx>
                        <wps:bodyPr rot="0" vert="horz" wrap="square" lIns="91440" tIns="45720" rIns="91440" bIns="45720" anchor="t" anchorCtr="0" upright="1">
                          <a:noAutofit/>
                        </wps:bodyPr>
                      </wps:wsp>
                      <wps:wsp>
                        <wps:cNvPr id="72" name="AutoShape 51"/>
                        <wps:cNvCnPr>
                          <a:cxnSpLocks noChangeShapeType="1"/>
                        </wps:cNvCnPr>
                        <wps:spPr bwMode="auto">
                          <a:xfrm>
                            <a:off x="3037840" y="2151380"/>
                            <a:ext cx="635" cy="288000"/>
                          </a:xfrm>
                          <a:prstGeom prst="straightConnector1">
                            <a:avLst/>
                          </a:prstGeom>
                          <a:noFill/>
                          <a:ln w="9525">
                            <a:solidFill>
                              <a:srgbClr val="000000"/>
                            </a:solidFill>
                            <a:round/>
                            <a:tailEnd type="triangle" w="med" len="med"/>
                          </a:ln>
                        </wps:spPr>
                        <wps:bodyPr/>
                      </wps:wsp>
                      <wps:wsp>
                        <wps:cNvPr id="73" name="Rectangle 52"/>
                        <wps:cNvSpPr>
                          <a:spLocks noChangeArrowheads="1"/>
                        </wps:cNvSpPr>
                        <wps:spPr bwMode="auto">
                          <a:xfrm>
                            <a:off x="2322195" y="2444750"/>
                            <a:ext cx="1440180" cy="271780"/>
                          </a:xfrm>
                          <a:prstGeom prst="rect">
                            <a:avLst/>
                          </a:prstGeom>
                          <a:solidFill>
                            <a:srgbClr val="FFFFFF"/>
                          </a:solidFill>
                          <a:ln w="9525">
                            <a:solidFill>
                              <a:srgbClr val="000000"/>
                            </a:solidFill>
                            <a:miter lim="800000"/>
                          </a:ln>
                        </wps:spPr>
                        <wps:txbx>
                          <w:txbxContent>
                            <w:p w14:paraId="77002D26">
                              <w:pPr>
                                <w:jc w:val="center"/>
                                <w:rPr>
                                  <w:rFonts w:ascii="仿宋" w:hAnsi="仿宋" w:eastAsia="仿宋"/>
                                  <w:sz w:val="24"/>
                                  <w:szCs w:val="24"/>
                                </w:rPr>
                              </w:pPr>
                              <w:r>
                                <w:rPr>
                                  <w:rFonts w:hint="eastAsia" w:ascii="仿宋" w:hAnsi="仿宋" w:eastAsia="仿宋"/>
                                  <w:sz w:val="24"/>
                                  <w:szCs w:val="24"/>
                                </w:rPr>
                                <w:t>现场展开应急救援</w:t>
                              </w:r>
                            </w:p>
                          </w:txbxContent>
                        </wps:txbx>
                        <wps:bodyPr rot="0" vert="horz" wrap="square" lIns="91440" tIns="45720" rIns="91440" bIns="45720" anchor="t" anchorCtr="0" upright="1">
                          <a:noAutofit/>
                        </wps:bodyPr>
                      </wps:wsp>
                      <wps:wsp>
                        <wps:cNvPr id="74" name="AutoShape 53"/>
                        <wps:cNvCnPr>
                          <a:cxnSpLocks noChangeShapeType="1"/>
                        </wps:cNvCnPr>
                        <wps:spPr bwMode="auto">
                          <a:xfrm flipV="1">
                            <a:off x="3649980" y="1250315"/>
                            <a:ext cx="575945" cy="635"/>
                          </a:xfrm>
                          <a:prstGeom prst="straightConnector1">
                            <a:avLst/>
                          </a:prstGeom>
                          <a:noFill/>
                          <a:ln w="9525">
                            <a:solidFill>
                              <a:srgbClr val="000000"/>
                            </a:solidFill>
                            <a:round/>
                            <a:tailEnd type="triangle" w="med" len="med"/>
                          </a:ln>
                        </wps:spPr>
                        <wps:bodyPr/>
                      </wps:wsp>
                      <wps:wsp>
                        <wps:cNvPr id="75" name="AutoShape 54"/>
                        <wps:cNvCnPr>
                          <a:cxnSpLocks noChangeShapeType="1"/>
                        </wps:cNvCnPr>
                        <wps:spPr bwMode="auto">
                          <a:xfrm>
                            <a:off x="3923665" y="657860"/>
                            <a:ext cx="5080" cy="1720850"/>
                          </a:xfrm>
                          <a:prstGeom prst="straightConnector1">
                            <a:avLst/>
                          </a:prstGeom>
                          <a:noFill/>
                          <a:ln w="9525">
                            <a:solidFill>
                              <a:srgbClr val="000000"/>
                            </a:solidFill>
                            <a:round/>
                          </a:ln>
                        </wps:spPr>
                        <wps:bodyPr/>
                      </wps:wsp>
                      <wps:wsp>
                        <wps:cNvPr id="76" name="AutoShape 55"/>
                        <wps:cNvCnPr>
                          <a:cxnSpLocks noChangeShapeType="1"/>
                        </wps:cNvCnPr>
                        <wps:spPr bwMode="auto">
                          <a:xfrm>
                            <a:off x="3937000" y="1737995"/>
                            <a:ext cx="288290" cy="635"/>
                          </a:xfrm>
                          <a:prstGeom prst="straightConnector1">
                            <a:avLst/>
                          </a:prstGeom>
                          <a:noFill/>
                          <a:ln w="9525">
                            <a:solidFill>
                              <a:srgbClr val="000000"/>
                            </a:solidFill>
                            <a:round/>
                            <a:tailEnd type="triangle" w="med" len="med"/>
                          </a:ln>
                        </wps:spPr>
                        <wps:bodyPr/>
                      </wps:wsp>
                      <wps:wsp>
                        <wps:cNvPr id="77" name="AutoShape 56"/>
                        <wps:cNvCnPr>
                          <a:cxnSpLocks noChangeShapeType="1"/>
                        </wps:cNvCnPr>
                        <wps:spPr bwMode="auto">
                          <a:xfrm>
                            <a:off x="3933825" y="668020"/>
                            <a:ext cx="288290" cy="635"/>
                          </a:xfrm>
                          <a:prstGeom prst="straightConnector1">
                            <a:avLst/>
                          </a:prstGeom>
                          <a:noFill/>
                          <a:ln w="9525">
                            <a:solidFill>
                              <a:srgbClr val="000000"/>
                            </a:solidFill>
                            <a:round/>
                            <a:tailEnd type="triangle" w="med" len="med"/>
                          </a:ln>
                        </wps:spPr>
                        <wps:bodyPr/>
                      </wps:wsp>
                      <wps:wsp>
                        <wps:cNvPr id="79" name="Rectangle 58"/>
                        <wps:cNvSpPr>
                          <a:spLocks noChangeArrowheads="1"/>
                        </wps:cNvSpPr>
                        <wps:spPr bwMode="auto">
                          <a:xfrm>
                            <a:off x="4221480" y="480060"/>
                            <a:ext cx="1483360" cy="339090"/>
                          </a:xfrm>
                          <a:prstGeom prst="rect">
                            <a:avLst/>
                          </a:prstGeom>
                          <a:solidFill>
                            <a:srgbClr val="FFFFFF"/>
                          </a:solidFill>
                          <a:ln w="9525">
                            <a:solidFill>
                              <a:srgbClr val="000000"/>
                            </a:solidFill>
                            <a:miter lim="800000"/>
                          </a:ln>
                        </wps:spPr>
                        <wps:txbx>
                          <w:txbxContent>
                            <w:p w14:paraId="490B736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仿宋"/>
                                  <w:color w:val="auto"/>
                                  <w:sz w:val="24"/>
                                  <w:szCs w:val="24"/>
                                  <w:lang w:val="en-US" w:eastAsia="zh-CN"/>
                                </w:rPr>
                              </w:pPr>
                              <w:r>
                                <w:rPr>
                                  <w:rFonts w:hint="eastAsia" w:hAnsi="仿宋" w:eastAsia="仿宋"/>
                                  <w:color w:val="auto"/>
                                  <w:sz w:val="24"/>
                                  <w:szCs w:val="24"/>
                                  <w:lang w:val="en-US" w:eastAsia="zh-CN"/>
                                </w:rPr>
                                <w:t>海安市人民政府</w:t>
                              </w:r>
                            </w:p>
                          </w:txbxContent>
                        </wps:txbx>
                        <wps:bodyPr rot="0" vert="horz" wrap="square" lIns="91440" tIns="45720" rIns="91440" bIns="45720" anchor="t" anchorCtr="0" upright="1">
                          <a:noAutofit/>
                        </wps:bodyPr>
                      </wps:wsp>
                      <wps:wsp>
                        <wps:cNvPr id="80" name="Rectangle 59"/>
                        <wps:cNvSpPr>
                          <a:spLocks noChangeArrowheads="1"/>
                        </wps:cNvSpPr>
                        <wps:spPr bwMode="auto">
                          <a:xfrm>
                            <a:off x="4221480" y="1646555"/>
                            <a:ext cx="1507490" cy="504825"/>
                          </a:xfrm>
                          <a:prstGeom prst="rect">
                            <a:avLst/>
                          </a:prstGeom>
                          <a:solidFill>
                            <a:srgbClr val="FFFFFF"/>
                          </a:solidFill>
                          <a:ln w="9525">
                            <a:solidFill>
                              <a:srgbClr val="000000"/>
                            </a:solidFill>
                            <a:miter lim="800000"/>
                          </a:ln>
                        </wps:spPr>
                        <wps:txbx>
                          <w:txbxContent>
                            <w:p w14:paraId="5072E009">
                              <w:pPr>
                                <w:jc w:val="center"/>
                                <w:rPr>
                                  <w:rFonts w:eastAsia="仿宋"/>
                                  <w:sz w:val="24"/>
                                  <w:szCs w:val="24"/>
                                </w:rPr>
                              </w:pPr>
                              <w:r>
                                <w:rPr>
                                  <w:rFonts w:hint="eastAsia" w:hAnsi="仿宋" w:eastAsia="仿宋"/>
                                  <w:sz w:val="24"/>
                                  <w:szCs w:val="24"/>
                                </w:rPr>
                                <w:t>南通市海安生态环境局</w:t>
                              </w:r>
                            </w:p>
                          </w:txbxContent>
                        </wps:txbx>
                        <wps:bodyPr rot="0" vert="horz" wrap="square" lIns="91440" tIns="45720" rIns="91440" bIns="45720" anchor="t" anchorCtr="0" upright="1">
                          <a:noAutofit/>
                        </wps:bodyPr>
                      </wps:wsp>
                      <wps:wsp>
                        <wps:cNvPr id="17" name="Rectangle 59"/>
                        <wps:cNvSpPr>
                          <a:spLocks noChangeArrowheads="1"/>
                        </wps:cNvSpPr>
                        <wps:spPr bwMode="auto">
                          <a:xfrm>
                            <a:off x="4211955" y="2237105"/>
                            <a:ext cx="1507490" cy="305435"/>
                          </a:xfrm>
                          <a:prstGeom prst="rect">
                            <a:avLst/>
                          </a:prstGeom>
                          <a:solidFill>
                            <a:srgbClr val="FFFFFF"/>
                          </a:solidFill>
                          <a:ln w="9525">
                            <a:solidFill>
                              <a:srgbClr val="000000"/>
                            </a:solidFill>
                            <a:miter lim="800000"/>
                          </a:ln>
                        </wps:spPr>
                        <wps:txbx>
                          <w:txbxContent>
                            <w:p w14:paraId="00A462A0">
                              <w:pPr>
                                <w:jc w:val="center"/>
                                <w:rPr>
                                  <w:rFonts w:eastAsia="仿宋"/>
                                  <w:sz w:val="24"/>
                                  <w:szCs w:val="24"/>
                                </w:rPr>
                              </w:pPr>
                              <w:r>
                                <w:rPr>
                                  <w:rFonts w:hint="eastAsia" w:hAnsi="仿宋" w:eastAsia="仿宋"/>
                                  <w:sz w:val="24"/>
                                  <w:szCs w:val="24"/>
                                  <w:lang w:val="en-US" w:eastAsia="zh-CN"/>
                                </w:rPr>
                                <w:t>海安</w:t>
                              </w:r>
                              <w:r>
                                <w:rPr>
                                  <w:rFonts w:hint="eastAsia" w:hAnsi="仿宋" w:eastAsia="仿宋"/>
                                  <w:sz w:val="24"/>
                                  <w:szCs w:val="24"/>
                                </w:rPr>
                                <w:t>市</w:t>
                              </w:r>
                              <w:r>
                                <w:rPr>
                                  <w:rFonts w:hint="eastAsia" w:hAnsi="仿宋" w:eastAsia="仿宋"/>
                                  <w:sz w:val="24"/>
                                  <w:szCs w:val="24"/>
                                  <w:lang w:val="en-US" w:eastAsia="zh-CN"/>
                                </w:rPr>
                                <w:t>应急管理</w:t>
                              </w:r>
                              <w:r>
                                <w:rPr>
                                  <w:rFonts w:hint="eastAsia" w:hAnsi="仿宋" w:eastAsia="仿宋"/>
                                  <w:sz w:val="24"/>
                                  <w:szCs w:val="24"/>
                                </w:rPr>
                                <w:t>局</w:t>
                              </w:r>
                            </w:p>
                          </w:txbxContent>
                        </wps:txbx>
                        <wps:bodyPr rot="0" vert="horz" wrap="square" lIns="91440" tIns="45720" rIns="91440" bIns="45720" anchor="t" anchorCtr="0" upright="1">
                          <a:noAutofit/>
                        </wps:bodyPr>
                      </wps:wsp>
                      <wps:wsp>
                        <wps:cNvPr id="18" name="AutoShape 55"/>
                        <wps:cNvCnPr>
                          <a:cxnSpLocks noChangeShapeType="1"/>
                        </wps:cNvCnPr>
                        <wps:spPr bwMode="auto">
                          <a:xfrm>
                            <a:off x="3932555" y="2379980"/>
                            <a:ext cx="288290" cy="635"/>
                          </a:xfrm>
                          <a:prstGeom prst="straightConnector1">
                            <a:avLst/>
                          </a:prstGeom>
                          <a:noFill/>
                          <a:ln w="9525">
                            <a:solidFill>
                              <a:srgbClr val="000000"/>
                            </a:solidFill>
                            <a:round/>
                            <a:tailEnd type="triangle" w="med" len="med"/>
                          </a:ln>
                        </wps:spPr>
                        <wps:bodyPr/>
                      </wps:wsp>
                      <wps:wsp>
                        <wps:cNvPr id="20" name="Rectangle 58"/>
                        <wps:cNvSpPr>
                          <a:spLocks noChangeArrowheads="1"/>
                        </wps:cNvSpPr>
                        <wps:spPr bwMode="auto">
                          <a:xfrm>
                            <a:off x="4236085" y="1003300"/>
                            <a:ext cx="1483360" cy="479425"/>
                          </a:xfrm>
                          <a:prstGeom prst="rect">
                            <a:avLst/>
                          </a:prstGeom>
                          <a:solidFill>
                            <a:srgbClr val="FFFFFF"/>
                          </a:solidFill>
                          <a:ln w="9525">
                            <a:solidFill>
                              <a:srgbClr val="000000"/>
                            </a:solidFill>
                            <a:miter lim="800000"/>
                          </a:ln>
                        </wps:spPr>
                        <wps:txbx>
                          <w:txbxContent>
                            <w:p w14:paraId="0A8357A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仿宋"/>
                                  <w:color w:val="auto"/>
                                  <w:sz w:val="24"/>
                                  <w:szCs w:val="24"/>
                                  <w:lang w:val="en-US" w:eastAsia="zh-CN"/>
                                </w:rPr>
                              </w:pPr>
                              <w:r>
                                <w:rPr>
                                  <w:rFonts w:hint="eastAsia" w:hAnsi="仿宋" w:eastAsia="仿宋"/>
                                  <w:color w:val="auto"/>
                                  <w:sz w:val="24"/>
                                  <w:szCs w:val="24"/>
                                  <w:lang w:val="en-US" w:eastAsia="zh-CN"/>
                                </w:rPr>
                                <w:t>大公镇管委会</w:t>
                              </w: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5.6pt;margin-top:97pt;height:219.3pt;width:450.35pt;mso-wrap-distance-bottom:0pt;mso-wrap-distance-top:0pt;z-index:251661312;mso-width-relative:page;mso-height-relative:page;" coordsize="5719445,2785110" editas="canvas" o:gfxdata="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">
                <o:lock v:ext="edit" aspectratio="f"/>
                <v:shape id="_x0000_s1026" o:spid="_x0000_s1026" style="position:absolute;left:0;top:0;height:2785110;width:5719445;" filled="f" stroked="f" coordsize="21600,21600" o:gfxdata="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">
                  <v:fill on="f" focussize="0,0"/>
                  <v:stroke on="f"/>
                  <v:imagedata o:title=""/>
                  <o:lock v:ext="edit" aspectratio="f"/>
                </v:shape>
                <v:rect id="Rectangle 40" o:spid="_x0000_s1026" o:spt="1" style="position:absolute;left:1163955;top:0;height:288290;width:158369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HZaoDZAAAACwEAAA8AAAAAAAAAAQAgAAAAIgAAAGRycy9kb3ducmV2&#10;LnhtbFBLAQIUABQAAAAIAIdO4kCHY6o/NAIAAIUEAAAOAAAAAAAAAAEAIAAAACgBAABkcnMvZTJv&#10;RG9jLnhtbFBLBQYAAAAABgAGAFkBAADOBQAAAAA=&#10;">
                  <v:fill on="t" focussize="0,0"/>
                  <v:stroke color="#000000" miterlimit="8" joinstyle="miter"/>
                  <v:imagedata o:title=""/>
                  <o:lock v:ext="edit" aspectratio="f"/>
                  <v:textbox>
                    <w:txbxContent>
                      <w:p w14:paraId="2F7BA4F2">
                        <w:pPr>
                          <w:rPr>
                            <w:rFonts w:ascii="仿宋" w:hAnsi="仿宋" w:eastAsia="仿宋"/>
                            <w:sz w:val="24"/>
                            <w:szCs w:val="24"/>
                          </w:rPr>
                        </w:pPr>
                        <w:r>
                          <w:rPr>
                            <w:rFonts w:hint="eastAsia" w:ascii="仿宋" w:hAnsi="仿宋" w:eastAsia="仿宋"/>
                            <w:sz w:val="24"/>
                            <w:szCs w:val="24"/>
                          </w:rPr>
                          <w:t>总指挥现场查明情况</w:t>
                        </w:r>
                      </w:p>
                    </w:txbxContent>
                  </v:textbox>
                </v:rect>
                <v:shape id="AutoShape 41" o:spid="_x0000_s1026" o:spt="32" type="#_x0000_t32" style="position:absolute;left:1955800;top:288290;height:360045;width:635;" filled="f" stroked="t" coordsize="21600,21600" o:gfxdata="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iKrwd2QAA&#10;AAsBAAAPAAAAAAAAAAEAIAAAACIAAABkcnMvZG93bnJldi54bWxQSwECFAAUAAAACACHTuJA0m2r&#10;E+QBAADAAwAADgAAAAAAAAABACAAAAAoAQAAZHJzL2Uyb0RvYy54bWxQSwUGAAAAAAYABgBZAQAA&#10;fgUAAAAA&#10;">
                  <v:fill on="f" focussize="0,0"/>
                  <v:stroke color="#000000" joinstyle="round"/>
                  <v:imagedata o:title=""/>
                  <o:lock v:ext="edit" aspectratio="f"/>
                </v:shape>
                <v:shape id="AutoShape 42" o:spid="_x0000_s1026" o:spt="32" type="#_x0000_t32" style="position:absolute;left:887730;top:648335;height:635;width:2160270;" filled="f" stroked="t" coordsize="21600,21600" o:gfxdata="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iq8HdkA&#10;AAALAQAADwAAAAAAAAABACAAAAAiAAAAZHJzL2Rvd25yZXYueG1sUEsBAhQAFAAAAAgAh07iQL55&#10;cBvlAQAAwAMAAA4AAAAAAAAAAQAgAAAAKAEAAGRycy9lMm9Eb2MueG1sUEsFBgAAAAAGAAYAWQEA&#10;AH8FAAAAAA==&#10;">
                  <v:fill on="f" focussize="0,0"/>
                  <v:stroke color="#000000" joinstyle="round"/>
                  <v:imagedata o:title=""/>
                  <o:lock v:ext="edit" aspectratio="f"/>
                </v:shape>
                <v:shape id="AutoShape 43" o:spid="_x0000_s1026" o:spt="32" type="#_x0000_t32" style="position:absolute;left:887730;top:648335;height:360045;width:635;"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1YYWtsAAAALAQAADwAAAAAAAAABACAAAAAiAAAAZHJzL2Rv&#10;d25yZXYueG1sUEsBAhQAFAAAAAgAh07iQL+Lruv+AQAA7QMAAA4AAAAAAAAAAQAgAAAAKgEAAGRy&#10;cy9lMm9Eb2MueG1sUEsFBgAAAAAGAAYAWQEAAJoFAAAAAA==&#10;">
                  <v:fill on="f" focussize="0,0"/>
                  <v:stroke color="#000000" joinstyle="round" endarrow="block"/>
                  <v:imagedata o:title=""/>
                  <o:lock v:ext="edit" aspectratio="f"/>
                </v:shape>
                <v:shape id="AutoShape 44" o:spid="_x0000_s1026" o:spt="32" type="#_x0000_t32" style="position:absolute;left:3038475;top:638810;height:360045;width:635;"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1YYWtsAAAALAQAADwAAAAAAAAABACAAAAAiAAAAZHJzL2Rv&#10;d25yZXYueG1sUEsBAhQAFAAAAAgAh07iQM4+HEr+AQAA7gMAAA4AAAAAAAAAAQAgAAAAKgEAAGRy&#10;cy9lMm9Eb2MueG1sUEsFBgAAAAAGAAYAWQEAAJoFAAAAAA==&#10;">
                  <v:fill on="f" focussize="0,0"/>
                  <v:stroke color="#000000" joinstyle="round" endarrow="block"/>
                  <v:imagedata o:title=""/>
                  <o:lock v:ext="edit" aspectratio="f"/>
                </v:shape>
                <v:rect id="Rectangle 45" o:spid="_x0000_s1026" o:spt="1" style="position:absolute;left:275590;top:998855;height:504190;width:122428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B2WqA2QAAAAsBAAAPAAAAAAAAAAEAIAAAACIAAABkcnMvZG93&#10;bnJldi54bWxQSwECFAAUAAAACACHTuJAKkBU8TgCAACJBAAADgAAAAAAAAABACAAAAAoAQAAZHJz&#10;L2Uyb0RvYy54bWxQSwUGAAAAAAYABgBZAQAA0gUAAAAA&#10;">
                  <v:fill on="t" focussize="0,0"/>
                  <v:stroke color="#000000" miterlimit="8" joinstyle="miter"/>
                  <v:imagedata o:title=""/>
                  <o:lock v:ext="edit" aspectratio="f"/>
                  <v:textbox>
                    <w:txbxContent>
                      <w:p w14:paraId="4B574487">
                        <w:pPr>
                          <w:jc w:val="center"/>
                          <w:rPr>
                            <w:rFonts w:ascii="仿宋" w:hAnsi="仿宋" w:eastAsia="仿宋"/>
                            <w:sz w:val="24"/>
                            <w:szCs w:val="24"/>
                          </w:rPr>
                        </w:pPr>
                        <w:r>
                          <w:rPr>
                            <w:rFonts w:hint="eastAsia" w:ascii="仿宋" w:hAnsi="仿宋" w:eastAsia="仿宋"/>
                            <w:sz w:val="24"/>
                            <w:szCs w:val="24"/>
                          </w:rPr>
                          <w:t>厂内各负责人开展救援工作</w:t>
                        </w:r>
                      </w:p>
                    </w:txbxContent>
                  </v:textbox>
                </v:rect>
                <v:rect id="Rectangle 46" o:spid="_x0000_s1026" o:spt="1" style="position:absolute;left:2425700;top:998855;height:504190;width:122428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B2WqA2QAAAAsBAAAPAAAAAAAAAAEAIAAAACIAAABkcnMv&#10;ZG93bnJldi54bWxQSwECFAAUAAAACACHTuJAVlkoyjsCAACKBAAADgAAAAAAAAABACAAAAAoAQAA&#10;ZHJzL2Uyb0RvYy54bWxQSwUGAAAAAAYABgBZAQAA1QUAAAAA&#10;">
                  <v:fill on="t" focussize="0,0"/>
                  <v:stroke color="#000000" miterlimit="8" joinstyle="miter"/>
                  <v:imagedata o:title=""/>
                  <o:lock v:ext="edit" aspectratio="f"/>
                  <v:textbox>
                    <w:txbxContent>
                      <w:p w14:paraId="6552A77E">
                        <w:pPr>
                          <w:jc w:val="center"/>
                          <w:rPr>
                            <w:rFonts w:ascii="仿宋" w:hAnsi="仿宋" w:eastAsia="仿宋"/>
                            <w:sz w:val="24"/>
                            <w:szCs w:val="24"/>
                          </w:rPr>
                        </w:pPr>
                        <w:r>
                          <w:rPr>
                            <w:rFonts w:hint="eastAsia" w:ascii="仿宋" w:hAnsi="仿宋" w:eastAsia="仿宋"/>
                            <w:sz w:val="24"/>
                            <w:szCs w:val="24"/>
                          </w:rPr>
                          <w:t>上报政府部门，请求支援</w:t>
                        </w:r>
                      </w:p>
                    </w:txbxContent>
                  </v:textbox>
                </v:rect>
                <v:shape id="AutoShape 47" o:spid="_x0000_s1026" o:spt="32" type="#_x0000_t32" style="position:absolute;left:3037840;top:1503045;height:360045;width:635;"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tWGFrbAAAACwEAAA8AAAAAAAAAAQAgAAAAIgAAAGRycy9k&#10;b3ducmV2LnhtbFBLAQIUABQAAAAIAIdO4kD0xnE6/wEAAO8DAAAOAAAAAAAAAAEAIAAAACoBAABk&#10;cnMvZTJvRG9jLnhtbFBLBQYAAAAABgAGAFkBAACbBQAAAAA=&#10;">
                  <v:fill on="f" focussize="0,0"/>
                  <v:stroke color="#000000" joinstyle="round" endarrow="block"/>
                  <v:imagedata o:title=""/>
                  <o:lock v:ext="edit" aspectratio="f"/>
                </v:shape>
                <v:rect id="Rectangle 48" o:spid="_x0000_s1026" o:spt="1" style="position:absolute;left:2497455;top:1863090;height:288290;width:1080135;"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dlqgNkAAAALAQAADwAAAAAAAAABACAAAAAiAAAAZHJz&#10;L2Rvd25yZXYueG1sUEsBAhQAFAAAAAgAh07iQE9Z/gE8AgAAiwQAAA4AAAAAAAAAAQAgAAAAKAEA&#10;AGRycy9lMm9Eb2MueG1sUEsFBgAAAAAGAAYAWQEAANYFAAAAAA==&#10;">
                  <v:fill on="t" focussize="0,0"/>
                  <v:stroke color="#000000" miterlimit="8" joinstyle="miter"/>
                  <v:imagedata o:title=""/>
                  <o:lock v:ext="edit" aspectratio="f"/>
                  <v:textbox>
                    <w:txbxContent>
                      <w:p w14:paraId="36E83908">
                        <w:pPr>
                          <w:jc w:val="center"/>
                          <w:rPr>
                            <w:rFonts w:ascii="仿宋" w:hAnsi="仿宋" w:eastAsia="仿宋"/>
                            <w:sz w:val="24"/>
                            <w:szCs w:val="24"/>
                          </w:rPr>
                        </w:pPr>
                        <w:r>
                          <w:rPr>
                            <w:rFonts w:hint="eastAsia" w:ascii="仿宋" w:hAnsi="仿宋" w:eastAsia="仿宋"/>
                            <w:sz w:val="24"/>
                            <w:szCs w:val="24"/>
                          </w:rPr>
                          <w:t>外部救援</w:t>
                        </w:r>
                      </w:p>
                    </w:txbxContent>
                  </v:textbox>
                </v:rect>
                <v:shape id="AutoShape 49" o:spid="_x0000_s1026" o:spt="32" type="#_x0000_t32" style="position:absolute;left:2137410;top:2006600;flip:x y;height:635;width:360045;" filled="f" stroked="t" coordsize="21600,21600" o:gfxdata="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ySyv2gAAAAsBAAAPAAAAAAAAAAEAIAAAACIA&#10;AABkcnMvZG93bnJldi54bWxQSwECFAAUAAAACACHTuJAe8GajQcCAAADBAAADgAAAAAAAAABACAA&#10;AAApAQAAZHJzL2Uyb0RvYy54bWxQSwUGAAAAAAYABgBZAQAAogUAAAAA&#10;">
                  <v:fill on="f" focussize="0,0"/>
                  <v:stroke color="#000000" joinstyle="round" endarrow="block"/>
                  <v:imagedata o:title=""/>
                  <o:lock v:ext="edit" aspectratio="f"/>
                </v:shape>
                <v:rect id="Rectangle 50" o:spid="_x0000_s1026" o:spt="1" style="position:absolute;left:47625;top:1656080;height:720090;width:208788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dlqgNkAAAALAQAADwAAAAAAAAABACAAAAAiAAAAZHJzL2Rvd25y&#10;ZXYueG1sUEsBAhQAFAAAAAgAh07iQM95HOA2AgAAiQQAAA4AAAAAAAAAAQAgAAAAKAEAAGRycy9l&#10;Mm9Eb2MueG1sUEsFBgAAAAAGAAYAWQEAANAFAAAAAA==&#10;">
                  <v:fill on="t" focussize="0,0"/>
                  <v:stroke color="#000000" miterlimit="8" joinstyle="miter"/>
                  <v:imagedata o:title=""/>
                  <o:lock v:ext="edit" aspectratio="f"/>
                  <v:textbox>
                    <w:txbxContent>
                      <w:p w14:paraId="7D4544A4">
                        <w:pPr>
                          <w:rPr>
                            <w:rFonts w:ascii="仿宋" w:hAnsi="仿宋" w:eastAsia="仿宋"/>
                            <w:sz w:val="24"/>
                            <w:szCs w:val="24"/>
                          </w:rPr>
                        </w:pPr>
                        <w:r>
                          <w:rPr>
                            <w:rFonts w:hint="eastAsia" w:ascii="仿宋" w:hAnsi="仿宋" w:eastAsia="仿宋"/>
                            <w:sz w:val="24"/>
                            <w:szCs w:val="24"/>
                          </w:rPr>
                          <w:t>上级应急预案救援指挥机构到达事故现场，厂内应急总指挥移交事故现场指挥权</w:t>
                        </w:r>
                      </w:p>
                      <w:p w14:paraId="3AD12A7F">
                        <w:pPr>
                          <w:ind w:firstLine="560"/>
                        </w:pPr>
                      </w:p>
                    </w:txbxContent>
                  </v:textbox>
                </v:rect>
                <v:shape id="AutoShape 51" o:spid="_x0000_s1026" o:spt="32" type="#_x0000_t32" style="position:absolute;left:3037840;top:2151380;height:288000;width:635;"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tWGFrbAAAACwEAAA8AAAAAAAAAAQAgAAAAIgAAAGRycy9k&#10;b3ducmV2LnhtbFBLAQIUABQAAAAIAIdO4kDY0teK/wEAAO8DAAAOAAAAAAAAAAEAIAAAACoBAABk&#10;cnMvZTJvRG9jLnhtbFBLBQYAAAAABgAGAFkBAACbBQAAAAA=&#10;">
                  <v:fill on="f" focussize="0,0"/>
                  <v:stroke color="#000000" joinstyle="round" endarrow="block"/>
                  <v:imagedata o:title=""/>
                  <o:lock v:ext="edit" aspectratio="f"/>
                </v:shape>
                <v:rect id="Rectangle 52" o:spid="_x0000_s1026" o:spt="1" style="position:absolute;left:2322195;top:2444750;height:271780;width:144018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B2WqA2QAAAAsBAAAPAAAAAAAAAAEAIAAAACIAAABkcnMvZG93&#10;bnJldi54bWxQSwECFAAUAAAACACHTuJAEiNaPjgCAACLBAAADgAAAAAAAAABACAAAAAoAQAAZHJz&#10;L2Uyb0RvYy54bWxQSwUGAAAAAAYABgBZAQAA0gUAAAAA&#10;">
                  <v:fill on="t" focussize="0,0"/>
                  <v:stroke color="#000000" miterlimit="8" joinstyle="miter"/>
                  <v:imagedata o:title=""/>
                  <o:lock v:ext="edit" aspectratio="f"/>
                  <v:textbox>
                    <w:txbxContent>
                      <w:p w14:paraId="77002D26">
                        <w:pPr>
                          <w:jc w:val="center"/>
                          <w:rPr>
                            <w:rFonts w:ascii="仿宋" w:hAnsi="仿宋" w:eastAsia="仿宋"/>
                            <w:sz w:val="24"/>
                            <w:szCs w:val="24"/>
                          </w:rPr>
                        </w:pPr>
                        <w:r>
                          <w:rPr>
                            <w:rFonts w:hint="eastAsia" w:ascii="仿宋" w:hAnsi="仿宋" w:eastAsia="仿宋"/>
                            <w:sz w:val="24"/>
                            <w:szCs w:val="24"/>
                          </w:rPr>
                          <w:t>现场展开应急救援</w:t>
                        </w:r>
                      </w:p>
                    </w:txbxContent>
                  </v:textbox>
                </v:rect>
                <v:shape id="AutoShape 53" o:spid="_x0000_s1026" o:spt="32" type="#_x0000_t32" style="position:absolute;left:3649980;top:1250315;flip:y;height:635;width:575945;" filled="f" stroked="t" coordsize="21600,21600" o:gfxdata="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sWX1x2gAAAAsBAAAPAAAAAAAAAAEAIAAAACIA&#10;AABkcnMvZG93bnJldi54bWxQSwECFAAUAAAACACHTuJAV9kMawcCAAD5AwAADgAAAAAAAAABACAA&#10;AAApAQAAZHJzL2Uyb0RvYy54bWxQSwUGAAAAAAYABgBZAQAAogUAAAAA&#10;">
                  <v:fill on="f" focussize="0,0"/>
                  <v:stroke color="#000000" joinstyle="round" endarrow="block"/>
                  <v:imagedata o:title=""/>
                  <o:lock v:ext="edit" aspectratio="f"/>
                </v:shape>
                <v:shape id="AutoShape 54" o:spid="_x0000_s1026" o:spt="32" type="#_x0000_t32" style="position:absolute;left:3923665;top:657860;height:1720850;width:5080;" filled="f" stroked="t" coordsize="21600,21600" o:gfxdata="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iq8&#10;HdkAAAALAQAADwAAAAAAAAABACAAAAAiAAAAZHJzL2Rvd25yZXYueG1sUEsBAhQAFAAAAAgAh07i&#10;QME4UX/oAQAAwgMAAA4AAAAAAAAAAQAgAAAAKAEAAGRycy9lMm9Eb2MueG1sUEsFBgAAAAAGAAYA&#10;WQEAAIIFAAAAAA==&#10;">
                  <v:fill on="f" focussize="0,0"/>
                  <v:stroke color="#000000" joinstyle="round"/>
                  <v:imagedata o:title=""/>
                  <o:lock v:ext="edit" aspectratio="f"/>
                </v:shape>
                <v:shape id="AutoShape 55" o:spid="_x0000_s1026" o:spt="32" type="#_x0000_t32" style="position:absolute;left:3937000;top:1737995;height:635;width:288290;"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1YYWtsAAAALAQAADwAAAAAAAAABACAAAAAiAAAAZHJz&#10;L2Rvd25yZXYueG1sUEsBAhQAFAAAAAgAh07iQH16b5wBAgAA7wMAAA4AAAAAAAAAAQAgAAAAKgEA&#10;AGRycy9lMm9Eb2MueG1sUEsFBgAAAAAGAAYAWQEAAJ0FAAAAAA==&#10;">
                  <v:fill on="f" focussize="0,0"/>
                  <v:stroke color="#000000" joinstyle="round" endarrow="block"/>
                  <v:imagedata o:title=""/>
                  <o:lock v:ext="edit" aspectratio="f"/>
                </v:shape>
                <v:shape id="AutoShape 56" o:spid="_x0000_s1026" o:spt="32" type="#_x0000_t32" style="position:absolute;left:3933825;top:668020;height:635;width:288290;"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1YYWtsAAAALAQAADwAAAAAAAAABACAAAAAiAAAAZHJzL2Rv&#10;d25yZXYueG1sUEsBAhQAFAAAAAgAh07iQOXDKkP+AQAA7gMAAA4AAAAAAAAAAQAgAAAAKgEAAGRy&#10;cy9lMm9Eb2MueG1sUEsFBgAAAAAGAAYAWQEAAJoFAAAAAA==&#10;">
                  <v:fill on="f" focussize="0,0"/>
                  <v:stroke color="#000000" joinstyle="round" endarrow="block"/>
                  <v:imagedata o:title=""/>
                  <o:lock v:ext="edit" aspectratio="f"/>
                </v:shape>
                <v:rect id="Rectangle 58" o:spid="_x0000_s1026" o:spt="1" style="position:absolute;left:4221480;top:480060;height:339090;width:148336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B2WqA2QAAAAsBAAAPAAAAAAAAAAEAIAAAACIAAABkcnMv&#10;ZG93bnJldi54bWxQSwECFAAUAAAACACHTuJAjSnaFzsCAACKBAAADgAAAAAAAAABACAAAAAoAQAA&#10;ZHJzL2Uyb0RvYy54bWxQSwUGAAAAAAYABgBZAQAA1QUAAAAA&#10;">
                  <v:fill on="t" focussize="0,0"/>
                  <v:stroke color="#000000" miterlimit="8" joinstyle="miter"/>
                  <v:imagedata o:title=""/>
                  <o:lock v:ext="edit" aspectratio="f"/>
                  <v:textbox>
                    <w:txbxContent>
                      <w:p w14:paraId="490B736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仿宋"/>
                            <w:color w:val="auto"/>
                            <w:sz w:val="24"/>
                            <w:szCs w:val="24"/>
                            <w:lang w:val="en-US" w:eastAsia="zh-CN"/>
                          </w:rPr>
                        </w:pPr>
                        <w:r>
                          <w:rPr>
                            <w:rFonts w:hint="eastAsia" w:hAnsi="仿宋" w:eastAsia="仿宋"/>
                            <w:color w:val="auto"/>
                            <w:sz w:val="24"/>
                            <w:szCs w:val="24"/>
                            <w:lang w:val="en-US" w:eastAsia="zh-CN"/>
                          </w:rPr>
                          <w:t>海安市人民政府</w:t>
                        </w:r>
                      </w:p>
                    </w:txbxContent>
                  </v:textbox>
                </v:rect>
                <v:rect id="Rectangle 59" o:spid="_x0000_s1026" o:spt="1" style="position:absolute;left:4221480;top:1646555;height:504825;width:150749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B2WqA2QAAAAsBAAAPAAAAAAAAAAEAIAAAACIAAABkcnMvZG93&#10;bnJldi54bWxQSwECFAAUAAAACACHTuJAcratfzgCAACLBAAADgAAAAAAAAABACAAAAAoAQAAZHJz&#10;L2Uyb0RvYy54bWxQSwUGAAAAAAYABgBZAQAA0gUAAAAA&#10;">
                  <v:fill on="t" focussize="0,0"/>
                  <v:stroke color="#000000" miterlimit="8" joinstyle="miter"/>
                  <v:imagedata o:title=""/>
                  <o:lock v:ext="edit" aspectratio="f"/>
                  <v:textbox>
                    <w:txbxContent>
                      <w:p w14:paraId="5072E009">
                        <w:pPr>
                          <w:jc w:val="center"/>
                          <w:rPr>
                            <w:rFonts w:eastAsia="仿宋"/>
                            <w:sz w:val="24"/>
                            <w:szCs w:val="24"/>
                          </w:rPr>
                        </w:pPr>
                        <w:r>
                          <w:rPr>
                            <w:rFonts w:hint="eastAsia" w:hAnsi="仿宋" w:eastAsia="仿宋"/>
                            <w:sz w:val="24"/>
                            <w:szCs w:val="24"/>
                          </w:rPr>
                          <w:t>南通市海安生态环境局</w:t>
                        </w:r>
                      </w:p>
                    </w:txbxContent>
                  </v:textbox>
                </v:rect>
                <v:rect id="Rectangle 59" o:spid="_x0000_s1026" o:spt="1" style="position:absolute;left:4211955;top:2237105;height:305435;width:150749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B2WqA2QAAAAsBAAAPAAAAAAAAAAEAIAAAACIAAABk&#10;cnMvZG93bnJldi54bWxQSwECFAAUAAAACACHTuJAPewUOz4CAACLBAAADgAAAAAAAAABACAAAAAo&#10;AQAAZHJzL2Uyb0RvYy54bWxQSwUGAAAAAAYABgBZAQAA2AUAAAAA&#10;">
                  <v:fill on="t" focussize="0,0"/>
                  <v:stroke color="#000000" miterlimit="8" joinstyle="miter"/>
                  <v:imagedata o:title=""/>
                  <o:lock v:ext="edit" aspectratio="f"/>
                  <v:textbox>
                    <w:txbxContent>
                      <w:p w14:paraId="00A462A0">
                        <w:pPr>
                          <w:jc w:val="center"/>
                          <w:rPr>
                            <w:rFonts w:eastAsia="仿宋"/>
                            <w:sz w:val="24"/>
                            <w:szCs w:val="24"/>
                          </w:rPr>
                        </w:pPr>
                        <w:r>
                          <w:rPr>
                            <w:rFonts w:hint="eastAsia" w:hAnsi="仿宋" w:eastAsia="仿宋"/>
                            <w:sz w:val="24"/>
                            <w:szCs w:val="24"/>
                            <w:lang w:val="en-US" w:eastAsia="zh-CN"/>
                          </w:rPr>
                          <w:t>海安</w:t>
                        </w:r>
                        <w:r>
                          <w:rPr>
                            <w:rFonts w:hint="eastAsia" w:hAnsi="仿宋" w:eastAsia="仿宋"/>
                            <w:sz w:val="24"/>
                            <w:szCs w:val="24"/>
                          </w:rPr>
                          <w:t>市</w:t>
                        </w:r>
                        <w:r>
                          <w:rPr>
                            <w:rFonts w:hint="eastAsia" w:hAnsi="仿宋" w:eastAsia="仿宋"/>
                            <w:sz w:val="24"/>
                            <w:szCs w:val="24"/>
                            <w:lang w:val="en-US" w:eastAsia="zh-CN"/>
                          </w:rPr>
                          <w:t>应急管理</w:t>
                        </w:r>
                        <w:r>
                          <w:rPr>
                            <w:rFonts w:hint="eastAsia" w:hAnsi="仿宋" w:eastAsia="仿宋"/>
                            <w:sz w:val="24"/>
                            <w:szCs w:val="24"/>
                          </w:rPr>
                          <w:t>局</w:t>
                        </w:r>
                      </w:p>
                    </w:txbxContent>
                  </v:textbox>
                </v:rect>
                <v:shape id="AutoShape 55" o:spid="_x0000_s1026" o:spt="32" type="#_x0000_t32" style="position:absolute;left:3932555;top:2379980;height:635;width:288290;" filled="f" stroked="t" coordsize="21600,21600" o:gfxdata="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Vhha2wAAAAsBAAAPAAAAAAAAAAEAIAAAACIAAABkcnMv&#10;ZG93bnJldi54bWxQSwECFAAUAAAACACHTuJAX62EuwACAADvAwAADgAAAAAAAAABACAAAAAqAQAA&#10;ZHJzL2Uyb0RvYy54bWxQSwUGAAAAAAYABgBZAQAAnAUAAAAA&#10;">
                  <v:fill on="f" focussize="0,0"/>
                  <v:stroke color="#000000" joinstyle="round" endarrow="block"/>
                  <v:imagedata o:title=""/>
                  <o:lock v:ext="edit" aspectratio="f"/>
                </v:shape>
                <v:rect id="Rectangle 58" o:spid="_x0000_s1026" o:spt="1" style="position:absolute;left:4236085;top:1003300;height:479425;width:1483360;" fillcolor="#FFFFFF" filled="t" stroked="t" coordsize="21600,21600" o:gfxdata="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HZaoDZAAAACwEAAA8AAAAAAAAAAQAgAAAAIgAAAGRycy9kb3du&#10;cmV2LnhtbFBLAQIUABQAAAAIAIdO4kDO1J2BNwIAAIsEAAAOAAAAAAAAAAEAIAAAACgBAABkcnMv&#10;ZTJvRG9jLnhtbFBLBQYAAAAABgAGAFkBAADRBQAAAAA=&#10;">
                  <v:fill on="t" focussize="0,0"/>
                  <v:stroke color="#000000" miterlimit="8" joinstyle="miter"/>
                  <v:imagedata o:title=""/>
                  <o:lock v:ext="edit" aspectratio="f"/>
                  <v:textbox>
                    <w:txbxContent>
                      <w:p w14:paraId="0A8357A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仿宋"/>
                            <w:color w:val="auto"/>
                            <w:sz w:val="24"/>
                            <w:szCs w:val="24"/>
                            <w:lang w:val="en-US" w:eastAsia="zh-CN"/>
                          </w:rPr>
                        </w:pPr>
                        <w:r>
                          <w:rPr>
                            <w:rFonts w:hint="eastAsia" w:hAnsi="仿宋" w:eastAsia="仿宋"/>
                            <w:color w:val="auto"/>
                            <w:sz w:val="24"/>
                            <w:szCs w:val="24"/>
                            <w:lang w:val="en-US" w:eastAsia="zh-CN"/>
                          </w:rPr>
                          <w:t>大公镇管委会</w:t>
                        </w:r>
                      </w:p>
                    </w:txbxContent>
                  </v:textbox>
                </v:rect>
                <w10:wrap type="topAndBottom"/>
              </v:group>
            </w:pict>
          </mc:Fallback>
        </mc:AlternateContent>
      </w:r>
      <w:r>
        <w:rPr>
          <w:rFonts w:hint="default" w:ascii="Times New Roman" w:hAnsi="Times New Roman" w:cs="Times New Roman" w:eastAsiaTheme="minorEastAsia"/>
          <w:color w:val="auto"/>
          <w:sz w:val="24"/>
          <w:szCs w:val="24"/>
          <w:highlight w:val="none"/>
        </w:rPr>
        <w:t>(4)污染事故基本控制稳定后，根据专家意见，迅速调集后援力量展开事故处置工作。现场应急处理结束。</w:t>
      </w:r>
    </w:p>
    <w:p w14:paraId="699E87F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以上各步程序按照现场实际情况可交叉进行或同时进行。</w:t>
      </w:r>
    </w:p>
    <w:p w14:paraId="024C1ADC">
      <w:pPr>
        <w:pageBreakBefore w:val="0"/>
        <w:kinsoku/>
        <w:overflowPunct/>
        <w:bidi w:val="0"/>
        <w:spacing w:line="500" w:lineRule="exact"/>
        <w:ind w:firstLine="560"/>
        <w:jc w:val="center"/>
        <w:rPr>
          <w:rFonts w:hint="default" w:ascii="Times New Roman" w:hAnsi="Times New Roman" w:cs="Times New Roman" w:eastAsiaTheme="minorEastAsia"/>
          <w:b/>
          <w:color w:val="auto"/>
          <w:kern w:val="0"/>
          <w:sz w:val="21"/>
          <w:szCs w:val="21"/>
          <w:highlight w:val="none"/>
        </w:rPr>
      </w:pPr>
      <w:r>
        <w:rPr>
          <w:rFonts w:hint="default" w:ascii="Times New Roman" w:hAnsi="Times New Roman" w:cs="Times New Roman" w:eastAsiaTheme="minorEastAsia"/>
          <w:b/>
          <w:color w:val="auto"/>
          <w:kern w:val="0"/>
          <w:sz w:val="21"/>
          <w:szCs w:val="21"/>
          <w:highlight w:val="none"/>
        </w:rPr>
        <w:t xml:space="preserve">图6-4 </w:t>
      </w:r>
      <w:r>
        <w:rPr>
          <w:rFonts w:hint="eastAsia" w:ascii="Times New Roman" w:hAnsi="Times New Roman" w:cs="Times New Roman" w:eastAsiaTheme="minorEastAsia"/>
          <w:b/>
          <w:color w:val="auto"/>
          <w:kern w:val="0"/>
          <w:sz w:val="21"/>
          <w:szCs w:val="21"/>
          <w:highlight w:val="none"/>
          <w:lang w:eastAsia="zh-CN"/>
        </w:rPr>
        <w:t>公司</w:t>
      </w:r>
      <w:r>
        <w:rPr>
          <w:rFonts w:hint="default" w:ascii="Times New Roman" w:hAnsi="Times New Roman" w:cs="Times New Roman" w:eastAsiaTheme="minorEastAsia"/>
          <w:b/>
          <w:color w:val="auto"/>
          <w:kern w:val="0"/>
          <w:sz w:val="21"/>
          <w:szCs w:val="21"/>
          <w:highlight w:val="none"/>
        </w:rPr>
        <w:t>Ⅰ级及以上响应程序示意图</w:t>
      </w:r>
    </w:p>
    <w:p w14:paraId="20AFAB8B">
      <w:pPr>
        <w:pStyle w:val="2"/>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442" w:name="_Toc535504533"/>
      <w:bookmarkStart w:id="443" w:name="_Toc5289"/>
      <w:bookmarkStart w:id="444" w:name="_Toc11062"/>
      <w:bookmarkStart w:id="445" w:name="_Toc11720"/>
      <w:bookmarkStart w:id="446" w:name="_Toc31042"/>
      <w:r>
        <w:rPr>
          <w:rFonts w:hint="default" w:ascii="Times New Roman" w:hAnsi="Times New Roman" w:cs="Times New Roman" w:eastAsiaTheme="minorEastAsia"/>
          <w:color w:val="auto"/>
          <w:sz w:val="24"/>
          <w:szCs w:val="24"/>
          <w:highlight w:val="none"/>
        </w:rPr>
        <w:t>6.2.5 指挥与协调</w:t>
      </w:r>
      <w:bookmarkEnd w:id="442"/>
      <w:bookmarkEnd w:id="443"/>
      <w:bookmarkEnd w:id="444"/>
      <w:bookmarkEnd w:id="445"/>
      <w:bookmarkEnd w:id="446"/>
    </w:p>
    <w:p w14:paraId="763A72B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发生突发环境事件时，根据事件类型及应急等级，相应的</w:t>
      </w:r>
      <w:r>
        <w:rPr>
          <w:rFonts w:hint="eastAsia" w:ascii="Times New Roman" w:hAnsi="Times New Roman" w:cs="Times New Roman" w:eastAsiaTheme="minorEastAsia"/>
          <w:color w:val="auto"/>
          <w:kern w:val="0"/>
          <w:sz w:val="24"/>
          <w:szCs w:val="24"/>
          <w:highlight w:val="none"/>
          <w:lang w:eastAsia="zh-CN"/>
        </w:rPr>
        <w:t>应急小组</w:t>
      </w:r>
      <w:r>
        <w:rPr>
          <w:rFonts w:hint="default" w:ascii="Times New Roman" w:hAnsi="Times New Roman" w:cs="Times New Roman" w:eastAsiaTheme="minorEastAsia"/>
          <w:color w:val="auto"/>
          <w:kern w:val="0"/>
          <w:sz w:val="24"/>
          <w:szCs w:val="24"/>
          <w:highlight w:val="none"/>
        </w:rPr>
        <w:t>织机构应迅速投入应急救援工作。</w:t>
      </w:r>
    </w:p>
    <w:p w14:paraId="0E0FB42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Ⅲ级应急响应由</w:t>
      </w:r>
      <w:r>
        <w:rPr>
          <w:rFonts w:hint="eastAsia" w:ascii="Times New Roman" w:hAnsi="Times New Roman" w:cs="Times New Roman" w:eastAsiaTheme="minorEastAsia"/>
          <w:color w:val="auto"/>
          <w:kern w:val="0"/>
          <w:sz w:val="24"/>
          <w:szCs w:val="24"/>
          <w:highlight w:val="none"/>
          <w:lang w:val="en-US" w:eastAsia="zh-CN"/>
        </w:rPr>
        <w:t>区域</w:t>
      </w:r>
      <w:r>
        <w:rPr>
          <w:rFonts w:hint="default" w:ascii="Times New Roman" w:hAnsi="Times New Roman" w:cs="Times New Roman" w:eastAsiaTheme="minorEastAsia"/>
          <w:color w:val="auto"/>
          <w:kern w:val="0"/>
          <w:sz w:val="24"/>
          <w:szCs w:val="24"/>
          <w:highlight w:val="none"/>
        </w:rPr>
        <w:t>负责人进行现场指挥</w:t>
      </w:r>
      <w:r>
        <w:rPr>
          <w:rFonts w:hint="eastAsia" w:ascii="Times New Roman" w:hAnsi="Times New Roman" w:cs="Times New Roman" w:eastAsiaTheme="minorEastAsia"/>
          <w:color w:val="auto"/>
          <w:kern w:val="0"/>
          <w:sz w:val="24"/>
          <w:szCs w:val="24"/>
          <w:highlight w:val="none"/>
          <w:lang w:eastAsia="zh-CN"/>
        </w:rPr>
        <w:t>。</w:t>
      </w:r>
    </w:p>
    <w:p w14:paraId="171F68A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Ⅱ级应急响应由</w:t>
      </w:r>
      <w:r>
        <w:rPr>
          <w:rFonts w:hint="eastAsia" w:ascii="Times New Roman" w:hAnsi="Times New Roman" w:cs="Times New Roman" w:eastAsiaTheme="minorEastAsia"/>
          <w:color w:val="auto"/>
          <w:sz w:val="24"/>
          <w:szCs w:val="24"/>
          <w:highlight w:val="none"/>
          <w:lang w:val="en-US" w:eastAsia="zh-CN"/>
        </w:rPr>
        <w:t>总经理</w:t>
      </w:r>
      <w:r>
        <w:rPr>
          <w:rFonts w:hint="eastAsia" w:ascii="Times New Roman" w:hAnsi="Times New Roman" w:cs="Times New Roman" w:eastAsiaTheme="minorEastAsia"/>
          <w:color w:val="auto"/>
          <w:kern w:val="0"/>
          <w:sz w:val="24"/>
          <w:szCs w:val="24"/>
          <w:highlight w:val="none"/>
          <w:lang w:eastAsia="zh-CN"/>
        </w:rPr>
        <w:t>（应急总指挥）</w:t>
      </w:r>
      <w:r>
        <w:rPr>
          <w:rFonts w:hint="default" w:ascii="Times New Roman" w:hAnsi="Times New Roman" w:cs="Times New Roman" w:eastAsiaTheme="minorEastAsia"/>
          <w:color w:val="auto"/>
          <w:kern w:val="0"/>
          <w:sz w:val="24"/>
          <w:szCs w:val="24"/>
          <w:highlight w:val="none"/>
        </w:rPr>
        <w:t>负责</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应急救援工作的组织和调度，事故应急处理期间，全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范围内一切救援力量与物资必须服从调派，各专业救援小组成员根据事故应急措施方案进行相应的应急工作。</w:t>
      </w:r>
      <w:r>
        <w:rPr>
          <w:rFonts w:hint="eastAsia" w:ascii="Times New Roman" w:hAnsi="Times New Roman" w:cs="Times New Roman" w:eastAsiaTheme="minorEastAsia"/>
          <w:color w:val="auto"/>
          <w:kern w:val="0"/>
          <w:sz w:val="24"/>
          <w:szCs w:val="24"/>
          <w:highlight w:val="none"/>
          <w:lang w:val="en-US" w:eastAsia="zh-CN"/>
        </w:rPr>
        <w:t>总指挥</w:t>
      </w:r>
      <w:r>
        <w:rPr>
          <w:rFonts w:hint="default" w:ascii="Times New Roman" w:hAnsi="Times New Roman" w:cs="Times New Roman" w:eastAsiaTheme="minorEastAsia"/>
          <w:color w:val="auto"/>
          <w:kern w:val="0"/>
          <w:sz w:val="24"/>
          <w:szCs w:val="24"/>
          <w:highlight w:val="none"/>
        </w:rPr>
        <w:t>不在场时，由</w:t>
      </w:r>
      <w:r>
        <w:rPr>
          <w:rFonts w:hint="eastAsia" w:ascii="Times New Roman" w:hAnsi="Times New Roman" w:cs="Times New Roman" w:eastAsiaTheme="minorEastAsia"/>
          <w:color w:val="auto"/>
          <w:kern w:val="0"/>
          <w:sz w:val="24"/>
          <w:szCs w:val="24"/>
          <w:highlight w:val="none"/>
          <w:lang w:val="en-US" w:eastAsia="zh-CN"/>
        </w:rPr>
        <w:t>副总指挥</w:t>
      </w:r>
      <w:r>
        <w:rPr>
          <w:rFonts w:hint="default" w:ascii="Times New Roman" w:hAnsi="Times New Roman" w:cs="Times New Roman" w:eastAsiaTheme="minorEastAsia"/>
          <w:color w:val="auto"/>
          <w:kern w:val="0"/>
          <w:sz w:val="24"/>
          <w:szCs w:val="24"/>
          <w:highlight w:val="none"/>
        </w:rPr>
        <w:t>代理履行应急职责。</w:t>
      </w:r>
    </w:p>
    <w:p w14:paraId="0447FC0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Ⅰ级应急响应在政府部门未抵达前，由</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color w:val="auto"/>
          <w:kern w:val="0"/>
          <w:sz w:val="24"/>
          <w:szCs w:val="24"/>
          <w:highlight w:val="none"/>
        </w:rPr>
        <w:t>（应急总指挥）调度</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的应急救援力量与物资，当政府救援力量抵达后，</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color w:val="auto"/>
          <w:kern w:val="0"/>
          <w:sz w:val="24"/>
          <w:szCs w:val="24"/>
          <w:highlight w:val="none"/>
        </w:rPr>
        <w:t>（应急总指挥）向政府指挥人员汇报事故发生情况、目前的处置措施以及可能造成的影响初步评估情况，同时移交指挥权，由政府领导统一指挥，</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全部应急资源由政府指挥人员统一指挥。</w:t>
      </w:r>
    </w:p>
    <w:p w14:paraId="60C25E31">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47" w:name="_Toc489349286"/>
      <w:bookmarkStart w:id="448" w:name="_Toc535504534"/>
      <w:bookmarkStart w:id="449" w:name="_Toc5403"/>
      <w:bookmarkStart w:id="450" w:name="_Toc30728"/>
      <w:bookmarkStart w:id="451" w:name="_Toc13171"/>
      <w:bookmarkStart w:id="452" w:name="_Toc1171"/>
      <w:r>
        <w:rPr>
          <w:rFonts w:hint="default" w:ascii="Times New Roman" w:hAnsi="Times New Roman" w:cs="Times New Roman" w:eastAsiaTheme="minorEastAsia"/>
          <w:color w:val="auto"/>
          <w:sz w:val="24"/>
          <w:szCs w:val="24"/>
          <w:highlight w:val="none"/>
        </w:rPr>
        <w:t>6.3 应急</w:t>
      </w:r>
      <w:bookmarkEnd w:id="447"/>
      <w:r>
        <w:rPr>
          <w:rFonts w:hint="default" w:ascii="Times New Roman" w:hAnsi="Times New Roman" w:cs="Times New Roman" w:eastAsiaTheme="minorEastAsia"/>
          <w:color w:val="auto"/>
          <w:sz w:val="24"/>
          <w:szCs w:val="24"/>
          <w:highlight w:val="none"/>
        </w:rPr>
        <w:t>处置</w:t>
      </w:r>
      <w:bookmarkEnd w:id="448"/>
      <w:bookmarkEnd w:id="449"/>
      <w:bookmarkEnd w:id="450"/>
      <w:bookmarkEnd w:id="451"/>
      <w:bookmarkEnd w:id="452"/>
    </w:p>
    <w:p w14:paraId="291BDF77">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53" w:name="_Toc21296"/>
      <w:bookmarkStart w:id="454" w:name="_Toc20787"/>
      <w:bookmarkStart w:id="455" w:name="_Toc5360"/>
      <w:bookmarkStart w:id="456" w:name="_Toc11858"/>
      <w:bookmarkStart w:id="457" w:name="_Toc535504535"/>
      <w:r>
        <w:rPr>
          <w:rFonts w:hint="default" w:ascii="Times New Roman" w:hAnsi="Times New Roman" w:cs="Times New Roman" w:eastAsiaTheme="minorEastAsia"/>
          <w:color w:val="auto"/>
          <w:sz w:val="24"/>
          <w:szCs w:val="24"/>
          <w:highlight w:val="none"/>
        </w:rPr>
        <w:t>6.3.1 处置原则</w:t>
      </w:r>
      <w:bookmarkEnd w:id="453"/>
      <w:bookmarkEnd w:id="454"/>
      <w:bookmarkEnd w:id="455"/>
      <w:bookmarkEnd w:id="456"/>
      <w:bookmarkEnd w:id="457"/>
    </w:p>
    <w:p w14:paraId="628EBBF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属地为主，先期处置；救人第一，环境优先”：以事发生产单元区域负责人为现场指挥，迅速作出初级反应，展开现场现场处置工作，先控制后消除，重视第一时间、第一阶段的事故源控制及污染区内被困人员的救援，避免事态扩大。突发环境事件现场处置程序为“先期处置、启动预案、扩大应急”：</w:t>
      </w:r>
    </w:p>
    <w:p w14:paraId="30CC6BE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1、先期处置（控制污染源）</w:t>
      </w:r>
    </w:p>
    <w:p w14:paraId="5194DEC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发生产区域（部门）对本辖区内发生的各类突发环境事件，无论级别高低、规模大小、损失轻重，应迅速调度力量，尽快判明事件性质和危害程度，及时采取相应的处置措施，全力控制事态发展，减少财产损失和社会影响，并及时向</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color w:val="auto"/>
          <w:kern w:val="0"/>
          <w:sz w:val="24"/>
          <w:szCs w:val="24"/>
          <w:highlight w:val="none"/>
        </w:rPr>
        <w:t>报告。</w:t>
      </w:r>
    </w:p>
    <w:p w14:paraId="513C06C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2、启动预案（组织研判）</w:t>
      </w:r>
    </w:p>
    <w:p w14:paraId="25F8DCE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接报较大（Ⅱ级）突发环境事件时，总指挥第一时间赶赴现场，立即启动本预案二级响应程序，组织研判，成立</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，协调突发事件的应急处置工作。接报重大（Ⅰ级）以上突发环境事件时，总指挥立即启动本预案并启动Ⅱ、Ⅰ级响应程序，一边组织先期处置，一边向市生态环境局报告，请求支援。</w:t>
      </w:r>
    </w:p>
    <w:p w14:paraId="0DA1D5A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事故研判，需确认事件类型（污染物的种类与性质）、可控性、严重程度和影响范围，确准污染源位置和处置方案，核实被困人员情况。</w:t>
      </w:r>
    </w:p>
    <w:p w14:paraId="2760390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3、扩大应急</w:t>
      </w:r>
    </w:p>
    <w:p w14:paraId="4473B51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救援展开后，指挥部立即命令各应急小组，按照指挥部确定的方案组织救援。应急救援人员进入事故现场必须在做好自身安全防护的情况下进行，采取的措施有关闭、停产、封堵、围挡、喷淋、转移等，尽力切断与厂外的联系和控制污染源，防止污染蔓延扩散。事故得到控制后，做好有毒有害物质和</w:t>
      </w:r>
      <w:r>
        <w:rPr>
          <w:rFonts w:hint="eastAsia" w:ascii="Times New Roman" w:hAnsi="Times New Roman" w:cs="Times New Roman" w:eastAsiaTheme="minorEastAsia"/>
          <w:color w:val="auto"/>
          <w:kern w:val="0"/>
          <w:sz w:val="24"/>
          <w:szCs w:val="24"/>
          <w:highlight w:val="none"/>
          <w:lang w:eastAsia="zh-CN"/>
        </w:rPr>
        <w:t>消防水</w:t>
      </w:r>
      <w:r>
        <w:rPr>
          <w:rFonts w:hint="default" w:ascii="Times New Roman" w:hAnsi="Times New Roman" w:cs="Times New Roman" w:eastAsiaTheme="minorEastAsia"/>
          <w:color w:val="auto"/>
          <w:kern w:val="0"/>
          <w:sz w:val="24"/>
          <w:szCs w:val="24"/>
          <w:highlight w:val="none"/>
        </w:rPr>
        <w:t>等的收集、清理和安全处置等工作。事故扩大，立即建立隔离区，疏散隔离区人群。当突发环境事件超出身控制能力范围，指挥部将情况立即上报市生态环境局，由政府部门人员进行指挥。外援赶到后，应积极配合和引导外援部门对事故现场采取措施。</w:t>
      </w:r>
    </w:p>
    <w:p w14:paraId="79B5AAE5">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在通知中需告知风向和泄漏介质的毒性，要求应急救援人员做好的安全防护措施。</w:t>
      </w:r>
    </w:p>
    <w:p w14:paraId="552B0F57">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58" w:name="_Toc4754"/>
      <w:bookmarkStart w:id="459" w:name="_Toc408557359"/>
      <w:bookmarkStart w:id="460" w:name="_Toc6498070"/>
      <w:bookmarkStart w:id="461" w:name="_Toc7832"/>
      <w:bookmarkStart w:id="462" w:name="_Toc6584252"/>
      <w:bookmarkStart w:id="463" w:name="_Toc8113"/>
      <w:bookmarkStart w:id="464" w:name="_Toc535504537"/>
      <w:bookmarkStart w:id="465" w:name="_Toc28994"/>
      <w:bookmarkStart w:id="466" w:name="_Toc489349287"/>
      <w:r>
        <w:rPr>
          <w:rFonts w:hint="default" w:ascii="Times New Roman" w:hAnsi="Times New Roman" w:cs="Times New Roman" w:eastAsiaTheme="minorEastAsia"/>
          <w:color w:val="auto"/>
          <w:sz w:val="24"/>
          <w:szCs w:val="24"/>
          <w:highlight w:val="none"/>
        </w:rPr>
        <w:t>6.3.2 人员紧急疏散、撤离措施</w:t>
      </w:r>
      <w:bookmarkEnd w:id="458"/>
      <w:bookmarkEnd w:id="459"/>
      <w:bookmarkEnd w:id="460"/>
      <w:bookmarkEnd w:id="461"/>
      <w:bookmarkEnd w:id="462"/>
      <w:bookmarkEnd w:id="463"/>
      <w:bookmarkEnd w:id="464"/>
      <w:bookmarkEnd w:id="465"/>
      <w:bookmarkEnd w:id="466"/>
    </w:p>
    <w:p w14:paraId="7050DF7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当环境事件发生后严重影响到了厂内以及周边工厂员工的生命安全时，应当组织人员疏散，疏散时，遵循以下原则：</w:t>
      </w:r>
    </w:p>
    <w:p w14:paraId="5AC561A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kern w:val="0"/>
          <w:sz w:val="24"/>
          <w:szCs w:val="24"/>
          <w:highlight w:val="none"/>
        </w:rPr>
        <w:t>（1）</w:t>
      </w:r>
      <w:r>
        <w:rPr>
          <w:rFonts w:hint="default" w:ascii="Times New Roman" w:hAnsi="Times New Roman" w:cs="Times New Roman" w:eastAsiaTheme="minorEastAsia"/>
          <w:color w:val="auto"/>
          <w:sz w:val="24"/>
          <w:szCs w:val="24"/>
          <w:highlight w:val="none"/>
        </w:rPr>
        <w:t>告知周边可能受影响的群众及</w:t>
      </w:r>
      <w:r>
        <w:rPr>
          <w:rFonts w:hint="eastAsia" w:ascii="Times New Roman" w:hAnsi="Times New Roman" w:cs="Times New Roman" w:eastAsiaTheme="minorEastAsia"/>
          <w:color w:val="auto"/>
          <w:sz w:val="24"/>
          <w:szCs w:val="24"/>
          <w:highlight w:val="none"/>
          <w:lang w:eastAsia="zh-CN"/>
        </w:rPr>
        <w:t>公司</w:t>
      </w:r>
    </w:p>
    <w:p w14:paraId="1B1F499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积极配合好有关部门（公安消防队）进行疏散工作，主动汇报事故现场情况。</w:t>
      </w:r>
    </w:p>
    <w:p w14:paraId="6FC5FB3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sz w:val="24"/>
          <w:szCs w:val="24"/>
          <w:highlight w:val="none"/>
        </w:rPr>
        <w:t>配合南通市海安生态环境局，通过各种途径向公众发出警报和紧急公告，告知事故性质、对健康的影响、自我保护措施、注意事项等、疏散线路等。</w:t>
      </w:r>
    </w:p>
    <w:p w14:paraId="47C7BF1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default" w:ascii="Times New Roman" w:hAnsi="Times New Roman" w:cs="Times New Roman" w:eastAsiaTheme="minorEastAsia"/>
          <w:color w:val="auto"/>
          <w:sz w:val="24"/>
          <w:szCs w:val="24"/>
          <w:highlight w:val="none"/>
        </w:rPr>
        <w:t>组织现场人员疏散</w:t>
      </w:r>
    </w:p>
    <w:p w14:paraId="118EF8F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保证疏散指示标志明显，应急疏散通道出口通畅，应急照明灯能正常使用。</w:t>
      </w:r>
    </w:p>
    <w:p w14:paraId="7E1D9F4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明确疏散计划，由</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发出疏散命令后，由</w:t>
      </w:r>
      <w:r>
        <w:rPr>
          <w:rFonts w:hint="eastAsia" w:ascii="Times New Roman" w:hAnsi="Times New Roman" w:cs="Times New Roman" w:eastAsiaTheme="minorEastAsia"/>
          <w:color w:val="auto"/>
          <w:sz w:val="24"/>
          <w:szCs w:val="24"/>
          <w:highlight w:val="none"/>
          <w:lang w:val="en-US" w:eastAsia="zh-CN"/>
        </w:rPr>
        <w:t>综合协调组</w:t>
      </w:r>
      <w:r>
        <w:rPr>
          <w:rFonts w:hint="default" w:ascii="Times New Roman" w:hAnsi="Times New Roman" w:cs="Times New Roman" w:eastAsiaTheme="minorEastAsia"/>
          <w:color w:val="auto"/>
          <w:sz w:val="24"/>
          <w:szCs w:val="24"/>
          <w:highlight w:val="none"/>
        </w:rPr>
        <w:t>作为疏散组，疏散组按负责部位进入指定位置，立即组织人员疏散。</w:t>
      </w:r>
    </w:p>
    <w:p w14:paraId="0347192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疏散组用最快速度通知现场人员，按疏散的通道方向进行疏散。</w:t>
      </w:r>
    </w:p>
    <w:p w14:paraId="7E7E784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事故现场有被困人员时，疏导人员应劝导被困人员，服从指挥，做到有组织、有秩序地疏散。</w:t>
      </w:r>
    </w:p>
    <w:p w14:paraId="1D79FFA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事故现场直接威胁人员安全，疏散组人员采取必要的手段强制疏导，防止出现伤亡事故。在疏散通道的拐弯、叉道等容易走错方向的地方设疏导人员，提示疏散方向，防止误入死胡同或进入危险区域。</w:t>
      </w:r>
    </w:p>
    <w:p w14:paraId="20062F1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①事件人员清点、撤离的方式</w:t>
      </w:r>
    </w:p>
    <w:p w14:paraId="1E5A216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当发生</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Ⅱ级及以上事故时（需要人员撤离时），由</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实施紧急疏散、撤离。事故区域所有人员必须执行紧急疏散、撤离命令。由疏散组组长根据疏散路线图，指导警戒区内的人员有序离开，并应清点撤离人数，检查确认区域内确无任何人滞留后，向指挥组汇报撤离人数，最后撤离。</w:t>
      </w:r>
    </w:p>
    <w:p w14:paraId="29A6547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员工在撤离过程中，应根据需要摒住呼吸，用湿手巾捂住口、鼻部位，脱离事故现场，总的原则是：向处于当时的上风方向撤离到安全点，或向指定的集中地点走去。疏散集中点由</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根据当时气象条件决定。</w:t>
      </w:r>
    </w:p>
    <w:p w14:paraId="0A5C844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②事故现场人员清点、撤离的方式和方法</w:t>
      </w:r>
    </w:p>
    <w:p w14:paraId="252CE14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事故现场人员影响事故源上风向撤离，当班班长组织本班次人员有秩序的疏散，疏散顺序从最危险地段人员先开始，相互兼顾照应，并根据风向指明集合地点。</w:t>
      </w:r>
    </w:p>
    <w:p w14:paraId="2D81779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③专业救援队伍到达现场后，疏导人员若知晓内部被困人员，要迅速报告，介绍被困人员方位、数量。</w:t>
      </w:r>
    </w:p>
    <w:p w14:paraId="6AF5DF0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（3）非事故现场人员紧急疏散的方式、方法</w:t>
      </w:r>
    </w:p>
    <w:p w14:paraId="146BFC6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非事故现场人员在接到疏散令后按照人员疏散示意图进行，主要集中到人流大门处。非事故现场人员主要有公司行政部和归口管理部门负责疏散、清点。</w:t>
      </w:r>
    </w:p>
    <w:p w14:paraId="7747E887">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正确通报、防止混乱。疏导人员首先通知事故现场附近人员先疏散出去，然后视情况公开通报，告诉其他区域人员进行有序疏散，防止不分先后，发生拥挤影响顺利疏散。</w:t>
      </w:r>
    </w:p>
    <w:p w14:paraId="2B908CB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口头引导疏散。疏导人员要用镇定的语气，呼喊、劝说人们消除恐惧心里，稳定情绪，使大家能够积极配合进行疏散。</w:t>
      </w:r>
    </w:p>
    <w:p w14:paraId="3E257B7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对疏散出的人员，要加强脱险后的管理，防止脱险人员对财产和未撤离危险区的工友生命担心而重新返回事故现场。必要时，在进入危险区域的关键部位配备警戒人员。</w:t>
      </w:r>
    </w:p>
    <w:p w14:paraId="42460E8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（4）抢救人员在撤离前和撤离后的报告</w:t>
      </w:r>
    </w:p>
    <w:p w14:paraId="03F846C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当事故扩大</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事故抢救结束后</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接到撤离指令，立即进行撤离事故现场，撤离后撤离指挥负责人应向指挥中心报告抢救人员是否安全撤离。</w:t>
      </w:r>
    </w:p>
    <w:p w14:paraId="1A873C5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（5）周边区域的单位、社区人员紧急疏散的方式、方法</w:t>
      </w:r>
    </w:p>
    <w:p w14:paraId="693AFC6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当本公司发生重大火灾、爆炸事故影响周边单位、居民生产、生活时，应急指挥中心立即向海安市应急管理局和南通市海安生态环境局报告，如果需要疏散到周边群众的，请求海安市应急管理局和南通市海安生态环境局下令疏散周边群众，及时与政府有关部门及时联系，配合政府工作人员引导相关人员迅速疏散至指定安全地方。</w:t>
      </w:r>
    </w:p>
    <w:p w14:paraId="1A684A8C">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67" w:name="_Toc8116"/>
      <w:bookmarkStart w:id="468" w:name="_Toc6498069"/>
      <w:bookmarkStart w:id="469" w:name="_Toc496529030"/>
      <w:bookmarkStart w:id="470" w:name="_Toc6584251"/>
      <w:bookmarkStart w:id="471" w:name="_Toc6375"/>
      <w:bookmarkStart w:id="472" w:name="_Toc408557360"/>
      <w:bookmarkStart w:id="473" w:name="_Toc13221"/>
      <w:bookmarkStart w:id="474" w:name="_Toc6648"/>
      <w:bookmarkStart w:id="475" w:name="_Toc19965"/>
      <w:bookmarkStart w:id="476" w:name="_Toc22612"/>
      <w:r>
        <w:rPr>
          <w:rFonts w:hint="default" w:ascii="Times New Roman" w:hAnsi="Times New Roman" w:cs="Times New Roman" w:eastAsiaTheme="minorEastAsia"/>
          <w:color w:val="auto"/>
          <w:sz w:val="24"/>
          <w:szCs w:val="24"/>
          <w:highlight w:val="none"/>
        </w:rPr>
        <w:t>6.3.3 危险区的隔离措施</w:t>
      </w:r>
      <w:bookmarkEnd w:id="467"/>
      <w:bookmarkEnd w:id="468"/>
      <w:bookmarkEnd w:id="469"/>
      <w:bookmarkEnd w:id="470"/>
      <w:bookmarkEnd w:id="471"/>
      <w:bookmarkEnd w:id="472"/>
      <w:bookmarkEnd w:id="473"/>
      <w:bookmarkEnd w:id="474"/>
      <w:bookmarkEnd w:id="475"/>
      <w:bookmarkEnd w:id="476"/>
    </w:p>
    <w:p w14:paraId="1CCFF6EE">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（1）危险区的设定</w:t>
      </w:r>
    </w:p>
    <w:p w14:paraId="29B9C956">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按危险程度分为三个区域，分别为事故地为中心区、事故波及区和受影响区。</w:t>
      </w:r>
    </w:p>
    <w:p w14:paraId="5BACD563">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我公司主要事故主要为</w:t>
      </w:r>
      <w:r>
        <w:rPr>
          <w:rFonts w:hint="eastAsia" w:ascii="Times New Roman" w:hAnsi="Times New Roman" w:cs="Times New Roman" w:eastAsiaTheme="minorEastAsia"/>
          <w:color w:val="auto"/>
          <w:kern w:val="0"/>
          <w:sz w:val="24"/>
          <w:szCs w:val="24"/>
          <w:highlight w:val="none"/>
          <w:lang w:val="en-US" w:eastAsia="zh-CN"/>
        </w:rPr>
        <w:t>固化剂等</w:t>
      </w:r>
      <w:r>
        <w:rPr>
          <w:rFonts w:hint="default" w:ascii="Times New Roman" w:hAnsi="Times New Roman" w:cs="Times New Roman" w:eastAsiaTheme="minorEastAsia"/>
          <w:color w:val="auto"/>
          <w:kern w:val="0"/>
          <w:sz w:val="24"/>
          <w:szCs w:val="24"/>
          <w:highlight w:val="none"/>
        </w:rPr>
        <w:t>泄漏火灾爆炸</w:t>
      </w:r>
      <w:r>
        <w:rPr>
          <w:rFonts w:hint="eastAsia" w:ascii="Times New Roman" w:hAnsi="Times New Roman" w:cs="Times New Roman" w:eastAsiaTheme="minorEastAsia"/>
          <w:color w:val="auto"/>
          <w:kern w:val="0"/>
          <w:sz w:val="24"/>
          <w:szCs w:val="24"/>
          <w:highlight w:val="none"/>
          <w:lang w:val="en-US" w:eastAsia="zh-CN"/>
        </w:rPr>
        <w:t>事故、</w:t>
      </w:r>
      <w:r>
        <w:rPr>
          <w:rFonts w:hint="default" w:ascii="Times New Roman" w:hAnsi="Times New Roman" w:cs="Times New Roman" w:eastAsiaTheme="minorEastAsia"/>
          <w:color w:val="auto"/>
          <w:kern w:val="0"/>
          <w:sz w:val="24"/>
          <w:szCs w:val="24"/>
          <w:highlight w:val="none"/>
        </w:rPr>
        <w:t>废气</w:t>
      </w:r>
      <w:r>
        <w:rPr>
          <w:rFonts w:hint="eastAsia" w:ascii="Times New Roman" w:hAnsi="Times New Roman" w:cs="Times New Roman" w:eastAsiaTheme="minorEastAsia"/>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lang w:val="en-US" w:eastAsia="zh-CN"/>
        </w:rPr>
        <w:t>废水处理设施</w:t>
      </w:r>
      <w:r>
        <w:rPr>
          <w:rFonts w:hint="default" w:ascii="Times New Roman" w:hAnsi="Times New Roman" w:cs="Times New Roman" w:eastAsiaTheme="minorEastAsia"/>
          <w:color w:val="auto"/>
          <w:kern w:val="0"/>
          <w:sz w:val="24"/>
          <w:szCs w:val="24"/>
          <w:highlight w:val="none"/>
        </w:rPr>
        <w:t>非正常工况等事故。一般可根据事故造成的危害程度，将周围</w:t>
      </w:r>
      <w:r>
        <w:rPr>
          <w:rFonts w:hint="default" w:ascii="Times New Roman" w:hAnsi="Times New Roman" w:cs="Times New Roman" w:eastAsiaTheme="minorEastAsia"/>
          <w:color w:val="auto"/>
          <w:sz w:val="24"/>
          <w:szCs w:val="24"/>
          <w:highlight w:val="none"/>
        </w:rPr>
        <w:t>300</w:t>
      </w:r>
      <w:r>
        <w:rPr>
          <w:rFonts w:hint="default" w:ascii="Times New Roman" w:hAnsi="Times New Roman" w:cs="Times New Roman" w:eastAsiaTheme="minorEastAsia"/>
          <w:color w:val="auto"/>
          <w:kern w:val="0"/>
          <w:sz w:val="24"/>
          <w:szCs w:val="24"/>
          <w:highlight w:val="none"/>
        </w:rPr>
        <w:t>米范围内区域划分为危害边缘区。</w:t>
      </w:r>
    </w:p>
    <w:p w14:paraId="3767E1CE">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事故中心区：</w:t>
      </w:r>
      <w:r>
        <w:rPr>
          <w:rFonts w:hint="eastAsia" w:ascii="Times New Roman" w:hAnsi="Times New Roman" w:cs="Times New Roman" w:eastAsiaTheme="minorEastAsia"/>
          <w:color w:val="auto"/>
          <w:kern w:val="0"/>
          <w:sz w:val="24"/>
          <w:szCs w:val="24"/>
          <w:highlight w:val="none"/>
          <w:lang w:val="en-US" w:eastAsia="zh-CN"/>
        </w:rPr>
        <w:t>固化剂等</w:t>
      </w:r>
      <w:r>
        <w:rPr>
          <w:rFonts w:hint="default" w:ascii="Times New Roman" w:hAnsi="Times New Roman" w:cs="Times New Roman" w:eastAsiaTheme="minorEastAsia"/>
          <w:color w:val="auto"/>
          <w:kern w:val="0"/>
          <w:sz w:val="24"/>
          <w:szCs w:val="24"/>
          <w:highlight w:val="none"/>
        </w:rPr>
        <w:t>泄漏火灾爆炸事故/废气系统非正常工况时0-150m。此区域伴有爆炸、火灾发生，建筑物设施和设备的损坏的危险。</w:t>
      </w:r>
    </w:p>
    <w:p w14:paraId="50D7BF16">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事故波及区：厂区周边150-300米。该区域空气中造成作用时间长，有可能发生人员或物品的伤害和损坏，或者造成轻度中毒的危险。</w:t>
      </w:r>
    </w:p>
    <w:p w14:paraId="46DA9AEC">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受影响区：指事故波及区及区外可能受影响的区域。该区域可能又从事故中心区和波及区扩散的小计量</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危害。</w:t>
      </w:r>
    </w:p>
    <w:p w14:paraId="37BF2DAC">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为防止无关人员误入现场造成伤害，按危险区的设定，划定事故现场隔离区的范围。</w:t>
      </w:r>
    </w:p>
    <w:p w14:paraId="750110F3">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（2）危险区隔离程序</w:t>
      </w:r>
    </w:p>
    <w:p w14:paraId="1625EE47">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 1 \* GB3 </w:instrText>
      </w:r>
      <w:r>
        <w:rPr>
          <w:rFonts w:hint="default" w:ascii="Times New Roman" w:hAnsi="Times New Roman" w:cs="Times New Roman" w:eastAsiaTheme="minorEastAsia"/>
          <w:color w:val="auto"/>
          <w:kern w:val="0"/>
          <w:sz w:val="24"/>
          <w:szCs w:val="24"/>
          <w:highlight w:val="none"/>
        </w:rPr>
        <w:fldChar w:fldCharType="separate"/>
      </w:r>
      <w:r>
        <w:rPr>
          <w:rFonts w:hint="default" w:ascii="Times New Roman" w:hAnsi="Times New Roman" w:cs="Times New Roman" w:eastAsiaTheme="minorEastAsia"/>
          <w:color w:val="auto"/>
          <w:kern w:val="0"/>
          <w:sz w:val="24"/>
          <w:szCs w:val="24"/>
          <w:highlight w:val="none"/>
        </w:rPr>
        <w:t>①</w:t>
      </w:r>
      <w:r>
        <w:rPr>
          <w:rFonts w:hint="default" w:ascii="Times New Roman" w:hAnsi="Times New Roman" w:cs="Times New Roman" w:eastAsiaTheme="minorEastAsia"/>
          <w:color w:val="auto"/>
          <w:kern w:val="0"/>
          <w:sz w:val="24"/>
          <w:szCs w:val="24"/>
          <w:highlight w:val="none"/>
        </w:rPr>
        <w:fldChar w:fldCharType="end"/>
      </w:r>
      <w:r>
        <w:rPr>
          <w:rFonts w:hint="eastAsia" w:ascii="Times New Roman" w:hAnsi="Times New Roman" w:cs="Times New Roman" w:eastAsiaTheme="minorEastAsia"/>
          <w:color w:val="auto"/>
          <w:kern w:val="0"/>
          <w:sz w:val="24"/>
          <w:szCs w:val="24"/>
          <w:highlight w:val="none"/>
          <w:lang w:val="en-US" w:eastAsia="zh-CN"/>
        </w:rPr>
        <w:t>应急警戒</w:t>
      </w:r>
      <w:r>
        <w:rPr>
          <w:rFonts w:hint="default" w:ascii="Times New Roman" w:hAnsi="Times New Roman" w:cs="Times New Roman" w:eastAsiaTheme="minorEastAsia"/>
          <w:color w:val="auto"/>
          <w:kern w:val="0"/>
          <w:sz w:val="24"/>
          <w:szCs w:val="24"/>
          <w:highlight w:val="none"/>
        </w:rPr>
        <w:t>组在公司人员的配合下，封锁所有进入事故去的通道，非救援人员、车辆及物资严禁入内。</w:t>
      </w:r>
    </w:p>
    <w:p w14:paraId="20DF453E">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 2 \* GB3 </w:instrText>
      </w:r>
      <w:r>
        <w:rPr>
          <w:rFonts w:hint="default" w:ascii="Times New Roman" w:hAnsi="Times New Roman" w:cs="Times New Roman" w:eastAsiaTheme="minorEastAsia"/>
          <w:color w:val="auto"/>
          <w:kern w:val="0"/>
          <w:sz w:val="24"/>
          <w:szCs w:val="24"/>
          <w:highlight w:val="none"/>
        </w:rPr>
        <w:fldChar w:fldCharType="separate"/>
      </w:r>
      <w:r>
        <w:rPr>
          <w:rFonts w:hint="default" w:ascii="Times New Roman" w:hAnsi="Times New Roman" w:cs="Times New Roman" w:eastAsiaTheme="minorEastAsia"/>
          <w:color w:val="auto"/>
          <w:kern w:val="0"/>
          <w:sz w:val="24"/>
          <w:szCs w:val="24"/>
          <w:highlight w:val="none"/>
        </w:rPr>
        <w:t>②</w:t>
      </w:r>
      <w:r>
        <w:rPr>
          <w:rFonts w:hint="default" w:ascii="Times New Roman" w:hAnsi="Times New Roman" w:cs="Times New Roman" w:eastAsiaTheme="minorEastAsia"/>
          <w:color w:val="auto"/>
          <w:kern w:val="0"/>
          <w:sz w:val="24"/>
          <w:szCs w:val="24"/>
          <w:highlight w:val="none"/>
        </w:rPr>
        <w:fldChar w:fldCharType="end"/>
      </w:r>
      <w:r>
        <w:rPr>
          <w:rFonts w:hint="default" w:ascii="Times New Roman" w:hAnsi="Times New Roman" w:cs="Times New Roman" w:eastAsiaTheme="minorEastAsia"/>
          <w:color w:val="auto"/>
          <w:kern w:val="0"/>
          <w:sz w:val="24"/>
          <w:szCs w:val="24"/>
          <w:highlight w:val="none"/>
        </w:rPr>
        <w:t>疏散组采用小红旗或用警戒线划定明显的隔离区域和人员通行撤离标志。</w:t>
      </w:r>
    </w:p>
    <w:p w14:paraId="6C0372A5">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 3 \* GB3 </w:instrText>
      </w:r>
      <w:r>
        <w:rPr>
          <w:rFonts w:hint="default" w:ascii="Times New Roman" w:hAnsi="Times New Roman" w:cs="Times New Roman" w:eastAsiaTheme="minorEastAsia"/>
          <w:color w:val="auto"/>
          <w:kern w:val="0"/>
          <w:sz w:val="24"/>
          <w:szCs w:val="24"/>
          <w:highlight w:val="none"/>
        </w:rPr>
        <w:fldChar w:fldCharType="separate"/>
      </w:r>
      <w:r>
        <w:rPr>
          <w:rFonts w:hint="default" w:ascii="Times New Roman" w:hAnsi="Times New Roman" w:cs="Times New Roman" w:eastAsiaTheme="minorEastAsia"/>
          <w:color w:val="auto"/>
          <w:kern w:val="0"/>
          <w:sz w:val="24"/>
          <w:szCs w:val="24"/>
          <w:highlight w:val="none"/>
        </w:rPr>
        <w:t>③</w:t>
      </w:r>
      <w:r>
        <w:rPr>
          <w:rFonts w:hint="default" w:ascii="Times New Roman" w:hAnsi="Times New Roman" w:cs="Times New Roman" w:eastAsiaTheme="minorEastAsia"/>
          <w:color w:val="auto"/>
          <w:kern w:val="0"/>
          <w:sz w:val="24"/>
          <w:szCs w:val="24"/>
          <w:highlight w:val="none"/>
        </w:rPr>
        <w:fldChar w:fldCharType="end"/>
      </w:r>
      <w:r>
        <w:rPr>
          <w:rFonts w:hint="default" w:ascii="Times New Roman" w:hAnsi="Times New Roman" w:cs="Times New Roman" w:eastAsiaTheme="minorEastAsia"/>
          <w:color w:val="auto"/>
          <w:kern w:val="0"/>
          <w:sz w:val="24"/>
          <w:szCs w:val="24"/>
          <w:highlight w:val="none"/>
        </w:rPr>
        <w:t>启动Ⅰ级响应时根据需要请求公安局支援配合。</w:t>
      </w:r>
    </w:p>
    <w:p w14:paraId="4AD35E8E">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77" w:name="_Toc32102"/>
      <w:bookmarkStart w:id="478" w:name="_Toc1207"/>
      <w:bookmarkStart w:id="479" w:name="_Toc22587"/>
      <w:bookmarkStart w:id="480" w:name="_Toc408557362"/>
      <w:bookmarkStart w:id="481" w:name="_Toc14248"/>
      <w:bookmarkStart w:id="482" w:name="_Toc496887045"/>
      <w:bookmarkStart w:id="483" w:name="_Toc2549"/>
      <w:bookmarkStart w:id="484" w:name="_Toc19501"/>
      <w:r>
        <w:rPr>
          <w:rFonts w:hint="default" w:ascii="Times New Roman" w:hAnsi="Times New Roman" w:cs="Times New Roman" w:eastAsiaTheme="minorEastAsia"/>
          <w:color w:val="auto"/>
          <w:sz w:val="24"/>
          <w:szCs w:val="24"/>
          <w:highlight w:val="none"/>
        </w:rPr>
        <w:t>6.3.4 污染事件保护目标的应急措施</w:t>
      </w:r>
      <w:bookmarkEnd w:id="477"/>
      <w:bookmarkEnd w:id="478"/>
      <w:bookmarkEnd w:id="479"/>
      <w:bookmarkEnd w:id="480"/>
      <w:bookmarkEnd w:id="481"/>
      <w:bookmarkEnd w:id="482"/>
      <w:bookmarkEnd w:id="483"/>
      <w:bookmarkEnd w:id="484"/>
    </w:p>
    <w:p w14:paraId="3EC2CEEB">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485" w:name="_Toc7566"/>
      <w:bookmarkStart w:id="486" w:name="_Toc21262"/>
      <w:bookmarkStart w:id="487" w:name="_Toc5612"/>
      <w:bookmarkStart w:id="488" w:name="_Toc9480"/>
      <w:bookmarkStart w:id="489" w:name="_Toc496887044"/>
      <w:bookmarkStart w:id="490" w:name="_Toc13611"/>
      <w:bookmarkStart w:id="491" w:name="_Toc22706"/>
      <w:r>
        <w:rPr>
          <w:rFonts w:hint="default" w:ascii="Times New Roman" w:hAnsi="Times New Roman" w:cs="Times New Roman" w:eastAsiaTheme="minorEastAsia"/>
          <w:color w:val="auto"/>
          <w:sz w:val="24"/>
          <w:szCs w:val="24"/>
          <w:highlight w:val="none"/>
          <w:lang w:val="zh-CN"/>
        </w:rPr>
        <w:t>6.3.4.1</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lang w:val="zh-CN"/>
        </w:rPr>
        <w:t>火灾</w:t>
      </w:r>
      <w:r>
        <w:rPr>
          <w:rFonts w:hint="eastAsia" w:ascii="Times New Roman" w:hAnsi="Times New Roman" w:cs="Times New Roman"/>
          <w:color w:val="auto"/>
          <w:sz w:val="24"/>
          <w:szCs w:val="24"/>
          <w:highlight w:val="none"/>
          <w:lang w:val="en-US" w:eastAsia="zh-CN"/>
        </w:rPr>
        <w:t>事故的</w:t>
      </w:r>
      <w:r>
        <w:rPr>
          <w:rFonts w:hint="default" w:ascii="Times New Roman" w:hAnsi="Times New Roman" w:cs="Times New Roman" w:eastAsiaTheme="minorEastAsia"/>
          <w:color w:val="auto"/>
          <w:sz w:val="24"/>
          <w:szCs w:val="24"/>
          <w:highlight w:val="none"/>
          <w:lang w:val="zh-CN"/>
        </w:rPr>
        <w:t>应急措施</w:t>
      </w:r>
      <w:bookmarkEnd w:id="485"/>
      <w:bookmarkEnd w:id="486"/>
      <w:bookmarkEnd w:id="487"/>
      <w:bookmarkEnd w:id="488"/>
      <w:bookmarkEnd w:id="489"/>
      <w:bookmarkEnd w:id="490"/>
      <w:bookmarkEnd w:id="491"/>
    </w:p>
    <w:p w14:paraId="3DEBF92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①假如发现发生火情，最早发现者应立即报告当班调度或公司领导。公司领导接报后，立即通知公司各应急小组成员赶赴现场。</w:t>
      </w:r>
      <w:r>
        <w:rPr>
          <w:rFonts w:hint="eastAsia" w:ascii="Times New Roman" w:hAnsi="Times New Roman" w:cs="Times New Roman" w:eastAsiaTheme="minorEastAsia"/>
          <w:color w:val="auto"/>
          <w:sz w:val="24"/>
          <w:szCs w:val="24"/>
          <w:highlight w:val="none"/>
          <w:lang w:val="en-US" w:eastAsia="zh-CN"/>
        </w:rPr>
        <w:t>应急处置组</w:t>
      </w:r>
      <w:r>
        <w:rPr>
          <w:rFonts w:hint="default" w:ascii="Times New Roman" w:hAnsi="Times New Roman" w:cs="Times New Roman" w:eastAsiaTheme="minorEastAsia"/>
          <w:color w:val="auto"/>
          <w:sz w:val="24"/>
          <w:szCs w:val="24"/>
          <w:highlight w:val="none"/>
        </w:rPr>
        <w:t>成员到达现场后，进行火情侦查，确定有无人员被困，灭火前做好关闭雨水闸控，开启</w:t>
      </w:r>
      <w:r>
        <w:rPr>
          <w:rFonts w:hint="eastAsia" w:ascii="Times New Roman" w:hAnsi="Times New Roman" w:cs="Times New Roman" w:eastAsiaTheme="minorEastAsia"/>
          <w:color w:val="auto"/>
          <w:sz w:val="24"/>
          <w:szCs w:val="24"/>
          <w:highlight w:val="none"/>
          <w:lang w:val="en-US" w:eastAsia="zh-CN"/>
        </w:rPr>
        <w:t>厂区</w:t>
      </w:r>
      <w:r>
        <w:rPr>
          <w:rFonts w:hint="default" w:ascii="Times New Roman" w:hAnsi="Times New Roman" w:cs="Times New Roman" w:eastAsiaTheme="minorEastAsia"/>
          <w:color w:val="auto"/>
          <w:sz w:val="24"/>
          <w:szCs w:val="24"/>
          <w:highlight w:val="none"/>
        </w:rPr>
        <w:t>事故应急池闸控工作。</w:t>
      </w:r>
      <w:r>
        <w:rPr>
          <w:rFonts w:hint="eastAsia" w:ascii="Times New Roman" w:hAnsi="Times New Roman" w:cs="Times New Roman" w:eastAsiaTheme="minorEastAsia"/>
          <w:color w:val="auto"/>
          <w:sz w:val="24"/>
          <w:szCs w:val="24"/>
          <w:highlight w:val="none"/>
          <w:lang w:val="en-US" w:eastAsia="zh-CN"/>
        </w:rPr>
        <w:t>应急处置组</w:t>
      </w:r>
      <w:r>
        <w:rPr>
          <w:rFonts w:hint="default" w:ascii="Times New Roman" w:hAnsi="Times New Roman" w:cs="Times New Roman" w:eastAsiaTheme="minorEastAsia"/>
          <w:color w:val="auto"/>
          <w:sz w:val="24"/>
          <w:szCs w:val="24"/>
          <w:highlight w:val="none"/>
        </w:rPr>
        <w:t>人员戴正压式呼吸器，防毒面具，穿</w:t>
      </w:r>
      <w:r>
        <w:rPr>
          <w:rFonts w:hint="eastAsia" w:ascii="Times New Roman" w:hAnsi="Times New Roman" w:cs="Times New Roman" w:eastAsiaTheme="minorEastAsia"/>
          <w:color w:val="auto"/>
          <w:sz w:val="24"/>
          <w:szCs w:val="24"/>
          <w:highlight w:val="none"/>
          <w:lang w:val="en-US" w:eastAsia="zh-CN"/>
        </w:rPr>
        <w:t>消防服</w:t>
      </w:r>
      <w:r>
        <w:rPr>
          <w:rFonts w:hint="default" w:ascii="Times New Roman" w:hAnsi="Times New Roman" w:cs="Times New Roman" w:eastAsiaTheme="minorEastAsia"/>
          <w:color w:val="auto"/>
          <w:sz w:val="24"/>
          <w:szCs w:val="24"/>
          <w:highlight w:val="none"/>
        </w:rPr>
        <w:t>，戴</w:t>
      </w:r>
      <w:r>
        <w:rPr>
          <w:rFonts w:hint="eastAsia" w:ascii="Times New Roman" w:hAnsi="Times New Roman" w:cs="Times New Roman" w:eastAsiaTheme="minorEastAsia"/>
          <w:color w:val="auto"/>
          <w:sz w:val="24"/>
          <w:szCs w:val="24"/>
          <w:highlight w:val="none"/>
          <w:lang w:eastAsia="zh-CN"/>
        </w:rPr>
        <w:t>防护手套</w:t>
      </w:r>
      <w:r>
        <w:rPr>
          <w:rFonts w:hint="default" w:ascii="Times New Roman" w:hAnsi="Times New Roman" w:cs="Times New Roman" w:eastAsiaTheme="minorEastAsia"/>
          <w:color w:val="auto"/>
          <w:sz w:val="24"/>
          <w:szCs w:val="24"/>
          <w:highlight w:val="none"/>
        </w:rPr>
        <w:t>，使用生产现场配置的灭火设备，扑灭初期火灾；为防止火势蔓延，在保证生产安全情况下，关停生产设备，拉下电闸。</w:t>
      </w:r>
    </w:p>
    <w:p w14:paraId="6C28B90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②现场管理人员要立即指挥员工搬离火场附近的可燃物，避免火灾区域扩大。</w:t>
      </w:r>
      <w:r>
        <w:rPr>
          <w:rFonts w:hint="eastAsia" w:ascii="Times New Roman" w:hAnsi="Times New Roman" w:cs="Times New Roman" w:eastAsiaTheme="minorEastAsia"/>
          <w:color w:val="auto"/>
          <w:sz w:val="24"/>
          <w:szCs w:val="24"/>
          <w:highlight w:val="none"/>
          <w:lang w:eastAsia="zh-CN"/>
        </w:rPr>
        <w:t>应急保障组</w:t>
      </w:r>
      <w:r>
        <w:rPr>
          <w:rFonts w:hint="default" w:ascii="Times New Roman" w:hAnsi="Times New Roman" w:cs="Times New Roman" w:eastAsiaTheme="minorEastAsia"/>
          <w:color w:val="auto"/>
          <w:sz w:val="24"/>
          <w:szCs w:val="24"/>
          <w:highlight w:val="none"/>
        </w:rPr>
        <w:t>确定水源位置，搞好火场供水。划定警戒区域，实行交通管制，组织有关人员对事故区域进行保护。及时指挥、引导员工按预定的线路、方法疏散，撤离事故区域，抢救围观群众和被困人员，疏通事发现场道路，保证救援工作顺利进行。</w:t>
      </w:r>
    </w:p>
    <w:p w14:paraId="73A2D2F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③如火势有可能蔓延，提高预警级别，按本预案程序对周围单位和政府发出预警信息。一旦本公司力量不足以控制火势时，</w:t>
      </w:r>
      <w:r>
        <w:rPr>
          <w:rFonts w:hint="eastAsia" w:ascii="Times New Roman" w:hAnsi="Times New Roman" w:cs="Times New Roman" w:eastAsiaTheme="minorEastAsia"/>
          <w:color w:val="auto"/>
          <w:sz w:val="24"/>
          <w:szCs w:val="24"/>
          <w:highlight w:val="none"/>
          <w:lang w:val="en-US" w:eastAsia="zh-CN"/>
        </w:rPr>
        <w:t>总经理</w:t>
      </w:r>
      <w:r>
        <w:rPr>
          <w:rFonts w:hint="default" w:ascii="Times New Roman" w:hAnsi="Times New Roman" w:cs="Times New Roman" w:eastAsiaTheme="minorEastAsia"/>
          <w:color w:val="auto"/>
          <w:sz w:val="24"/>
          <w:szCs w:val="24"/>
          <w:highlight w:val="none"/>
        </w:rPr>
        <w:t>下令全公司全部停止，将所有人员疏散到厂区外安全地带，并进行隔离，严格限制出入，等待救援。当事件已经或可能对公司外环境造成影响时，应由</w:t>
      </w:r>
      <w:r>
        <w:rPr>
          <w:rFonts w:hint="eastAsia" w:ascii="Times New Roman" w:hAnsi="Times New Roman" w:cs="Times New Roman" w:eastAsiaTheme="minorEastAsia"/>
          <w:color w:val="auto"/>
          <w:sz w:val="24"/>
          <w:szCs w:val="24"/>
          <w:highlight w:val="none"/>
          <w:lang w:val="en-US" w:eastAsia="zh-CN"/>
        </w:rPr>
        <w:t>企业向社会</w:t>
      </w:r>
      <w:r>
        <w:rPr>
          <w:rFonts w:hint="default" w:ascii="Times New Roman" w:hAnsi="Times New Roman" w:cs="Times New Roman" w:eastAsiaTheme="minorEastAsia"/>
          <w:color w:val="auto"/>
          <w:sz w:val="24"/>
          <w:szCs w:val="24"/>
          <w:highlight w:val="none"/>
        </w:rPr>
        <w:t>通过电话、</w:t>
      </w:r>
      <w:r>
        <w:rPr>
          <w:rFonts w:hint="eastAsia" w:ascii="Times New Roman" w:hAnsi="Times New Roman" w:cs="Times New Roman" w:eastAsiaTheme="minorEastAsia"/>
          <w:color w:val="auto"/>
          <w:sz w:val="24"/>
          <w:szCs w:val="24"/>
          <w:highlight w:val="none"/>
          <w:lang w:val="en-US" w:eastAsia="zh-CN"/>
        </w:rPr>
        <w:t>传真、</w:t>
      </w:r>
      <w:r>
        <w:rPr>
          <w:rFonts w:hint="default" w:ascii="Times New Roman" w:hAnsi="Times New Roman" w:cs="Times New Roman" w:eastAsiaTheme="minorEastAsia"/>
          <w:color w:val="auto"/>
          <w:sz w:val="24"/>
          <w:szCs w:val="24"/>
          <w:highlight w:val="none"/>
        </w:rPr>
        <w:t>公示等形式向环境突发事件可能影响的区域</w:t>
      </w:r>
      <w:r>
        <w:rPr>
          <w:rFonts w:hint="eastAsia" w:ascii="Times New Roman" w:hAnsi="Times New Roman" w:cs="Times New Roman" w:eastAsiaTheme="minorEastAsia"/>
          <w:color w:val="auto"/>
          <w:sz w:val="24"/>
          <w:szCs w:val="24"/>
          <w:highlight w:val="none"/>
          <w:lang w:val="en-US" w:eastAsia="zh-CN"/>
        </w:rPr>
        <w:t>通告</w:t>
      </w:r>
      <w:r>
        <w:rPr>
          <w:rFonts w:hint="default" w:ascii="Times New Roman" w:hAnsi="Times New Roman" w:cs="Times New Roman" w:eastAsiaTheme="minorEastAsia"/>
          <w:color w:val="auto"/>
          <w:sz w:val="24"/>
          <w:szCs w:val="24"/>
          <w:highlight w:val="none"/>
        </w:rPr>
        <w:t xml:space="preserve">突发事件的情况，包括事件的产生、处理情况，对周围群众可能造成的影响，并给出合适的建议来确保周围群众的安全。 </w:t>
      </w:r>
    </w:p>
    <w:p w14:paraId="39690C2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一般的小火灾，利用现场灭火器材可以扑灭，其产生的污染较小，对外环境的影响不需考虑。当请求外部救援灭火时，应及时堵住雨水排口，防止废物排出厂外。发生火灾时，避免用大量水灭火，应使用泡沫、二氧化碳干粉、</w:t>
      </w:r>
      <w:r>
        <w:rPr>
          <w:rFonts w:hint="eastAsia" w:ascii="Times New Roman" w:hAnsi="Times New Roman" w:cs="Times New Roman" w:eastAsiaTheme="minorEastAsia"/>
          <w:color w:val="auto"/>
          <w:sz w:val="24"/>
          <w:szCs w:val="24"/>
          <w:highlight w:val="none"/>
          <w:lang w:eastAsia="zh-CN"/>
        </w:rPr>
        <w:t>沙</w:t>
      </w:r>
      <w:r>
        <w:rPr>
          <w:rFonts w:hint="default" w:ascii="Times New Roman" w:hAnsi="Times New Roman" w:cs="Times New Roman" w:eastAsiaTheme="minorEastAsia"/>
          <w:color w:val="auto"/>
          <w:sz w:val="24"/>
          <w:szCs w:val="24"/>
          <w:highlight w:val="none"/>
        </w:rPr>
        <w:t>土等进行灭火，防止火灾影响范围扩大。</w:t>
      </w:r>
    </w:p>
    <w:p w14:paraId="5D3AF18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⑤灭火过程产生的废物，如受污染的</w:t>
      </w:r>
      <w:r>
        <w:rPr>
          <w:rFonts w:hint="eastAsia" w:ascii="Times New Roman" w:hAnsi="Times New Roman" w:cs="Times New Roman" w:eastAsiaTheme="minorEastAsia"/>
          <w:color w:val="auto"/>
          <w:sz w:val="24"/>
          <w:szCs w:val="24"/>
          <w:highlight w:val="none"/>
          <w:lang w:eastAsia="zh-CN"/>
        </w:rPr>
        <w:t>沙</w:t>
      </w:r>
      <w:r>
        <w:rPr>
          <w:rFonts w:hint="default" w:ascii="Times New Roman" w:hAnsi="Times New Roman" w:cs="Times New Roman" w:eastAsiaTheme="minorEastAsia"/>
          <w:color w:val="auto"/>
          <w:sz w:val="24"/>
          <w:szCs w:val="24"/>
          <w:highlight w:val="none"/>
        </w:rPr>
        <w:t>土等应收集送资质单位处置。</w:t>
      </w:r>
      <w:r>
        <w:rPr>
          <w:rFonts w:hint="eastAsia" w:ascii="Times New Roman" w:hAnsi="Times New Roman" w:cs="Times New Roman" w:eastAsiaTheme="minorEastAsia"/>
          <w:color w:val="auto"/>
          <w:sz w:val="24"/>
          <w:szCs w:val="24"/>
          <w:highlight w:val="none"/>
          <w:lang w:eastAsia="zh-CN"/>
        </w:rPr>
        <w:t>消防水</w:t>
      </w:r>
      <w:r>
        <w:rPr>
          <w:rFonts w:hint="default" w:ascii="Times New Roman" w:hAnsi="Times New Roman" w:cs="Times New Roman" w:eastAsiaTheme="minorEastAsia"/>
          <w:color w:val="auto"/>
          <w:sz w:val="24"/>
          <w:szCs w:val="24"/>
          <w:highlight w:val="none"/>
        </w:rPr>
        <w:t>经雨水管网排入厂内事故应急池，再分批进行处置。</w:t>
      </w:r>
    </w:p>
    <w:p w14:paraId="7E227AD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⑥灭火工作应采取“先控制、后消灭”的原则，集中力量切断火势蔓延途径，将火势控制在一定的范围内，防止火势向主生产区、主生产设备、易燃易爆物品、人员集中场所、重要建筑等蔓延</w:t>
      </w:r>
      <w:r>
        <w:rPr>
          <w:rFonts w:hint="eastAsia" w:ascii="Times New Roman" w:hAnsi="Times New Roman" w:cs="Times New Roman" w:eastAsiaTheme="minorEastAsia"/>
          <w:color w:val="auto"/>
          <w:sz w:val="24"/>
          <w:szCs w:val="24"/>
          <w:highlight w:val="none"/>
          <w:lang w:eastAsia="zh-CN"/>
        </w:rPr>
        <w:t>。</w:t>
      </w:r>
    </w:p>
    <w:p w14:paraId="18C6E65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⑦</w:t>
      </w:r>
      <w:r>
        <w:rPr>
          <w:rFonts w:hint="default" w:ascii="Times New Roman" w:hAnsi="Times New Roman" w:cs="Times New Roman" w:eastAsiaTheme="minorEastAsia"/>
          <w:color w:val="auto"/>
          <w:sz w:val="24"/>
          <w:szCs w:val="24"/>
          <w:highlight w:val="none"/>
        </w:rPr>
        <w:t>发生火灾后</w:t>
      </w:r>
      <w:r>
        <w:rPr>
          <w:rFonts w:hint="eastAsia" w:ascii="Times New Roman" w:hAnsi="Times New Roman" w:cs="Times New Roman" w:eastAsiaTheme="minorEastAsia"/>
          <w:color w:val="auto"/>
          <w:sz w:val="24"/>
          <w:szCs w:val="24"/>
          <w:highlight w:val="none"/>
          <w:lang w:eastAsia="zh-CN"/>
        </w:rPr>
        <w:t>消防水</w:t>
      </w:r>
      <w:r>
        <w:rPr>
          <w:rFonts w:hint="default" w:ascii="Times New Roman" w:hAnsi="Times New Roman" w:cs="Times New Roman" w:eastAsiaTheme="minorEastAsia"/>
          <w:color w:val="auto"/>
          <w:sz w:val="24"/>
          <w:szCs w:val="24"/>
          <w:highlight w:val="none"/>
        </w:rPr>
        <w:t>通过雨水管网进入</w:t>
      </w:r>
      <w:r>
        <w:rPr>
          <w:rFonts w:hint="eastAsia" w:ascii="Times New Roman" w:hAnsi="Times New Roman" w:cs="Times New Roman" w:eastAsiaTheme="minorEastAsia"/>
          <w:color w:val="auto"/>
          <w:sz w:val="24"/>
          <w:szCs w:val="24"/>
          <w:highlight w:val="none"/>
          <w:lang w:val="en-US" w:eastAsia="zh-CN"/>
        </w:rPr>
        <w:t>事故应急池</w:t>
      </w:r>
      <w:r>
        <w:rPr>
          <w:rFonts w:hint="default" w:ascii="Times New Roman" w:hAnsi="Times New Roman" w:cs="Times New Roman" w:eastAsiaTheme="minorEastAsia"/>
          <w:color w:val="auto"/>
          <w:sz w:val="24"/>
          <w:szCs w:val="24"/>
          <w:highlight w:val="none"/>
        </w:rPr>
        <w:t>，事后委托有资质的单位处理，处理达标后排放，对外环境污染较小，对外环境的影响不考虑。</w:t>
      </w:r>
    </w:p>
    <w:p w14:paraId="5140BC0C">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492" w:name="_Toc4673"/>
      <w:bookmarkStart w:id="493" w:name="_Toc13547"/>
      <w:bookmarkStart w:id="494" w:name="_Toc6597"/>
      <w:bookmarkStart w:id="495" w:name="_Toc7485"/>
      <w:r>
        <w:rPr>
          <w:rFonts w:hint="eastAsia" w:ascii="Times New Roman" w:hAnsi="Times New Roman" w:cs="Times New Roman" w:eastAsiaTheme="minorEastAsia"/>
          <w:color w:val="auto"/>
          <w:sz w:val="24"/>
          <w:szCs w:val="24"/>
          <w:highlight w:val="none"/>
          <w:lang w:val="en-US" w:eastAsia="zh-CN"/>
        </w:rPr>
        <w:t xml:space="preserve">6.3.4.2 </w:t>
      </w:r>
      <w:r>
        <w:rPr>
          <w:rFonts w:hint="default" w:ascii="Times New Roman" w:hAnsi="Times New Roman" w:cs="Times New Roman" w:eastAsiaTheme="minorEastAsia"/>
          <w:color w:val="auto"/>
          <w:sz w:val="24"/>
          <w:szCs w:val="24"/>
          <w:highlight w:val="none"/>
          <w:lang w:val="zh-CN"/>
        </w:rPr>
        <w:t>大气污染事件保护目标的应急措施</w:t>
      </w:r>
      <w:bookmarkEnd w:id="492"/>
      <w:bookmarkEnd w:id="493"/>
      <w:bookmarkEnd w:id="494"/>
      <w:bookmarkEnd w:id="495"/>
    </w:p>
    <w:p w14:paraId="55F685E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①发生事故时，首先是救治中毒人员、疏散群众，向周边事故影响单位、社区通报事故及影响，说明疏散的有关事项及方向；发生重大环境事件时，可能危及周边区域的单位、社会安全时，领导组应与政府有关部门联系，配合政府领导人员疏散至安全地点。</w:t>
      </w:r>
    </w:p>
    <w:p w14:paraId="195055C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sz w:val="24"/>
          <w:szCs w:val="24"/>
          <w:highlight w:val="none"/>
        </w:rPr>
        <w:t>②</w:t>
      </w:r>
      <w:r>
        <w:rPr>
          <w:rFonts w:hint="default" w:ascii="Times New Roman" w:hAnsi="Times New Roman" w:cs="Times New Roman" w:eastAsiaTheme="minorEastAsia"/>
          <w:color w:val="auto"/>
          <w:kern w:val="0"/>
          <w:sz w:val="24"/>
          <w:szCs w:val="24"/>
          <w:highlight w:val="none"/>
        </w:rPr>
        <w:t>由公司应急处置人员和专业人员联手，穿好</w:t>
      </w:r>
      <w:r>
        <w:rPr>
          <w:rFonts w:hint="eastAsia" w:ascii="Times New Roman" w:hAnsi="Times New Roman" w:cs="Times New Roman" w:eastAsiaTheme="minorEastAsia"/>
          <w:color w:val="auto"/>
          <w:kern w:val="0"/>
          <w:sz w:val="24"/>
          <w:szCs w:val="24"/>
          <w:highlight w:val="none"/>
          <w:lang w:eastAsia="zh-CN"/>
        </w:rPr>
        <w:t>消防服</w:t>
      </w:r>
      <w:r>
        <w:rPr>
          <w:rFonts w:hint="default" w:ascii="Times New Roman" w:hAnsi="Times New Roman" w:cs="Times New Roman" w:eastAsiaTheme="minorEastAsia"/>
          <w:color w:val="auto"/>
          <w:kern w:val="0"/>
          <w:sz w:val="24"/>
          <w:szCs w:val="24"/>
          <w:highlight w:val="none"/>
        </w:rPr>
        <w:t>，佩戴防毒面具，隔离事故现场。</w:t>
      </w:r>
    </w:p>
    <w:p w14:paraId="74F3671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③根据事态的严重程度安排该区域的人员疏散，同时划定隔离区。</w:t>
      </w:r>
    </w:p>
    <w:p w14:paraId="0B58F0B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kern w:val="0"/>
          <w:sz w:val="24"/>
          <w:szCs w:val="24"/>
          <w:highlight w:val="none"/>
        </w:rPr>
        <w:t>④</w:t>
      </w:r>
      <w:r>
        <w:rPr>
          <w:rFonts w:hint="default" w:ascii="Times New Roman" w:hAnsi="Times New Roman" w:cs="Times New Roman" w:eastAsiaTheme="minorEastAsia"/>
          <w:color w:val="auto"/>
          <w:sz w:val="24"/>
          <w:szCs w:val="24"/>
          <w:highlight w:val="none"/>
        </w:rPr>
        <w:t>受影响区域人群疏散方式</w:t>
      </w:r>
    </w:p>
    <w:p w14:paraId="3181319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当环境事件发生后严重影响到了厂内以及周边工厂员工的生命安全时，应当组织人员疏散，疏散时，遵循以下原则：</w:t>
      </w:r>
    </w:p>
    <w:p w14:paraId="02D7269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保证疏散指示标志明显，应急疏散通道出口通畅，应急照明灯能正常使用。</w:t>
      </w:r>
    </w:p>
    <w:p w14:paraId="202F066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明确疏散计划，由</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发出疏散命令后，由</w:t>
      </w:r>
      <w:r>
        <w:rPr>
          <w:rFonts w:hint="eastAsia" w:ascii="Times New Roman" w:hAnsi="Times New Roman" w:cs="Times New Roman" w:eastAsiaTheme="minorEastAsia"/>
          <w:color w:val="auto"/>
          <w:sz w:val="24"/>
          <w:szCs w:val="24"/>
          <w:highlight w:val="none"/>
          <w:lang w:val="en-US" w:eastAsia="zh-CN"/>
        </w:rPr>
        <w:t>通讯联络组</w:t>
      </w:r>
      <w:r>
        <w:rPr>
          <w:rFonts w:hint="default" w:ascii="Times New Roman" w:hAnsi="Times New Roman" w:cs="Times New Roman" w:eastAsiaTheme="minorEastAsia"/>
          <w:color w:val="auto"/>
          <w:sz w:val="24"/>
          <w:szCs w:val="24"/>
          <w:highlight w:val="none"/>
        </w:rPr>
        <w:t>作为疏散组，疏散组按负责部位进入指定位置，立即组织人员疏散。</w:t>
      </w:r>
    </w:p>
    <w:p w14:paraId="34D6663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疏散组用最快速度通知现场人员，按疏散的通道方向进行疏散。</w:t>
      </w:r>
    </w:p>
    <w:p w14:paraId="0DEBE4B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积极配合好有关部门（公安消防队）进行疏散工作，主动汇报事故现场情况。</w:t>
      </w:r>
    </w:p>
    <w:p w14:paraId="50D62FE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事故现场有被困人员时，疏导人员应劝导被困人员，服从指挥，做到有组织、有秩序地疏散。</w:t>
      </w:r>
    </w:p>
    <w:p w14:paraId="3DE6D79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正确通报、防止混乱。疏导人员首先通知事故现场附近人员先疏散出去，然后视情况公开通报，告诉其他区域人员进行有序疏散，防止不分先后，发生拥挤影响顺利疏散。</w:t>
      </w:r>
    </w:p>
    <w:p w14:paraId="2CD452A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口头引导疏散。疏导人员要用镇定的语气，呼喊、劝说人们消除恐惧心里，稳定情绪，使大家能够积极配合进行疏散。</w:t>
      </w:r>
    </w:p>
    <w:p w14:paraId="2115AA0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事故现场直接威胁人员安全，疏散组人员采取必要的手段强制疏导，防止出现伤亡事故。在疏散通道的拐弯、叉道等容易走错方向的地方设疏导人员，提示疏散方向，防止误入死胡同或进入危险区域。</w:t>
      </w:r>
    </w:p>
    <w:p w14:paraId="277A7E3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对疏散出的人员，要加强脱险后的管理，防止脱险人员对财产和未撤离危险区的工友生命担心而重新返回事故现场。必要时，在进入危险区域的关键部位配备警戒人员。</w:t>
      </w:r>
    </w:p>
    <w:p w14:paraId="622AADB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rPr>
        <w:t>专业救援队伍到达现场后，疏导人员若知晓内部被困人员，要迅速报告，介绍被困人员方位、数量。</w:t>
      </w:r>
    </w:p>
    <w:p w14:paraId="70C7E201">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496" w:name="_Toc5100"/>
      <w:bookmarkStart w:id="497" w:name="_Toc102"/>
      <w:bookmarkStart w:id="498" w:name="_Toc9088"/>
      <w:bookmarkStart w:id="499" w:name="_Toc22305"/>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3</w:t>
      </w:r>
      <w:r>
        <w:rPr>
          <w:rFonts w:hint="eastAsia" w:ascii="Times New Roman" w:hAnsi="Times New Roman" w:cs="Times New Roman" w:eastAsiaTheme="minorEastAsia"/>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水</w:t>
      </w:r>
      <w:r>
        <w:rPr>
          <w:rFonts w:hint="default" w:ascii="Times New Roman" w:hAnsi="Times New Roman" w:cs="Times New Roman" w:eastAsiaTheme="minorEastAsia"/>
          <w:color w:val="auto"/>
          <w:sz w:val="24"/>
          <w:szCs w:val="24"/>
          <w:highlight w:val="none"/>
          <w:lang w:val="zh-CN"/>
        </w:rPr>
        <w:t>污染事件保护目标的应急措施</w:t>
      </w:r>
      <w:bookmarkEnd w:id="496"/>
      <w:bookmarkEnd w:id="497"/>
      <w:bookmarkEnd w:id="498"/>
      <w:bookmarkEnd w:id="499"/>
    </w:p>
    <w:p w14:paraId="187C318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若事故废水</w:t>
      </w:r>
      <w:r>
        <w:rPr>
          <w:rFonts w:hint="default" w:ascii="Times New Roman" w:hAnsi="Times New Roman" w:cs="Times New Roman" w:eastAsiaTheme="minorEastAsia"/>
          <w:color w:val="auto"/>
          <w:sz w:val="24"/>
          <w:szCs w:val="24"/>
          <w:highlight w:val="none"/>
        </w:rPr>
        <w:t>通过</w:t>
      </w:r>
      <w:r>
        <w:rPr>
          <w:rFonts w:hint="eastAsia" w:ascii="Times New Roman" w:hAnsi="Times New Roman" w:cs="Times New Roman" w:eastAsiaTheme="minorEastAsia"/>
          <w:color w:val="auto"/>
          <w:sz w:val="24"/>
          <w:szCs w:val="24"/>
          <w:highlight w:val="none"/>
          <w:lang w:val="en-US" w:eastAsia="zh-CN"/>
        </w:rPr>
        <w:t>雨水</w:t>
      </w:r>
      <w:r>
        <w:rPr>
          <w:rFonts w:hint="default" w:ascii="Times New Roman" w:hAnsi="Times New Roman" w:cs="Times New Roman" w:eastAsiaTheme="minorEastAsia"/>
          <w:color w:val="auto"/>
          <w:sz w:val="24"/>
          <w:szCs w:val="24"/>
          <w:highlight w:val="none"/>
        </w:rPr>
        <w:t>排口直接进入</w:t>
      </w:r>
      <w:r>
        <w:rPr>
          <w:rFonts w:hint="eastAsia" w:ascii="Times New Roman" w:hAnsi="Times New Roman" w:cs="Times New Roman" w:eastAsiaTheme="minorEastAsia"/>
          <w:color w:val="auto"/>
          <w:sz w:val="24"/>
          <w:szCs w:val="24"/>
          <w:highlight w:val="none"/>
          <w:lang w:val="en-US" w:eastAsia="zh-CN"/>
        </w:rPr>
        <w:t>老北凌</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应当立即向南通市海安生态环境局汇报，</w:t>
      </w:r>
      <w:r>
        <w:rPr>
          <w:rFonts w:hint="eastAsia" w:ascii="Times New Roman" w:hAnsi="Times New Roman" w:cs="Times New Roman" w:eastAsiaTheme="minorEastAsia"/>
          <w:color w:val="auto"/>
          <w:sz w:val="24"/>
          <w:szCs w:val="24"/>
          <w:highlight w:val="none"/>
          <w:lang w:val="en-US" w:eastAsia="zh-CN"/>
        </w:rPr>
        <w:t>同时</w:t>
      </w:r>
      <w:r>
        <w:rPr>
          <w:rFonts w:hint="default" w:ascii="Times New Roman" w:hAnsi="Times New Roman" w:cs="Times New Roman" w:eastAsiaTheme="minorEastAsia"/>
          <w:color w:val="auto"/>
          <w:sz w:val="24"/>
          <w:szCs w:val="24"/>
          <w:highlight w:val="none"/>
        </w:rPr>
        <w:t>在排入水体的雨水排口下游迅速筑坝，切断受污染水体的流动，采取有效措施处理排入水体的污染物</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对受污染的下游水体及时进行监测，实时掌握水质情况。</w:t>
      </w:r>
    </w:p>
    <w:p w14:paraId="7971479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当地政府和相关环保部门的指导下，根据污染物性质、类型、可控性、河流流速、污染物的扩散趋势，应及时发布水污染相关正确信息、防止谣言、造成恐慌。在专业部门配合下，预测、预报污染物到达时间、峰值、可能超标天数等污染态势，在相关环保部门的指导下采取适当的措施消除或减轻污染。</w:t>
      </w:r>
    </w:p>
    <w:p w14:paraId="3389D6AB">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500" w:name="_Toc19273"/>
      <w:bookmarkStart w:id="501" w:name="_Toc15872"/>
      <w:bookmarkStart w:id="502" w:name="_Toc6935"/>
      <w:bookmarkStart w:id="503" w:name="_Toc21348"/>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4</w:t>
      </w:r>
      <w:r>
        <w:rPr>
          <w:rFonts w:hint="eastAsia" w:ascii="Times New Roman" w:hAnsi="Times New Roman" w:cs="Times New Roman" w:eastAsiaTheme="minorEastAsia"/>
          <w:color w:val="auto"/>
          <w:sz w:val="24"/>
          <w:szCs w:val="24"/>
          <w:highlight w:val="none"/>
          <w:lang w:val="en-US" w:eastAsia="zh-CN"/>
        </w:rPr>
        <w:t xml:space="preserve"> 土壤、地下水污染事件保护目标</w:t>
      </w:r>
      <w:r>
        <w:rPr>
          <w:rFonts w:hint="default" w:ascii="Times New Roman" w:hAnsi="Times New Roman" w:cs="Times New Roman" w:eastAsiaTheme="minorEastAsia"/>
          <w:color w:val="auto"/>
          <w:sz w:val="24"/>
          <w:szCs w:val="24"/>
          <w:highlight w:val="none"/>
          <w:lang w:val="zh-CN"/>
        </w:rPr>
        <w:t>的应急措施</w:t>
      </w:r>
      <w:bookmarkEnd w:id="500"/>
      <w:bookmarkEnd w:id="501"/>
      <w:bookmarkEnd w:id="502"/>
      <w:bookmarkEnd w:id="503"/>
    </w:p>
    <w:p w14:paraId="42B8434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1</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rPr>
        <w:t>土壤、地下水污染防治措施主要是对厂区地面进行防渗处理</w:t>
      </w:r>
    </w:p>
    <w:p w14:paraId="4D2B2FC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根据项目特点及厂区布置，厂区可以划分为重点污染防渗区及一般污染防渗区，重点污染防渗区主要包括危废仓库、</w:t>
      </w:r>
      <w:r>
        <w:rPr>
          <w:rFonts w:hint="eastAsia" w:ascii="Times New Roman" w:hAnsi="Times New Roman" w:cs="Times New Roman" w:eastAsiaTheme="minorEastAsia"/>
          <w:color w:val="auto"/>
          <w:sz w:val="24"/>
          <w:szCs w:val="24"/>
          <w:highlight w:val="none"/>
          <w:lang w:val="en-US" w:eastAsia="zh-CN"/>
        </w:rPr>
        <w:t>水性漆仓库</w:t>
      </w:r>
      <w:r>
        <w:rPr>
          <w:rFonts w:hint="eastAsia" w:ascii="Times New Roman" w:hAnsi="Times New Roman" w:cs="Times New Roman" w:eastAsiaTheme="minorEastAsia"/>
          <w:color w:val="auto"/>
          <w:sz w:val="24"/>
          <w:szCs w:val="24"/>
          <w:highlight w:val="none"/>
        </w:rPr>
        <w:t>等；废气处理装置、废水处理装置</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rPr>
        <w:t>其它公用工程和办公生活区等均属一般污染防渗区。</w:t>
      </w:r>
    </w:p>
    <w:p w14:paraId="731B075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重点污染防渗区的防渗措施：对于重点污染防渗区要铺设</w:t>
      </w:r>
      <w:r>
        <w:rPr>
          <w:rFonts w:hint="eastAsia" w:ascii="Times New Roman" w:hAnsi="Times New Roman" w:cs="Times New Roman" w:eastAsiaTheme="minorEastAsia"/>
          <w:color w:val="auto"/>
          <w:sz w:val="24"/>
          <w:szCs w:val="24"/>
          <w:highlight w:val="none"/>
          <w:lang w:val="en-US" w:eastAsia="zh-CN"/>
        </w:rPr>
        <w:t>环氧地坪，</w:t>
      </w:r>
      <w:r>
        <w:rPr>
          <w:rFonts w:hint="eastAsia" w:ascii="Times New Roman" w:hAnsi="Times New Roman" w:cs="Times New Roman" w:eastAsiaTheme="minorEastAsia"/>
          <w:color w:val="auto"/>
          <w:sz w:val="24"/>
          <w:szCs w:val="24"/>
          <w:highlight w:val="none"/>
        </w:rPr>
        <w:t>同时通过地面围堰、</w:t>
      </w:r>
      <w:r>
        <w:rPr>
          <w:rFonts w:hint="eastAsia" w:ascii="Times New Roman" w:hAnsi="Times New Roman" w:cs="Times New Roman" w:eastAsiaTheme="minorEastAsia"/>
          <w:color w:val="auto"/>
          <w:sz w:val="24"/>
          <w:szCs w:val="24"/>
          <w:highlight w:val="none"/>
          <w:lang w:val="en-US" w:eastAsia="zh-CN"/>
        </w:rPr>
        <w:t>收集井</w:t>
      </w:r>
      <w:r>
        <w:rPr>
          <w:rFonts w:hint="eastAsia"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导流沟</w:t>
      </w:r>
      <w:r>
        <w:rPr>
          <w:rFonts w:hint="eastAsia" w:ascii="Times New Roman" w:hAnsi="Times New Roman" w:cs="Times New Roman" w:eastAsiaTheme="minorEastAsia"/>
          <w:color w:val="auto"/>
          <w:sz w:val="24"/>
          <w:szCs w:val="24"/>
          <w:highlight w:val="none"/>
        </w:rPr>
        <w:t>系统</w:t>
      </w:r>
      <w:r>
        <w:rPr>
          <w:rFonts w:hint="eastAsia" w:ascii="Times New Roman" w:hAnsi="Times New Roman" w:cs="Times New Roman" w:eastAsiaTheme="minorEastAsia"/>
          <w:color w:val="auto"/>
          <w:sz w:val="24"/>
          <w:szCs w:val="24"/>
          <w:highlight w:val="none"/>
          <w:lang w:val="en-US" w:eastAsia="zh-CN"/>
        </w:rPr>
        <w:t>收集发生泄漏的液体污染物</w:t>
      </w:r>
      <w:r>
        <w:rPr>
          <w:rFonts w:hint="eastAsia" w:ascii="Times New Roman" w:hAnsi="Times New Roman" w:cs="Times New Roman" w:eastAsiaTheme="minorEastAsia"/>
          <w:color w:val="auto"/>
          <w:sz w:val="24"/>
          <w:szCs w:val="24"/>
          <w:highlight w:val="none"/>
        </w:rPr>
        <w:t>。厂内固体废弃物堆放场地，应配套防渗、防雨淋设施，并将固体废物尽可能用容器或高强度专用包装袋包装后保存。</w:t>
      </w:r>
    </w:p>
    <w:p w14:paraId="14BDF3E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一般污染防渗区的防渗措施：进行地基加固，地面设置排水沟渠，将排水送</w:t>
      </w:r>
      <w:r>
        <w:rPr>
          <w:rFonts w:hint="eastAsia" w:ascii="Times New Roman" w:hAnsi="Times New Roman" w:cs="Times New Roman" w:eastAsiaTheme="minorEastAsia"/>
          <w:color w:val="auto"/>
          <w:sz w:val="24"/>
          <w:szCs w:val="24"/>
          <w:highlight w:val="none"/>
          <w:lang w:eastAsia="zh-CN"/>
        </w:rPr>
        <w:t>废水处理设施</w:t>
      </w:r>
      <w:r>
        <w:rPr>
          <w:rFonts w:hint="eastAsia" w:ascii="Times New Roman" w:hAnsi="Times New Roman" w:cs="Times New Roman" w:eastAsiaTheme="minorEastAsia"/>
          <w:color w:val="auto"/>
          <w:sz w:val="24"/>
          <w:szCs w:val="24"/>
          <w:highlight w:val="none"/>
        </w:rPr>
        <w:t>，防止造成对地下水、土壤污染。</w:t>
      </w:r>
    </w:p>
    <w:p w14:paraId="4C69404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经采取上述措施后，公司运营中可有效防止对周围土壤和地下水造成影响；正常工况，可控制在</w:t>
      </w:r>
      <w:r>
        <w:rPr>
          <w:rFonts w:hint="eastAsia" w:ascii="Times New Roman" w:hAnsi="Times New Roman" w:cs="Times New Roman" w:eastAsiaTheme="minorEastAsia"/>
          <w:color w:val="auto"/>
          <w:sz w:val="24"/>
          <w:szCs w:val="24"/>
          <w:highlight w:val="none"/>
          <w:lang w:val="en-US" w:eastAsia="zh-CN"/>
        </w:rPr>
        <w:t>生产车间</w:t>
      </w:r>
      <w:r>
        <w:rPr>
          <w:rFonts w:hint="eastAsia" w:ascii="Times New Roman" w:hAnsi="Times New Roman" w:cs="Times New Roman" w:eastAsiaTheme="minorEastAsia"/>
          <w:color w:val="auto"/>
          <w:sz w:val="24"/>
          <w:szCs w:val="24"/>
          <w:highlight w:val="none"/>
        </w:rPr>
        <w:t>、危废仓库防渗范围内小型泄漏，均不会进入水体、土壤。</w:t>
      </w:r>
    </w:p>
    <w:p w14:paraId="1327CE8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2</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rPr>
        <w:t>泄漏事故至防渗区域外泄漏进入土壤、地下水的应急措施</w:t>
      </w:r>
    </w:p>
    <w:p w14:paraId="3E2E7F2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a</w:t>
      </w:r>
      <w:r>
        <w:rPr>
          <w:rFonts w:hint="eastAsia" w:ascii="Times New Roman" w:hAnsi="Times New Roman" w:cs="Times New Roman" w:eastAsiaTheme="minorEastAsia"/>
          <w:color w:val="auto"/>
          <w:sz w:val="24"/>
          <w:szCs w:val="24"/>
          <w:highlight w:val="none"/>
        </w:rPr>
        <w:t>）气态污染</w:t>
      </w:r>
      <w:r>
        <w:rPr>
          <w:rFonts w:hint="eastAsia" w:ascii="Times New Roman" w:hAnsi="Times New Roman" w:cs="Times New Roman" w:eastAsiaTheme="minorEastAsia"/>
          <w:color w:val="auto"/>
          <w:sz w:val="24"/>
          <w:szCs w:val="24"/>
          <w:highlight w:val="none"/>
          <w:lang w:val="en-US" w:eastAsia="zh-CN"/>
        </w:rPr>
        <w:t>源</w:t>
      </w:r>
      <w:r>
        <w:rPr>
          <w:rFonts w:hint="eastAsia" w:ascii="Times New Roman" w:hAnsi="Times New Roman" w:cs="Times New Roman" w:eastAsiaTheme="minorEastAsia"/>
          <w:color w:val="auto"/>
          <w:sz w:val="24"/>
          <w:szCs w:val="24"/>
          <w:highlight w:val="none"/>
        </w:rPr>
        <w:t>泄漏污染土壤、地下水事件应急措施：停止生产，杜绝废气排放。</w:t>
      </w:r>
    </w:p>
    <w:p w14:paraId="424FEA9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b</w:t>
      </w:r>
      <w:r>
        <w:rPr>
          <w:rFonts w:hint="eastAsia" w:ascii="Times New Roman" w:hAnsi="Times New Roman" w:cs="Times New Roman" w:eastAsiaTheme="minorEastAsia"/>
          <w:color w:val="auto"/>
          <w:sz w:val="24"/>
          <w:szCs w:val="24"/>
          <w:highlight w:val="none"/>
        </w:rPr>
        <w:t>）水质污染源泄漏污染土壤、地下水应急措施：采取必要的堵漏、围挡、截污等措施，封闭雨水</w:t>
      </w:r>
      <w:r>
        <w:rPr>
          <w:rFonts w:hint="eastAsia" w:ascii="Times New Roman" w:hAnsi="Times New Roman" w:cs="Times New Roman" w:eastAsiaTheme="minorEastAsia"/>
          <w:color w:val="auto"/>
          <w:sz w:val="24"/>
          <w:szCs w:val="24"/>
          <w:highlight w:val="none"/>
          <w:lang w:eastAsia="zh-CN"/>
        </w:rPr>
        <w:t>雨水排口</w:t>
      </w:r>
      <w:r>
        <w:rPr>
          <w:rFonts w:hint="eastAsia" w:ascii="Times New Roman" w:hAnsi="Times New Roman" w:cs="Times New Roman" w:eastAsiaTheme="minorEastAsia"/>
          <w:color w:val="auto"/>
          <w:sz w:val="24"/>
          <w:szCs w:val="24"/>
          <w:highlight w:val="none"/>
        </w:rPr>
        <w:t>，修筑围堰，切断和控制污染源，防止污染继续蔓延扩散。组织专家进行分析研判，分析污水导致土壤污染面积、污染情况，根据现场情况制定应急处置、污染清除等应急措施。合理运送废水，后续开展土壤应急监测，根据土壤应急监测结果采用相应的土壤修复工作。因土壤具有一定的防渗透性，在采取应急措施处理污染土壤后，短期不会对地下水产生影响。</w:t>
      </w:r>
    </w:p>
    <w:p w14:paraId="0902212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c</w:t>
      </w:r>
      <w:r>
        <w:rPr>
          <w:rFonts w:hint="eastAsia" w:ascii="Times New Roman" w:hAnsi="Times New Roman" w:cs="Times New Roman" w:eastAsiaTheme="minorEastAsia"/>
          <w:color w:val="auto"/>
          <w:sz w:val="24"/>
          <w:szCs w:val="24"/>
          <w:highlight w:val="none"/>
        </w:rPr>
        <w:t>）固体废物事故土壤、地下水污染应急措施：查清固体废物泄漏位置、固体废物类别、毒理性、倾倒量及环境污染范围。采取必要的堵漏、围挡、截污等措施，控制住固体废物，避免其渗滤液排入周边水体。组织专家进行分析研判，根据描述情况判定事件级别、预警级别及提出应急处置技术方案建议，上报应急办。邀请具备相应资质的单位开展损害评估，属性鉴别，现场污染安全处置。在危废泄漏处周围修筑环形堤进行围堵，盖以塑料膜避免雨淋，防止渗滤液排入周边水体及管网中，通知相应危废处置单位到现场运走处置。危废应采取密闭运输，控制运输环节二次污染，处置完毕后处置残留物，降低环境污染及减少蚊虫滋生风险。应急处置期间设置雨水收集池、防护棚等应急设施。后续开展土壤应急监测，根据土壤应急监测结果采用相应的土壤修复工作。因土壤具有一定的防渗透性，在采取应急措施处理污染土壤后，短期不会对地下水产生影响</w:t>
      </w:r>
      <w:r>
        <w:rPr>
          <w:rFonts w:hint="eastAsia" w:ascii="Times New Roman" w:hAnsi="Times New Roman" w:cs="Times New Roman" w:eastAsiaTheme="minorEastAsia"/>
          <w:color w:val="auto"/>
          <w:sz w:val="24"/>
          <w:szCs w:val="24"/>
          <w:highlight w:val="none"/>
          <w:lang w:eastAsia="zh-CN"/>
        </w:rPr>
        <w:t>。</w:t>
      </w:r>
    </w:p>
    <w:p w14:paraId="41B055D2">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504" w:name="_Toc17188"/>
      <w:bookmarkStart w:id="505" w:name="_Toc25442"/>
      <w:bookmarkStart w:id="506" w:name="_Toc6341"/>
      <w:bookmarkStart w:id="507" w:name="_Toc16747"/>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eastAsiaTheme="minorEastAsia"/>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化学物质</w:t>
      </w:r>
      <w:r>
        <w:rPr>
          <w:rFonts w:hint="eastAsia" w:ascii="Times New Roman" w:hAnsi="Times New Roman" w:cs="Times New Roman" w:eastAsiaTheme="minorEastAsia"/>
          <w:color w:val="auto"/>
          <w:sz w:val="24"/>
          <w:szCs w:val="24"/>
          <w:highlight w:val="none"/>
          <w:lang w:val="en-US" w:eastAsia="zh-CN"/>
        </w:rPr>
        <w:t>泄漏</w:t>
      </w:r>
      <w:r>
        <w:rPr>
          <w:rFonts w:hint="default" w:ascii="Times New Roman" w:hAnsi="Times New Roman" w:cs="Times New Roman" w:eastAsiaTheme="minorEastAsia"/>
          <w:color w:val="auto"/>
          <w:sz w:val="24"/>
          <w:szCs w:val="24"/>
          <w:highlight w:val="none"/>
          <w:lang w:val="zh-CN"/>
        </w:rPr>
        <w:t>的应急措施</w:t>
      </w:r>
      <w:bookmarkEnd w:id="504"/>
      <w:bookmarkEnd w:id="505"/>
      <w:bookmarkEnd w:id="506"/>
      <w:bookmarkEnd w:id="507"/>
    </w:p>
    <w:p w14:paraId="3620C8B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应急处理人员戴自给正压式呼吸器，穿</w:t>
      </w:r>
      <w:r>
        <w:rPr>
          <w:rFonts w:hint="eastAsia" w:ascii="Times New Roman" w:hAnsi="Times New Roman" w:cs="Times New Roman" w:eastAsiaTheme="minorEastAsia"/>
          <w:color w:val="auto"/>
          <w:sz w:val="24"/>
          <w:szCs w:val="24"/>
          <w:highlight w:val="none"/>
          <w:lang w:eastAsia="zh-CN"/>
        </w:rPr>
        <w:t>消防服</w:t>
      </w:r>
      <w:r>
        <w:rPr>
          <w:rFonts w:hint="eastAsia" w:ascii="Times New Roman" w:hAnsi="Times New Roman" w:cs="Times New Roman" w:eastAsiaTheme="minorEastAsia"/>
          <w:color w:val="auto"/>
          <w:sz w:val="24"/>
          <w:szCs w:val="24"/>
          <w:highlight w:val="none"/>
        </w:rPr>
        <w:t>。尽可能切断泄漏源。防止流入下水道、排洪沟等限制性空间。</w:t>
      </w:r>
    </w:p>
    <w:p w14:paraId="68C1113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小量泄漏：用</w:t>
      </w:r>
      <w:r>
        <w:rPr>
          <w:rFonts w:hint="eastAsia" w:ascii="Times New Roman" w:hAnsi="Times New Roman" w:cs="Times New Roman" w:eastAsiaTheme="minorEastAsia"/>
          <w:color w:val="auto"/>
          <w:sz w:val="24"/>
          <w:szCs w:val="24"/>
          <w:highlight w:val="none"/>
          <w:lang w:eastAsia="zh-CN"/>
        </w:rPr>
        <w:t>沙</w:t>
      </w:r>
      <w:r>
        <w:rPr>
          <w:rFonts w:hint="eastAsia" w:ascii="Times New Roman" w:hAnsi="Times New Roman" w:cs="Times New Roman" w:eastAsiaTheme="minorEastAsia"/>
          <w:color w:val="auto"/>
          <w:sz w:val="24"/>
          <w:szCs w:val="24"/>
          <w:highlight w:val="none"/>
        </w:rPr>
        <w:t>土混合。</w:t>
      </w:r>
    </w:p>
    <w:p w14:paraId="399B3D2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rPr>
        <w:t>大量泄漏：构筑围堤或挖坑收容。用泵转移至槽车或专用收集器内，回收或运至废物处理场所处置。</w:t>
      </w:r>
    </w:p>
    <w:p w14:paraId="349D56FF">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508" w:name="_Toc12969"/>
      <w:bookmarkStart w:id="509" w:name="_Toc3950"/>
      <w:bookmarkStart w:id="510" w:name="_Toc18070"/>
      <w:bookmarkStart w:id="511" w:name="_Toc21699"/>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6</w:t>
      </w:r>
      <w:r>
        <w:rPr>
          <w:rFonts w:hint="eastAsia" w:ascii="Times New Roman" w:hAnsi="Times New Roman" w:cs="Times New Roman" w:eastAsiaTheme="minorEastAsia"/>
          <w:color w:val="auto"/>
          <w:sz w:val="24"/>
          <w:szCs w:val="24"/>
          <w:highlight w:val="none"/>
          <w:lang w:val="en-US" w:eastAsia="zh-CN"/>
        </w:rPr>
        <w:t xml:space="preserve"> 危废泄漏</w:t>
      </w:r>
      <w:r>
        <w:rPr>
          <w:rFonts w:hint="eastAsia" w:ascii="Times New Roman" w:hAnsi="Times New Roman" w:cs="Times New Roman"/>
          <w:color w:val="auto"/>
          <w:sz w:val="24"/>
          <w:szCs w:val="24"/>
          <w:highlight w:val="none"/>
          <w:lang w:val="en-US" w:eastAsia="zh-CN"/>
        </w:rPr>
        <w:t>、流失、扩散等</w:t>
      </w:r>
      <w:r>
        <w:rPr>
          <w:rFonts w:hint="default" w:ascii="Times New Roman" w:hAnsi="Times New Roman" w:cs="Times New Roman" w:eastAsiaTheme="minorEastAsia"/>
          <w:color w:val="auto"/>
          <w:sz w:val="24"/>
          <w:szCs w:val="24"/>
          <w:highlight w:val="none"/>
          <w:lang w:val="zh-CN"/>
        </w:rPr>
        <w:t>的应急措施</w:t>
      </w:r>
      <w:bookmarkEnd w:id="508"/>
      <w:bookmarkEnd w:id="509"/>
      <w:bookmarkEnd w:id="510"/>
      <w:bookmarkEnd w:id="511"/>
    </w:p>
    <w:p w14:paraId="40DF886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发生危险固废流失、泄漏、扩散和意外事故时，应当按照以下要求及时采取紧急处理措施：</w:t>
      </w:r>
    </w:p>
    <w:p w14:paraId="0198A72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（1）当发生危险固废泄漏时，液体能向他处转移的尽量向他处转移，</w:t>
      </w:r>
      <w:r>
        <w:rPr>
          <w:rFonts w:hint="eastAsia" w:ascii="Times New Roman" w:hAnsi="Times New Roman" w:cs="Times New Roman" w:eastAsiaTheme="minorEastAsia"/>
          <w:color w:val="auto"/>
          <w:sz w:val="24"/>
          <w:szCs w:val="24"/>
          <w:highlight w:val="none"/>
          <w:lang w:val="en-US" w:eastAsia="zh-CN"/>
        </w:rPr>
        <w:t>无法转移的</w:t>
      </w:r>
      <w:r>
        <w:rPr>
          <w:rFonts w:hint="eastAsia" w:ascii="Times New Roman" w:hAnsi="Times New Roman" w:cs="Times New Roman" w:eastAsiaTheme="minorEastAsia"/>
          <w:color w:val="auto"/>
          <w:sz w:val="24"/>
          <w:szCs w:val="24"/>
          <w:highlight w:val="none"/>
        </w:rPr>
        <w:t>要戴好防护眼镜、手套（有毒的物料要带好防毒面具或空气呼吸器），用容器尽可能回收，或用</w:t>
      </w:r>
      <w:r>
        <w:rPr>
          <w:rFonts w:hint="eastAsia" w:ascii="Times New Roman" w:hAnsi="Times New Roman" w:cs="Times New Roman" w:eastAsiaTheme="minorEastAsia"/>
          <w:color w:val="auto"/>
          <w:sz w:val="24"/>
          <w:szCs w:val="24"/>
          <w:highlight w:val="none"/>
          <w:lang w:eastAsia="zh-CN"/>
        </w:rPr>
        <w:t>沙</w:t>
      </w:r>
      <w:r>
        <w:rPr>
          <w:rFonts w:hint="eastAsia" w:ascii="Times New Roman" w:hAnsi="Times New Roman" w:cs="Times New Roman" w:eastAsiaTheme="minorEastAsia"/>
          <w:color w:val="auto"/>
          <w:sz w:val="24"/>
          <w:szCs w:val="24"/>
          <w:highlight w:val="none"/>
        </w:rPr>
        <w:t>土等不燃物进行回堵、收集；</w:t>
      </w:r>
    </w:p>
    <w:p w14:paraId="548CC25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（2）确定流失、泄漏、扩散的危废的类别、数量、发生时间、影响范围及严重程度；</w:t>
      </w:r>
    </w:p>
    <w:p w14:paraId="5535F3C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（3）组织有关人员尽快按照应急方案，对发生危废泄漏、扩散的现场进行处理；对被废物污染的区域进行处理时，应当尽可能减少对企业员工、周边居民及下风向环境的影响；</w:t>
      </w:r>
    </w:p>
    <w:p w14:paraId="4954C87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（4）采取适当的安全处置措施，对泄漏物及受污染的区域、物品进行无害化处置，必要时封锁污染区域，以防扩大污染；</w:t>
      </w:r>
    </w:p>
    <w:p w14:paraId="7C786A7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（5）</w:t>
      </w:r>
      <w:r>
        <w:rPr>
          <w:rFonts w:hint="eastAsia" w:ascii="Times New Roman" w:hAnsi="Times New Roman" w:cs="Times New Roman" w:eastAsiaTheme="minorEastAsia"/>
          <w:color w:val="auto"/>
          <w:sz w:val="24"/>
          <w:szCs w:val="24"/>
          <w:highlight w:val="none"/>
        </w:rPr>
        <w:t>泄漏</w:t>
      </w:r>
      <w:r>
        <w:rPr>
          <w:rFonts w:hint="eastAsia" w:ascii="Times New Roman" w:hAnsi="Times New Roman" w:cs="Times New Roman" w:eastAsiaTheme="minorEastAsia"/>
          <w:color w:val="auto"/>
          <w:sz w:val="24"/>
          <w:szCs w:val="24"/>
          <w:highlight w:val="none"/>
          <w:lang w:val="zh-CN"/>
        </w:rPr>
        <w:t>后污染的地块须与危险固废同样处置。</w:t>
      </w:r>
    </w:p>
    <w:p w14:paraId="12439A98">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512" w:name="_Toc16111"/>
      <w:bookmarkStart w:id="513" w:name="_Toc30614"/>
      <w:bookmarkStart w:id="514" w:name="_Toc31554"/>
      <w:bookmarkStart w:id="515" w:name="_Toc27020"/>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7</w:t>
      </w:r>
      <w:r>
        <w:rPr>
          <w:rFonts w:hint="eastAsia" w:ascii="Times New Roman" w:hAnsi="Times New Roman" w:cs="Times New Roman" w:eastAsiaTheme="minorEastAsia"/>
          <w:color w:val="auto"/>
          <w:sz w:val="24"/>
          <w:szCs w:val="24"/>
          <w:highlight w:val="none"/>
          <w:lang w:val="en-US" w:eastAsia="zh-CN"/>
        </w:rPr>
        <w:t xml:space="preserve"> 废气处理设施异常</w:t>
      </w:r>
      <w:r>
        <w:rPr>
          <w:rFonts w:hint="default" w:ascii="Times New Roman" w:hAnsi="Times New Roman" w:cs="Times New Roman" w:eastAsiaTheme="minorEastAsia"/>
          <w:color w:val="auto"/>
          <w:sz w:val="24"/>
          <w:szCs w:val="24"/>
          <w:highlight w:val="none"/>
          <w:lang w:val="zh-CN"/>
        </w:rPr>
        <w:t>的应急措施</w:t>
      </w:r>
      <w:bookmarkEnd w:id="512"/>
      <w:bookmarkEnd w:id="513"/>
      <w:bookmarkEnd w:id="514"/>
      <w:bookmarkEnd w:id="515"/>
    </w:p>
    <w:p w14:paraId="5A69A4D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（1）值班人员发现现场废气处置装置异常或车间味道过大时，经调整或处理后仍无法恢复正常的，</w:t>
      </w:r>
      <w:r>
        <w:rPr>
          <w:rFonts w:hint="eastAsia" w:ascii="Times New Roman" w:hAnsi="Times New Roman" w:cs="Times New Roman" w:eastAsiaTheme="minorEastAsia"/>
          <w:color w:val="auto"/>
          <w:sz w:val="24"/>
          <w:szCs w:val="24"/>
          <w:highlight w:val="none"/>
          <w:lang w:val="en-US" w:eastAsia="zh-CN"/>
        </w:rPr>
        <w:t>停止生产后</w:t>
      </w:r>
      <w:r>
        <w:rPr>
          <w:rFonts w:hint="eastAsia" w:ascii="Times New Roman" w:hAnsi="Times New Roman" w:cs="Times New Roman" w:eastAsiaTheme="minorEastAsia"/>
          <w:color w:val="auto"/>
          <w:sz w:val="24"/>
          <w:szCs w:val="24"/>
          <w:highlight w:val="none"/>
        </w:rPr>
        <w:t>停止</w:t>
      </w:r>
      <w:r>
        <w:rPr>
          <w:rFonts w:hint="eastAsia" w:ascii="Times New Roman" w:hAnsi="Times New Roman" w:cs="Times New Roman" w:eastAsiaTheme="minorEastAsia"/>
          <w:color w:val="auto"/>
          <w:sz w:val="24"/>
          <w:szCs w:val="24"/>
          <w:highlight w:val="none"/>
          <w:lang w:val="en-US" w:eastAsia="zh-CN"/>
        </w:rPr>
        <w:t>废气处理设施</w:t>
      </w:r>
      <w:r>
        <w:rPr>
          <w:rFonts w:hint="eastAsia" w:ascii="Times New Roman" w:hAnsi="Times New Roman" w:cs="Times New Roman" w:eastAsiaTheme="minorEastAsia"/>
          <w:color w:val="auto"/>
          <w:sz w:val="24"/>
          <w:szCs w:val="24"/>
          <w:highlight w:val="none"/>
        </w:rPr>
        <w:t>运行，</w:t>
      </w:r>
      <w:r>
        <w:rPr>
          <w:rFonts w:hint="eastAsia" w:ascii="Times New Roman" w:hAnsi="Times New Roman" w:cs="Times New Roman" w:eastAsiaTheme="minorEastAsia"/>
          <w:color w:val="auto"/>
          <w:sz w:val="24"/>
          <w:szCs w:val="24"/>
          <w:highlight w:val="none"/>
          <w:lang w:val="en-US" w:eastAsia="zh-CN"/>
        </w:rPr>
        <w:t>并</w:t>
      </w:r>
      <w:r>
        <w:rPr>
          <w:rFonts w:hint="eastAsia" w:ascii="Times New Roman" w:hAnsi="Times New Roman" w:cs="Times New Roman" w:eastAsiaTheme="minorEastAsia"/>
          <w:color w:val="auto"/>
          <w:sz w:val="24"/>
          <w:szCs w:val="24"/>
          <w:highlight w:val="none"/>
        </w:rPr>
        <w:t>汇报</w:t>
      </w:r>
      <w:r>
        <w:rPr>
          <w:rFonts w:hint="eastAsia" w:ascii="Times New Roman" w:hAnsi="Times New Roman" w:cs="Times New Roman" w:eastAsiaTheme="minorEastAsia"/>
          <w:color w:val="auto"/>
          <w:sz w:val="24"/>
          <w:szCs w:val="24"/>
          <w:highlight w:val="none"/>
          <w:lang w:val="en-US" w:eastAsia="zh-CN"/>
        </w:rPr>
        <w:t>至</w:t>
      </w:r>
      <w:r>
        <w:rPr>
          <w:rFonts w:hint="eastAsia" w:ascii="Times New Roman" w:hAnsi="Times New Roman" w:cs="Times New Roman" w:eastAsiaTheme="minorEastAsia"/>
          <w:color w:val="auto"/>
          <w:sz w:val="24"/>
          <w:szCs w:val="24"/>
          <w:highlight w:val="none"/>
        </w:rPr>
        <w:t>车间负责人；</w:t>
      </w:r>
      <w:r>
        <w:rPr>
          <w:rFonts w:hint="eastAsia" w:ascii="Times New Roman" w:hAnsi="Times New Roman" w:cs="Times New Roman" w:eastAsiaTheme="minorEastAsia"/>
          <w:b w:val="0"/>
          <w:bCs w:val="0"/>
          <w:color w:val="auto"/>
          <w:kern w:val="2"/>
          <w:sz w:val="24"/>
          <w:szCs w:val="24"/>
          <w:highlight w:val="none"/>
          <w:lang w:val="en-US" w:eastAsia="zh-CN" w:bidi="ar-SA"/>
        </w:rPr>
        <w:t>特别关注活性炭柜。活性炭柜需控制活性炭柜温度，避免引起活性炭自燃现象。</w:t>
      </w:r>
    </w:p>
    <w:p w14:paraId="68EA20B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（2）车间负责人指挥各岗位人员对异常事件进行处理，并联系设备部检修人员进行抢修，尽快恢复设备运行；</w:t>
      </w:r>
    </w:p>
    <w:p w14:paraId="6CA0C37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（3）对于需要降负荷或停机的情形，车间负责人报公司</w:t>
      </w:r>
      <w:r>
        <w:rPr>
          <w:rFonts w:hint="eastAsia" w:ascii="Times New Roman" w:hAnsi="Times New Roman" w:cs="Times New Roman" w:eastAsiaTheme="minorEastAsia"/>
          <w:color w:val="auto"/>
          <w:sz w:val="24"/>
          <w:szCs w:val="24"/>
          <w:highlight w:val="none"/>
          <w:lang w:val="en-US" w:eastAsia="zh-CN"/>
        </w:rPr>
        <w:t>总经理</w:t>
      </w:r>
      <w:r>
        <w:rPr>
          <w:rFonts w:hint="eastAsia" w:ascii="Times New Roman" w:hAnsi="Times New Roman" w:cs="Times New Roman" w:eastAsiaTheme="minorEastAsia"/>
          <w:color w:val="auto"/>
          <w:sz w:val="24"/>
          <w:szCs w:val="24"/>
          <w:highlight w:val="none"/>
        </w:rPr>
        <w:t>或</w:t>
      </w:r>
      <w:r>
        <w:rPr>
          <w:rFonts w:hint="eastAsia" w:ascii="Times New Roman" w:hAnsi="Times New Roman" w:cs="Times New Roman" w:eastAsiaTheme="minorEastAsia"/>
          <w:color w:val="auto"/>
          <w:sz w:val="24"/>
          <w:szCs w:val="24"/>
          <w:highlight w:val="none"/>
          <w:lang w:val="en-US" w:eastAsia="zh-CN"/>
        </w:rPr>
        <w:t>生产经理</w:t>
      </w:r>
      <w:r>
        <w:rPr>
          <w:rFonts w:hint="eastAsia" w:ascii="Times New Roman" w:hAnsi="Times New Roman" w:cs="Times New Roman" w:eastAsiaTheme="minorEastAsia"/>
          <w:color w:val="auto"/>
          <w:sz w:val="24"/>
          <w:szCs w:val="24"/>
          <w:highlight w:val="none"/>
        </w:rPr>
        <w:t>；</w:t>
      </w:r>
    </w:p>
    <w:p w14:paraId="2B7DE95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（4）当发现废气处理设备异常运行，经调整或处理后仍无法恢复正常，停止故障设备运行，认真分析故障原因（例如</w:t>
      </w:r>
      <w:r>
        <w:rPr>
          <w:rFonts w:hint="eastAsia" w:ascii="Times New Roman" w:hAnsi="Times New Roman" w:cs="Times New Roman" w:eastAsiaTheme="minorEastAsia"/>
          <w:color w:val="auto"/>
          <w:sz w:val="24"/>
          <w:szCs w:val="24"/>
          <w:highlight w:val="none"/>
          <w:lang w:val="en-US" w:eastAsia="zh-CN"/>
        </w:rPr>
        <w:t>风量过低、活性炭失效</w:t>
      </w:r>
      <w:r>
        <w:rPr>
          <w:rFonts w:hint="eastAsia" w:ascii="Times New Roman" w:hAnsi="Times New Roman" w:cs="Times New Roman" w:eastAsiaTheme="minorEastAsia"/>
          <w:color w:val="auto"/>
          <w:sz w:val="24"/>
          <w:szCs w:val="24"/>
          <w:highlight w:val="none"/>
        </w:rPr>
        <w:t>），并及时联系设备检修人员检修处理，且必须进行停产检修</w:t>
      </w:r>
      <w:r>
        <w:rPr>
          <w:rFonts w:hint="eastAsia" w:ascii="Times New Roman" w:hAnsi="Times New Roman" w:cs="Times New Roman" w:eastAsiaTheme="minorEastAsia"/>
          <w:color w:val="auto"/>
          <w:sz w:val="24"/>
          <w:szCs w:val="24"/>
          <w:highlight w:val="none"/>
          <w:lang w:val="en-US" w:eastAsia="zh-CN"/>
        </w:rPr>
        <w:t>。</w:t>
      </w:r>
      <w:r>
        <w:rPr>
          <w:rFonts w:hint="eastAsia" w:ascii="Times New Roman" w:hAnsi="Times New Roman" w:cs="Times New Roman" w:eastAsiaTheme="minorEastAsia"/>
          <w:color w:val="auto"/>
          <w:sz w:val="24"/>
          <w:szCs w:val="24"/>
          <w:highlight w:val="none"/>
        </w:rPr>
        <w:t>当废气处理设施能正常运行时，方可投入生产。</w:t>
      </w:r>
    </w:p>
    <w:p w14:paraId="55F2F8D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 w:val="0"/>
          <w:bCs w:val="0"/>
          <w:color w:val="auto"/>
          <w:kern w:val="2"/>
          <w:sz w:val="24"/>
          <w:szCs w:val="24"/>
          <w:highlight w:val="none"/>
          <w:lang w:val="en-US" w:eastAsia="zh-CN" w:bidi="ar-SA"/>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5</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向海安市生态环境局汇报废气处理设施异常情况</w:t>
      </w:r>
    </w:p>
    <w:p w14:paraId="49787BF6">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516" w:name="_Toc32117"/>
      <w:bookmarkStart w:id="517" w:name="_Toc535504548"/>
      <w:bookmarkStart w:id="518" w:name="_Toc17079"/>
      <w:bookmarkStart w:id="519" w:name="_Toc19360"/>
      <w:bookmarkStart w:id="520" w:name="_Toc10607"/>
      <w:bookmarkStart w:id="521" w:name="_Toc276118418"/>
      <w:bookmarkStart w:id="522" w:name="_Toc10313"/>
      <w:bookmarkStart w:id="523" w:name="_Toc402378985"/>
      <w:bookmarkStart w:id="524" w:name="_Toc26468"/>
      <w:bookmarkStart w:id="525" w:name="_Toc405454880"/>
      <w:bookmarkStart w:id="526" w:name="_Toc275938170"/>
      <w:r>
        <w:rPr>
          <w:rFonts w:hint="default" w:ascii="Times New Roman" w:hAnsi="Times New Roman" w:cs="Times New Roman" w:eastAsiaTheme="minorEastAsia"/>
          <w:color w:val="auto"/>
          <w:sz w:val="24"/>
          <w:szCs w:val="24"/>
          <w:highlight w:val="none"/>
        </w:rPr>
        <w:t xml:space="preserve">6.3.5 </w:t>
      </w:r>
      <w:r>
        <w:rPr>
          <w:rFonts w:hint="default" w:ascii="Times New Roman" w:hAnsi="Times New Roman" w:cs="Times New Roman" w:eastAsiaTheme="minorEastAsia"/>
          <w:color w:val="auto"/>
          <w:kern w:val="0"/>
          <w:sz w:val="24"/>
          <w:szCs w:val="24"/>
          <w:highlight w:val="none"/>
        </w:rPr>
        <w:t>受伤人员现场救护、救治与医院救治措施</w:t>
      </w:r>
      <w:bookmarkEnd w:id="516"/>
      <w:bookmarkEnd w:id="517"/>
      <w:bookmarkEnd w:id="518"/>
      <w:bookmarkEnd w:id="519"/>
      <w:bookmarkEnd w:id="520"/>
    </w:p>
    <w:p w14:paraId="3598FE4D">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对受伤人员的救护、救治需根据不同情况分类处置。</w:t>
      </w:r>
    </w:p>
    <w:p w14:paraId="6EBD392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（1）接触人群伤检分类及救护、救治</w:t>
      </w:r>
    </w:p>
    <w:p w14:paraId="084C435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生事故后，应将受伤人员及中毒人员迅速脱离现场，将患者移到空气新鲜的地方，松开扣紧的衣服，脱去被污染的衣裤，并注意保暖，仔细检查病人的病情。在搬运过程中要冷静，注意安全及时请医生就诊，由医生根据烧伤、中毒分级，采取必要的现场紧急抢救方案，确定烧伤度及中毒程度。</w:t>
      </w:r>
    </w:p>
    <w:p w14:paraId="2A46B3D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（2）对患者进行分类现场抢救方案</w:t>
      </w:r>
    </w:p>
    <w:p w14:paraId="0B8457A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皮肤轻度烧伤，立即将患者移离现场迅速脱去被污的衣裤、鞋袜等，用大量自来水或清水冲洗创面15-30分钟，新鲜创面上不要任意涂上油膏或红药水、紫药水，不能脏布包裹。如发生眼烧伤，迅速用自来水或清水冲洗，千万不要未经处理而急于送医院。冲洗时眼皮要掰开。</w:t>
      </w:r>
    </w:p>
    <w:p w14:paraId="5A0E1F5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②深度烧伤立即送医院救治。</w:t>
      </w:r>
    </w:p>
    <w:p w14:paraId="43E2F28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吸入中毒者，应迅速脱离现场，向上风处转移至空气新鲜处松开患者的衣领和裤带并注意保暖、化学毒物沾染皮肤时应迅速脱去，污染的衣服、鞋袜等用大量自来水或清水冲洗，头面部受污染时，首先注意眼睛的冲洗。</w:t>
      </w:r>
    </w:p>
    <w:p w14:paraId="2600EAC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④对中毒烧伤人员引起呼吸、心跳停止者，应进行心肺复苏的办法，首先要保证呼吸道畅通，然后进行人工呼吸和胸外心脏挤压术。</w:t>
      </w:r>
    </w:p>
    <w:p w14:paraId="049C19C7">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人工呼吸采用口对口人工呼吸，方法：患者仰卧，术者托起患者下颌，并尽量使其头部后仰；另一手捏紧患者鼻孔。术者深吸气后，紧对伤员的口吹气然后松开捏鼻的手，如此有节律地、均匀地反复进行，每分钟14-16次。吹气的压力视患者具体情况而不同，一般刚开始时吹气压力可略大些，频率稍快些，10-20次后将压力减小，维持胸部升起即可。</w:t>
      </w:r>
    </w:p>
    <w:p w14:paraId="4D3C6C9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心脏胸外挤压术具体方法是：患者平仰卧在硬地上或木板床上，抢救者在患者一侧或骑跨在患者身上，面向头部，用双手掌根以冲击式挤压患者胸骨下端略靠左方。每分钟6-70次。挤压时应注意不要用力过猛，以免发生肋骨骨折，血气胸等。一般下压3-5cm即可。如果患者呼吸、心跳停止，则需要两人进行，一人口对口人工呼吸，另一人行心脏挤压术；两者操作的比例约为1：5。在送医院途中心肺复苏术不能中断。</w:t>
      </w:r>
    </w:p>
    <w:p w14:paraId="7DCC30A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对于中度中毒以上的患者应积极护送医院进行治疗。</w:t>
      </w:r>
    </w:p>
    <w:p w14:paraId="3BBD697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（3）对接触者的医疗观察方案</w:t>
      </w:r>
    </w:p>
    <w:p w14:paraId="7A2EA0F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出现刺激反应者，至少观察12小时，中毒患者应卧床休息，避免活动后病情加重。必要时做心电图检查以供参考。</w:t>
      </w:r>
    </w:p>
    <w:p w14:paraId="63D416E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（4）患者运送及转运中的救治方案</w:t>
      </w:r>
    </w:p>
    <w:p w14:paraId="491F13A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搬运伤员移上担架时，应头部向后，足部向前，担架行走时，两人快慢要相同，平衡前进。向高处抬运时，前面的人手要放低，腰部弯屈走；抬后面的人要搭在肩上，勿使担架两头高低相差太大。向低处抬时，和上面相反。担架两旁有人看护，防止伤员翻落。</w:t>
      </w:r>
    </w:p>
    <w:p w14:paraId="034E7A5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中毒者一般采用坐位或半卧位，患者呼吸及咳嗽。昏迷患者平卧头偏向一侧，休克患者要将其双腿垫高，使之高于头部以保证回心血量。中毒性肺水肿、急性肺心病，心力衰竭病人务必采取半卧位，并限制活动，减少耗氧量。</w:t>
      </w:r>
    </w:p>
    <w:p w14:paraId="58C3863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③运送途中救治方案按现场紧急抢救方案有关规定执行。</w:t>
      </w:r>
    </w:p>
    <w:p w14:paraId="22E87EF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④护送人员必须做好现场抢救，途中病情观察、处置与护理、通讯联系等记录，到达目的医院后进行床边交班，移运医疗记录。</w:t>
      </w:r>
    </w:p>
    <w:p w14:paraId="41CFFE7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（5）救治机构的确定</w:t>
      </w:r>
    </w:p>
    <w:p w14:paraId="7E54AD7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①事故现场发现人员严重受伤时，迅速拨打“120”救护车及时抢救。</w:t>
      </w:r>
    </w:p>
    <w:p w14:paraId="1932485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②以送海安市人民医院为主。</w:t>
      </w:r>
    </w:p>
    <w:p w14:paraId="4E8D7A7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③若发生大量中毒人员和烧伤人员，可同时</w:t>
      </w:r>
      <w:r>
        <w:rPr>
          <w:rFonts w:hint="eastAsia" w:ascii="Times New Roman" w:hAnsi="Times New Roman" w:cs="Times New Roman" w:eastAsiaTheme="minorEastAsia"/>
          <w:color w:val="auto"/>
          <w:sz w:val="24"/>
          <w:szCs w:val="24"/>
          <w:highlight w:val="none"/>
          <w:lang w:val="en-US" w:eastAsia="zh-CN"/>
        </w:rPr>
        <w:t>送往</w:t>
      </w:r>
      <w:r>
        <w:rPr>
          <w:rFonts w:hint="default" w:ascii="Times New Roman" w:hAnsi="Times New Roman" w:cs="Times New Roman" w:eastAsiaTheme="minorEastAsia"/>
          <w:color w:val="auto"/>
          <w:sz w:val="24"/>
          <w:szCs w:val="24"/>
          <w:highlight w:val="none"/>
        </w:rPr>
        <w:t>海安市其他医院。</w:t>
      </w:r>
    </w:p>
    <w:p w14:paraId="15AAC04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（6）提供有关信息</w:t>
      </w:r>
    </w:p>
    <w:p w14:paraId="1EEBE10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①受伤者应由单位人员护送，给医生提供个人一般信息：姓名、年龄、职业、婚姻状况、原病史等；</w:t>
      </w:r>
    </w:p>
    <w:p w14:paraId="138AD0F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②所接触毒物的名称、接触的时间、毒物浓度及现场抢救情况。</w:t>
      </w:r>
    </w:p>
    <w:bookmarkEnd w:id="521"/>
    <w:bookmarkEnd w:id="522"/>
    <w:bookmarkEnd w:id="523"/>
    <w:bookmarkEnd w:id="524"/>
    <w:bookmarkEnd w:id="525"/>
    <w:bookmarkEnd w:id="526"/>
    <w:p w14:paraId="48E17AA2">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527" w:name="_Toc14553"/>
      <w:bookmarkStart w:id="528" w:name="_Toc18848"/>
      <w:bookmarkStart w:id="529" w:name="_Toc19753"/>
      <w:bookmarkStart w:id="530" w:name="_Toc28421"/>
      <w:bookmarkStart w:id="531" w:name="_Toc19792"/>
      <w:bookmarkStart w:id="532" w:name="_Toc2195"/>
      <w:bookmarkStart w:id="533" w:name="_Toc408557367"/>
      <w:bookmarkStart w:id="534" w:name="_Toc276118422"/>
      <w:r>
        <w:rPr>
          <w:rFonts w:hint="default" w:ascii="Times New Roman" w:hAnsi="Times New Roman" w:cs="Times New Roman" w:eastAsiaTheme="minorEastAsia"/>
          <w:color w:val="auto"/>
          <w:sz w:val="24"/>
          <w:szCs w:val="24"/>
          <w:highlight w:val="none"/>
        </w:rPr>
        <w:t>6.3.6 事故可能扩大后的应急措施</w:t>
      </w:r>
      <w:bookmarkEnd w:id="527"/>
      <w:bookmarkEnd w:id="528"/>
      <w:bookmarkEnd w:id="529"/>
      <w:bookmarkEnd w:id="530"/>
      <w:bookmarkEnd w:id="531"/>
      <w:bookmarkEnd w:id="532"/>
      <w:bookmarkEnd w:id="533"/>
    </w:p>
    <w:p w14:paraId="6E11325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eastAsiaTheme="minorEastAsia"/>
          <w:color w:val="auto"/>
          <w:sz w:val="24"/>
          <w:szCs w:val="24"/>
          <w:highlight w:val="none"/>
          <w:lang w:eastAsia="zh-CN"/>
        </w:rPr>
        <w:t>应急救援</w:t>
      </w:r>
      <w:r>
        <w:rPr>
          <w:rFonts w:hint="eastAsia" w:ascii="Times New Roman" w:hAnsi="Times New Roman" w:cs="Times New Roman" w:eastAsiaTheme="minorEastAsia"/>
          <w:color w:val="auto"/>
          <w:sz w:val="24"/>
          <w:szCs w:val="24"/>
          <w:highlight w:val="none"/>
          <w:lang w:val="en-US" w:eastAsia="zh-CN"/>
        </w:rPr>
        <w:t>总指挥</w:t>
      </w:r>
      <w:r>
        <w:rPr>
          <w:rFonts w:hint="default" w:ascii="Times New Roman" w:hAnsi="Times New Roman" w:cs="Times New Roman" w:eastAsiaTheme="minorEastAsia"/>
          <w:color w:val="auto"/>
          <w:sz w:val="24"/>
          <w:szCs w:val="24"/>
          <w:highlight w:val="none"/>
        </w:rPr>
        <w:t>要通知自己所在部门，按专业对口迅速向主管部门和公安、安监、消防、环保、卫生等部门报告事故情况，请求支援。</w:t>
      </w:r>
    </w:p>
    <w:p w14:paraId="062E13E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（2）本单位抢险抢修力量不足或有可能危及社会安全时，由</w:t>
      </w:r>
      <w:r>
        <w:rPr>
          <w:rFonts w:hint="eastAsia" w:ascii="Times New Roman" w:hAnsi="Times New Roman" w:cs="Times New Roman" w:eastAsiaTheme="minorEastAsia"/>
          <w:color w:val="auto"/>
          <w:sz w:val="24"/>
          <w:szCs w:val="24"/>
          <w:highlight w:val="none"/>
          <w:lang w:val="en-US" w:eastAsia="zh-CN"/>
        </w:rPr>
        <w:t>总指挥</w:t>
      </w:r>
      <w:r>
        <w:rPr>
          <w:rFonts w:hint="default" w:ascii="Times New Roman" w:hAnsi="Times New Roman" w:cs="Times New Roman" w:eastAsiaTheme="minorEastAsia"/>
          <w:color w:val="auto"/>
          <w:sz w:val="24"/>
          <w:szCs w:val="24"/>
          <w:highlight w:val="none"/>
        </w:rPr>
        <w:t>立即向上级和友邻单位通报，必要时请求社会力量帮助。社会援助队伍进入厂区时，由</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联络、组织告知注意事项及工作任务。</w:t>
      </w:r>
    </w:p>
    <w:p w14:paraId="278C711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（3）下达紧急安全疏散命令。</w:t>
      </w:r>
    </w:p>
    <w:bookmarkEnd w:id="534"/>
    <w:p w14:paraId="65C7CBA7">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535" w:name="_Toc32440"/>
      <w:bookmarkStart w:id="536" w:name="_Toc248"/>
      <w:bookmarkStart w:id="537" w:name="_Toc535504556"/>
      <w:bookmarkStart w:id="538" w:name="_Toc408557369"/>
      <w:bookmarkStart w:id="539" w:name="_Toc14894"/>
      <w:bookmarkStart w:id="540" w:name="_Toc30229"/>
      <w:r>
        <w:rPr>
          <w:rFonts w:hint="default" w:ascii="Times New Roman" w:hAnsi="Times New Roman" w:cs="Times New Roman" w:eastAsiaTheme="minorEastAsia"/>
          <w:color w:val="auto"/>
          <w:sz w:val="24"/>
          <w:szCs w:val="24"/>
          <w:highlight w:val="none"/>
        </w:rPr>
        <w:t>6.4 应急终止</w:t>
      </w:r>
      <w:bookmarkEnd w:id="535"/>
      <w:bookmarkEnd w:id="536"/>
      <w:bookmarkEnd w:id="537"/>
      <w:bookmarkEnd w:id="538"/>
      <w:bookmarkEnd w:id="539"/>
      <w:bookmarkEnd w:id="540"/>
    </w:p>
    <w:p w14:paraId="63B0E162">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541" w:name="_Toc535504557"/>
      <w:bookmarkStart w:id="542" w:name="_Toc408557370"/>
      <w:bookmarkStart w:id="543" w:name="_Toc7599"/>
      <w:bookmarkStart w:id="544" w:name="_Toc8810"/>
      <w:bookmarkStart w:id="545" w:name="_Toc275938175"/>
      <w:bookmarkStart w:id="546" w:name="_Toc15039"/>
      <w:bookmarkStart w:id="547" w:name="_Toc4718"/>
      <w:bookmarkStart w:id="548" w:name="_Toc276118423"/>
      <w:r>
        <w:rPr>
          <w:rFonts w:hint="default" w:ascii="Times New Roman" w:hAnsi="Times New Roman" w:cs="Times New Roman" w:eastAsiaTheme="minorEastAsia"/>
          <w:color w:val="auto"/>
          <w:sz w:val="24"/>
          <w:szCs w:val="24"/>
          <w:highlight w:val="none"/>
        </w:rPr>
        <w:t>6.4.1 应急终止的条件</w:t>
      </w:r>
      <w:bookmarkEnd w:id="541"/>
      <w:bookmarkEnd w:id="542"/>
      <w:bookmarkEnd w:id="543"/>
      <w:bookmarkEnd w:id="544"/>
      <w:bookmarkEnd w:id="545"/>
      <w:bookmarkEnd w:id="546"/>
      <w:bookmarkEnd w:id="547"/>
      <w:bookmarkEnd w:id="548"/>
    </w:p>
    <w:p w14:paraId="05F9EB4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（1）事件现场得到控制，事件条件已经消除；</w:t>
      </w:r>
    </w:p>
    <w:p w14:paraId="03CBEE1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（2）经现场监测，污染源的泄漏或释放已降至规定限值以内；</w:t>
      </w:r>
    </w:p>
    <w:p w14:paraId="5AC71CC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（3）事件所造成的危害已经被彻底消除，无继发可能；</w:t>
      </w:r>
    </w:p>
    <w:p w14:paraId="46780F9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（4）事件产生的废水、废液、废渣得到安全处置；</w:t>
      </w:r>
    </w:p>
    <w:p w14:paraId="7BBAF9A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（5）事件现场的各种专业应急处置行动已无继续的必要；</w:t>
      </w:r>
    </w:p>
    <w:p w14:paraId="0AD3592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（6）采取了必要的防护措施以保护公众免受再次危害，并使事件可能引起的中长期负面影响趋于并保持在尽量低的水平。</w:t>
      </w:r>
    </w:p>
    <w:p w14:paraId="00814AE7">
      <w:pPr>
        <w:pStyle w:val="2"/>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549" w:name="_Toc535504558"/>
      <w:bookmarkStart w:id="550" w:name="_Toc275938176"/>
      <w:bookmarkStart w:id="551" w:name="_Toc408557371"/>
      <w:bookmarkStart w:id="552" w:name="_Toc22804"/>
      <w:bookmarkStart w:id="553" w:name="_Toc7841"/>
      <w:bookmarkStart w:id="554" w:name="_Toc5114"/>
      <w:bookmarkStart w:id="555" w:name="_Toc276118424"/>
      <w:bookmarkStart w:id="556" w:name="_Toc18503"/>
      <w:r>
        <w:rPr>
          <w:rFonts w:hint="default" w:ascii="Times New Roman" w:hAnsi="Times New Roman" w:cs="Times New Roman" w:eastAsiaTheme="minorEastAsia"/>
          <w:color w:val="auto"/>
          <w:sz w:val="24"/>
          <w:szCs w:val="24"/>
          <w:highlight w:val="none"/>
        </w:rPr>
        <w:t>6.4.2 应急终止的程序</w:t>
      </w:r>
      <w:bookmarkEnd w:id="549"/>
      <w:bookmarkEnd w:id="550"/>
      <w:bookmarkEnd w:id="551"/>
      <w:bookmarkEnd w:id="552"/>
      <w:bookmarkEnd w:id="553"/>
      <w:bookmarkEnd w:id="554"/>
      <w:bookmarkEnd w:id="555"/>
      <w:bookmarkEnd w:id="556"/>
    </w:p>
    <w:p w14:paraId="786771BC">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（1）应急终止时机由现场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确认，经现场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批准；</w:t>
      </w:r>
    </w:p>
    <w:p w14:paraId="36B99790">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 xml:space="preserve">向所属各专业应急救援队伍下达应急终止命令； </w:t>
      </w:r>
    </w:p>
    <w:p w14:paraId="6D88B44F">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（3）应急状态终止后，</w:t>
      </w:r>
      <w:r>
        <w:rPr>
          <w:rFonts w:hint="eastAsia" w:ascii="Times New Roman" w:hAnsi="Times New Roman" w:cs="Times New Roman" w:eastAsiaTheme="minorEastAsia"/>
          <w:color w:val="auto"/>
          <w:sz w:val="24"/>
          <w:szCs w:val="24"/>
          <w:highlight w:val="none"/>
          <w:lang w:val="en-US" w:eastAsia="zh-CN"/>
        </w:rPr>
        <w:t>应急监测</w:t>
      </w:r>
      <w:r>
        <w:rPr>
          <w:rFonts w:hint="default" w:ascii="Times New Roman" w:hAnsi="Times New Roman" w:cs="Times New Roman" w:eastAsiaTheme="minorEastAsia"/>
          <w:color w:val="auto"/>
          <w:sz w:val="24"/>
          <w:szCs w:val="24"/>
          <w:highlight w:val="none"/>
        </w:rPr>
        <w:t>组继续进行跟踪监测和评价工作，直至污染影响彻底消除为止。</w:t>
      </w:r>
    </w:p>
    <w:p w14:paraId="091D4670">
      <w:pPr>
        <w:pStyle w:val="2"/>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557" w:name="_Toc535504559"/>
      <w:bookmarkStart w:id="558" w:name="_Toc26183"/>
      <w:bookmarkStart w:id="559" w:name="_Toc12103"/>
      <w:bookmarkStart w:id="560" w:name="_Toc32285"/>
      <w:bookmarkStart w:id="561" w:name="_Toc7414"/>
      <w:r>
        <w:rPr>
          <w:rFonts w:hint="default" w:ascii="Times New Roman" w:hAnsi="Times New Roman" w:cs="Times New Roman" w:eastAsiaTheme="minorEastAsia"/>
          <w:color w:val="auto"/>
          <w:sz w:val="24"/>
          <w:szCs w:val="24"/>
          <w:highlight w:val="none"/>
        </w:rPr>
        <w:t>6.4.3 应急终止的行动</w:t>
      </w:r>
      <w:bookmarkEnd w:id="557"/>
      <w:bookmarkEnd w:id="558"/>
      <w:bookmarkEnd w:id="559"/>
      <w:bookmarkEnd w:id="560"/>
      <w:bookmarkEnd w:id="561"/>
    </w:p>
    <w:p w14:paraId="1047234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（1）应急状态终止后，</w:t>
      </w:r>
      <w:r>
        <w:rPr>
          <w:rFonts w:hint="eastAsia" w:ascii="Times New Roman" w:hAnsi="Times New Roman" w:cs="Times New Roman" w:eastAsiaTheme="minorEastAsia"/>
          <w:color w:val="auto"/>
          <w:sz w:val="24"/>
          <w:szCs w:val="24"/>
          <w:highlight w:val="none"/>
          <w:lang w:val="en-US" w:eastAsia="zh-CN"/>
        </w:rPr>
        <w:t>应急监测</w:t>
      </w:r>
      <w:r>
        <w:rPr>
          <w:rFonts w:hint="default" w:ascii="Times New Roman" w:hAnsi="Times New Roman" w:cs="Times New Roman" w:eastAsiaTheme="minorEastAsia"/>
          <w:color w:val="auto"/>
          <w:sz w:val="24"/>
          <w:szCs w:val="24"/>
          <w:highlight w:val="none"/>
        </w:rPr>
        <w:t>组继续进行跟踪监测和评价工作，直至污染影响彻底消除为止；</w:t>
      </w:r>
    </w:p>
    <w:p w14:paraId="4EDA5DF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（2）通知本</w:t>
      </w:r>
      <w:r>
        <w:rPr>
          <w:rFonts w:hint="eastAsia" w:ascii="Times New Roman" w:hAnsi="Times New Roman" w:cs="Times New Roman" w:eastAsiaTheme="minorEastAsia"/>
          <w:color w:val="auto"/>
          <w:sz w:val="24"/>
          <w:szCs w:val="24"/>
          <w:highlight w:val="none"/>
          <w:lang w:val="en-US" w:eastAsia="zh-CN"/>
        </w:rPr>
        <w:t>公司</w:t>
      </w:r>
      <w:r>
        <w:rPr>
          <w:rFonts w:hint="default" w:ascii="Times New Roman" w:hAnsi="Times New Roman" w:cs="Times New Roman" w:eastAsiaTheme="minorEastAsia"/>
          <w:color w:val="auto"/>
          <w:sz w:val="24"/>
          <w:szCs w:val="24"/>
          <w:highlight w:val="none"/>
        </w:rPr>
        <w:t>相关部门、周边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（或事业）单位、社区、社会关注区及人员时间危险已解除；</w:t>
      </w:r>
    </w:p>
    <w:p w14:paraId="7751190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（3）对现场中暴露的工作人员、应急行动人员和受污染设备进行清洁净化；</w:t>
      </w:r>
    </w:p>
    <w:p w14:paraId="5B72E721">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（4）事件情况上报事项；</w:t>
      </w:r>
    </w:p>
    <w:p w14:paraId="1CAB108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（5）需向事件调查处理小组移交的相关事项；</w:t>
      </w:r>
    </w:p>
    <w:p w14:paraId="4F2C651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（6）事件原因、损失调查与责任认定；</w:t>
      </w:r>
    </w:p>
    <w:p w14:paraId="0861410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（7）应急过程评价；</w:t>
      </w:r>
    </w:p>
    <w:p w14:paraId="1589047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（8）事件应急救援工作总结报告；</w:t>
      </w:r>
    </w:p>
    <w:p w14:paraId="188B782E">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（9）突发环境事件应急预案的修订；</w:t>
      </w:r>
    </w:p>
    <w:p w14:paraId="2427A2D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（10）维护、保养应急仪器设备。</w:t>
      </w:r>
    </w:p>
    <w:p w14:paraId="78330DDB">
      <w:pPr>
        <w:pStyle w:val="4"/>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562" w:name="_Toc533407818"/>
      <w:bookmarkStart w:id="563" w:name="_Toc19103"/>
      <w:bookmarkStart w:id="564" w:name="_Toc535504560"/>
      <w:bookmarkStart w:id="565" w:name="_Toc16470"/>
      <w:bookmarkStart w:id="566" w:name="_Toc8375"/>
      <w:bookmarkStart w:id="567" w:name="_Toc30341"/>
      <w:r>
        <w:rPr>
          <w:rFonts w:hint="default" w:ascii="Times New Roman" w:hAnsi="Times New Roman" w:cs="Times New Roman" w:eastAsiaTheme="minorEastAsia"/>
          <w:color w:val="auto"/>
          <w:sz w:val="24"/>
          <w:szCs w:val="24"/>
          <w:highlight w:val="none"/>
        </w:rPr>
        <w:t>6.5 现场保护与现场洗消</w:t>
      </w:r>
      <w:bookmarkEnd w:id="562"/>
      <w:bookmarkEnd w:id="563"/>
      <w:bookmarkEnd w:id="564"/>
      <w:bookmarkEnd w:id="565"/>
      <w:bookmarkEnd w:id="566"/>
      <w:bookmarkEnd w:id="567"/>
    </w:p>
    <w:p w14:paraId="006CC22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明确现场保护、清洁净化等工作需要的设备工具和物资，事故后对现场中暴露的工作人员、应急行动人员和受污染设备的清洁净化方法和程序。</w:t>
      </w:r>
    </w:p>
    <w:p w14:paraId="2D8AEAD1">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eastAsiaTheme="minorEastAsia"/>
          <w:color w:val="auto"/>
          <w:sz w:val="24"/>
          <w:szCs w:val="24"/>
          <w:highlight w:val="none"/>
          <w:lang w:val="en-US" w:eastAsia="zh-CN"/>
        </w:rPr>
        <w:t>现场处置组</w:t>
      </w:r>
      <w:r>
        <w:rPr>
          <w:rFonts w:hint="default" w:ascii="Times New Roman" w:hAnsi="Times New Roman" w:cs="Times New Roman" w:eastAsiaTheme="minorEastAsia"/>
          <w:color w:val="auto"/>
          <w:sz w:val="24"/>
          <w:szCs w:val="24"/>
          <w:highlight w:val="none"/>
        </w:rPr>
        <w:t>组长会同岗位负责人组织有经验的职工，严格按照相关要求进行事故现场洗消工作，必要时对受影响区域进行连续</w:t>
      </w:r>
      <w:r>
        <w:rPr>
          <w:rFonts w:hint="eastAsia" w:ascii="Times New Roman" w:hAnsi="Times New Roman" w:cs="Times New Roman" w:eastAsiaTheme="minorEastAsia"/>
          <w:color w:val="auto"/>
          <w:sz w:val="24"/>
          <w:szCs w:val="24"/>
          <w:highlight w:val="none"/>
          <w:lang w:val="en-US" w:eastAsia="zh-CN"/>
        </w:rPr>
        <w:t>监测</w:t>
      </w:r>
      <w:r>
        <w:rPr>
          <w:rFonts w:hint="default" w:ascii="Times New Roman" w:hAnsi="Times New Roman" w:cs="Times New Roman" w:eastAsiaTheme="minorEastAsia"/>
          <w:color w:val="auto"/>
          <w:sz w:val="24"/>
          <w:szCs w:val="24"/>
          <w:highlight w:val="none"/>
        </w:rPr>
        <w:t>；</w:t>
      </w:r>
    </w:p>
    <w:p w14:paraId="0450EB76">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（2）现场洗消工作必须对症施治，对存在有毒有害的物质实施清除</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大量残液，使用无火花盛器收，小量残液，用干</w:t>
      </w:r>
      <w:r>
        <w:rPr>
          <w:rFonts w:hint="eastAsia" w:ascii="Times New Roman" w:hAnsi="Times New Roman" w:cs="Times New Roman" w:eastAsiaTheme="minorEastAsia"/>
          <w:color w:val="auto"/>
          <w:sz w:val="24"/>
          <w:szCs w:val="24"/>
          <w:highlight w:val="none"/>
          <w:lang w:eastAsia="zh-CN"/>
        </w:rPr>
        <w:t>沙</w:t>
      </w:r>
      <w:r>
        <w:rPr>
          <w:rFonts w:hint="default" w:ascii="Times New Roman" w:hAnsi="Times New Roman" w:cs="Times New Roman" w:eastAsiaTheme="minorEastAsia"/>
          <w:color w:val="auto"/>
          <w:sz w:val="24"/>
          <w:szCs w:val="24"/>
          <w:highlight w:val="none"/>
        </w:rPr>
        <w:t>土等吸附，收集后的残液和垃圾作危险废物集中处置；洗消水如浓度不高直接进入事故池；</w:t>
      </w:r>
    </w:p>
    <w:p w14:paraId="207FC692">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（3）现场洗消过程中必须注意保护现场未受到污染的设施和药液，防止事故损失的扩大，以便能尽快的恢复生产；</w:t>
      </w:r>
    </w:p>
    <w:p w14:paraId="16F63FEE">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（4）对现场中暴露的工作人员、应急行动人员和受污染工具、设备（包括救援器材）进行清洁净化，当应急人员从现场撤出时，他们的衣物或其它物品应集中处理。</w:t>
      </w:r>
    </w:p>
    <w:p w14:paraId="3C9050D7">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（5）现场洗消必须经指挥部按相关要求验收合格，符合要求方可结束。</w:t>
      </w:r>
    </w:p>
    <w:p w14:paraId="4E662D49">
      <w:pPr>
        <w:pStyle w:val="2"/>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568" w:name="_Toc32428"/>
      <w:bookmarkStart w:id="569" w:name="_Toc535504561"/>
      <w:bookmarkStart w:id="570" w:name="_Toc21115"/>
      <w:bookmarkStart w:id="571" w:name="_Toc15989"/>
      <w:bookmarkStart w:id="572" w:name="_Toc23034"/>
      <w:bookmarkStart w:id="573" w:name="_Toc533407819"/>
      <w:r>
        <w:rPr>
          <w:rFonts w:hint="default" w:ascii="Times New Roman" w:hAnsi="Times New Roman" w:cs="Times New Roman" w:eastAsiaTheme="minorEastAsia"/>
          <w:color w:val="auto"/>
          <w:sz w:val="24"/>
          <w:szCs w:val="24"/>
          <w:highlight w:val="none"/>
        </w:rPr>
        <w:t>6.5.1 事故废水、废液、废渣的安全处置</w:t>
      </w:r>
      <w:bookmarkEnd w:id="568"/>
      <w:bookmarkEnd w:id="569"/>
      <w:bookmarkEnd w:id="570"/>
      <w:bookmarkEnd w:id="571"/>
      <w:bookmarkEnd w:id="572"/>
      <w:bookmarkEnd w:id="573"/>
    </w:p>
    <w:p w14:paraId="6D4C680C">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事故应急结束后，应急过程产生的事故废水、废液、废渣等有毒有害的物质必须得到安全收集、妥善处置，不得造成二次污染。</w:t>
      </w:r>
    </w:p>
    <w:p w14:paraId="4B7CF362">
      <w:pPr>
        <w:pStyle w:val="4"/>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574" w:name="_Toc533407820"/>
      <w:bookmarkStart w:id="575" w:name="_Toc535504562"/>
      <w:bookmarkStart w:id="576" w:name="_Toc18041"/>
      <w:bookmarkStart w:id="577" w:name="_Toc32767"/>
      <w:bookmarkStart w:id="578" w:name="_Toc24991"/>
      <w:bookmarkStart w:id="579" w:name="_Toc32460"/>
      <w:r>
        <w:rPr>
          <w:rFonts w:hint="default" w:ascii="Times New Roman" w:hAnsi="Times New Roman" w:cs="Times New Roman" w:eastAsiaTheme="minorEastAsia"/>
          <w:color w:val="auto"/>
          <w:sz w:val="24"/>
          <w:szCs w:val="24"/>
          <w:highlight w:val="none"/>
        </w:rPr>
        <w:t>6.6 事故现场保护</w:t>
      </w:r>
      <w:bookmarkEnd w:id="574"/>
      <w:bookmarkEnd w:id="575"/>
      <w:bookmarkEnd w:id="576"/>
      <w:bookmarkEnd w:id="577"/>
      <w:bookmarkEnd w:id="578"/>
      <w:bookmarkEnd w:id="579"/>
    </w:p>
    <w:p w14:paraId="7430C505">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（1）事故应急结束，</w:t>
      </w:r>
      <w:r>
        <w:rPr>
          <w:rFonts w:hint="eastAsia" w:ascii="Times New Roman" w:hAnsi="Times New Roman" w:cs="Times New Roman" w:eastAsiaTheme="minorEastAsia"/>
          <w:color w:val="auto"/>
          <w:sz w:val="24"/>
          <w:szCs w:val="24"/>
          <w:highlight w:val="none"/>
          <w:lang w:val="en-US" w:eastAsia="zh-CN"/>
        </w:rPr>
        <w:t>应急警戒</w:t>
      </w:r>
      <w:r>
        <w:rPr>
          <w:rFonts w:hint="default" w:ascii="Times New Roman" w:hAnsi="Times New Roman" w:cs="Times New Roman" w:eastAsiaTheme="minorEastAsia"/>
          <w:color w:val="auto"/>
          <w:sz w:val="24"/>
          <w:szCs w:val="24"/>
          <w:highlight w:val="none"/>
        </w:rPr>
        <w:t>组负责人员清点、撤点、解除警戒，保护事故第一现场，等待事故调查人员取证；同时协助做好现场标志以及记录、绘图等项工作；</w:t>
      </w:r>
    </w:p>
    <w:p w14:paraId="1B30167E">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（2）现场保护期间，非事故应急救援人员或非经总指挥批准的有关人员，一律不得进入事故第一现场；现场保护的取消必须在事故调查人员取证后，由指挥部总指挥同意方可取消。</w:t>
      </w:r>
    </w:p>
    <w:p w14:paraId="294C2DD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（3）通知、通报相关部门、周边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、社区及社会关注方危险已解除；组织人员返回。</w:t>
      </w:r>
    </w:p>
    <w:p w14:paraId="16686FEF">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580" w:name="_Toc28969"/>
      <w:bookmarkStart w:id="581" w:name="_Toc14085"/>
      <w:bookmarkStart w:id="582" w:name="_Toc26864"/>
      <w:bookmarkStart w:id="583" w:name="_Toc6207"/>
      <w:bookmarkStart w:id="584" w:name="_Toc534201504"/>
      <w:bookmarkStart w:id="585" w:name="_Toc535504563"/>
      <w:bookmarkStart w:id="586" w:name="_Toc486344785"/>
      <w:bookmarkStart w:id="587" w:name="_Toc2802"/>
      <w:r>
        <w:rPr>
          <w:rFonts w:hint="default" w:ascii="Times New Roman" w:hAnsi="Times New Roman" w:cs="Times New Roman" w:eastAsiaTheme="minorEastAsia"/>
          <w:color w:val="auto"/>
          <w:sz w:val="24"/>
          <w:szCs w:val="24"/>
          <w:highlight w:val="none"/>
        </w:rPr>
        <w:t>6.7 与其他应急预案的衔接</w:t>
      </w:r>
      <w:bookmarkEnd w:id="580"/>
      <w:bookmarkEnd w:id="581"/>
      <w:bookmarkEnd w:id="582"/>
      <w:bookmarkEnd w:id="583"/>
      <w:bookmarkEnd w:id="584"/>
      <w:bookmarkEnd w:id="585"/>
      <w:bookmarkEnd w:id="586"/>
      <w:bookmarkEnd w:id="587"/>
    </w:p>
    <w:p w14:paraId="5737302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（1）应急预案的衔接</w:t>
      </w:r>
    </w:p>
    <w:p w14:paraId="16AF72B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本预案与海安市应急预案等相衔接。当本公司发生较大突发环境事件，超出</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处理能力时，由上级主管部门启动本级应急预案。</w:t>
      </w:r>
    </w:p>
    <w:p w14:paraId="0450023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织机构、人员的衔接</w:t>
      </w:r>
    </w:p>
    <w:p w14:paraId="090E5ED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当发生重大风险事故，超出了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应急处置能力时，公司</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总指挥到位后要向上一级应急救援指挥机构移交指挥权，并及时承担起与</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各应急小组、当地区域各职能管理部门、上级应急救援指挥机构的联系工作，及时将事故发生情况及最新进展向有关部门汇报，并将上级指挥机构的命令及时向</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各</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报告；编制环境污染事故报告，并将报告向上级部门汇报。</w:t>
      </w:r>
    </w:p>
    <w:p w14:paraId="5734293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（3）预案分级响应的衔接</w:t>
      </w:r>
    </w:p>
    <w:p w14:paraId="6B8A6A0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w:t>
      </w:r>
      <w:r>
        <w:rPr>
          <w:rFonts w:hint="eastAsia" w:ascii="Times New Roman" w:hAnsi="Times New Roman" w:cs="Times New Roman" w:eastAsiaTheme="minorEastAsia"/>
          <w:color w:val="auto"/>
          <w:sz w:val="24"/>
          <w:szCs w:val="24"/>
          <w:highlight w:val="none"/>
          <w:lang w:val="en-US" w:eastAsia="zh-CN"/>
        </w:rPr>
        <w:t>较大</w:t>
      </w:r>
      <w:r>
        <w:rPr>
          <w:rFonts w:hint="default" w:ascii="Times New Roman" w:hAnsi="Times New Roman" w:cs="Times New Roman" w:eastAsiaTheme="minorEastAsia"/>
          <w:color w:val="auto"/>
          <w:sz w:val="24"/>
          <w:szCs w:val="24"/>
          <w:highlight w:val="none"/>
        </w:rPr>
        <w:t>突发环境事件：立即启动厂区突发环境事件应急预案，在污染事故现场处置妥当后，经</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研究确定后，向</w:t>
      </w:r>
      <w:r>
        <w:rPr>
          <w:rFonts w:hint="eastAsia" w:ascii="Times New Roman" w:hAnsi="Times New Roman" w:cs="Times New Roman" w:eastAsiaTheme="minorEastAsia"/>
          <w:color w:val="auto"/>
          <w:sz w:val="24"/>
          <w:szCs w:val="24"/>
          <w:highlight w:val="none"/>
          <w:lang w:val="en-US" w:eastAsia="zh-CN"/>
        </w:rPr>
        <w:t>南通市海安生态环境局</w:t>
      </w:r>
      <w:r>
        <w:rPr>
          <w:rFonts w:hint="default" w:ascii="Times New Roman" w:hAnsi="Times New Roman" w:cs="Times New Roman" w:eastAsiaTheme="minorEastAsia"/>
          <w:color w:val="auto"/>
          <w:sz w:val="24"/>
          <w:szCs w:val="24"/>
          <w:highlight w:val="none"/>
        </w:rPr>
        <w:t>报告处理结果。</w:t>
      </w:r>
    </w:p>
    <w:p w14:paraId="5D37DEE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w:t>
      </w:r>
      <w:r>
        <w:rPr>
          <w:rFonts w:hint="eastAsia" w:ascii="Times New Roman" w:hAnsi="Times New Roman" w:cs="Times New Roman" w:eastAsiaTheme="minorEastAsia"/>
          <w:color w:val="auto"/>
          <w:sz w:val="24"/>
          <w:szCs w:val="24"/>
          <w:highlight w:val="none"/>
          <w:lang w:val="en-US" w:eastAsia="zh-CN"/>
        </w:rPr>
        <w:t>重大</w:t>
      </w:r>
      <w:r>
        <w:rPr>
          <w:rFonts w:hint="default" w:ascii="Times New Roman" w:hAnsi="Times New Roman" w:cs="Times New Roman" w:eastAsiaTheme="minorEastAsia"/>
          <w:color w:val="auto"/>
          <w:sz w:val="24"/>
          <w:szCs w:val="24"/>
          <w:highlight w:val="none"/>
        </w:rPr>
        <w:t>突发环境事件：</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在接到事故报警后，立即向上一级应急救援指挥机构报告，并请求援助。</w:t>
      </w:r>
    </w:p>
    <w:p w14:paraId="09E896A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上级应急处理指挥部进行紧急动员，适时启动本级环境污染事故应急预案，迅速调集救援力量，指挥各成员单位、相关职能部门，根据本级应急预案组成各个应急行动小组，按照各自的职责和现场救援具体方案开展抢险救援工作，</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厂区各应急小组听从上级现场指挥部的领导。</w:t>
      </w:r>
    </w:p>
    <w:p w14:paraId="2B55CA8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当污染事故有进一步扩大、发展趋势，或因事故衍生问题造成重大社会不稳定事态，上级现场指挥将根据事态发展，及时向上汇报以及时调整应急响应级别。</w:t>
      </w:r>
    </w:p>
    <w:p w14:paraId="2BFD3A4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（4）应急救援保障的衔接</w:t>
      </w:r>
    </w:p>
    <w:p w14:paraId="3FFE682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①单位互助体系：公司与周边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建立良好的应急互助关系，在较大事故发生后，相互支援。</w:t>
      </w:r>
    </w:p>
    <w:p w14:paraId="54B08FC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②公共援助力量：</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需要外部援助时可向南通市海安生态环境局、海安市公共消防队、医院、公安、交通、应急管理局以及各相关职能部门，请求救援力量、设备的支持。</w:t>
      </w:r>
    </w:p>
    <w:p w14:paraId="0547478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③专家援助：</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建立或依托当地政府部门建立突发环境风险事故应急救援专家库，在紧急情况下，可以联系获取救援支持。</w:t>
      </w:r>
    </w:p>
    <w:p w14:paraId="6511D3E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（5）应急培训计划的衔接</w:t>
      </w:r>
    </w:p>
    <w:p w14:paraId="5576881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在开展应急培训计划的同时，还应积极配合海安市开展的应急培训计划，在发生风险事故时，及时与上级</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织取得联系。</w:t>
      </w:r>
    </w:p>
    <w:p w14:paraId="5DF972A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（6）信息通报系统</w:t>
      </w:r>
    </w:p>
    <w:p w14:paraId="534C752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建设畅通的信息通道。</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突发环境事件</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必须与周边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、村庄村委会保持24小时的电话联系。一旦发生风险事故，可在第一时间通知相关单位组织居民疏散、撤离。</w:t>
      </w:r>
    </w:p>
    <w:p w14:paraId="1BD0BAE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（7）公众教育的衔接</w:t>
      </w:r>
    </w:p>
    <w:p w14:paraId="0A38A8F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对单位员工开展教育、培训时，应对周边公众和相邻单位进行环境应急基本知识的宣传，如发生事故，可以更好的疏散、做好个人防护。</w:t>
      </w:r>
    </w:p>
    <w:p w14:paraId="2B8FE6DC">
      <w:pPr>
        <w:pStyle w:val="4"/>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588" w:name="_Toc486344786"/>
      <w:bookmarkStart w:id="589" w:name="_Toc22981"/>
      <w:bookmarkStart w:id="590" w:name="_Toc535504564"/>
      <w:bookmarkStart w:id="591" w:name="_Toc534201505"/>
      <w:bookmarkStart w:id="592" w:name="_Toc409618944"/>
      <w:bookmarkStart w:id="593" w:name="_Toc29025"/>
      <w:bookmarkStart w:id="594" w:name="_Toc417857648"/>
      <w:bookmarkStart w:id="595" w:name="_Toc30862"/>
      <w:bookmarkStart w:id="596" w:name="_Toc8449"/>
      <w:bookmarkStart w:id="597" w:name="_Toc27128"/>
      <w:r>
        <w:rPr>
          <w:rFonts w:hint="default" w:ascii="Times New Roman" w:hAnsi="Times New Roman" w:cs="Times New Roman" w:eastAsiaTheme="minorEastAsia"/>
          <w:color w:val="auto"/>
          <w:sz w:val="24"/>
          <w:szCs w:val="24"/>
          <w:highlight w:val="none"/>
        </w:rPr>
        <w:t xml:space="preserve">6.8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目前应急能力评估</w:t>
      </w:r>
      <w:bookmarkEnd w:id="588"/>
      <w:bookmarkEnd w:id="589"/>
      <w:bookmarkEnd w:id="590"/>
      <w:bookmarkEnd w:id="591"/>
      <w:bookmarkEnd w:id="592"/>
      <w:bookmarkEnd w:id="593"/>
      <w:bookmarkEnd w:id="594"/>
      <w:bookmarkEnd w:id="595"/>
      <w:bookmarkEnd w:id="596"/>
      <w:bookmarkEnd w:id="597"/>
    </w:p>
    <w:p w14:paraId="3D52331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从预防措施、应急救援设施、应急队伍、应急物资等方面对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目前的应急能力进行自我评估。</w:t>
      </w:r>
    </w:p>
    <w:p w14:paraId="2815960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1、应急队伍</w:t>
      </w:r>
    </w:p>
    <w:p w14:paraId="4F2DA36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本公司设有以总指挥为领导小组的环境</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，下设</w:t>
      </w:r>
      <w:r>
        <w:rPr>
          <w:rFonts w:hint="eastAsia" w:ascii="Times New Roman" w:hAnsi="Times New Roman" w:cs="Times New Roman" w:eastAsiaTheme="minorEastAsia"/>
          <w:color w:val="auto"/>
          <w:sz w:val="24"/>
          <w:szCs w:val="24"/>
          <w:highlight w:val="none"/>
          <w:lang w:val="en-US" w:eastAsia="zh-CN"/>
        </w:rPr>
        <w:t>综合协调组、现场处置组、应急保障组、医疗救治组和应急监测组5</w:t>
      </w:r>
      <w:r>
        <w:rPr>
          <w:rFonts w:hint="default" w:ascii="Times New Roman" w:hAnsi="Times New Roman" w:cs="Times New Roman" w:eastAsiaTheme="minorEastAsia"/>
          <w:color w:val="auto"/>
          <w:sz w:val="24"/>
          <w:szCs w:val="24"/>
          <w:highlight w:val="none"/>
        </w:rPr>
        <w:t>个</w:t>
      </w:r>
      <w:r>
        <w:rPr>
          <w:rFonts w:hint="eastAsia" w:ascii="Times New Roman" w:hAnsi="Times New Roman" w:cs="Times New Roman" w:eastAsiaTheme="minorEastAsia"/>
          <w:color w:val="auto"/>
          <w:sz w:val="24"/>
          <w:szCs w:val="24"/>
          <w:highlight w:val="none"/>
          <w:lang w:val="en-US" w:eastAsia="zh-CN"/>
        </w:rPr>
        <w:t>应急</w:t>
      </w:r>
      <w:r>
        <w:rPr>
          <w:rFonts w:hint="default" w:ascii="Times New Roman" w:hAnsi="Times New Roman" w:cs="Times New Roman" w:eastAsiaTheme="minorEastAsia"/>
          <w:color w:val="auto"/>
          <w:sz w:val="24"/>
          <w:szCs w:val="24"/>
          <w:highlight w:val="none"/>
        </w:rPr>
        <w:t>小组，可充分保障本公司突发环境事件的及时处置并协助外部相关救援部门的环境事件应急救援工作。</w:t>
      </w:r>
    </w:p>
    <w:p w14:paraId="2A87675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2、应急救援设施</w:t>
      </w:r>
    </w:p>
    <w:p w14:paraId="7E9DF28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eastAsia" w:ascii="Times New Roman" w:hAnsi="Times New Roman" w:cs="Times New Roman" w:eastAsiaTheme="minorEastAsia"/>
          <w:color w:val="auto"/>
          <w:sz w:val="24"/>
          <w:szCs w:val="24"/>
          <w:highlight w:val="none"/>
          <w:lang w:val="en-US" w:eastAsia="zh-CN"/>
        </w:rPr>
        <w:t>设置100</w:t>
      </w:r>
      <w:r>
        <w:rPr>
          <w:rFonts w:hint="eastAsia" w:ascii="Times New Roman" w:hAnsi="Times New Roman" w:cs="Times New Roman" w:eastAsiaTheme="minorEastAsia"/>
          <w:color w:val="auto"/>
          <w:sz w:val="24"/>
          <w:szCs w:val="24"/>
          <w:highlight w:val="none"/>
          <w:lang w:eastAsia="zh-CN"/>
        </w:rPr>
        <w:t>m</w:t>
      </w:r>
      <w:r>
        <w:rPr>
          <w:rFonts w:hint="default" w:ascii="Times New Roman" w:hAnsi="Times New Roman" w:cs="Times New Roman" w:eastAsiaTheme="minorEastAsia"/>
          <w:color w:val="auto"/>
          <w:sz w:val="24"/>
          <w:szCs w:val="24"/>
          <w:highlight w:val="none"/>
          <w:vertAlign w:val="superscript"/>
        </w:rPr>
        <w:t>3</w:t>
      </w:r>
      <w:r>
        <w:rPr>
          <w:rFonts w:hint="default" w:ascii="Times New Roman" w:hAnsi="Times New Roman" w:cs="Times New Roman" w:eastAsiaTheme="minorEastAsia"/>
          <w:color w:val="auto"/>
          <w:sz w:val="24"/>
          <w:szCs w:val="24"/>
          <w:highlight w:val="none"/>
        </w:rPr>
        <w:t>的应急事故池，主要用来储存事故状态下的</w:t>
      </w:r>
      <w:r>
        <w:rPr>
          <w:rFonts w:hint="eastAsia" w:ascii="Times New Roman" w:hAnsi="Times New Roman" w:cs="Times New Roman" w:eastAsiaTheme="minorEastAsia"/>
          <w:color w:val="auto"/>
          <w:sz w:val="24"/>
          <w:szCs w:val="24"/>
          <w:highlight w:val="none"/>
          <w:lang w:eastAsia="zh-CN"/>
        </w:rPr>
        <w:t>消防水</w:t>
      </w:r>
      <w:r>
        <w:rPr>
          <w:rFonts w:hint="default" w:ascii="Times New Roman" w:hAnsi="Times New Roman" w:cs="Times New Roman" w:eastAsiaTheme="minorEastAsia"/>
          <w:color w:val="auto"/>
          <w:sz w:val="24"/>
          <w:szCs w:val="24"/>
          <w:highlight w:val="none"/>
        </w:rPr>
        <w:t>、初期雨水等，容量能够满足要求。</w:t>
      </w:r>
    </w:p>
    <w:p w14:paraId="395CFFE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3、应急物资</w:t>
      </w:r>
    </w:p>
    <w:p w14:paraId="21B4F59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在厂区配备了灭火器、个体防护设备等应急物资。</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针对发生事故以及事故后洗消配备了较为全面的</w:t>
      </w:r>
      <w:r>
        <w:rPr>
          <w:rFonts w:hint="eastAsia" w:ascii="Times New Roman" w:hAnsi="Times New Roman" w:cs="Times New Roman" w:eastAsiaTheme="minorEastAsia"/>
          <w:color w:val="auto"/>
          <w:sz w:val="24"/>
          <w:szCs w:val="24"/>
          <w:highlight w:val="none"/>
          <w:lang w:eastAsia="zh-CN"/>
        </w:rPr>
        <w:t>消防服</w:t>
      </w:r>
      <w:r>
        <w:rPr>
          <w:rFonts w:hint="default" w:ascii="Times New Roman" w:hAnsi="Times New Roman" w:cs="Times New Roman" w:eastAsiaTheme="minorEastAsia"/>
          <w:color w:val="auto"/>
          <w:sz w:val="24"/>
          <w:szCs w:val="24"/>
          <w:highlight w:val="none"/>
        </w:rPr>
        <w:t>、医药箱等防护物资，应急防护物资配备较为齐全。</w:t>
      </w:r>
    </w:p>
    <w:p w14:paraId="0C356F0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4、监控、预警系统设置情况</w:t>
      </w:r>
    </w:p>
    <w:p w14:paraId="000A9CA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eastAsia" w:ascii="Times New Roman" w:hAnsi="Times New Roman" w:cs="Times New Roman" w:eastAsiaTheme="minorEastAsia"/>
          <w:color w:val="auto"/>
          <w:sz w:val="24"/>
          <w:szCs w:val="24"/>
          <w:highlight w:val="none"/>
          <w:lang w:val="en-US" w:eastAsia="zh-CN"/>
        </w:rPr>
        <w:t>依托租赁厂区南通欣宇源环保科技有限公司设置1</w:t>
      </w:r>
      <w:r>
        <w:rPr>
          <w:rFonts w:hint="default" w:ascii="Times New Roman" w:hAnsi="Times New Roman" w:cs="Times New Roman" w:eastAsiaTheme="minorEastAsia"/>
          <w:color w:val="auto"/>
          <w:sz w:val="24"/>
          <w:szCs w:val="24"/>
          <w:highlight w:val="none"/>
        </w:rPr>
        <w:t>个</w:t>
      </w:r>
      <w:r>
        <w:rPr>
          <w:rFonts w:hint="eastAsia" w:ascii="Times New Roman" w:hAnsi="Times New Roman" w:cs="Times New Roman" w:eastAsiaTheme="minorEastAsia"/>
          <w:color w:val="auto"/>
          <w:sz w:val="24"/>
          <w:szCs w:val="24"/>
          <w:highlight w:val="none"/>
          <w:lang w:val="en-US" w:eastAsia="zh-CN"/>
        </w:rPr>
        <w:t>污水</w:t>
      </w:r>
      <w:r>
        <w:rPr>
          <w:rFonts w:hint="default" w:ascii="Times New Roman" w:hAnsi="Times New Roman" w:cs="Times New Roman" w:eastAsiaTheme="minorEastAsia"/>
          <w:color w:val="auto"/>
          <w:sz w:val="24"/>
          <w:szCs w:val="24"/>
          <w:highlight w:val="none"/>
        </w:rPr>
        <w:t>排口，</w:t>
      </w:r>
      <w:r>
        <w:rPr>
          <w:rFonts w:hint="eastAsia" w:ascii="Times New Roman" w:hAnsi="Times New Roman" w:cs="Times New Roman" w:eastAsiaTheme="minorEastAsia"/>
          <w:color w:val="auto"/>
          <w:sz w:val="24"/>
          <w:szCs w:val="24"/>
          <w:highlight w:val="none"/>
          <w:lang w:val="en-US" w:eastAsia="zh-CN"/>
        </w:rPr>
        <w:t>1个雨水排口，雨水排口</w:t>
      </w:r>
      <w:r>
        <w:rPr>
          <w:rFonts w:hint="default" w:ascii="Times New Roman" w:hAnsi="Times New Roman" w:cs="Times New Roman" w:eastAsiaTheme="minorEastAsia"/>
          <w:color w:val="auto"/>
          <w:sz w:val="24"/>
          <w:szCs w:val="24"/>
          <w:highlight w:val="none"/>
        </w:rPr>
        <w:t>设置切断阀。厂区设有应急通信系统，应急电源和照明设备。</w:t>
      </w:r>
    </w:p>
    <w:p w14:paraId="17905C7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整个厂区的报警系统采用消防报警系统和电话报警系统相结合方式，厂区照明依照《工业</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照明设计标准》设计。</w:t>
      </w:r>
    </w:p>
    <w:p w14:paraId="55425C4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5、应急救援外部资源</w:t>
      </w:r>
    </w:p>
    <w:p w14:paraId="39F6BB3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公司与生态环境局、消防单位、安监单位</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环境监测单位</w:t>
      </w:r>
      <w:r>
        <w:rPr>
          <w:rFonts w:hint="eastAsia" w:ascii="Times New Roman" w:hAnsi="Times New Roman" w:cs="Times New Roman" w:eastAsiaTheme="minorEastAsia"/>
          <w:color w:val="auto"/>
          <w:sz w:val="24"/>
          <w:szCs w:val="24"/>
          <w:highlight w:val="none"/>
          <w:lang w:val="en-US" w:eastAsia="zh-CN"/>
        </w:rPr>
        <w:t>以及南通欣宇源环保科技有限公司</w:t>
      </w:r>
      <w:r>
        <w:rPr>
          <w:rFonts w:hint="default" w:ascii="Times New Roman" w:hAnsi="Times New Roman" w:cs="Times New Roman" w:eastAsiaTheme="minorEastAsia"/>
          <w:color w:val="auto"/>
          <w:sz w:val="24"/>
          <w:szCs w:val="24"/>
          <w:highlight w:val="none"/>
        </w:rPr>
        <w:t>在环境应急方面都有密切联系，发生突发事故，可及时取得联系。</w:t>
      </w:r>
    </w:p>
    <w:p w14:paraId="7C25D0F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从公司的现有设备设施、组织机构构成、应急救援设施、应急救援外部资源等情况来看，我公司目前基本满足突发环境事件应急处理处置要求，对不满足的应急设施</w:t>
      </w:r>
      <w:r>
        <w:rPr>
          <w:rFonts w:hint="eastAsia" w:ascii="Times New Roman" w:hAnsi="Times New Roman" w:cs="Times New Roman" w:eastAsiaTheme="minorEastAsia"/>
          <w:color w:val="auto"/>
          <w:sz w:val="24"/>
          <w:szCs w:val="24"/>
          <w:highlight w:val="none"/>
          <w:lang w:val="en-US" w:eastAsia="zh-CN"/>
        </w:rPr>
        <w:t>将</w:t>
      </w:r>
      <w:r>
        <w:rPr>
          <w:rFonts w:hint="default" w:ascii="Times New Roman" w:hAnsi="Times New Roman" w:cs="Times New Roman" w:eastAsiaTheme="minorEastAsia"/>
          <w:color w:val="auto"/>
          <w:sz w:val="24"/>
          <w:szCs w:val="24"/>
          <w:highlight w:val="none"/>
        </w:rPr>
        <w:t>及时调整。</w:t>
      </w:r>
    </w:p>
    <w:p w14:paraId="2799402D">
      <w:pPr>
        <w:pageBreakBefore w:val="0"/>
        <w:widowControl/>
        <w:kinsoku/>
        <w:overflowPunct/>
        <w:bidi w:val="0"/>
        <w:spacing w:line="500" w:lineRule="exact"/>
        <w:ind w:firstLine="560"/>
        <w:rPr>
          <w:rFonts w:hint="default" w:ascii="Times New Roman" w:hAnsi="Times New Roman" w:cs="Times New Roman" w:eastAsiaTheme="minorEastAsia"/>
          <w:color w:val="auto"/>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3D0697E0">
      <w:pPr>
        <w:pStyle w:val="3"/>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598" w:name="_Toc8926"/>
      <w:bookmarkStart w:id="599" w:name="_Toc7984"/>
      <w:bookmarkStart w:id="600" w:name="_Toc6165"/>
      <w:bookmarkStart w:id="601" w:name="_Toc21039"/>
      <w:bookmarkStart w:id="602" w:name="_Toc4388"/>
      <w:bookmarkStart w:id="603" w:name="_Toc276118425"/>
      <w:bookmarkStart w:id="604" w:name="_Toc1629"/>
      <w:bookmarkStart w:id="605" w:name="_Toc275938177"/>
      <w:r>
        <w:rPr>
          <w:rFonts w:hint="default" w:ascii="Times New Roman" w:hAnsi="Times New Roman" w:cs="Times New Roman" w:eastAsiaTheme="minorEastAsia"/>
          <w:color w:val="auto"/>
          <w:sz w:val="28"/>
          <w:szCs w:val="28"/>
          <w:highlight w:val="none"/>
        </w:rPr>
        <w:t>7 事后恢复</w:t>
      </w:r>
      <w:bookmarkEnd w:id="598"/>
      <w:bookmarkEnd w:id="599"/>
      <w:bookmarkEnd w:id="600"/>
      <w:bookmarkEnd w:id="601"/>
    </w:p>
    <w:p w14:paraId="2D75B6D8">
      <w:pPr>
        <w:pStyle w:val="4"/>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606" w:name="_Toc25393"/>
      <w:bookmarkStart w:id="607" w:name="_Toc1748"/>
      <w:bookmarkStart w:id="608" w:name="_Toc4030"/>
      <w:bookmarkStart w:id="609" w:name="_Toc1356"/>
      <w:bookmarkStart w:id="610" w:name="_Toc535504566"/>
      <w:r>
        <w:rPr>
          <w:rFonts w:hint="default" w:ascii="Times New Roman" w:hAnsi="Times New Roman" w:cs="Times New Roman" w:eastAsiaTheme="minorEastAsia"/>
          <w:color w:val="auto"/>
          <w:sz w:val="24"/>
          <w:szCs w:val="24"/>
          <w:highlight w:val="none"/>
        </w:rPr>
        <w:t>7.1 善后处理</w:t>
      </w:r>
      <w:bookmarkEnd w:id="606"/>
      <w:bookmarkEnd w:id="607"/>
      <w:bookmarkEnd w:id="608"/>
      <w:bookmarkEnd w:id="609"/>
      <w:bookmarkEnd w:id="610"/>
    </w:p>
    <w:p w14:paraId="32B9192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（1）要做好受污染区域内群众的思想工作，安定群众情绪，并尽快开展善后处置工作，包括人员安置、补偿、宣传教育等工作。</w:t>
      </w:r>
    </w:p>
    <w:p w14:paraId="05AC9FE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（2）对突发环境事件产生的污染物进行认真收集、清理。对现场中暴露的工作人员、应急行动人员和受污染设备进行清洁消洗。</w:t>
      </w:r>
    </w:p>
    <w:p w14:paraId="1CED1FF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（3）由主管领导负责，组织有关部门分析事故原因，汲取事故教训，制订切实可行的防范措施，防止类似问题的重复出现。</w:t>
      </w:r>
    </w:p>
    <w:p w14:paraId="620F8C9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（4）编制突发环境事件总结报告。</w:t>
      </w:r>
    </w:p>
    <w:p w14:paraId="7815139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（5）维护、保养应急仪器设备，使之始终保持良好的技术状态。</w:t>
      </w:r>
    </w:p>
    <w:p w14:paraId="647EF1FC">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11" w:name="_Toc533407824"/>
      <w:bookmarkStart w:id="612" w:name="_Toc535504568"/>
      <w:bookmarkStart w:id="613" w:name="_Toc30066"/>
      <w:bookmarkStart w:id="614" w:name="_Toc25718"/>
      <w:bookmarkStart w:id="615" w:name="_Toc20669"/>
      <w:bookmarkStart w:id="616" w:name="_Toc30215"/>
      <w:r>
        <w:rPr>
          <w:rFonts w:hint="default" w:ascii="Times New Roman" w:hAnsi="Times New Roman" w:cs="Times New Roman" w:eastAsiaTheme="minorEastAsia"/>
          <w:color w:val="auto"/>
          <w:sz w:val="24"/>
          <w:szCs w:val="24"/>
          <w:highlight w:val="none"/>
        </w:rPr>
        <w:t>7.2 调查与评估</w:t>
      </w:r>
      <w:bookmarkEnd w:id="611"/>
      <w:bookmarkEnd w:id="612"/>
      <w:bookmarkEnd w:id="613"/>
      <w:bookmarkEnd w:id="614"/>
      <w:bookmarkEnd w:id="615"/>
      <w:bookmarkEnd w:id="616"/>
    </w:p>
    <w:p w14:paraId="54CF025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bookmarkStart w:id="617" w:name="_Toc19228"/>
      <w:r>
        <w:rPr>
          <w:rFonts w:hint="default" w:ascii="Times New Roman" w:hAnsi="Times New Roman" w:cs="Times New Roman" w:eastAsiaTheme="minorEastAsia"/>
          <w:color w:val="auto"/>
          <w:sz w:val="24"/>
          <w:szCs w:val="24"/>
          <w:highlight w:val="none"/>
        </w:rPr>
        <w:t>（1）成立事件调查小组，调查污染事件的诱因和性质，评估事件的危险程度；对周边水体、大气进行检查，评估污染事件的危害范围，后果；统计周边人员健康状况，评估影响和损失和待解决的遗留问题等；汲取事故教训，制定切实可行的防范措施，防止类似事故的发生。必要时组织有关专家对受灾范围进行科学评估，做好防疫防治、生态恢复等工作。</w:t>
      </w:r>
    </w:p>
    <w:p w14:paraId="666AE02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（2）对救援工作进行总结。对现有的防范措施和应急预案作出评价，指出其有效性和不足之处，提出整改意见。如应急预案是否科学合理，</w:t>
      </w:r>
      <w:r>
        <w:rPr>
          <w:rFonts w:hint="eastAsia" w:ascii="Times New Roman" w:hAnsi="Times New Roman" w:cs="Times New Roman" w:eastAsiaTheme="minorEastAsia"/>
          <w:color w:val="auto"/>
          <w:sz w:val="24"/>
          <w:szCs w:val="24"/>
          <w:highlight w:val="none"/>
          <w:lang w:eastAsia="zh-CN"/>
        </w:rPr>
        <w:t>应急</w:t>
      </w:r>
      <w:r>
        <w:rPr>
          <w:rFonts w:hint="default" w:ascii="Times New Roman" w:hAnsi="Times New Roman" w:cs="Times New Roman" w:eastAsiaTheme="minorEastAsia"/>
          <w:color w:val="auto"/>
          <w:sz w:val="24"/>
          <w:szCs w:val="24"/>
          <w:highlight w:val="none"/>
        </w:rPr>
        <w:t>机构的设置是否合理，应急队伍能力是否需要改进，响应程序是否与应急任务相匹配，采用的监测仪器、通讯设备和车辆等是否能够满足应急响应工作的需要，采取的防护措施和方法是否得当，防护装备是否满足要求等。并及时修订环境应急预案。</w:t>
      </w:r>
    </w:p>
    <w:p w14:paraId="0F45099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（3）编制事件详细报告上报（10个工作日内），报告中要对环境污染事件的基本情况进行定性和定量描述（监测数据），特别是事件的起因、过程和结果，并明确责任人应承担的责任。</w:t>
      </w:r>
    </w:p>
    <w:p w14:paraId="5CDD597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（4）做好突发环境事件记录和突发环境事件后的交接工作。对相关资料进行整理和存档，包括决策记录、信息分析等。</w:t>
      </w:r>
      <w:bookmarkEnd w:id="617"/>
    </w:p>
    <w:p w14:paraId="2D5E2C0A">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18" w:name="_Toc535504567"/>
      <w:bookmarkStart w:id="619" w:name="_Toc27040"/>
      <w:bookmarkStart w:id="620" w:name="_Toc7679"/>
      <w:bookmarkStart w:id="621" w:name="_Toc27754"/>
      <w:bookmarkStart w:id="622" w:name="_Toc27669"/>
      <w:r>
        <w:rPr>
          <w:rFonts w:hint="default" w:ascii="Times New Roman" w:hAnsi="Times New Roman" w:cs="Times New Roman" w:eastAsiaTheme="minorEastAsia"/>
          <w:color w:val="auto"/>
          <w:sz w:val="24"/>
          <w:szCs w:val="24"/>
          <w:highlight w:val="none"/>
        </w:rPr>
        <w:t>7.3 保险</w:t>
      </w:r>
      <w:bookmarkEnd w:id="618"/>
      <w:r>
        <w:rPr>
          <w:rFonts w:hint="default" w:ascii="Times New Roman" w:hAnsi="Times New Roman" w:cs="Times New Roman" w:eastAsiaTheme="minorEastAsia"/>
          <w:color w:val="auto"/>
          <w:sz w:val="24"/>
          <w:szCs w:val="24"/>
          <w:highlight w:val="none"/>
        </w:rPr>
        <w:t>理赔</w:t>
      </w:r>
      <w:bookmarkEnd w:id="619"/>
      <w:bookmarkEnd w:id="620"/>
      <w:bookmarkEnd w:id="621"/>
      <w:bookmarkEnd w:id="622"/>
    </w:p>
    <w:p w14:paraId="0A7F392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我公司根据需要对应急人员办理个人工伤意外险等，确认救援人员安全。</w:t>
      </w:r>
      <w:r>
        <w:rPr>
          <w:rFonts w:hint="default" w:ascii="Times New Roman" w:hAnsi="Times New Roman" w:cs="Times New Roman" w:eastAsiaTheme="minorEastAsia"/>
          <w:bCs/>
          <w:color w:val="auto"/>
          <w:sz w:val="24"/>
          <w:szCs w:val="24"/>
          <w:highlight w:val="none"/>
        </w:rPr>
        <w:t>突发环境事件发生后，及时做好理赔工作。</w:t>
      </w:r>
    </w:p>
    <w:p w14:paraId="6DA9D219">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23" w:name="_Toc533407825"/>
      <w:bookmarkStart w:id="624" w:name="_Toc535504569"/>
      <w:bookmarkStart w:id="625" w:name="_Toc10139"/>
      <w:bookmarkStart w:id="626" w:name="_Toc21484"/>
      <w:bookmarkStart w:id="627" w:name="_Toc2504"/>
      <w:bookmarkStart w:id="628" w:name="_Toc23125"/>
      <w:r>
        <w:rPr>
          <w:rFonts w:hint="default" w:ascii="Times New Roman" w:hAnsi="Times New Roman" w:cs="Times New Roman" w:eastAsiaTheme="minorEastAsia"/>
          <w:color w:val="auto"/>
          <w:sz w:val="24"/>
          <w:szCs w:val="24"/>
          <w:highlight w:val="none"/>
        </w:rPr>
        <w:t>7.4 恢复重建</w:t>
      </w:r>
      <w:bookmarkEnd w:id="623"/>
      <w:bookmarkEnd w:id="624"/>
      <w:bookmarkEnd w:id="625"/>
      <w:bookmarkEnd w:id="626"/>
      <w:bookmarkEnd w:id="627"/>
      <w:bookmarkEnd w:id="628"/>
    </w:p>
    <w:p w14:paraId="6FF9047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（1）明确恢复生产前，</w:t>
      </w:r>
      <w:r>
        <w:rPr>
          <w:rFonts w:hint="eastAsia" w:ascii="Times New Roman" w:hAnsi="Times New Roman" w:cs="Times New Roman" w:eastAsiaTheme="minorEastAsia"/>
          <w:color w:val="auto"/>
          <w:sz w:val="24"/>
          <w:szCs w:val="24"/>
          <w:highlight w:val="none"/>
          <w:lang w:val="en-US" w:eastAsia="zh-CN"/>
        </w:rPr>
        <w:t>环保部</w:t>
      </w:r>
      <w:r>
        <w:rPr>
          <w:rFonts w:hint="default" w:ascii="Times New Roman" w:hAnsi="Times New Roman" w:cs="Times New Roman" w:eastAsiaTheme="minorEastAsia"/>
          <w:color w:val="auto"/>
          <w:sz w:val="24"/>
          <w:szCs w:val="24"/>
          <w:highlight w:val="none"/>
        </w:rPr>
        <w:t>负责组织评估和确认以下内容得到实施：</w:t>
      </w:r>
    </w:p>
    <w:p w14:paraId="5AA2ED2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a、生产设备设施已经过检修和清理，确认可以正常使用；</w:t>
      </w:r>
    </w:p>
    <w:p w14:paraId="7711C15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b、环保设施及环境应急相关设施、设备、场所得到维护；</w:t>
      </w:r>
    </w:p>
    <w:p w14:paraId="5931DD9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highlight w:val="none"/>
        </w:rPr>
      </w:pPr>
      <w:r>
        <w:rPr>
          <w:rFonts w:hint="eastAsia" w:ascii="Times New Roman" w:hAnsi="Times New Roman" w:cs="Times New Roman" w:eastAsiaTheme="minorEastAsia"/>
          <w:color w:val="auto"/>
          <w:sz w:val="24"/>
          <w:szCs w:val="24"/>
          <w:highlight w:val="none"/>
          <w:lang w:val="en-US" w:eastAsia="zh-CN"/>
        </w:rPr>
        <w:t>c、</w:t>
      </w:r>
      <w:r>
        <w:rPr>
          <w:rFonts w:hint="default" w:ascii="Times New Roman" w:hAnsi="Times New Roman" w:cs="Times New Roman" w:eastAsiaTheme="minorEastAsia"/>
          <w:color w:val="auto"/>
          <w:sz w:val="24"/>
          <w:szCs w:val="24"/>
          <w:highlight w:val="none"/>
        </w:rPr>
        <w:t>应急设备、设施、器材完成了消洗工作，足以应对下次紧急状态；</w:t>
      </w:r>
    </w:p>
    <w:p w14:paraId="731C2BA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d</w:t>
      </w:r>
      <w:r>
        <w:rPr>
          <w:rFonts w:hint="default" w:ascii="Times New Roman" w:hAnsi="Times New Roman" w:cs="Times New Roman" w:eastAsiaTheme="minorEastAsia"/>
          <w:color w:val="auto"/>
          <w:sz w:val="24"/>
          <w:szCs w:val="24"/>
          <w:highlight w:val="none"/>
        </w:rPr>
        <w:t>、被污染场地得到清理或修复；污染物得到妥善处理；</w:t>
      </w:r>
    </w:p>
    <w:p w14:paraId="0FD5DBE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e</w:t>
      </w:r>
      <w:r>
        <w:rPr>
          <w:rFonts w:hint="default" w:ascii="Times New Roman" w:hAnsi="Times New Roman" w:cs="Times New Roman" w:eastAsiaTheme="minorEastAsia"/>
          <w:color w:val="auto"/>
          <w:sz w:val="24"/>
          <w:szCs w:val="24"/>
          <w:highlight w:val="none"/>
        </w:rPr>
        <w:t>、环境损害评估、赔偿、事件调查处理等善后工作结束；</w:t>
      </w:r>
    </w:p>
    <w:p w14:paraId="3A3B155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f</w:t>
      </w:r>
      <w:r>
        <w:rPr>
          <w:rFonts w:hint="default" w:ascii="Times New Roman" w:hAnsi="Times New Roman" w:cs="Times New Roman" w:eastAsiaTheme="minorEastAsia"/>
          <w:color w:val="auto"/>
          <w:sz w:val="24"/>
          <w:szCs w:val="24"/>
          <w:highlight w:val="none"/>
        </w:rPr>
        <w:t>、采取了预防事件再次发生的措施。</w:t>
      </w:r>
    </w:p>
    <w:p w14:paraId="25F074D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w:t>
      </w:r>
      <w:r>
        <w:rPr>
          <w:rFonts w:hint="eastAsia" w:ascii="Times New Roman" w:hAnsi="Times New Roman" w:cs="Times New Roman" w:eastAsiaTheme="minorEastAsia"/>
          <w:color w:val="auto"/>
          <w:sz w:val="24"/>
          <w:szCs w:val="24"/>
          <w:highlight w:val="none"/>
          <w:lang w:val="en-US" w:eastAsia="zh-CN"/>
        </w:rPr>
        <w:t>环保部</w:t>
      </w:r>
      <w:r>
        <w:rPr>
          <w:rFonts w:hint="default" w:ascii="Times New Roman" w:hAnsi="Times New Roman" w:cs="Times New Roman" w:eastAsiaTheme="minorEastAsia"/>
          <w:color w:val="auto"/>
          <w:sz w:val="24"/>
          <w:szCs w:val="24"/>
          <w:highlight w:val="none"/>
        </w:rPr>
        <w:t>负责组织、指导环境应急队伍维护、保养应急仪器设备，使之始终保持良好的技术状态。</w:t>
      </w:r>
    </w:p>
    <w:p w14:paraId="25E92382">
      <w:pPr>
        <w:pageBreakBefore w:val="0"/>
        <w:widowControl/>
        <w:kinsoku/>
        <w:overflowPunct/>
        <w:bidi w:val="0"/>
        <w:spacing w:line="500" w:lineRule="exact"/>
        <w:ind w:firstLine="561"/>
        <w:rPr>
          <w:rFonts w:hint="default" w:ascii="Times New Roman" w:hAnsi="Times New Roman" w:cs="Times New Roman" w:eastAsiaTheme="minorEastAsia"/>
          <w:color w:val="auto"/>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6B5DD844">
      <w:pPr>
        <w:pStyle w:val="3"/>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629" w:name="_Toc1579"/>
      <w:bookmarkStart w:id="630" w:name="_Toc23669"/>
      <w:bookmarkStart w:id="631" w:name="_Toc19442"/>
      <w:bookmarkStart w:id="632" w:name="_Toc30890"/>
      <w:r>
        <w:rPr>
          <w:rFonts w:hint="default" w:ascii="Times New Roman" w:hAnsi="Times New Roman" w:cs="Times New Roman" w:eastAsiaTheme="minorEastAsia"/>
          <w:color w:val="auto"/>
          <w:sz w:val="28"/>
          <w:szCs w:val="28"/>
          <w:highlight w:val="none"/>
        </w:rPr>
        <w:t>8保障措施</w:t>
      </w:r>
      <w:bookmarkEnd w:id="629"/>
      <w:bookmarkEnd w:id="630"/>
      <w:bookmarkEnd w:id="631"/>
      <w:bookmarkEnd w:id="632"/>
    </w:p>
    <w:p w14:paraId="5FF81A1E">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33" w:name="_Toc26282"/>
      <w:bookmarkStart w:id="634" w:name="_Toc20965"/>
      <w:bookmarkStart w:id="635" w:name="_Toc26750"/>
      <w:bookmarkStart w:id="636" w:name="_Toc31607"/>
      <w:bookmarkStart w:id="637" w:name="_Toc18647"/>
      <w:bookmarkStart w:id="638" w:name="_Toc5323"/>
      <w:r>
        <w:rPr>
          <w:rFonts w:hint="default" w:ascii="Times New Roman" w:hAnsi="Times New Roman" w:cs="Times New Roman" w:eastAsiaTheme="minorEastAsia"/>
          <w:color w:val="auto"/>
          <w:sz w:val="24"/>
          <w:szCs w:val="24"/>
          <w:highlight w:val="none"/>
        </w:rPr>
        <w:t>8.1 人力资源保障</w:t>
      </w:r>
      <w:bookmarkEnd w:id="633"/>
      <w:bookmarkEnd w:id="634"/>
      <w:bookmarkEnd w:id="635"/>
      <w:bookmarkEnd w:id="636"/>
      <w:bookmarkEnd w:id="637"/>
      <w:bookmarkEnd w:id="638"/>
    </w:p>
    <w:p w14:paraId="4782BB7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内部风险较大部位现场操作工、区域负责人及</w:t>
      </w:r>
      <w:r>
        <w:rPr>
          <w:rFonts w:hint="eastAsia" w:ascii="Times New Roman" w:hAnsi="Times New Roman" w:cs="Times New Roman" w:eastAsiaTheme="minorEastAsia"/>
          <w:color w:val="auto"/>
          <w:sz w:val="24"/>
          <w:szCs w:val="24"/>
          <w:highlight w:val="none"/>
          <w:lang w:val="en-US" w:eastAsia="zh-CN"/>
        </w:rPr>
        <w:t>公司</w:t>
      </w:r>
      <w:r>
        <w:rPr>
          <w:rFonts w:hint="default" w:ascii="Times New Roman" w:hAnsi="Times New Roman" w:cs="Times New Roman" w:eastAsiaTheme="minorEastAsia"/>
          <w:color w:val="auto"/>
          <w:sz w:val="24"/>
          <w:szCs w:val="24"/>
          <w:highlight w:val="none"/>
        </w:rPr>
        <w:t>领导作为我公司突发环境事件处置措施的预备应急力量，保证在处置突发环境事件中能迅速参与并完成抢救、排险、消毒、监测等现场处置工作，并形成应急网络，确保在事件发生时，能迅速控制污染、减少危害，确保环境和公众安全。</w:t>
      </w:r>
    </w:p>
    <w:p w14:paraId="77F61EBB">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39" w:name="_Toc1007"/>
      <w:bookmarkStart w:id="640" w:name="_Toc275938192"/>
      <w:bookmarkStart w:id="641" w:name="_Toc18312"/>
      <w:bookmarkStart w:id="642" w:name="_Toc1222"/>
      <w:bookmarkStart w:id="643" w:name="_Toc11963"/>
      <w:bookmarkStart w:id="644" w:name="_Toc8101"/>
      <w:bookmarkStart w:id="645" w:name="_Toc276118440"/>
      <w:bookmarkStart w:id="646" w:name="_Toc28826"/>
      <w:r>
        <w:rPr>
          <w:rFonts w:hint="default" w:ascii="Times New Roman" w:hAnsi="Times New Roman" w:cs="Times New Roman" w:eastAsiaTheme="minorEastAsia"/>
          <w:color w:val="auto"/>
          <w:sz w:val="24"/>
          <w:szCs w:val="24"/>
          <w:highlight w:val="none"/>
        </w:rPr>
        <w:t>8.2 财力保障</w:t>
      </w:r>
      <w:bookmarkEnd w:id="639"/>
      <w:bookmarkEnd w:id="640"/>
      <w:bookmarkEnd w:id="641"/>
      <w:bookmarkEnd w:id="642"/>
      <w:bookmarkEnd w:id="643"/>
      <w:bookmarkEnd w:id="644"/>
      <w:bookmarkEnd w:id="645"/>
      <w:bookmarkEnd w:id="646"/>
    </w:p>
    <w:p w14:paraId="68EA22B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突发环境事件的应急处理所需经费，包括仪器装备、交通车辆、应急咨询、应急演练、人员防护设备等的配置的运作经费，由我公司财务部门支出解决，专款专用，所需经费列入公司财务预算，保障应急状态时应急经费的及时到位。</w:t>
      </w:r>
    </w:p>
    <w:p w14:paraId="353B1E96">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47" w:name="_Toc17374"/>
      <w:bookmarkStart w:id="648" w:name="_Toc17514"/>
      <w:bookmarkStart w:id="649" w:name="_Toc22429"/>
      <w:bookmarkStart w:id="650" w:name="_Toc13151"/>
      <w:bookmarkStart w:id="651" w:name="_Toc11024"/>
      <w:bookmarkStart w:id="652" w:name="_Toc3734"/>
      <w:r>
        <w:rPr>
          <w:rFonts w:hint="default" w:ascii="Times New Roman" w:hAnsi="Times New Roman" w:cs="Times New Roman" w:eastAsiaTheme="minorEastAsia"/>
          <w:color w:val="auto"/>
          <w:sz w:val="24"/>
          <w:szCs w:val="24"/>
          <w:highlight w:val="none"/>
        </w:rPr>
        <w:t>8.3 物质保障</w:t>
      </w:r>
      <w:bookmarkEnd w:id="647"/>
      <w:bookmarkEnd w:id="648"/>
      <w:bookmarkEnd w:id="649"/>
      <w:bookmarkEnd w:id="650"/>
      <w:bookmarkEnd w:id="651"/>
      <w:bookmarkEnd w:id="652"/>
    </w:p>
    <w:p w14:paraId="03FD8DE7">
      <w:pPr>
        <w:pStyle w:val="11"/>
        <w:keepNext w:val="0"/>
        <w:keepLines w:val="0"/>
        <w:pageBreakBefore w:val="0"/>
        <w:widowControl w:val="0"/>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根据本预案要求，建立处理突发环境事件的日常和应急两级物资储备，增加必要的应急处置、快速机动和自身防护装备和物资的储备，维护、保养好应急仪器和设备，使之始终保持良好的技术状态，确保参加处置突发环境事件时救助人员自身安全，及时有效地防止环境污染和扩散。本公司的应急物资分布图见附</w:t>
      </w:r>
      <w:r>
        <w:rPr>
          <w:rFonts w:hint="eastAsia" w:cs="Times New Roman"/>
          <w:color w:val="auto"/>
          <w:sz w:val="24"/>
          <w:szCs w:val="24"/>
          <w:highlight w:val="none"/>
          <w:lang w:val="en-US" w:eastAsia="zh-CN"/>
        </w:rPr>
        <w:t>图</w:t>
      </w:r>
      <w:r>
        <w:rPr>
          <w:rFonts w:hint="default" w:ascii="Times New Roman" w:hAnsi="Times New Roman" w:cs="Times New Roman" w:eastAsiaTheme="minorEastAsia"/>
          <w:color w:val="auto"/>
          <w:sz w:val="24"/>
          <w:szCs w:val="24"/>
          <w:highlight w:val="none"/>
        </w:rPr>
        <w:t>。</w:t>
      </w:r>
    </w:p>
    <w:p w14:paraId="1B4A8B48">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653" w:name="_Toc30260"/>
      <w:bookmarkStart w:id="654" w:name="_Toc21024"/>
      <w:bookmarkStart w:id="655" w:name="_Toc12849"/>
      <w:bookmarkStart w:id="656" w:name="_Toc10697"/>
      <w:bookmarkStart w:id="657" w:name="_Toc3745"/>
      <w:bookmarkStart w:id="658" w:name="_Toc10195"/>
      <w:r>
        <w:rPr>
          <w:rFonts w:hint="default" w:ascii="Times New Roman" w:hAnsi="Times New Roman" w:cs="Times New Roman" w:eastAsiaTheme="minorEastAsia"/>
          <w:color w:val="auto"/>
          <w:sz w:val="24"/>
          <w:szCs w:val="24"/>
          <w:highlight w:val="none"/>
        </w:rPr>
        <w:t>8.3.1 应急设施</w:t>
      </w:r>
      <w:bookmarkEnd w:id="653"/>
      <w:bookmarkEnd w:id="654"/>
      <w:bookmarkEnd w:id="655"/>
      <w:bookmarkEnd w:id="656"/>
      <w:bookmarkEnd w:id="657"/>
      <w:bookmarkEnd w:id="658"/>
    </w:p>
    <w:p w14:paraId="3607901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1</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现有应急设施、物资</w:t>
      </w:r>
    </w:p>
    <w:p w14:paraId="0C59512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目前公司已有应急预防设施如下，且与周围</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达成互救约定。</w:t>
      </w:r>
    </w:p>
    <w:p w14:paraId="183D9CF3">
      <w:pPr>
        <w:pageBreakBefore w:val="0"/>
        <w:kinsoku/>
        <w:overflowPunct/>
        <w:bidi w:val="0"/>
        <w:spacing w:line="500" w:lineRule="exact"/>
        <w:jc w:val="center"/>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 xml:space="preserve">表8-1 </w:t>
      </w:r>
      <w:r>
        <w:rPr>
          <w:rFonts w:hint="eastAsia" w:ascii="Times New Roman" w:hAnsi="Times New Roman" w:cs="Times New Roman" w:eastAsiaTheme="minorEastAsia"/>
          <w:b/>
          <w:bCs/>
          <w:color w:val="auto"/>
          <w:sz w:val="24"/>
          <w:szCs w:val="24"/>
          <w:highlight w:val="none"/>
          <w:lang w:eastAsia="zh-CN"/>
        </w:rPr>
        <w:t>公司</w:t>
      </w:r>
      <w:r>
        <w:rPr>
          <w:rFonts w:hint="default" w:ascii="Times New Roman" w:hAnsi="Times New Roman" w:cs="Times New Roman" w:eastAsiaTheme="minorEastAsia"/>
          <w:b/>
          <w:bCs/>
          <w:color w:val="auto"/>
          <w:sz w:val="24"/>
          <w:szCs w:val="24"/>
          <w:highlight w:val="none"/>
        </w:rPr>
        <w:t>应急救援器材一览表</w:t>
      </w:r>
    </w:p>
    <w:tbl>
      <w:tblPr>
        <w:tblStyle w:val="34"/>
        <w:tblpPr w:leftFromText="180" w:rightFromText="180" w:vertAnchor="text" w:horzAnchor="page" w:tblpX="1294" w:tblpY="5"/>
        <w:tblOverlap w:val="never"/>
        <w:tblW w:w="497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233"/>
        <w:gridCol w:w="1859"/>
        <w:gridCol w:w="863"/>
        <w:gridCol w:w="1762"/>
        <w:gridCol w:w="1625"/>
      </w:tblGrid>
      <w:tr w14:paraId="5CC881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 w:type="pct"/>
            <w:tcBorders>
              <w:tl2br w:val="nil"/>
              <w:tr2bl w:val="nil"/>
            </w:tcBorders>
            <w:noWrap w:val="0"/>
            <w:vAlign w:val="center"/>
          </w:tcPr>
          <w:p w14:paraId="2520F483">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序号</w:t>
            </w:r>
          </w:p>
        </w:tc>
        <w:tc>
          <w:tcPr>
            <w:tcW w:w="1213" w:type="pct"/>
            <w:tcBorders>
              <w:tl2br w:val="nil"/>
              <w:tr2bl w:val="nil"/>
            </w:tcBorders>
            <w:noWrap w:val="0"/>
            <w:vAlign w:val="center"/>
          </w:tcPr>
          <w:p w14:paraId="53B7B588">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名称</w:t>
            </w:r>
          </w:p>
        </w:tc>
        <w:tc>
          <w:tcPr>
            <w:tcW w:w="1010" w:type="pct"/>
            <w:tcBorders>
              <w:tl2br w:val="nil"/>
              <w:tr2bl w:val="nil"/>
            </w:tcBorders>
            <w:noWrap w:val="0"/>
            <w:vAlign w:val="center"/>
          </w:tcPr>
          <w:p w14:paraId="51EEA41B">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类型</w:t>
            </w:r>
          </w:p>
        </w:tc>
        <w:tc>
          <w:tcPr>
            <w:tcW w:w="469" w:type="pct"/>
            <w:tcBorders>
              <w:tl2br w:val="nil"/>
              <w:tr2bl w:val="nil"/>
            </w:tcBorders>
            <w:noWrap w:val="0"/>
            <w:vAlign w:val="center"/>
          </w:tcPr>
          <w:p w14:paraId="118B6937">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数量</w:t>
            </w:r>
          </w:p>
        </w:tc>
        <w:tc>
          <w:tcPr>
            <w:tcW w:w="957" w:type="pct"/>
            <w:tcBorders>
              <w:tl2br w:val="nil"/>
              <w:tr2bl w:val="nil"/>
            </w:tcBorders>
            <w:noWrap w:val="0"/>
            <w:vAlign w:val="center"/>
          </w:tcPr>
          <w:p w14:paraId="30D6F94E">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存放位置</w:t>
            </w:r>
          </w:p>
        </w:tc>
        <w:tc>
          <w:tcPr>
            <w:tcW w:w="883" w:type="pct"/>
            <w:tcBorders>
              <w:tl2br w:val="nil"/>
              <w:tr2bl w:val="nil"/>
            </w:tcBorders>
            <w:noWrap w:val="0"/>
            <w:vAlign w:val="center"/>
          </w:tcPr>
          <w:p w14:paraId="465415F8">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管理责任人</w:t>
            </w:r>
          </w:p>
        </w:tc>
      </w:tr>
      <w:tr w14:paraId="2A276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 w:type="pct"/>
            <w:tcBorders>
              <w:tl2br w:val="nil"/>
              <w:tr2bl w:val="nil"/>
            </w:tcBorders>
            <w:noWrap w:val="0"/>
            <w:vAlign w:val="center"/>
          </w:tcPr>
          <w:p w14:paraId="74431A90">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213" w:type="pct"/>
            <w:tcBorders>
              <w:tl2br w:val="nil"/>
              <w:tr2bl w:val="nil"/>
            </w:tcBorders>
            <w:noWrap w:val="0"/>
            <w:vAlign w:val="center"/>
          </w:tcPr>
          <w:p w14:paraId="3D11F1CD">
            <w:pPr>
              <w:adjustRightInd w:val="0"/>
              <w:snapToGrid w:val="0"/>
              <w:ind w:left="0" w:leftChars="0" w:right="0" w:rightChars="0"/>
              <w:jc w:val="center"/>
              <w:rPr>
                <w:rFonts w:hint="default" w:eastAsia="宋体" w:cs="Times New Roman"/>
                <w:sz w:val="21"/>
                <w:szCs w:val="21"/>
                <w:lang w:val="en-US" w:eastAsia="zh-CN"/>
              </w:rPr>
            </w:pPr>
            <w:r>
              <w:rPr>
                <w:rFonts w:hint="default" w:eastAsia="宋体" w:cs="Times New Roman"/>
                <w:sz w:val="21"/>
                <w:szCs w:val="21"/>
                <w:lang w:val="en-US" w:eastAsia="zh-CN"/>
              </w:rPr>
              <w:t>灭火器</w:t>
            </w:r>
          </w:p>
        </w:tc>
        <w:tc>
          <w:tcPr>
            <w:tcW w:w="1010" w:type="pct"/>
            <w:tcBorders>
              <w:tl2br w:val="nil"/>
              <w:tr2bl w:val="nil"/>
            </w:tcBorders>
            <w:noWrap w:val="0"/>
            <w:vAlign w:val="center"/>
          </w:tcPr>
          <w:p w14:paraId="79127659">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消防</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6860352E">
            <w:pPr>
              <w:pStyle w:val="91"/>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eastAsia"/>
                <w:b w:val="0"/>
                <w:bCs w:val="0"/>
                <w:color w:val="000000"/>
                <w:kern w:val="2"/>
                <w:szCs w:val="21"/>
                <w:lang w:val="en-US" w:eastAsia="zh-CN"/>
              </w:rPr>
              <w:t>30</w:t>
            </w:r>
          </w:p>
        </w:tc>
        <w:tc>
          <w:tcPr>
            <w:tcW w:w="957" w:type="pct"/>
            <w:tcBorders>
              <w:tl2br w:val="nil"/>
              <w:tr2bl w:val="nil"/>
            </w:tcBorders>
            <w:noWrap w:val="0"/>
            <w:vAlign w:val="center"/>
          </w:tcPr>
          <w:p w14:paraId="4C61DE6A">
            <w:pPr>
              <w:pStyle w:val="91"/>
              <w:ind w:left="0" w:leftChars="0" w:right="0" w:rightChars="0" w:firstLine="0" w:firstLineChars="0"/>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eastAsia" w:eastAsia="宋体" w:cs="Times New Roman"/>
                <w:b w:val="0"/>
                <w:bCs w:val="0"/>
                <w:color w:val="000000"/>
                <w:kern w:val="2"/>
                <w:sz w:val="21"/>
                <w:szCs w:val="21"/>
                <w:lang w:val="en-US" w:eastAsia="zh-CN"/>
              </w:rPr>
              <w:t>生产车间</w:t>
            </w:r>
          </w:p>
        </w:tc>
        <w:tc>
          <w:tcPr>
            <w:tcW w:w="883" w:type="pct"/>
            <w:tcBorders>
              <w:tl2br w:val="nil"/>
              <w:tr2bl w:val="nil"/>
            </w:tcBorders>
            <w:noWrap w:val="0"/>
            <w:vAlign w:val="center"/>
          </w:tcPr>
          <w:p w14:paraId="01EA111C">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朱广林</w:t>
            </w:r>
          </w:p>
        </w:tc>
      </w:tr>
      <w:tr w14:paraId="75DEC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 w:type="pct"/>
            <w:tcBorders>
              <w:tl2br w:val="nil"/>
              <w:tr2bl w:val="nil"/>
            </w:tcBorders>
            <w:noWrap w:val="0"/>
            <w:vAlign w:val="center"/>
          </w:tcPr>
          <w:p w14:paraId="2A7019B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13" w:type="pct"/>
            <w:tcBorders>
              <w:tl2br w:val="nil"/>
              <w:tr2bl w:val="nil"/>
            </w:tcBorders>
            <w:noWrap w:val="0"/>
            <w:vAlign w:val="center"/>
          </w:tcPr>
          <w:p w14:paraId="32E80886">
            <w:pPr>
              <w:adjustRightInd w:val="0"/>
              <w:snapToGrid w:val="0"/>
              <w:ind w:left="0" w:leftChars="0" w:right="0" w:rightChars="0"/>
              <w:jc w:val="center"/>
              <w:rPr>
                <w:rFonts w:hint="default" w:eastAsia="宋体" w:cs="Times New Roman"/>
                <w:sz w:val="21"/>
                <w:szCs w:val="21"/>
                <w:lang w:val="en-US" w:eastAsia="zh-CN"/>
              </w:rPr>
            </w:pPr>
            <w:r>
              <w:rPr>
                <w:rFonts w:hint="default" w:eastAsia="宋体" w:cs="Times New Roman"/>
                <w:sz w:val="21"/>
                <w:szCs w:val="21"/>
                <w:lang w:val="en-US" w:eastAsia="zh-CN"/>
              </w:rPr>
              <w:t>消防水带</w:t>
            </w:r>
          </w:p>
        </w:tc>
        <w:tc>
          <w:tcPr>
            <w:tcW w:w="1010" w:type="pct"/>
            <w:tcBorders>
              <w:tl2br w:val="nil"/>
              <w:tr2bl w:val="nil"/>
            </w:tcBorders>
            <w:noWrap w:val="0"/>
            <w:vAlign w:val="center"/>
          </w:tcPr>
          <w:p w14:paraId="5C4F3D0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消防</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5DB8A2FF">
            <w:pPr>
              <w:pStyle w:val="91"/>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eastAsia"/>
                <w:b w:val="0"/>
                <w:bCs w:val="0"/>
                <w:color w:val="000000"/>
                <w:kern w:val="2"/>
                <w:szCs w:val="21"/>
                <w:lang w:val="en-US" w:eastAsia="zh-CN"/>
              </w:rPr>
              <w:t>2</w:t>
            </w:r>
          </w:p>
        </w:tc>
        <w:tc>
          <w:tcPr>
            <w:tcW w:w="957" w:type="pct"/>
            <w:tcBorders>
              <w:tl2br w:val="nil"/>
              <w:tr2bl w:val="nil"/>
            </w:tcBorders>
            <w:noWrap w:val="0"/>
            <w:vAlign w:val="center"/>
          </w:tcPr>
          <w:p w14:paraId="727851FE">
            <w:pPr>
              <w:ind w:left="0" w:leftChars="0" w:right="0" w:rightChars="0" w:firstLine="0" w:firstLineChars="0"/>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eastAsia" w:eastAsia="宋体" w:cs="Times New Roman"/>
                <w:b w:val="0"/>
                <w:bCs w:val="0"/>
                <w:color w:val="000000"/>
                <w:kern w:val="2"/>
                <w:sz w:val="21"/>
                <w:szCs w:val="21"/>
                <w:lang w:val="en-US" w:eastAsia="zh-CN"/>
              </w:rPr>
              <w:t>生产车间</w:t>
            </w:r>
          </w:p>
        </w:tc>
        <w:tc>
          <w:tcPr>
            <w:tcW w:w="883" w:type="pct"/>
            <w:tcBorders>
              <w:tl2br w:val="nil"/>
              <w:tr2bl w:val="nil"/>
            </w:tcBorders>
            <w:noWrap w:val="0"/>
            <w:vAlign w:val="center"/>
          </w:tcPr>
          <w:p w14:paraId="65C38C53">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朱广林</w:t>
            </w:r>
          </w:p>
        </w:tc>
      </w:tr>
      <w:tr w14:paraId="35BBB2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 w:type="pct"/>
            <w:tcBorders>
              <w:tl2br w:val="nil"/>
              <w:tr2bl w:val="nil"/>
            </w:tcBorders>
            <w:noWrap w:val="0"/>
            <w:vAlign w:val="center"/>
          </w:tcPr>
          <w:p w14:paraId="4736F73F">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3</w:t>
            </w:r>
          </w:p>
        </w:tc>
        <w:tc>
          <w:tcPr>
            <w:tcW w:w="1213" w:type="pct"/>
            <w:tcBorders>
              <w:tl2br w:val="nil"/>
              <w:tr2bl w:val="nil"/>
            </w:tcBorders>
            <w:noWrap w:val="0"/>
            <w:vAlign w:val="center"/>
          </w:tcPr>
          <w:p w14:paraId="6108185F">
            <w:pPr>
              <w:adjustRightInd w:val="0"/>
              <w:snapToGrid w:val="0"/>
              <w:ind w:left="0" w:leftChars="0" w:right="0" w:rightChars="0"/>
              <w:jc w:val="center"/>
              <w:rPr>
                <w:rFonts w:hint="default" w:eastAsia="宋体" w:cs="Times New Roman"/>
                <w:sz w:val="21"/>
                <w:szCs w:val="21"/>
                <w:lang w:val="en-US" w:eastAsia="zh-CN"/>
              </w:rPr>
            </w:pPr>
            <w:r>
              <w:rPr>
                <w:rFonts w:hint="eastAsia" w:eastAsia="宋体" w:cs="Times New Roman"/>
                <w:sz w:val="21"/>
                <w:szCs w:val="21"/>
                <w:lang w:val="en-US" w:eastAsia="zh-CN"/>
              </w:rPr>
              <w:t>黄沙箱</w:t>
            </w:r>
          </w:p>
        </w:tc>
        <w:tc>
          <w:tcPr>
            <w:tcW w:w="1010" w:type="pct"/>
            <w:tcBorders>
              <w:tl2br w:val="nil"/>
              <w:tr2bl w:val="nil"/>
            </w:tcBorders>
            <w:noWrap w:val="0"/>
            <w:vAlign w:val="center"/>
          </w:tcPr>
          <w:p w14:paraId="5F3E21D1">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现场</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5D8C142B">
            <w:pPr>
              <w:pStyle w:val="91"/>
              <w:ind w:left="0" w:leftChars="0" w:right="0" w:rightChars="0" w:firstLine="0" w:firstLineChars="0"/>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eastAsia" w:cs="Times New Roman"/>
                <w:b w:val="0"/>
                <w:bCs w:val="0"/>
                <w:color w:val="000000"/>
                <w:kern w:val="2"/>
                <w:sz w:val="21"/>
                <w:szCs w:val="21"/>
                <w:lang w:val="en-US" w:eastAsia="zh-CN"/>
              </w:rPr>
              <w:t>5</w:t>
            </w:r>
          </w:p>
        </w:tc>
        <w:tc>
          <w:tcPr>
            <w:tcW w:w="957" w:type="pct"/>
            <w:tcBorders>
              <w:tl2br w:val="nil"/>
              <w:tr2bl w:val="nil"/>
            </w:tcBorders>
            <w:noWrap w:val="0"/>
            <w:vAlign w:val="center"/>
          </w:tcPr>
          <w:p w14:paraId="46D8E40E">
            <w:pPr>
              <w:ind w:left="0" w:leftChars="0" w:right="0" w:rightChars="0" w:firstLine="0" w:firstLineChars="0"/>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eastAsia" w:eastAsia="宋体" w:cs="Times New Roman"/>
                <w:b w:val="0"/>
                <w:bCs w:val="0"/>
                <w:color w:val="000000"/>
                <w:kern w:val="2"/>
                <w:sz w:val="21"/>
                <w:szCs w:val="21"/>
                <w:lang w:val="en-US" w:eastAsia="zh-CN"/>
              </w:rPr>
              <w:t>生产车间</w:t>
            </w:r>
          </w:p>
        </w:tc>
        <w:tc>
          <w:tcPr>
            <w:tcW w:w="883" w:type="pct"/>
            <w:tcBorders>
              <w:tl2br w:val="nil"/>
              <w:tr2bl w:val="nil"/>
            </w:tcBorders>
            <w:noWrap w:val="0"/>
            <w:vAlign w:val="center"/>
          </w:tcPr>
          <w:p w14:paraId="69B16A78">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朱广林</w:t>
            </w:r>
          </w:p>
        </w:tc>
      </w:tr>
      <w:tr w14:paraId="1164A8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 w:type="pct"/>
            <w:tcBorders>
              <w:tl2br w:val="nil"/>
              <w:tr2bl w:val="nil"/>
            </w:tcBorders>
            <w:noWrap w:val="0"/>
            <w:vAlign w:val="center"/>
          </w:tcPr>
          <w:p w14:paraId="4C739865">
            <w:pPr>
              <w:adjustRightInd w:val="0"/>
              <w:snapToGrid w:val="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4</w:t>
            </w:r>
          </w:p>
        </w:tc>
        <w:tc>
          <w:tcPr>
            <w:tcW w:w="1213" w:type="pct"/>
            <w:tcBorders>
              <w:tl2br w:val="nil"/>
              <w:tr2bl w:val="nil"/>
            </w:tcBorders>
            <w:noWrap w:val="0"/>
            <w:vAlign w:val="center"/>
          </w:tcPr>
          <w:p w14:paraId="5811A24B">
            <w:pPr>
              <w:adjustRightInd w:val="0"/>
              <w:snapToGrid w:val="0"/>
              <w:ind w:left="0" w:leftChars="0" w:right="0" w:rightChars="0"/>
              <w:jc w:val="center"/>
              <w:rPr>
                <w:rFonts w:hint="default" w:eastAsia="宋体" w:cs="Times New Roman"/>
                <w:sz w:val="21"/>
                <w:szCs w:val="21"/>
                <w:lang w:val="en-US" w:eastAsia="zh-CN"/>
              </w:rPr>
            </w:pPr>
            <w:r>
              <w:rPr>
                <w:rFonts w:hint="default" w:eastAsia="宋体" w:cs="Times New Roman"/>
                <w:sz w:val="21"/>
                <w:szCs w:val="21"/>
                <w:lang w:val="en-US" w:eastAsia="zh-CN"/>
              </w:rPr>
              <w:t>应急照明、出口灯</w:t>
            </w:r>
          </w:p>
        </w:tc>
        <w:tc>
          <w:tcPr>
            <w:tcW w:w="1010" w:type="pct"/>
            <w:tcBorders>
              <w:tl2br w:val="nil"/>
              <w:tr2bl w:val="nil"/>
            </w:tcBorders>
            <w:noWrap w:val="0"/>
            <w:vAlign w:val="center"/>
          </w:tcPr>
          <w:p w14:paraId="0CD9C6A5">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现场</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4845671D">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5</w:t>
            </w:r>
          </w:p>
        </w:tc>
        <w:tc>
          <w:tcPr>
            <w:tcW w:w="957" w:type="pct"/>
            <w:tcBorders>
              <w:tl2br w:val="nil"/>
              <w:tr2bl w:val="nil"/>
            </w:tcBorders>
            <w:noWrap w:val="0"/>
            <w:vAlign w:val="center"/>
          </w:tcPr>
          <w:p w14:paraId="2E8EDB23">
            <w:pPr>
              <w:ind w:left="0" w:leftChars="0" w:right="0" w:rightChars="0" w:firstLine="0" w:firstLineChars="0"/>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eastAsia" w:eastAsia="宋体" w:cs="Times New Roman"/>
                <w:b w:val="0"/>
                <w:bCs w:val="0"/>
                <w:color w:val="000000"/>
                <w:kern w:val="2"/>
                <w:sz w:val="21"/>
                <w:szCs w:val="21"/>
                <w:lang w:val="en-US" w:eastAsia="zh-CN"/>
              </w:rPr>
              <w:t>生产车间</w:t>
            </w:r>
          </w:p>
        </w:tc>
        <w:tc>
          <w:tcPr>
            <w:tcW w:w="883" w:type="pct"/>
            <w:tcBorders>
              <w:tl2br w:val="nil"/>
              <w:tr2bl w:val="nil"/>
            </w:tcBorders>
            <w:noWrap w:val="0"/>
            <w:vAlign w:val="center"/>
          </w:tcPr>
          <w:p w14:paraId="28473B5E">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朱广林</w:t>
            </w:r>
          </w:p>
        </w:tc>
      </w:tr>
      <w:tr w14:paraId="2A89DF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 w:type="pct"/>
            <w:tcBorders>
              <w:tl2br w:val="nil"/>
              <w:tr2bl w:val="nil"/>
            </w:tcBorders>
            <w:noWrap w:val="0"/>
            <w:vAlign w:val="center"/>
          </w:tcPr>
          <w:p w14:paraId="713B5367">
            <w:pPr>
              <w:adjustRightInd w:val="0"/>
              <w:snapToGrid w:val="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5</w:t>
            </w:r>
          </w:p>
        </w:tc>
        <w:tc>
          <w:tcPr>
            <w:tcW w:w="1213" w:type="pct"/>
            <w:tcBorders>
              <w:tl2br w:val="nil"/>
              <w:tr2bl w:val="nil"/>
            </w:tcBorders>
            <w:noWrap w:val="0"/>
            <w:vAlign w:val="center"/>
          </w:tcPr>
          <w:p w14:paraId="5D89C90E">
            <w:pPr>
              <w:adjustRightInd w:val="0"/>
              <w:snapToGrid w:val="0"/>
              <w:ind w:left="0" w:leftChars="0" w:right="0" w:rightChars="0"/>
              <w:jc w:val="center"/>
              <w:rPr>
                <w:rFonts w:hint="default" w:eastAsia="宋体" w:cs="Times New Roman"/>
                <w:sz w:val="21"/>
                <w:szCs w:val="21"/>
                <w:lang w:val="en-US" w:eastAsia="zh-CN"/>
              </w:rPr>
            </w:pPr>
            <w:r>
              <w:rPr>
                <w:rFonts w:hint="default" w:eastAsia="宋体" w:cs="Times New Roman"/>
                <w:sz w:val="21"/>
                <w:szCs w:val="21"/>
                <w:lang w:val="en-US" w:eastAsia="zh-CN"/>
              </w:rPr>
              <w:t>铁铲</w:t>
            </w:r>
          </w:p>
        </w:tc>
        <w:tc>
          <w:tcPr>
            <w:tcW w:w="1010" w:type="pct"/>
            <w:tcBorders>
              <w:tl2br w:val="nil"/>
              <w:tr2bl w:val="nil"/>
            </w:tcBorders>
            <w:noWrap w:val="0"/>
            <w:vAlign w:val="center"/>
          </w:tcPr>
          <w:p w14:paraId="16C43218">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现场</w:t>
            </w:r>
            <w:r>
              <w:rPr>
                <w:rFonts w:hint="default" w:ascii="Times New Roman" w:hAnsi="Times New Roman" w:eastAsia="宋体" w:cs="Times New Roman"/>
                <w:sz w:val="21"/>
                <w:szCs w:val="21"/>
              </w:rPr>
              <w:t>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设备</w:t>
            </w:r>
          </w:p>
        </w:tc>
        <w:tc>
          <w:tcPr>
            <w:tcW w:w="469" w:type="pct"/>
            <w:tcBorders>
              <w:tl2br w:val="nil"/>
              <w:tr2bl w:val="nil"/>
            </w:tcBorders>
            <w:noWrap w:val="0"/>
            <w:vAlign w:val="center"/>
          </w:tcPr>
          <w:p w14:paraId="3AD39610">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2</w:t>
            </w:r>
          </w:p>
        </w:tc>
        <w:tc>
          <w:tcPr>
            <w:tcW w:w="957" w:type="pct"/>
            <w:tcBorders>
              <w:tl2br w:val="nil"/>
              <w:tr2bl w:val="nil"/>
            </w:tcBorders>
            <w:noWrap w:val="0"/>
            <w:vAlign w:val="center"/>
          </w:tcPr>
          <w:p w14:paraId="59C612AC">
            <w:pPr>
              <w:ind w:left="0" w:leftChars="0" w:right="0" w:rightChars="0" w:firstLine="0" w:firstLineChars="0"/>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eastAsia" w:eastAsia="宋体" w:cs="Times New Roman"/>
                <w:b w:val="0"/>
                <w:bCs w:val="0"/>
                <w:color w:val="000000"/>
                <w:kern w:val="2"/>
                <w:sz w:val="21"/>
                <w:szCs w:val="21"/>
                <w:lang w:val="en-US" w:eastAsia="zh-CN"/>
              </w:rPr>
              <w:t>生产车间</w:t>
            </w:r>
          </w:p>
        </w:tc>
        <w:tc>
          <w:tcPr>
            <w:tcW w:w="883" w:type="pct"/>
            <w:tcBorders>
              <w:tl2br w:val="nil"/>
              <w:tr2bl w:val="nil"/>
            </w:tcBorders>
            <w:noWrap w:val="0"/>
            <w:vAlign w:val="center"/>
          </w:tcPr>
          <w:p w14:paraId="14780EA3">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朱广林</w:t>
            </w:r>
          </w:p>
        </w:tc>
      </w:tr>
      <w:tr w14:paraId="48D256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 w:type="pct"/>
            <w:tcBorders>
              <w:tl2br w:val="nil"/>
              <w:tr2bl w:val="nil"/>
            </w:tcBorders>
            <w:noWrap w:val="0"/>
            <w:vAlign w:val="center"/>
          </w:tcPr>
          <w:p w14:paraId="1522218D">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6</w:t>
            </w:r>
          </w:p>
        </w:tc>
        <w:tc>
          <w:tcPr>
            <w:tcW w:w="1213" w:type="pct"/>
            <w:tcBorders>
              <w:tl2br w:val="nil"/>
              <w:tr2bl w:val="nil"/>
            </w:tcBorders>
            <w:noWrap w:val="0"/>
            <w:vAlign w:val="center"/>
          </w:tcPr>
          <w:p w14:paraId="7D066B7E">
            <w:pPr>
              <w:adjustRightInd w:val="0"/>
              <w:snapToGrid w:val="0"/>
              <w:ind w:left="0" w:leftChars="0" w:right="0" w:rightChars="0"/>
              <w:jc w:val="center"/>
              <w:rPr>
                <w:rFonts w:hint="default" w:eastAsia="宋体" w:cs="Times New Roman"/>
                <w:sz w:val="21"/>
                <w:szCs w:val="21"/>
                <w:lang w:val="en-US" w:eastAsia="zh-CN"/>
              </w:rPr>
            </w:pPr>
            <w:r>
              <w:rPr>
                <w:rFonts w:hint="eastAsia" w:eastAsia="宋体" w:cs="Times New Roman"/>
                <w:sz w:val="21"/>
                <w:szCs w:val="21"/>
                <w:lang w:val="en-US" w:eastAsia="zh-CN"/>
              </w:rPr>
              <w:t>消防服</w:t>
            </w:r>
          </w:p>
        </w:tc>
        <w:tc>
          <w:tcPr>
            <w:tcW w:w="1010" w:type="pct"/>
            <w:tcBorders>
              <w:tl2br w:val="nil"/>
              <w:tr2bl w:val="nil"/>
            </w:tcBorders>
            <w:noWrap w:val="0"/>
            <w:vAlign w:val="center"/>
          </w:tcPr>
          <w:p w14:paraId="2D66633A">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7E71957C">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2</w:t>
            </w:r>
          </w:p>
        </w:tc>
        <w:tc>
          <w:tcPr>
            <w:tcW w:w="957" w:type="pct"/>
            <w:tcBorders>
              <w:tl2br w:val="nil"/>
              <w:tr2bl w:val="nil"/>
            </w:tcBorders>
            <w:noWrap w:val="0"/>
            <w:vAlign w:val="center"/>
          </w:tcPr>
          <w:p w14:paraId="0945AD43">
            <w:pPr>
              <w:ind w:left="0" w:leftChars="0" w:right="0" w:rightChars="0" w:firstLine="0" w:firstLineChars="0"/>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eastAsia="宋体" w:cs="Times New Roman"/>
                <w:b w:val="0"/>
                <w:bCs w:val="0"/>
                <w:color w:val="000000"/>
                <w:kern w:val="2"/>
                <w:sz w:val="21"/>
                <w:szCs w:val="21"/>
                <w:lang w:val="en-US" w:eastAsia="zh-CN"/>
              </w:rPr>
              <w:t>生产车间</w:t>
            </w:r>
          </w:p>
        </w:tc>
        <w:tc>
          <w:tcPr>
            <w:tcW w:w="883" w:type="pct"/>
            <w:tcBorders>
              <w:tl2br w:val="nil"/>
              <w:tr2bl w:val="nil"/>
            </w:tcBorders>
            <w:noWrap w:val="0"/>
            <w:vAlign w:val="center"/>
          </w:tcPr>
          <w:p w14:paraId="1D4EA04D">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朱广林</w:t>
            </w:r>
          </w:p>
        </w:tc>
      </w:tr>
      <w:tr w14:paraId="75ACA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 w:type="pct"/>
            <w:tcBorders>
              <w:tl2br w:val="nil"/>
              <w:tr2bl w:val="nil"/>
            </w:tcBorders>
            <w:noWrap w:val="0"/>
            <w:vAlign w:val="center"/>
          </w:tcPr>
          <w:p w14:paraId="56F42ADA">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7</w:t>
            </w:r>
          </w:p>
        </w:tc>
        <w:tc>
          <w:tcPr>
            <w:tcW w:w="1213" w:type="pct"/>
            <w:tcBorders>
              <w:tl2br w:val="nil"/>
              <w:tr2bl w:val="nil"/>
            </w:tcBorders>
            <w:noWrap w:val="0"/>
            <w:vAlign w:val="center"/>
          </w:tcPr>
          <w:p w14:paraId="647A1900">
            <w:pPr>
              <w:adjustRightInd w:val="0"/>
              <w:snapToGrid w:val="0"/>
              <w:ind w:left="0" w:leftChars="0" w:right="0" w:rightChars="0"/>
              <w:jc w:val="center"/>
              <w:rPr>
                <w:rFonts w:hint="default" w:eastAsia="宋体" w:cs="Times New Roman"/>
                <w:sz w:val="21"/>
                <w:szCs w:val="21"/>
                <w:lang w:val="en-US" w:eastAsia="zh-CN"/>
              </w:rPr>
            </w:pPr>
            <w:r>
              <w:rPr>
                <w:rFonts w:hint="eastAsia" w:eastAsia="宋体" w:cs="Times New Roman"/>
                <w:sz w:val="21"/>
                <w:szCs w:val="21"/>
                <w:lang w:val="en-US" w:eastAsia="zh-CN"/>
              </w:rPr>
              <w:t>消防靴</w:t>
            </w:r>
          </w:p>
        </w:tc>
        <w:tc>
          <w:tcPr>
            <w:tcW w:w="1010" w:type="pct"/>
            <w:tcBorders>
              <w:tl2br w:val="nil"/>
              <w:tr2bl w:val="nil"/>
            </w:tcBorders>
            <w:noWrap w:val="0"/>
            <w:vAlign w:val="center"/>
          </w:tcPr>
          <w:p w14:paraId="1F786669">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3F7A9FB1">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2</w:t>
            </w:r>
          </w:p>
        </w:tc>
        <w:tc>
          <w:tcPr>
            <w:tcW w:w="957" w:type="pct"/>
            <w:tcBorders>
              <w:tl2br w:val="nil"/>
              <w:tr2bl w:val="nil"/>
            </w:tcBorders>
            <w:noWrap w:val="0"/>
            <w:vAlign w:val="center"/>
          </w:tcPr>
          <w:p w14:paraId="55B6A2D7">
            <w:pPr>
              <w:ind w:left="0" w:leftChars="0" w:right="0" w:rightChars="0" w:firstLine="0" w:firstLineChars="0"/>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eastAsia="宋体" w:cs="Times New Roman"/>
                <w:b w:val="0"/>
                <w:bCs w:val="0"/>
                <w:color w:val="000000"/>
                <w:kern w:val="2"/>
                <w:sz w:val="21"/>
                <w:szCs w:val="21"/>
                <w:lang w:val="en-US" w:eastAsia="zh-CN"/>
              </w:rPr>
              <w:t>生产车间</w:t>
            </w:r>
          </w:p>
        </w:tc>
        <w:tc>
          <w:tcPr>
            <w:tcW w:w="883" w:type="pct"/>
            <w:tcBorders>
              <w:tl2br w:val="nil"/>
              <w:tr2bl w:val="nil"/>
            </w:tcBorders>
            <w:noWrap w:val="0"/>
            <w:vAlign w:val="center"/>
          </w:tcPr>
          <w:p w14:paraId="1849B8F1">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朱广林</w:t>
            </w:r>
          </w:p>
        </w:tc>
      </w:tr>
      <w:tr w14:paraId="11B398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 w:type="pct"/>
            <w:tcBorders>
              <w:tl2br w:val="nil"/>
              <w:tr2bl w:val="nil"/>
            </w:tcBorders>
            <w:noWrap w:val="0"/>
            <w:vAlign w:val="center"/>
          </w:tcPr>
          <w:p w14:paraId="5528D969">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8</w:t>
            </w:r>
          </w:p>
        </w:tc>
        <w:tc>
          <w:tcPr>
            <w:tcW w:w="1213" w:type="pct"/>
            <w:tcBorders>
              <w:tl2br w:val="nil"/>
              <w:tr2bl w:val="nil"/>
            </w:tcBorders>
            <w:noWrap w:val="0"/>
            <w:vAlign w:val="center"/>
          </w:tcPr>
          <w:p w14:paraId="7FD8A3C2">
            <w:pPr>
              <w:adjustRightInd w:val="0"/>
              <w:snapToGrid w:val="0"/>
              <w:ind w:left="0" w:leftChars="0" w:right="0" w:rightChars="0"/>
              <w:jc w:val="center"/>
              <w:rPr>
                <w:rFonts w:hint="default" w:eastAsia="宋体" w:cs="Times New Roman"/>
                <w:sz w:val="21"/>
                <w:szCs w:val="21"/>
                <w:lang w:val="en-US" w:eastAsia="zh-CN"/>
              </w:rPr>
            </w:pPr>
            <w:r>
              <w:rPr>
                <w:rFonts w:hint="default" w:eastAsia="宋体" w:cs="Times New Roman"/>
                <w:sz w:val="21"/>
                <w:szCs w:val="21"/>
                <w:lang w:val="en-US" w:eastAsia="zh-CN"/>
              </w:rPr>
              <w:t>安全帽</w:t>
            </w:r>
          </w:p>
        </w:tc>
        <w:tc>
          <w:tcPr>
            <w:tcW w:w="1010" w:type="pct"/>
            <w:tcBorders>
              <w:tl2br w:val="nil"/>
              <w:tr2bl w:val="nil"/>
            </w:tcBorders>
            <w:noWrap w:val="0"/>
            <w:vAlign w:val="center"/>
          </w:tcPr>
          <w:p w14:paraId="175ABF4A">
            <w:pPr>
              <w:adjustRightInd w:val="0"/>
              <w:snapToGrid w:val="0"/>
              <w:ind w:left="0" w:leftChars="0" w:right="0" w:rightChars="0"/>
              <w:jc w:val="center"/>
              <w:rPr>
                <w:rFonts w:hint="default" w:ascii="Times New Roman" w:hAnsi="Times New Roman" w:eastAsia="宋体" w:cs="Times New Roman"/>
                <w:kern w:val="2"/>
                <w:sz w:val="21"/>
                <w:szCs w:val="21"/>
                <w:lang w:val="zh-CN" w:eastAsia="zh-CN" w:bidi="ar-SA"/>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5DC83790">
            <w:pPr>
              <w:pStyle w:val="91"/>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b w:val="0"/>
                <w:bCs w:val="0"/>
                <w:color w:val="000000"/>
                <w:kern w:val="2"/>
                <w:szCs w:val="21"/>
                <w:lang w:val="en-US" w:eastAsia="zh-CN"/>
              </w:rPr>
              <w:t>2</w:t>
            </w:r>
          </w:p>
        </w:tc>
        <w:tc>
          <w:tcPr>
            <w:tcW w:w="957" w:type="pct"/>
            <w:tcBorders>
              <w:tl2br w:val="nil"/>
              <w:tr2bl w:val="nil"/>
            </w:tcBorders>
            <w:noWrap w:val="0"/>
            <w:vAlign w:val="center"/>
          </w:tcPr>
          <w:p w14:paraId="491CD1AA">
            <w:pPr>
              <w:ind w:left="0" w:leftChars="0" w:right="0" w:rightChars="0" w:firstLine="0" w:firstLineChars="0"/>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eastAsia="宋体" w:cs="Times New Roman"/>
                <w:b w:val="0"/>
                <w:bCs w:val="0"/>
                <w:color w:val="000000"/>
                <w:kern w:val="2"/>
                <w:sz w:val="21"/>
                <w:szCs w:val="21"/>
                <w:lang w:val="en-US" w:eastAsia="zh-CN"/>
              </w:rPr>
              <w:t>生产车间</w:t>
            </w:r>
          </w:p>
        </w:tc>
        <w:tc>
          <w:tcPr>
            <w:tcW w:w="883" w:type="pct"/>
            <w:tcBorders>
              <w:tl2br w:val="nil"/>
              <w:tr2bl w:val="nil"/>
            </w:tcBorders>
            <w:noWrap w:val="0"/>
            <w:vAlign w:val="center"/>
          </w:tcPr>
          <w:p w14:paraId="154CCF06">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朱广林</w:t>
            </w:r>
          </w:p>
        </w:tc>
      </w:tr>
      <w:tr w14:paraId="45CEC8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 w:type="pct"/>
            <w:tcBorders>
              <w:tl2br w:val="nil"/>
              <w:tr2bl w:val="nil"/>
            </w:tcBorders>
            <w:noWrap w:val="0"/>
            <w:vAlign w:val="center"/>
          </w:tcPr>
          <w:p w14:paraId="62EDCC63">
            <w:pPr>
              <w:adjustRightInd w:val="0"/>
              <w:snapToGrid w:val="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9</w:t>
            </w:r>
          </w:p>
        </w:tc>
        <w:tc>
          <w:tcPr>
            <w:tcW w:w="1213" w:type="pct"/>
            <w:tcBorders>
              <w:tl2br w:val="nil"/>
              <w:tr2bl w:val="nil"/>
            </w:tcBorders>
            <w:noWrap w:val="0"/>
            <w:vAlign w:val="center"/>
          </w:tcPr>
          <w:p w14:paraId="2E70D739">
            <w:pPr>
              <w:adjustRightInd w:val="0"/>
              <w:snapToGrid w:val="0"/>
              <w:ind w:left="0" w:leftChars="0" w:right="0" w:rightChars="0"/>
              <w:jc w:val="center"/>
              <w:rPr>
                <w:rFonts w:hint="default" w:eastAsia="宋体" w:cs="Times New Roman"/>
                <w:sz w:val="21"/>
                <w:szCs w:val="21"/>
                <w:lang w:val="en-US" w:eastAsia="zh-CN"/>
              </w:rPr>
            </w:pPr>
            <w:r>
              <w:rPr>
                <w:rFonts w:hint="eastAsia" w:eastAsia="宋体" w:cs="Times New Roman"/>
                <w:sz w:val="21"/>
                <w:szCs w:val="21"/>
                <w:lang w:val="en-US" w:eastAsia="zh-CN"/>
              </w:rPr>
              <w:t>防毒面具</w:t>
            </w:r>
          </w:p>
        </w:tc>
        <w:tc>
          <w:tcPr>
            <w:tcW w:w="1010" w:type="pct"/>
            <w:tcBorders>
              <w:tl2br w:val="nil"/>
              <w:tr2bl w:val="nil"/>
            </w:tcBorders>
            <w:noWrap w:val="0"/>
            <w:vAlign w:val="center"/>
          </w:tcPr>
          <w:p w14:paraId="172B3EB2">
            <w:pPr>
              <w:adjustRightInd w:val="0"/>
              <w:snapToGrid w:val="0"/>
              <w:ind w:left="0" w:leftChars="0" w:right="0" w:rightChars="0"/>
              <w:jc w:val="center"/>
              <w:rPr>
                <w:rFonts w:hint="default" w:ascii="Times New Roman" w:hAnsi="Times New Roman" w:eastAsia="宋体" w:cs="Times New Roman"/>
                <w:kern w:val="2"/>
                <w:sz w:val="21"/>
                <w:szCs w:val="21"/>
                <w:lang w:val="zh-CN" w:eastAsia="zh-CN" w:bidi="ar-SA"/>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7AE43D8E">
            <w:pPr>
              <w:pStyle w:val="91"/>
              <w:jc w:val="center"/>
              <w:rPr>
                <w:rFonts w:hint="default" w:ascii="Times New Roman" w:hAnsi="Times New Roman" w:eastAsia="宋体" w:cs="Times New Roman"/>
                <w:b w:val="0"/>
                <w:bCs w:val="0"/>
                <w:color w:val="000000"/>
                <w:spacing w:val="4"/>
                <w:kern w:val="2"/>
                <w:sz w:val="21"/>
                <w:szCs w:val="21"/>
                <w:lang w:val="en-US" w:eastAsia="zh-CN" w:bidi="ar-SA"/>
              </w:rPr>
            </w:pPr>
            <w:r>
              <w:rPr>
                <w:rFonts w:hint="eastAsia"/>
                <w:b w:val="0"/>
                <w:bCs w:val="0"/>
                <w:color w:val="000000"/>
                <w:kern w:val="2"/>
                <w:szCs w:val="21"/>
                <w:lang w:val="en-US" w:eastAsia="zh-CN"/>
              </w:rPr>
              <w:t>若干</w:t>
            </w:r>
          </w:p>
        </w:tc>
        <w:tc>
          <w:tcPr>
            <w:tcW w:w="957" w:type="pct"/>
            <w:tcBorders>
              <w:tl2br w:val="nil"/>
              <w:tr2bl w:val="nil"/>
            </w:tcBorders>
            <w:noWrap w:val="0"/>
            <w:vAlign w:val="center"/>
          </w:tcPr>
          <w:p w14:paraId="53A0ABC3">
            <w:pPr>
              <w:ind w:left="0" w:leftChars="0" w:right="0" w:rightChars="0" w:firstLine="0" w:firstLineChars="0"/>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eastAsia="宋体" w:cs="Times New Roman"/>
                <w:b w:val="0"/>
                <w:bCs w:val="0"/>
                <w:color w:val="000000"/>
                <w:kern w:val="2"/>
                <w:sz w:val="21"/>
                <w:szCs w:val="21"/>
                <w:lang w:val="en-US" w:eastAsia="zh-CN"/>
              </w:rPr>
              <w:t>生产车间</w:t>
            </w:r>
          </w:p>
        </w:tc>
        <w:tc>
          <w:tcPr>
            <w:tcW w:w="883" w:type="pct"/>
            <w:tcBorders>
              <w:tl2br w:val="nil"/>
              <w:tr2bl w:val="nil"/>
            </w:tcBorders>
            <w:noWrap w:val="0"/>
            <w:vAlign w:val="center"/>
          </w:tcPr>
          <w:p w14:paraId="66FBDE77">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朱广林</w:t>
            </w:r>
          </w:p>
        </w:tc>
      </w:tr>
      <w:tr w14:paraId="4B1507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 w:type="pct"/>
            <w:tcBorders>
              <w:tl2br w:val="nil"/>
              <w:tr2bl w:val="nil"/>
            </w:tcBorders>
            <w:noWrap w:val="0"/>
            <w:vAlign w:val="center"/>
          </w:tcPr>
          <w:p w14:paraId="6DF627B3">
            <w:pPr>
              <w:adjustRightInd w:val="0"/>
              <w:snapToGrid w:val="0"/>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w:t>
            </w:r>
          </w:p>
        </w:tc>
        <w:tc>
          <w:tcPr>
            <w:tcW w:w="1213" w:type="pct"/>
            <w:tcBorders>
              <w:tl2br w:val="nil"/>
              <w:tr2bl w:val="nil"/>
            </w:tcBorders>
            <w:noWrap w:val="0"/>
            <w:vAlign w:val="center"/>
          </w:tcPr>
          <w:p w14:paraId="149FADB4">
            <w:pPr>
              <w:adjustRightInd w:val="0"/>
              <w:snapToGrid w:val="0"/>
              <w:ind w:left="0" w:leftChars="0" w:right="0" w:rightChars="0"/>
              <w:jc w:val="center"/>
              <w:rPr>
                <w:rFonts w:hint="default" w:eastAsia="宋体" w:cs="Times New Roman"/>
                <w:sz w:val="21"/>
                <w:szCs w:val="21"/>
                <w:lang w:val="en-US" w:eastAsia="zh-CN"/>
              </w:rPr>
            </w:pPr>
            <w:r>
              <w:rPr>
                <w:rFonts w:hint="default" w:eastAsia="宋体" w:cs="Times New Roman"/>
                <w:sz w:val="21"/>
                <w:szCs w:val="21"/>
                <w:lang w:val="en-US" w:eastAsia="zh-CN"/>
              </w:rPr>
              <w:t>应急泵</w:t>
            </w:r>
          </w:p>
        </w:tc>
        <w:tc>
          <w:tcPr>
            <w:tcW w:w="1010" w:type="pct"/>
            <w:tcBorders>
              <w:tl2br w:val="nil"/>
              <w:tr2bl w:val="nil"/>
            </w:tcBorders>
            <w:noWrap w:val="0"/>
            <w:vAlign w:val="center"/>
          </w:tcPr>
          <w:p w14:paraId="6C5732BB">
            <w:pPr>
              <w:adjustRightInd w:val="0"/>
              <w:snapToGrid w:val="0"/>
              <w:ind w:left="0" w:leftChars="0" w:right="0" w:rightChars="0"/>
              <w:jc w:val="center"/>
              <w:rPr>
                <w:rFonts w:hint="eastAsia" w:eastAsia="宋体" w:cs="Times New Roman"/>
                <w:sz w:val="21"/>
                <w:szCs w:val="21"/>
                <w:lang w:val="en-US" w:eastAsia="zh-CN"/>
              </w:rPr>
            </w:pPr>
            <w:r>
              <w:rPr>
                <w:rFonts w:hint="eastAsia" w:eastAsia="宋体" w:cs="Times New Roman"/>
                <w:sz w:val="21"/>
                <w:szCs w:val="21"/>
                <w:lang w:val="en-US" w:eastAsia="zh-CN"/>
              </w:rPr>
              <w:t>急救</w:t>
            </w:r>
            <w:r>
              <w:rPr>
                <w:rFonts w:hint="default" w:ascii="Times New Roman" w:hAnsi="Times New Roman" w:eastAsia="宋体" w:cs="Times New Roman"/>
                <w:sz w:val="21"/>
                <w:szCs w:val="21"/>
              </w:rPr>
              <w:t>设施</w:t>
            </w:r>
            <w:r>
              <w:rPr>
                <w:rFonts w:hint="eastAsia" w:eastAsia="宋体" w:cs="Times New Roman"/>
                <w:sz w:val="21"/>
                <w:szCs w:val="21"/>
                <w:lang w:eastAsia="zh-CN"/>
              </w:rPr>
              <w:t>、</w:t>
            </w:r>
            <w:r>
              <w:rPr>
                <w:rFonts w:hint="eastAsia" w:eastAsia="宋体" w:cs="Times New Roman"/>
                <w:sz w:val="21"/>
                <w:szCs w:val="21"/>
                <w:lang w:val="en-US" w:eastAsia="zh-CN"/>
              </w:rPr>
              <w:t>设备</w:t>
            </w:r>
          </w:p>
        </w:tc>
        <w:tc>
          <w:tcPr>
            <w:tcW w:w="469" w:type="pct"/>
            <w:tcBorders>
              <w:tl2br w:val="nil"/>
              <w:tr2bl w:val="nil"/>
            </w:tcBorders>
            <w:noWrap w:val="0"/>
            <w:vAlign w:val="center"/>
          </w:tcPr>
          <w:p w14:paraId="4390D245">
            <w:pPr>
              <w:pStyle w:val="91"/>
              <w:jc w:val="center"/>
              <w:rPr>
                <w:rFonts w:hint="default" w:ascii="Times New Roman" w:hAnsi="Times New Roman" w:eastAsia="宋体" w:cs="Times New Roman"/>
                <w:bCs w:val="0"/>
                <w:color w:val="000000"/>
                <w:kern w:val="2"/>
                <w:sz w:val="21"/>
                <w:szCs w:val="21"/>
                <w:lang w:val="en-US" w:eastAsia="zh-CN"/>
              </w:rPr>
            </w:pPr>
            <w:r>
              <w:rPr>
                <w:rFonts w:hint="eastAsia"/>
                <w:b w:val="0"/>
                <w:bCs w:val="0"/>
                <w:color w:val="000000"/>
                <w:kern w:val="2"/>
                <w:szCs w:val="21"/>
                <w:lang w:val="en-US" w:eastAsia="zh-CN"/>
              </w:rPr>
              <w:t>1</w:t>
            </w:r>
          </w:p>
        </w:tc>
        <w:tc>
          <w:tcPr>
            <w:tcW w:w="957" w:type="pct"/>
            <w:tcBorders>
              <w:tl2br w:val="nil"/>
              <w:tr2bl w:val="nil"/>
            </w:tcBorders>
            <w:noWrap w:val="0"/>
            <w:vAlign w:val="center"/>
          </w:tcPr>
          <w:p w14:paraId="7DE82924">
            <w:pPr>
              <w:ind w:left="0" w:leftChars="0" w:right="0" w:rightChars="0" w:firstLine="0" w:firstLineChars="0"/>
              <w:jc w:val="center"/>
              <w:rPr>
                <w:rFonts w:hint="default" w:ascii="Times New Roman" w:hAnsi="Times New Roman" w:eastAsia="宋体" w:cs="Times New Roman"/>
                <w:bCs w:val="0"/>
                <w:color w:val="000000"/>
                <w:spacing w:val="4"/>
                <w:kern w:val="2"/>
                <w:sz w:val="21"/>
                <w:szCs w:val="21"/>
                <w:lang w:val="en-US" w:eastAsia="zh-CN" w:bidi="ar-SA"/>
              </w:rPr>
            </w:pPr>
            <w:r>
              <w:rPr>
                <w:rFonts w:hint="eastAsia" w:eastAsia="宋体" w:cs="Times New Roman"/>
                <w:b w:val="0"/>
                <w:bCs w:val="0"/>
                <w:color w:val="000000"/>
                <w:kern w:val="2"/>
                <w:sz w:val="21"/>
                <w:szCs w:val="21"/>
                <w:lang w:val="en-US" w:eastAsia="zh-CN"/>
              </w:rPr>
              <w:t>生产车间</w:t>
            </w:r>
          </w:p>
        </w:tc>
        <w:tc>
          <w:tcPr>
            <w:tcW w:w="883" w:type="pct"/>
            <w:tcBorders>
              <w:tl2br w:val="nil"/>
              <w:tr2bl w:val="nil"/>
            </w:tcBorders>
            <w:noWrap w:val="0"/>
            <w:vAlign w:val="center"/>
          </w:tcPr>
          <w:p w14:paraId="232297D0">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朱广林</w:t>
            </w:r>
          </w:p>
        </w:tc>
      </w:tr>
      <w:tr w14:paraId="12E960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 w:type="pct"/>
            <w:tcBorders>
              <w:tl2br w:val="nil"/>
              <w:tr2bl w:val="nil"/>
            </w:tcBorders>
            <w:noWrap w:val="0"/>
            <w:vAlign w:val="center"/>
          </w:tcPr>
          <w:p w14:paraId="083EB3B7">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11</w:t>
            </w:r>
          </w:p>
        </w:tc>
        <w:tc>
          <w:tcPr>
            <w:tcW w:w="1213" w:type="pct"/>
            <w:tcBorders>
              <w:tl2br w:val="nil"/>
              <w:tr2bl w:val="nil"/>
            </w:tcBorders>
            <w:noWrap w:val="0"/>
            <w:vAlign w:val="center"/>
          </w:tcPr>
          <w:p w14:paraId="7C75A70A">
            <w:pPr>
              <w:adjustRightInd w:val="0"/>
              <w:snapToGrid w:val="0"/>
              <w:ind w:left="0" w:leftChars="0" w:right="0" w:rightChars="0"/>
              <w:jc w:val="center"/>
              <w:rPr>
                <w:rFonts w:hint="default" w:eastAsia="宋体" w:cs="Times New Roman"/>
                <w:sz w:val="21"/>
                <w:szCs w:val="21"/>
                <w:lang w:val="en-US" w:eastAsia="zh-CN"/>
              </w:rPr>
            </w:pPr>
            <w:r>
              <w:rPr>
                <w:rFonts w:hint="default" w:eastAsia="宋体" w:cs="Times New Roman"/>
                <w:sz w:val="21"/>
                <w:szCs w:val="21"/>
                <w:lang w:val="en-US" w:eastAsia="zh-CN"/>
              </w:rPr>
              <w:t>急救药箱</w:t>
            </w:r>
          </w:p>
        </w:tc>
        <w:tc>
          <w:tcPr>
            <w:tcW w:w="1010" w:type="pct"/>
            <w:tcBorders>
              <w:tl2br w:val="nil"/>
              <w:tr2bl w:val="nil"/>
            </w:tcBorders>
            <w:noWrap w:val="0"/>
            <w:vAlign w:val="center"/>
          </w:tcPr>
          <w:p w14:paraId="6DFA930A">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现场</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469" w:type="pct"/>
            <w:tcBorders>
              <w:tl2br w:val="nil"/>
              <w:tr2bl w:val="nil"/>
            </w:tcBorders>
            <w:noWrap w:val="0"/>
            <w:vAlign w:val="center"/>
          </w:tcPr>
          <w:p w14:paraId="25BB57B0">
            <w:pPr>
              <w:pStyle w:val="91"/>
              <w:jc w:val="center"/>
              <w:rPr>
                <w:rFonts w:hint="eastAsia" w:ascii="Times New Roman" w:hAnsi="Times New Roman" w:cs="Times New Roman"/>
                <w:bCs w:val="0"/>
                <w:color w:val="000000" w:themeColor="text1"/>
                <w:kern w:val="2"/>
                <w:sz w:val="21"/>
                <w:szCs w:val="21"/>
                <w:lang w:val="en-US" w:eastAsia="zh-CN"/>
                <w14:textFill>
                  <w14:solidFill>
                    <w14:schemeClr w14:val="tx1"/>
                  </w14:solidFill>
                </w14:textFill>
              </w:rPr>
            </w:pPr>
            <w:r>
              <w:rPr>
                <w:rFonts w:hint="eastAsia"/>
                <w:b w:val="0"/>
                <w:bCs w:val="0"/>
                <w:color w:val="000000"/>
                <w:kern w:val="2"/>
                <w:szCs w:val="21"/>
                <w:lang w:val="en-US" w:eastAsia="zh-CN"/>
              </w:rPr>
              <w:t>1</w:t>
            </w:r>
          </w:p>
        </w:tc>
        <w:tc>
          <w:tcPr>
            <w:tcW w:w="957" w:type="pct"/>
            <w:tcBorders>
              <w:tl2br w:val="nil"/>
              <w:tr2bl w:val="nil"/>
            </w:tcBorders>
            <w:noWrap w:val="0"/>
            <w:vAlign w:val="center"/>
          </w:tcPr>
          <w:p w14:paraId="6B5FE48E">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kern w:val="2"/>
                <w:sz w:val="21"/>
                <w:szCs w:val="21"/>
                <w:lang w:val="en-US" w:eastAsia="zh-CN"/>
              </w:rPr>
              <w:t>生产车间</w:t>
            </w:r>
          </w:p>
        </w:tc>
        <w:tc>
          <w:tcPr>
            <w:tcW w:w="883" w:type="pct"/>
            <w:tcBorders>
              <w:tl2br w:val="nil"/>
              <w:tr2bl w:val="nil"/>
            </w:tcBorders>
            <w:noWrap w:val="0"/>
            <w:vAlign w:val="center"/>
          </w:tcPr>
          <w:p w14:paraId="51B1CD3A">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朱广林</w:t>
            </w:r>
          </w:p>
        </w:tc>
      </w:tr>
      <w:tr w14:paraId="751439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 w:type="pct"/>
            <w:tcBorders>
              <w:tl2br w:val="nil"/>
              <w:tr2bl w:val="nil"/>
            </w:tcBorders>
            <w:noWrap w:val="0"/>
            <w:vAlign w:val="center"/>
          </w:tcPr>
          <w:p w14:paraId="27E34EF4">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12</w:t>
            </w:r>
          </w:p>
        </w:tc>
        <w:tc>
          <w:tcPr>
            <w:tcW w:w="1213" w:type="pct"/>
            <w:tcBorders>
              <w:tl2br w:val="nil"/>
              <w:tr2bl w:val="nil"/>
            </w:tcBorders>
            <w:noWrap w:val="0"/>
            <w:vAlign w:val="center"/>
          </w:tcPr>
          <w:p w14:paraId="478EF94D">
            <w:pPr>
              <w:adjustRightInd w:val="0"/>
              <w:snapToGrid w:val="0"/>
              <w:ind w:left="0" w:leftChars="0" w:right="0" w:rightChars="0"/>
              <w:jc w:val="center"/>
              <w:rPr>
                <w:rFonts w:hint="default" w:eastAsia="宋体" w:cs="Times New Roman"/>
                <w:sz w:val="21"/>
                <w:szCs w:val="21"/>
                <w:lang w:val="en-US" w:eastAsia="zh-CN"/>
              </w:rPr>
            </w:pPr>
            <w:r>
              <w:rPr>
                <w:rFonts w:hint="default" w:eastAsia="宋体" w:cs="Times New Roman"/>
                <w:sz w:val="21"/>
                <w:szCs w:val="21"/>
                <w:lang w:val="en-US" w:eastAsia="zh-CN"/>
              </w:rPr>
              <w:t>纱布</w:t>
            </w:r>
          </w:p>
        </w:tc>
        <w:tc>
          <w:tcPr>
            <w:tcW w:w="1010" w:type="pct"/>
            <w:tcBorders>
              <w:tl2br w:val="nil"/>
              <w:tr2bl w:val="nil"/>
            </w:tcBorders>
            <w:noWrap w:val="0"/>
            <w:vAlign w:val="center"/>
          </w:tcPr>
          <w:p w14:paraId="75FA0E31">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急救</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469" w:type="pct"/>
            <w:tcBorders>
              <w:tl2br w:val="nil"/>
              <w:tr2bl w:val="nil"/>
            </w:tcBorders>
            <w:noWrap w:val="0"/>
            <w:vAlign w:val="center"/>
          </w:tcPr>
          <w:p w14:paraId="46195418">
            <w:pPr>
              <w:pStyle w:val="91"/>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若干</w:t>
            </w:r>
          </w:p>
        </w:tc>
        <w:tc>
          <w:tcPr>
            <w:tcW w:w="957" w:type="pct"/>
            <w:tcBorders>
              <w:tl2br w:val="nil"/>
              <w:tr2bl w:val="nil"/>
            </w:tcBorders>
            <w:noWrap w:val="0"/>
            <w:vAlign w:val="center"/>
          </w:tcPr>
          <w:p w14:paraId="3669C0D4">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kern w:val="2"/>
                <w:sz w:val="21"/>
                <w:szCs w:val="21"/>
                <w:lang w:val="en-US" w:eastAsia="zh-CN"/>
              </w:rPr>
              <w:t>生产车间</w:t>
            </w:r>
          </w:p>
        </w:tc>
        <w:tc>
          <w:tcPr>
            <w:tcW w:w="883" w:type="pct"/>
            <w:tcBorders>
              <w:tl2br w:val="nil"/>
              <w:tr2bl w:val="nil"/>
            </w:tcBorders>
            <w:noWrap w:val="0"/>
            <w:vAlign w:val="center"/>
          </w:tcPr>
          <w:p w14:paraId="3AAB49E6">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朱广林</w:t>
            </w:r>
          </w:p>
        </w:tc>
      </w:tr>
      <w:tr w14:paraId="12BF31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 w:type="pct"/>
            <w:tcBorders>
              <w:tl2br w:val="nil"/>
              <w:tr2bl w:val="nil"/>
            </w:tcBorders>
            <w:noWrap w:val="0"/>
            <w:vAlign w:val="center"/>
          </w:tcPr>
          <w:p w14:paraId="0C026414">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13</w:t>
            </w:r>
          </w:p>
        </w:tc>
        <w:tc>
          <w:tcPr>
            <w:tcW w:w="1213" w:type="pct"/>
            <w:tcBorders>
              <w:tl2br w:val="nil"/>
              <w:tr2bl w:val="nil"/>
            </w:tcBorders>
            <w:noWrap w:val="0"/>
            <w:vAlign w:val="center"/>
          </w:tcPr>
          <w:p w14:paraId="6AFDB936">
            <w:pPr>
              <w:adjustRightInd w:val="0"/>
              <w:snapToGrid w:val="0"/>
              <w:ind w:left="0" w:leftChars="0" w:right="0" w:rightChars="0"/>
              <w:jc w:val="center"/>
              <w:rPr>
                <w:rFonts w:hint="eastAsia" w:eastAsia="宋体" w:cs="Times New Roman"/>
                <w:sz w:val="21"/>
                <w:szCs w:val="21"/>
                <w:lang w:val="en-US" w:eastAsia="zh-CN"/>
              </w:rPr>
            </w:pPr>
            <w:r>
              <w:rPr>
                <w:rFonts w:hint="default" w:eastAsia="宋体" w:cs="Times New Roman"/>
                <w:sz w:val="21"/>
                <w:szCs w:val="21"/>
                <w:lang w:val="en-US" w:eastAsia="zh-CN"/>
              </w:rPr>
              <w:t>绷带</w:t>
            </w:r>
          </w:p>
        </w:tc>
        <w:tc>
          <w:tcPr>
            <w:tcW w:w="1010" w:type="pct"/>
            <w:tcBorders>
              <w:tl2br w:val="nil"/>
              <w:tr2bl w:val="nil"/>
            </w:tcBorders>
            <w:noWrap w:val="0"/>
            <w:vAlign w:val="center"/>
          </w:tcPr>
          <w:p w14:paraId="0A58848F">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急救</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469" w:type="pct"/>
            <w:tcBorders>
              <w:tl2br w:val="nil"/>
              <w:tr2bl w:val="nil"/>
            </w:tcBorders>
            <w:noWrap w:val="0"/>
            <w:vAlign w:val="center"/>
          </w:tcPr>
          <w:p w14:paraId="7E5A00A5">
            <w:pPr>
              <w:pStyle w:val="91"/>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若干</w:t>
            </w:r>
          </w:p>
        </w:tc>
        <w:tc>
          <w:tcPr>
            <w:tcW w:w="957" w:type="pct"/>
            <w:tcBorders>
              <w:tl2br w:val="nil"/>
              <w:tr2bl w:val="nil"/>
            </w:tcBorders>
            <w:noWrap w:val="0"/>
            <w:vAlign w:val="center"/>
          </w:tcPr>
          <w:p w14:paraId="4895FAD2">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kern w:val="2"/>
                <w:sz w:val="21"/>
                <w:szCs w:val="21"/>
                <w:lang w:val="en-US" w:eastAsia="zh-CN"/>
              </w:rPr>
              <w:t>生产车间</w:t>
            </w:r>
          </w:p>
        </w:tc>
        <w:tc>
          <w:tcPr>
            <w:tcW w:w="883" w:type="pct"/>
            <w:tcBorders>
              <w:tl2br w:val="nil"/>
              <w:tr2bl w:val="nil"/>
            </w:tcBorders>
            <w:noWrap w:val="0"/>
            <w:vAlign w:val="center"/>
          </w:tcPr>
          <w:p w14:paraId="307022CB">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朱广林</w:t>
            </w:r>
          </w:p>
        </w:tc>
      </w:tr>
      <w:tr w14:paraId="288C62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 w:type="pct"/>
            <w:tcBorders>
              <w:tl2br w:val="nil"/>
              <w:tr2bl w:val="nil"/>
            </w:tcBorders>
            <w:noWrap w:val="0"/>
            <w:vAlign w:val="center"/>
          </w:tcPr>
          <w:p w14:paraId="509A9E9C">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14</w:t>
            </w:r>
          </w:p>
        </w:tc>
        <w:tc>
          <w:tcPr>
            <w:tcW w:w="1213" w:type="pct"/>
            <w:tcBorders>
              <w:tl2br w:val="nil"/>
              <w:tr2bl w:val="nil"/>
            </w:tcBorders>
            <w:noWrap w:val="0"/>
            <w:vAlign w:val="center"/>
          </w:tcPr>
          <w:p w14:paraId="183D3D82">
            <w:pPr>
              <w:adjustRightInd w:val="0"/>
              <w:snapToGrid w:val="0"/>
              <w:ind w:left="0" w:leftChars="0" w:right="0" w:rightChars="0"/>
              <w:jc w:val="center"/>
              <w:rPr>
                <w:rFonts w:hint="eastAsia" w:eastAsia="宋体" w:cs="Times New Roman"/>
                <w:sz w:val="21"/>
                <w:szCs w:val="21"/>
                <w:lang w:val="en-US" w:eastAsia="zh-CN"/>
              </w:rPr>
            </w:pPr>
            <w:r>
              <w:rPr>
                <w:rFonts w:hint="eastAsia" w:eastAsia="宋体" w:cs="Times New Roman"/>
                <w:sz w:val="21"/>
                <w:szCs w:val="21"/>
                <w:lang w:val="en-US" w:eastAsia="zh-CN"/>
              </w:rPr>
              <w:t>创口贴</w:t>
            </w:r>
          </w:p>
        </w:tc>
        <w:tc>
          <w:tcPr>
            <w:tcW w:w="1010" w:type="pct"/>
            <w:tcBorders>
              <w:tl2br w:val="nil"/>
              <w:tr2bl w:val="nil"/>
            </w:tcBorders>
            <w:noWrap w:val="0"/>
            <w:vAlign w:val="center"/>
          </w:tcPr>
          <w:p w14:paraId="7C174440">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急救</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469" w:type="pct"/>
            <w:tcBorders>
              <w:tl2br w:val="nil"/>
              <w:tr2bl w:val="nil"/>
            </w:tcBorders>
            <w:noWrap w:val="0"/>
            <w:vAlign w:val="center"/>
          </w:tcPr>
          <w:p w14:paraId="6280DFFC">
            <w:pPr>
              <w:pStyle w:val="91"/>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若干</w:t>
            </w:r>
          </w:p>
        </w:tc>
        <w:tc>
          <w:tcPr>
            <w:tcW w:w="957" w:type="pct"/>
            <w:tcBorders>
              <w:tl2br w:val="nil"/>
              <w:tr2bl w:val="nil"/>
            </w:tcBorders>
            <w:noWrap w:val="0"/>
            <w:vAlign w:val="center"/>
          </w:tcPr>
          <w:p w14:paraId="2612606B">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kern w:val="2"/>
                <w:sz w:val="21"/>
                <w:szCs w:val="21"/>
                <w:lang w:val="en-US" w:eastAsia="zh-CN"/>
              </w:rPr>
              <w:t>生产车间</w:t>
            </w:r>
          </w:p>
        </w:tc>
        <w:tc>
          <w:tcPr>
            <w:tcW w:w="883" w:type="pct"/>
            <w:tcBorders>
              <w:tl2br w:val="nil"/>
              <w:tr2bl w:val="nil"/>
            </w:tcBorders>
            <w:noWrap w:val="0"/>
            <w:vAlign w:val="center"/>
          </w:tcPr>
          <w:p w14:paraId="01C4CB6E">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朱广林</w:t>
            </w:r>
          </w:p>
        </w:tc>
      </w:tr>
      <w:tr w14:paraId="57A416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678A311A">
            <w:pPr>
              <w:adjustRightInd w:val="0"/>
              <w:snapToGrid w:val="0"/>
              <w:ind w:left="0" w:leftChars="0" w:right="0" w:rightChars="0"/>
              <w:jc w:val="center"/>
              <w:rPr>
                <w:rFonts w:hint="eastAsia" w:cs="Times New Roman"/>
                <w:color w:val="000000" w:themeColor="text1"/>
                <w:sz w:val="21"/>
                <w:szCs w:val="21"/>
                <w:lang w:val="en-US" w:eastAsia="zh-CN"/>
                <w14:textFill>
                  <w14:solidFill>
                    <w14:schemeClr w14:val="tx1"/>
                  </w14:solidFill>
                </w14:textFill>
              </w:rPr>
            </w:pPr>
          </w:p>
          <w:p w14:paraId="1457A2F0">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15</w:t>
            </w:r>
          </w:p>
        </w:tc>
        <w:tc>
          <w:tcPr>
            <w:tcW w:w="0" w:type="auto"/>
            <w:vAlign w:val="center"/>
          </w:tcPr>
          <w:p w14:paraId="05F6BC81">
            <w:pPr>
              <w:adjustRightInd w:val="0"/>
              <w:snapToGrid w:val="0"/>
              <w:ind w:left="0" w:leftChars="0" w:right="0" w:rightChars="0"/>
              <w:jc w:val="center"/>
              <w:rPr>
                <w:rFonts w:hint="eastAsia" w:eastAsia="宋体" w:cs="Times New Roman"/>
                <w:sz w:val="21"/>
                <w:szCs w:val="21"/>
                <w:lang w:val="en-US" w:eastAsia="zh-CN"/>
              </w:rPr>
            </w:pPr>
            <w:r>
              <w:rPr>
                <w:rFonts w:hint="eastAsia" w:eastAsia="宋体" w:cs="Times New Roman"/>
                <w:sz w:val="21"/>
                <w:szCs w:val="21"/>
                <w:lang w:val="en-US" w:eastAsia="zh-CN"/>
              </w:rPr>
              <w:t>烫伤膏</w:t>
            </w:r>
          </w:p>
        </w:tc>
        <w:tc>
          <w:tcPr>
            <w:tcW w:w="0" w:type="auto"/>
          </w:tcPr>
          <w:p w14:paraId="1D79E0B4">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急救</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469" w:type="pct"/>
            <w:vAlign w:val="center"/>
          </w:tcPr>
          <w:p w14:paraId="76A7758A">
            <w:pPr>
              <w:pStyle w:val="91"/>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若干</w:t>
            </w:r>
          </w:p>
        </w:tc>
        <w:tc>
          <w:tcPr>
            <w:tcW w:w="0" w:type="auto"/>
          </w:tcPr>
          <w:p w14:paraId="3163DBEE">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kern w:val="2"/>
                <w:sz w:val="21"/>
                <w:szCs w:val="21"/>
                <w:lang w:val="en-US" w:eastAsia="zh-CN"/>
              </w:rPr>
              <w:t>生产车间</w:t>
            </w:r>
          </w:p>
        </w:tc>
        <w:tc>
          <w:tcPr>
            <w:tcW w:w="0" w:type="auto"/>
          </w:tcPr>
          <w:p w14:paraId="7A837F3D">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朱广林</w:t>
            </w:r>
          </w:p>
        </w:tc>
      </w:tr>
      <w:tr w14:paraId="54F88C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533EDAFC">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16</w:t>
            </w:r>
          </w:p>
        </w:tc>
        <w:tc>
          <w:tcPr>
            <w:tcW w:w="0" w:type="auto"/>
            <w:vAlign w:val="center"/>
          </w:tcPr>
          <w:p w14:paraId="450B4FA3">
            <w:pPr>
              <w:adjustRightInd w:val="0"/>
              <w:snapToGrid w:val="0"/>
              <w:ind w:left="0" w:leftChars="0" w:right="0" w:rightChars="0"/>
              <w:jc w:val="center"/>
              <w:rPr>
                <w:rFonts w:hint="eastAsia" w:eastAsia="宋体" w:cs="Times New Roman"/>
                <w:sz w:val="21"/>
                <w:szCs w:val="21"/>
                <w:lang w:val="en-US" w:eastAsia="zh-CN"/>
              </w:rPr>
            </w:pPr>
            <w:r>
              <w:rPr>
                <w:rFonts w:hint="eastAsia" w:eastAsia="宋体" w:cs="Times New Roman"/>
                <w:sz w:val="21"/>
                <w:szCs w:val="21"/>
                <w:lang w:val="en-US" w:eastAsia="zh-CN"/>
              </w:rPr>
              <w:t>藿香正气水</w:t>
            </w:r>
          </w:p>
        </w:tc>
        <w:tc>
          <w:tcPr>
            <w:tcW w:w="0" w:type="auto"/>
          </w:tcPr>
          <w:p w14:paraId="1E27F6C6">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急救</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469" w:type="pct"/>
            <w:vAlign w:val="center"/>
          </w:tcPr>
          <w:p w14:paraId="1D17BCBC">
            <w:pPr>
              <w:pStyle w:val="91"/>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若干</w:t>
            </w:r>
          </w:p>
        </w:tc>
        <w:tc>
          <w:tcPr>
            <w:tcW w:w="0" w:type="auto"/>
          </w:tcPr>
          <w:p w14:paraId="6683E166">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kern w:val="2"/>
                <w:sz w:val="21"/>
                <w:szCs w:val="21"/>
                <w:lang w:val="en-US" w:eastAsia="zh-CN"/>
              </w:rPr>
              <w:t>生产车间</w:t>
            </w:r>
          </w:p>
        </w:tc>
        <w:tc>
          <w:tcPr>
            <w:tcW w:w="0" w:type="auto"/>
          </w:tcPr>
          <w:p w14:paraId="2A5A94BD">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朱广林</w:t>
            </w:r>
          </w:p>
        </w:tc>
      </w:tr>
      <w:tr w14:paraId="539151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3B081CA6">
            <w:pPr>
              <w:adjustRightInd w:val="0"/>
              <w:snapToGrid w:val="0"/>
              <w:ind w:left="0" w:leftChars="0" w:right="0" w:righ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17</w:t>
            </w:r>
          </w:p>
        </w:tc>
        <w:tc>
          <w:tcPr>
            <w:tcW w:w="0" w:type="auto"/>
            <w:vAlign w:val="center"/>
          </w:tcPr>
          <w:p w14:paraId="7CF1ADA4">
            <w:pPr>
              <w:adjustRightInd w:val="0"/>
              <w:snapToGrid w:val="0"/>
              <w:ind w:left="0" w:leftChars="0" w:right="0" w:rightChars="0"/>
              <w:jc w:val="center"/>
              <w:rPr>
                <w:rFonts w:hint="eastAsia" w:eastAsia="宋体" w:cs="Times New Roman"/>
                <w:sz w:val="21"/>
                <w:szCs w:val="21"/>
                <w:lang w:val="en-US" w:eastAsia="zh-CN"/>
              </w:rPr>
            </w:pPr>
            <w:r>
              <w:rPr>
                <w:rFonts w:hint="eastAsia" w:eastAsia="宋体" w:cs="Times New Roman"/>
                <w:sz w:val="21"/>
                <w:szCs w:val="21"/>
                <w:lang w:val="en-US" w:eastAsia="zh-CN"/>
              </w:rPr>
              <w:t>酒精</w:t>
            </w:r>
          </w:p>
        </w:tc>
        <w:tc>
          <w:tcPr>
            <w:tcW w:w="0" w:type="auto"/>
          </w:tcPr>
          <w:p w14:paraId="44B71ADC">
            <w:pPr>
              <w:adjustRightInd w:val="0"/>
              <w:snapToGrid w:val="0"/>
              <w:ind w:left="0" w:leftChars="0" w:right="0" w:rightChars="0"/>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急救</w:t>
            </w:r>
            <w:r>
              <w:rPr>
                <w:rFonts w:hint="default" w:ascii="Times New Roman" w:hAnsi="Times New Roman" w:eastAsia="宋体" w:cs="Times New Roman"/>
                <w:color w:val="000000" w:themeColor="text1"/>
                <w:sz w:val="21"/>
                <w:szCs w:val="21"/>
                <w14:textFill>
                  <w14:solidFill>
                    <w14:schemeClr w14:val="tx1"/>
                  </w14:solidFill>
                </w14:textFill>
              </w:rPr>
              <w:t>设施</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设备</w:t>
            </w:r>
          </w:p>
        </w:tc>
        <w:tc>
          <w:tcPr>
            <w:tcW w:w="469" w:type="pct"/>
            <w:vAlign w:val="center"/>
          </w:tcPr>
          <w:p w14:paraId="227BACA1">
            <w:pPr>
              <w:pStyle w:val="91"/>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若干</w:t>
            </w:r>
          </w:p>
        </w:tc>
        <w:tc>
          <w:tcPr>
            <w:tcW w:w="0" w:type="auto"/>
          </w:tcPr>
          <w:p w14:paraId="6E0F47C8">
            <w:pPr>
              <w:ind w:left="0" w:leftChars="0" w:right="0" w:rightChars="0" w:firstLine="0" w:firstLineChars="0"/>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kern w:val="2"/>
                <w:sz w:val="21"/>
                <w:szCs w:val="21"/>
                <w:lang w:val="en-US" w:eastAsia="zh-CN"/>
              </w:rPr>
              <w:t>生产车间</w:t>
            </w:r>
          </w:p>
        </w:tc>
        <w:tc>
          <w:tcPr>
            <w:tcW w:w="0" w:type="auto"/>
          </w:tcPr>
          <w:p w14:paraId="2CD604AA">
            <w:pPr>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朱广林</w:t>
            </w:r>
          </w:p>
        </w:tc>
      </w:tr>
    </w:tbl>
    <w:p w14:paraId="5C2DCF8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b w:val="0"/>
          <w:bCs/>
          <w:color w:val="auto"/>
          <w:sz w:val="24"/>
          <w:szCs w:val="24"/>
          <w:highlight w:val="none"/>
          <w:lang w:val="en-US" w:eastAsia="zh-CN"/>
        </w:rPr>
      </w:pPr>
      <w:r>
        <w:rPr>
          <w:rFonts w:hint="default" w:ascii="Times New Roman" w:hAnsi="Times New Roman" w:cs="Times New Roman" w:eastAsiaTheme="minorEastAsia"/>
          <w:b w:val="0"/>
          <w:bCs/>
          <w:color w:val="auto"/>
          <w:sz w:val="24"/>
          <w:szCs w:val="24"/>
          <w:highlight w:val="none"/>
        </w:rPr>
        <w:t>(2)拟增加的应急设施、</w:t>
      </w:r>
      <w:r>
        <w:rPr>
          <w:rFonts w:hint="eastAsia" w:ascii="Times New Roman" w:hAnsi="Times New Roman" w:cs="Times New Roman" w:eastAsiaTheme="minorEastAsia"/>
          <w:b w:val="0"/>
          <w:bCs/>
          <w:color w:val="auto"/>
          <w:sz w:val="24"/>
          <w:szCs w:val="24"/>
          <w:highlight w:val="none"/>
          <w:lang w:val="en-US" w:eastAsia="zh-CN"/>
        </w:rPr>
        <w:t>物资</w:t>
      </w:r>
    </w:p>
    <w:p w14:paraId="01859D0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为了进一步做好火灾等事故环保应急措施，防止伴生/次生污染的发生，我公司在以下几方面加以完善：</w:t>
      </w:r>
    </w:p>
    <w:p w14:paraId="15B20A4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bookmarkStart w:id="659" w:name="_Hlk28828597"/>
      <w:bookmarkStart w:id="660" w:name="_Hlk18455202"/>
      <w:bookmarkStart w:id="661" w:name="_Hlk10518875"/>
      <w:r>
        <w:rPr>
          <w:rFonts w:hint="default" w:ascii="Times New Roman" w:hAnsi="Times New Roman" w:cs="Times New Roman" w:eastAsiaTheme="minorEastAsia"/>
          <w:color w:val="auto"/>
          <w:sz w:val="24"/>
          <w:szCs w:val="24"/>
          <w:highlight w:val="none"/>
        </w:rPr>
        <w:t>①员工对应急预案不够了解，演练不熟悉，对员工加强应急预案宣传和培训并组织演练；</w:t>
      </w:r>
    </w:p>
    <w:p w14:paraId="697516F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②进行进一步的宣传工作，确保周边敏感目标对应急疏散的措施和手段有所了解</w:t>
      </w:r>
      <w:r>
        <w:rPr>
          <w:rFonts w:hint="eastAsia" w:ascii="Times New Roman" w:hAnsi="Times New Roman" w:cs="Times New Roman" w:eastAsiaTheme="minorEastAsia"/>
          <w:color w:val="auto"/>
          <w:sz w:val="24"/>
          <w:szCs w:val="24"/>
          <w:highlight w:val="none"/>
          <w:lang w:eastAsia="zh-CN"/>
        </w:rPr>
        <w:t>。</w:t>
      </w:r>
    </w:p>
    <w:bookmarkEnd w:id="659"/>
    <w:bookmarkEnd w:id="660"/>
    <w:bookmarkEnd w:id="661"/>
    <w:p w14:paraId="35197632">
      <w:pPr>
        <w:pStyle w:val="4"/>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662" w:name="_Toc19356"/>
      <w:bookmarkStart w:id="663" w:name="_Toc496887077"/>
      <w:bookmarkStart w:id="664" w:name="_Toc30264"/>
      <w:bookmarkStart w:id="665" w:name="_Toc16642"/>
      <w:bookmarkStart w:id="666" w:name="_Toc5822"/>
      <w:bookmarkStart w:id="667" w:name="_Toc19613"/>
      <w:bookmarkStart w:id="668" w:name="_Toc5960"/>
      <w:r>
        <w:rPr>
          <w:rFonts w:hint="default" w:ascii="Times New Roman" w:hAnsi="Times New Roman" w:cs="Times New Roman" w:eastAsiaTheme="minorEastAsia"/>
          <w:color w:val="auto"/>
          <w:sz w:val="24"/>
          <w:szCs w:val="24"/>
          <w:highlight w:val="none"/>
        </w:rPr>
        <w:t>8.4 报警</w:t>
      </w:r>
      <w:bookmarkEnd w:id="662"/>
      <w:bookmarkEnd w:id="663"/>
      <w:bookmarkEnd w:id="664"/>
      <w:r>
        <w:rPr>
          <w:rFonts w:hint="default" w:ascii="Times New Roman" w:hAnsi="Times New Roman" w:cs="Times New Roman" w:eastAsiaTheme="minorEastAsia"/>
          <w:color w:val="auto"/>
          <w:sz w:val="24"/>
          <w:szCs w:val="24"/>
          <w:highlight w:val="none"/>
        </w:rPr>
        <w:t>与照明保障</w:t>
      </w:r>
      <w:bookmarkEnd w:id="665"/>
      <w:bookmarkEnd w:id="666"/>
      <w:bookmarkEnd w:id="667"/>
      <w:bookmarkEnd w:id="668"/>
    </w:p>
    <w:p w14:paraId="083D3D6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整个厂区的报警系统采用电话报警为主。</w:t>
      </w:r>
    </w:p>
    <w:p w14:paraId="57F6607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整个厂区的照明依照《</w:t>
      </w:r>
      <w:r>
        <w:rPr>
          <w:rFonts w:hint="eastAsia" w:ascii="Times New Roman" w:hAnsi="Times New Roman" w:cs="Times New Roman" w:eastAsiaTheme="minorEastAsia"/>
          <w:color w:val="auto"/>
          <w:sz w:val="24"/>
          <w:szCs w:val="24"/>
          <w:highlight w:val="none"/>
          <w:lang w:eastAsia="zh-CN"/>
        </w:rPr>
        <w:t>建筑照明设计标准</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GB 50034-2013</w:t>
      </w:r>
      <w:r>
        <w:rPr>
          <w:rFonts w:hint="default" w:ascii="Times New Roman" w:hAnsi="Times New Roman" w:cs="Times New Roman" w:eastAsiaTheme="minorEastAsia"/>
          <w:color w:val="auto"/>
          <w:sz w:val="24"/>
          <w:szCs w:val="24"/>
          <w:highlight w:val="none"/>
        </w:rPr>
        <w:t>）设计。</w:t>
      </w:r>
    </w:p>
    <w:p w14:paraId="58534406">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69" w:name="_Toc24204"/>
      <w:bookmarkStart w:id="670" w:name="_Toc16768"/>
      <w:bookmarkStart w:id="671" w:name="_Toc7925"/>
      <w:bookmarkStart w:id="672" w:name="_Toc24335"/>
      <w:bookmarkStart w:id="673" w:name="_Toc9380"/>
      <w:bookmarkStart w:id="674" w:name="_Toc2698"/>
      <w:r>
        <w:rPr>
          <w:rFonts w:hint="default" w:ascii="Times New Roman" w:hAnsi="Times New Roman" w:cs="Times New Roman" w:eastAsiaTheme="minorEastAsia"/>
          <w:color w:val="auto"/>
          <w:sz w:val="24"/>
          <w:szCs w:val="24"/>
          <w:highlight w:val="none"/>
        </w:rPr>
        <w:t>8.5 医疗卫生保障</w:t>
      </w:r>
      <w:bookmarkEnd w:id="669"/>
      <w:bookmarkEnd w:id="670"/>
      <w:bookmarkEnd w:id="671"/>
      <w:bookmarkEnd w:id="672"/>
      <w:bookmarkEnd w:id="673"/>
      <w:bookmarkEnd w:id="674"/>
    </w:p>
    <w:p w14:paraId="0BF2127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（1）确保事故现场的伤员转移、救助工作；</w:t>
      </w:r>
    </w:p>
    <w:p w14:paraId="5B2C559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（2）明确落实医疗救护部门，并确保伤员护送到相关单位进行抢救和安置，医疗救护单位：</w:t>
      </w:r>
    </w:p>
    <w:p w14:paraId="4D9F164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海安市人民医院</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0513-88869909或120</w:t>
      </w:r>
    </w:p>
    <w:p w14:paraId="605243C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海安市中医院</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0513-88813752或120</w:t>
      </w:r>
    </w:p>
    <w:p w14:paraId="498BD1C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（3）确保重大污染事故时，厂区人员的安全撤离现场；</w:t>
      </w:r>
    </w:p>
    <w:p w14:paraId="603D3AD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（4）落实死难者的善后工作。</w:t>
      </w:r>
    </w:p>
    <w:p w14:paraId="6F8CAB72">
      <w:pPr>
        <w:pStyle w:val="4"/>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675" w:name="_Toc5014"/>
      <w:bookmarkStart w:id="676" w:name="_Toc28478"/>
      <w:bookmarkStart w:id="677" w:name="_Toc19035"/>
      <w:bookmarkStart w:id="678" w:name="_Toc16148"/>
      <w:bookmarkStart w:id="679" w:name="_Toc12181"/>
      <w:bookmarkStart w:id="680" w:name="_Toc9357"/>
      <w:r>
        <w:rPr>
          <w:rFonts w:hint="default" w:ascii="Times New Roman" w:hAnsi="Times New Roman" w:cs="Times New Roman" w:eastAsiaTheme="minorEastAsia"/>
          <w:color w:val="auto"/>
          <w:sz w:val="24"/>
          <w:szCs w:val="24"/>
          <w:highlight w:val="none"/>
        </w:rPr>
        <w:t>8.6 交通运输保障</w:t>
      </w:r>
      <w:bookmarkEnd w:id="675"/>
      <w:bookmarkEnd w:id="676"/>
      <w:bookmarkEnd w:id="677"/>
      <w:bookmarkEnd w:id="678"/>
      <w:bookmarkEnd w:id="679"/>
      <w:bookmarkEnd w:id="680"/>
    </w:p>
    <w:p w14:paraId="40C3B48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bookmarkStart w:id="681" w:name="_Toc275938194"/>
      <w:bookmarkStart w:id="682" w:name="_Toc276118442"/>
      <w:r>
        <w:rPr>
          <w:rFonts w:hint="default" w:ascii="Times New Roman" w:hAnsi="Times New Roman" w:cs="Times New Roman" w:eastAsiaTheme="minorEastAsia"/>
          <w:color w:val="auto"/>
          <w:sz w:val="24"/>
          <w:szCs w:val="24"/>
          <w:highlight w:val="none"/>
        </w:rPr>
        <w:t>公司的汽车配备专职驾驶员，随时可作应急之用。</w:t>
      </w:r>
    </w:p>
    <w:p w14:paraId="7E224D7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同时确保公司厂区内道路及厂区周边道路保持通畅，以便应急救援需要。</w:t>
      </w:r>
    </w:p>
    <w:p w14:paraId="0504DA95">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83" w:name="_Toc18601"/>
      <w:bookmarkStart w:id="684" w:name="_Toc8720"/>
      <w:bookmarkStart w:id="685" w:name="_Toc1400"/>
      <w:bookmarkStart w:id="686" w:name="_Toc1872"/>
      <w:bookmarkStart w:id="687" w:name="_Toc32353"/>
      <w:bookmarkStart w:id="688" w:name="_Toc11088"/>
      <w:r>
        <w:rPr>
          <w:rFonts w:hint="default" w:ascii="Times New Roman" w:hAnsi="Times New Roman" w:cs="Times New Roman" w:eastAsiaTheme="minorEastAsia"/>
          <w:color w:val="auto"/>
          <w:sz w:val="24"/>
          <w:szCs w:val="24"/>
          <w:highlight w:val="none"/>
        </w:rPr>
        <w:t>8.7 治安维护</w:t>
      </w:r>
      <w:bookmarkEnd w:id="683"/>
      <w:bookmarkEnd w:id="684"/>
      <w:bookmarkEnd w:id="685"/>
      <w:bookmarkEnd w:id="686"/>
      <w:bookmarkEnd w:id="687"/>
      <w:bookmarkEnd w:id="688"/>
    </w:p>
    <w:p w14:paraId="2BB9534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（1）突发事件发生后立即按规定划出警戒线，立出明确醒目的标志，指派专人实行警戒。</w:t>
      </w:r>
    </w:p>
    <w:p w14:paraId="30DDC0E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（2）组织治安和护厂队伍，进行巡逻，维持厂区治安。</w:t>
      </w:r>
    </w:p>
    <w:p w14:paraId="0000353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（3）联系社会治安部门，落实厂外受事故影响区域的治安工作。</w:t>
      </w:r>
    </w:p>
    <w:p w14:paraId="0A03738E">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689" w:name="_Toc29101"/>
      <w:bookmarkStart w:id="690" w:name="_Toc23590"/>
      <w:bookmarkStart w:id="691" w:name="_Toc3792"/>
      <w:bookmarkStart w:id="692" w:name="_Toc27752"/>
      <w:bookmarkStart w:id="693" w:name="_Toc13572"/>
      <w:bookmarkStart w:id="694" w:name="_Toc27921"/>
      <w:r>
        <w:rPr>
          <w:rFonts w:hint="default" w:ascii="Times New Roman" w:hAnsi="Times New Roman" w:cs="Times New Roman" w:eastAsiaTheme="minorEastAsia"/>
          <w:color w:val="auto"/>
          <w:sz w:val="24"/>
          <w:szCs w:val="24"/>
          <w:highlight w:val="none"/>
        </w:rPr>
        <w:t>8.8 通信保障</w:t>
      </w:r>
      <w:bookmarkEnd w:id="689"/>
      <w:bookmarkEnd w:id="690"/>
      <w:bookmarkEnd w:id="691"/>
      <w:bookmarkEnd w:id="692"/>
      <w:bookmarkEnd w:id="693"/>
      <w:bookmarkEnd w:id="694"/>
    </w:p>
    <w:p w14:paraId="31ECF47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yellow"/>
        </w:rPr>
      </w:pP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及各成员必须24小时开通个人手机（联系人及联系方式详见附件），配备必要的有线、无线通信器材，值班电话保持24小时通畅，节假日必须安排人员值班。要充分发挥信息网络系统的作用，确保应急时能够统一调动有关人员、物资迅速到位。值班电话：</w:t>
      </w:r>
      <w:r>
        <w:rPr>
          <w:rFonts w:hint="eastAsia" w:ascii="Times New Roman" w:hAnsi="Times New Roman" w:eastAsia="宋体" w:cs="Times New Roman"/>
          <w:b w:val="0"/>
          <w:bCs w:val="0"/>
          <w:color w:val="000000"/>
          <w:sz w:val="24"/>
          <w:szCs w:val="24"/>
          <w:highlight w:val="none"/>
          <w:lang w:eastAsia="zh-CN"/>
        </w:rPr>
        <w:t>13485158086</w:t>
      </w:r>
      <w:r>
        <w:rPr>
          <w:rFonts w:hint="default" w:ascii="Times New Roman" w:hAnsi="Times New Roman" w:cs="Times New Roman" w:eastAsiaTheme="minorEastAsia"/>
          <w:color w:val="auto"/>
          <w:sz w:val="24"/>
          <w:szCs w:val="24"/>
          <w:highlight w:val="none"/>
        </w:rPr>
        <w:t>。</w:t>
      </w:r>
    </w:p>
    <w:p w14:paraId="2E0587A1">
      <w:pPr>
        <w:pStyle w:val="4"/>
        <w:pageBreakBefore w:val="0"/>
        <w:kinsoku/>
        <w:overflowPunct/>
        <w:bidi w:val="0"/>
        <w:spacing w:before="0" w:beforeAutospacing="0" w:after="0" w:afterAutospacing="0" w:line="500" w:lineRule="exact"/>
        <w:rPr>
          <w:rFonts w:hint="eastAsia" w:ascii="Times New Roman" w:hAnsi="Times New Roman" w:cs="Times New Roman" w:eastAsiaTheme="minorEastAsia"/>
          <w:color w:val="auto"/>
          <w:sz w:val="24"/>
          <w:szCs w:val="24"/>
          <w:highlight w:val="none"/>
          <w:lang w:eastAsia="zh-CN"/>
        </w:rPr>
      </w:pPr>
      <w:bookmarkStart w:id="695" w:name="_Toc28773"/>
      <w:bookmarkStart w:id="696" w:name="_Toc15809"/>
      <w:bookmarkStart w:id="697" w:name="_Toc21516"/>
      <w:bookmarkStart w:id="698" w:name="_Toc7661"/>
      <w:bookmarkStart w:id="699" w:name="_Toc12402"/>
      <w:bookmarkStart w:id="700" w:name="_Toc9833"/>
      <w:r>
        <w:rPr>
          <w:rFonts w:hint="default" w:ascii="Times New Roman" w:hAnsi="Times New Roman" w:cs="Times New Roman" w:eastAsiaTheme="minorEastAsia"/>
          <w:color w:val="auto"/>
          <w:sz w:val="24"/>
          <w:szCs w:val="24"/>
          <w:highlight w:val="none"/>
        </w:rPr>
        <w:t>8.9 外部救援体系周边</w:t>
      </w:r>
      <w:bookmarkEnd w:id="695"/>
      <w:bookmarkEnd w:id="696"/>
      <w:r>
        <w:rPr>
          <w:rFonts w:hint="eastAsia" w:cs="Times New Roman"/>
          <w:color w:val="auto"/>
          <w:sz w:val="24"/>
          <w:szCs w:val="24"/>
          <w:highlight w:val="none"/>
          <w:lang w:eastAsia="zh-CN"/>
        </w:rPr>
        <w:t>公司</w:t>
      </w:r>
      <w:bookmarkEnd w:id="697"/>
      <w:bookmarkEnd w:id="698"/>
      <w:bookmarkEnd w:id="699"/>
      <w:bookmarkEnd w:id="700"/>
    </w:p>
    <w:p w14:paraId="0929A64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单位互助体系：公司和周边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将建立良好的应急互助关系，在重大事故发生后，能够相互支援。</w:t>
      </w:r>
    </w:p>
    <w:p w14:paraId="3390A49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yellow"/>
        </w:rPr>
      </w:pPr>
      <w:bookmarkStart w:id="864" w:name="_GoBack"/>
      <w:r>
        <w:rPr>
          <w:rFonts w:hint="eastAsia" w:ascii="Times New Roman" w:hAnsi="Times New Roman" w:cs="Times New Roman" w:eastAsiaTheme="minorEastAsia"/>
          <w:color w:val="auto"/>
          <w:kern w:val="0"/>
          <w:sz w:val="24"/>
          <w:szCs w:val="24"/>
          <w:highlight w:val="none"/>
          <w:lang w:val="en-US" w:eastAsia="zh-CN"/>
        </w:rPr>
        <w:t>南通欣宇源环保科技有限公司</w:t>
      </w:r>
      <w:bookmarkEnd w:id="864"/>
      <w:r>
        <w:rPr>
          <w:rFonts w:hint="default" w:ascii="Times New Roman" w:hAnsi="Times New Roman" w:cs="Times New Roman" w:eastAsiaTheme="minorEastAsia"/>
          <w:color w:val="auto"/>
          <w:kern w:val="0"/>
          <w:sz w:val="24"/>
          <w:szCs w:val="24"/>
          <w:highlight w:val="none"/>
        </w:rPr>
        <w:t xml:space="preserve"> </w:t>
      </w:r>
      <w:r>
        <w:rPr>
          <w:rFonts w:hint="default" w:ascii="Times New Roman" w:hAnsi="Times New Roman" w:cs="Times New Roman" w:eastAsiaTheme="minorEastAsia"/>
          <w:color w:val="auto"/>
          <w:sz w:val="24"/>
          <w:szCs w:val="24"/>
          <w:highlight w:val="none"/>
        </w:rPr>
        <w:t xml:space="preserve"> </w:t>
      </w:r>
    </w:p>
    <w:bookmarkEnd w:id="681"/>
    <w:bookmarkEnd w:id="682"/>
    <w:p w14:paraId="0BF2D98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公共援助力量：</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还可以联系海安市公共消防队、医院、公安、交通、应急管理局以及各相关职能部门，请求救援力量、设备的支持。</w:t>
      </w:r>
    </w:p>
    <w:p w14:paraId="55C4256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南通市海安生态环境局应急中心：0513-8</w:t>
      </w:r>
      <w:r>
        <w:rPr>
          <w:rFonts w:hint="eastAsia"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812369</w:t>
      </w:r>
    </w:p>
    <w:p w14:paraId="3001D00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海安市应急管理局：0513-88169805</w:t>
      </w:r>
    </w:p>
    <w:p w14:paraId="60942E6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海安市消防大队：119</w:t>
      </w:r>
    </w:p>
    <w:p w14:paraId="6EB4CF6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海安市人民医院：0513-88869909或120</w:t>
      </w:r>
    </w:p>
    <w:p w14:paraId="7DF98E5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海安市中医院：0513-88813752或120</w:t>
      </w:r>
    </w:p>
    <w:p w14:paraId="707BCDB2">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701" w:name="_Toc4835"/>
      <w:bookmarkStart w:id="702" w:name="_Toc26834"/>
      <w:bookmarkStart w:id="703" w:name="_Toc28151"/>
      <w:bookmarkStart w:id="704" w:name="_Toc14167"/>
      <w:bookmarkStart w:id="705" w:name="_Toc23806"/>
      <w:bookmarkStart w:id="706" w:name="_Toc27792"/>
      <w:r>
        <w:rPr>
          <w:rFonts w:hint="default" w:ascii="Times New Roman" w:hAnsi="Times New Roman" w:cs="Times New Roman" w:eastAsiaTheme="minorEastAsia"/>
          <w:color w:val="auto"/>
          <w:sz w:val="24"/>
          <w:szCs w:val="24"/>
          <w:highlight w:val="none"/>
        </w:rPr>
        <w:t>8.10 科技支撑</w:t>
      </w:r>
      <w:bookmarkEnd w:id="701"/>
      <w:bookmarkEnd w:id="702"/>
      <w:bookmarkEnd w:id="703"/>
      <w:bookmarkEnd w:id="704"/>
      <w:bookmarkEnd w:id="705"/>
      <w:bookmarkEnd w:id="706"/>
    </w:p>
    <w:p w14:paraId="74CD730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（1）坚持科学的事故处理态度，加强对突发事件发生原因、规律及其应急措施的研究，不断吸取教训，总结经验、摸索规律，增强环境应急预案的科学性、实效性和可操作性。</w:t>
      </w:r>
    </w:p>
    <w:p w14:paraId="04349DE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（2）充分依靠公司工程技术人员和一线技术骨干，邀集同行业与相关专业的专家形成公司应对突发事件的过硬、快速技术队伍。</w:t>
      </w:r>
    </w:p>
    <w:p w14:paraId="51BD443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（3）依托专业技术咨询公司，编制环境突发事件应急预案，并不断改进完善，使事故预防常备不懈机制化。</w:t>
      </w:r>
    </w:p>
    <w:p w14:paraId="31B2DCBB">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707" w:name="_Toc479"/>
      <w:bookmarkStart w:id="708" w:name="_Toc8919"/>
      <w:bookmarkStart w:id="709" w:name="_Toc21085"/>
      <w:bookmarkStart w:id="710" w:name="_Toc423001104"/>
      <w:bookmarkStart w:id="711" w:name="_Toc14792"/>
      <w:bookmarkStart w:id="712" w:name="_Toc1766"/>
      <w:bookmarkStart w:id="713" w:name="_Toc8017"/>
      <w:r>
        <w:rPr>
          <w:rFonts w:hint="default" w:ascii="Times New Roman" w:hAnsi="Times New Roman" w:cs="Times New Roman" w:eastAsiaTheme="minorEastAsia"/>
          <w:color w:val="auto"/>
          <w:sz w:val="24"/>
          <w:szCs w:val="24"/>
          <w:highlight w:val="none"/>
        </w:rPr>
        <w:t>8.11 环境应急能力评估</w:t>
      </w:r>
      <w:bookmarkEnd w:id="707"/>
      <w:bookmarkEnd w:id="708"/>
      <w:bookmarkEnd w:id="709"/>
      <w:bookmarkEnd w:id="710"/>
      <w:bookmarkEnd w:id="711"/>
      <w:bookmarkEnd w:id="712"/>
      <w:bookmarkEnd w:id="713"/>
    </w:p>
    <w:p w14:paraId="457DAC95">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公司可能发生的环境事件为：</w:t>
      </w:r>
      <w:r>
        <w:rPr>
          <w:rFonts w:hint="eastAsia" w:ascii="Times New Roman" w:hAnsi="Times New Roman" w:cs="Times New Roman" w:eastAsiaTheme="minorEastAsia"/>
          <w:color w:val="auto"/>
          <w:sz w:val="24"/>
          <w:szCs w:val="24"/>
          <w:highlight w:val="none"/>
          <w:lang w:val="en-US" w:eastAsia="zh-CN"/>
        </w:rPr>
        <w:t>水性漆等</w:t>
      </w:r>
      <w:r>
        <w:rPr>
          <w:rFonts w:hint="default" w:ascii="Times New Roman" w:hAnsi="Times New Roman" w:cs="Times New Roman" w:eastAsiaTheme="minorEastAsia"/>
          <w:color w:val="auto"/>
          <w:sz w:val="24"/>
          <w:szCs w:val="24"/>
          <w:highlight w:val="none"/>
        </w:rPr>
        <w:t>泄漏</w:t>
      </w:r>
      <w:r>
        <w:rPr>
          <w:rFonts w:hint="eastAsia" w:ascii="Times New Roman" w:hAnsi="Times New Roman" w:cs="Times New Roman" w:eastAsiaTheme="minorEastAsia"/>
          <w:color w:val="auto"/>
          <w:sz w:val="24"/>
          <w:szCs w:val="24"/>
          <w:highlight w:val="none"/>
          <w:lang w:val="en-US" w:eastAsia="zh-CN"/>
        </w:rPr>
        <w:t>后</w:t>
      </w:r>
      <w:r>
        <w:rPr>
          <w:rFonts w:hint="default" w:ascii="Times New Roman" w:hAnsi="Times New Roman" w:cs="Times New Roman" w:eastAsiaTheme="minorEastAsia"/>
          <w:color w:val="auto"/>
          <w:sz w:val="24"/>
          <w:szCs w:val="24"/>
          <w:highlight w:val="none"/>
        </w:rPr>
        <w:t>发生火灾爆炸，影响外环境；废气超标排放，影响大气环境；</w:t>
      </w:r>
      <w:r>
        <w:rPr>
          <w:rFonts w:hint="eastAsia" w:ascii="Times New Roman" w:hAnsi="Times New Roman" w:cs="Times New Roman" w:eastAsiaTheme="minorEastAsia"/>
          <w:color w:val="auto"/>
          <w:sz w:val="24"/>
          <w:szCs w:val="24"/>
          <w:highlight w:val="none"/>
          <w:lang w:eastAsia="zh-CN"/>
        </w:rPr>
        <w:t>消防水</w:t>
      </w:r>
      <w:r>
        <w:rPr>
          <w:rFonts w:hint="default" w:ascii="Times New Roman" w:hAnsi="Times New Roman" w:cs="Times New Roman" w:eastAsiaTheme="minorEastAsia"/>
          <w:color w:val="auto"/>
          <w:sz w:val="24"/>
          <w:szCs w:val="24"/>
          <w:highlight w:val="none"/>
        </w:rPr>
        <w:t>进入周围环境。</w:t>
      </w:r>
    </w:p>
    <w:p w14:paraId="0EEA72C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公司建立了应急救援队伍，由</w:t>
      </w:r>
      <w:r>
        <w:rPr>
          <w:rFonts w:hint="eastAsia" w:ascii="Times New Roman" w:hAnsi="Times New Roman" w:cs="Times New Roman" w:eastAsiaTheme="minorEastAsia"/>
          <w:color w:val="auto"/>
          <w:sz w:val="24"/>
          <w:szCs w:val="24"/>
          <w:highlight w:val="none"/>
          <w:lang w:eastAsia="zh-CN"/>
        </w:rPr>
        <w:t>邹志文</w:t>
      </w:r>
      <w:r>
        <w:rPr>
          <w:rFonts w:hint="default" w:ascii="Times New Roman" w:hAnsi="Times New Roman" w:cs="Times New Roman" w:eastAsiaTheme="minorEastAsia"/>
          <w:color w:val="auto"/>
          <w:sz w:val="24"/>
          <w:szCs w:val="24"/>
          <w:highlight w:val="none"/>
        </w:rPr>
        <w:t>任总指挥，下设</w:t>
      </w:r>
      <w:r>
        <w:rPr>
          <w:rFonts w:hint="eastAsia" w:ascii="Times New Roman" w:hAnsi="Times New Roman" w:cs="Times New Roman" w:eastAsiaTheme="minorEastAsia"/>
          <w:color w:val="auto"/>
          <w:sz w:val="24"/>
          <w:szCs w:val="24"/>
          <w:highlight w:val="none"/>
          <w:lang w:val="en-US" w:eastAsia="zh-CN"/>
        </w:rPr>
        <w:t>综合协调组、现场处置</w:t>
      </w:r>
      <w:r>
        <w:rPr>
          <w:rFonts w:hint="default" w:ascii="Times New Roman" w:hAnsi="Times New Roman" w:cs="Times New Roman" w:eastAsiaTheme="minorEastAsia"/>
          <w:color w:val="auto"/>
          <w:sz w:val="24"/>
          <w:szCs w:val="24"/>
          <w:highlight w:val="none"/>
        </w:rPr>
        <w:t>组、</w:t>
      </w:r>
      <w:r>
        <w:rPr>
          <w:rFonts w:hint="eastAsia" w:ascii="Times New Roman" w:hAnsi="Times New Roman" w:cs="Times New Roman" w:eastAsiaTheme="minorEastAsia"/>
          <w:color w:val="auto"/>
          <w:sz w:val="24"/>
          <w:szCs w:val="24"/>
          <w:highlight w:val="none"/>
          <w:lang w:val="en-US" w:eastAsia="zh-CN"/>
        </w:rPr>
        <w:t>应急保障组、医疗救治组和应急监测</w:t>
      </w:r>
      <w:r>
        <w:rPr>
          <w:rFonts w:hint="default" w:ascii="Times New Roman" w:hAnsi="Times New Roman" w:cs="Times New Roman" w:eastAsiaTheme="minorEastAsia"/>
          <w:color w:val="auto"/>
          <w:sz w:val="24"/>
          <w:szCs w:val="24"/>
          <w:highlight w:val="none"/>
        </w:rPr>
        <w:t>组。</w:t>
      </w:r>
    </w:p>
    <w:p w14:paraId="4FD238D7">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全厂配备了相应的应急物资，主要有：灭火器、消火栓等；除此以外，针对主要的环境风险，公司加强了预防措施，主要有：①生产车间合理设置；②</w:t>
      </w:r>
      <w:r>
        <w:rPr>
          <w:rFonts w:hint="default" w:ascii="Times New Roman" w:hAnsi="Times New Roman" w:cs="Times New Roman" w:eastAsiaTheme="minorEastAsia"/>
          <w:color w:val="auto"/>
          <w:sz w:val="24"/>
          <w:szCs w:val="24"/>
          <w:highlight w:val="none"/>
          <w:lang w:val="en-US" w:eastAsia="zh-CN"/>
        </w:rPr>
        <w:t>本项目</w:t>
      </w:r>
      <w:r>
        <w:rPr>
          <w:rFonts w:hint="eastAsia" w:ascii="Times New Roman" w:hAnsi="Times New Roman" w:cs="Times New Roman" w:eastAsiaTheme="minorEastAsia"/>
          <w:color w:val="auto"/>
          <w:sz w:val="24"/>
          <w:szCs w:val="24"/>
          <w:highlight w:val="none"/>
          <w:lang w:val="en-US" w:eastAsia="zh-CN"/>
        </w:rPr>
        <w:t>试行雨污分流，雨水经雨水管网收集后排入区域雨水管网；生活污水采用化粪池处理，达标接管至海安市水务集团城市污水处理</w:t>
      </w:r>
      <w:r>
        <w:rPr>
          <w:rFonts w:hint="default" w:ascii="Times New Roman" w:hAnsi="Times New Roman" w:cs="Times New Roman" w:eastAsiaTheme="minorEastAsia"/>
          <w:color w:val="auto"/>
          <w:sz w:val="24"/>
          <w:szCs w:val="24"/>
          <w:highlight w:val="none"/>
          <w:lang w:val="en-US" w:eastAsia="zh-CN"/>
        </w:rPr>
        <w:t>有限公司</w:t>
      </w:r>
      <w:r>
        <w:rPr>
          <w:rFonts w:hint="eastAsia" w:ascii="Times New Roman" w:hAnsi="Times New Roman" w:cs="Times New Roman" w:eastAsiaTheme="minorEastAsia"/>
          <w:color w:val="auto"/>
          <w:sz w:val="24"/>
          <w:szCs w:val="24"/>
          <w:highlight w:val="none"/>
          <w:lang w:val="en-US" w:eastAsia="zh-CN"/>
        </w:rPr>
        <w:t>集中处理，达标尾水排入老北凌；水帘废水经物化处理后全部回用于水帘用水、喷枪清洗废水及废气处理冷凝水全部回用于水帘补水，不外排；</w:t>
      </w:r>
      <w:r>
        <w:rPr>
          <w:rFonts w:hint="default" w:ascii="Times New Roman" w:hAnsi="Times New Roman" w:cs="Times New Roman" w:eastAsiaTheme="minorEastAsia"/>
          <w:color w:val="auto"/>
          <w:sz w:val="24"/>
          <w:szCs w:val="24"/>
          <w:highlight w:val="none"/>
        </w:rPr>
        <w:t>③废气经</w:t>
      </w:r>
      <w:r>
        <w:rPr>
          <w:rFonts w:hint="eastAsia" w:ascii="Times New Roman" w:hAnsi="Times New Roman" w:cs="Times New Roman" w:eastAsiaTheme="minorEastAsia"/>
          <w:color w:val="auto"/>
          <w:sz w:val="24"/>
          <w:szCs w:val="24"/>
          <w:highlight w:val="none"/>
          <w:lang w:val="en-US" w:eastAsia="zh-CN"/>
        </w:rPr>
        <w:t>收集</w:t>
      </w:r>
      <w:r>
        <w:rPr>
          <w:rFonts w:hint="default" w:ascii="Times New Roman" w:hAnsi="Times New Roman" w:cs="Times New Roman" w:eastAsiaTheme="minorEastAsia"/>
          <w:color w:val="auto"/>
          <w:sz w:val="24"/>
          <w:szCs w:val="24"/>
          <w:highlight w:val="none"/>
        </w:rPr>
        <w:t>处理后，达标排放</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④危废包括废包装桶</w:t>
      </w:r>
      <w:r>
        <w:rPr>
          <w:rFonts w:hint="eastAsia" w:ascii="Times New Roman" w:hAnsi="Times New Roman" w:eastAsia="宋体" w:cs="Times New Roman"/>
          <w:color w:val="000000" w:themeColor="text1"/>
          <w:kern w:val="2"/>
          <w:sz w:val="24"/>
          <w:szCs w:val="24"/>
          <w:highlight w:val="none"/>
          <w:lang w:val="en-US" w:eastAsia="zh-CN"/>
          <w14:textFill>
            <w14:solidFill>
              <w14:schemeClr w14:val="tx1"/>
            </w14:solidFill>
          </w14:textFill>
        </w:rPr>
        <w:t>、漆渣、废活性炭、废过滤棉</w:t>
      </w:r>
      <w:r>
        <w:rPr>
          <w:rFonts w:hint="eastAsia" w:ascii="Times New Roman" w:hAnsi="Times New Roman" w:eastAsia="宋体" w:cs="Times New Roman"/>
          <w:color w:val="000000" w:themeColor="text1"/>
          <w:kern w:val="2"/>
          <w:sz w:val="24"/>
          <w:szCs w:val="24"/>
          <w:lang w:val="en-US" w:eastAsia="zh-CN"/>
          <w14:textFill>
            <w14:solidFill>
              <w14:schemeClr w14:val="tx1"/>
            </w14:solidFill>
          </w14:textFill>
        </w:rPr>
        <w:t>，</w:t>
      </w:r>
      <w:r>
        <w:rPr>
          <w:rFonts w:hint="eastAsia" w:ascii="Times New Roman" w:hAnsi="Times New Roman" w:cs="Times New Roman" w:eastAsiaTheme="minorEastAsia"/>
          <w:color w:val="auto"/>
          <w:sz w:val="24"/>
          <w:szCs w:val="24"/>
          <w:highlight w:val="none"/>
          <w:lang w:val="en-US" w:eastAsia="zh-CN"/>
        </w:rPr>
        <w:t>委托有资质单位处置</w:t>
      </w:r>
      <w:r>
        <w:rPr>
          <w:rFonts w:hint="default" w:ascii="Times New Roman" w:hAnsi="Times New Roman" w:cs="Times New Roman" w:eastAsiaTheme="minorEastAsia"/>
          <w:color w:val="auto"/>
          <w:sz w:val="24"/>
          <w:szCs w:val="24"/>
          <w:highlight w:val="none"/>
        </w:rPr>
        <w:t>。</w:t>
      </w:r>
    </w:p>
    <w:p w14:paraId="10913BE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在此基础上，公司查找不足，拟</w:t>
      </w:r>
      <w:bookmarkStart w:id="714" w:name="_Hlk51441003"/>
      <w:r>
        <w:rPr>
          <w:rFonts w:hint="default" w:ascii="Times New Roman" w:hAnsi="Times New Roman" w:cs="Times New Roman" w:eastAsiaTheme="minorEastAsia"/>
          <w:color w:val="auto"/>
          <w:sz w:val="24"/>
          <w:szCs w:val="24"/>
          <w:highlight w:val="none"/>
        </w:rPr>
        <w:t>①员工对应急预案不够了解，演练不熟悉，对员工加强应急预案宣传和培训并组织演练；②进行进一步的宣传工作，确保周边敏感目标对应急疏散的措施和手段有所了解</w:t>
      </w:r>
      <w:bookmarkEnd w:id="714"/>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同时，公司制定了相应的应急预案管理制度、完善了应急交通工具配备等，并明确了与地区政府应急指挥系统的联络方式。</w:t>
      </w:r>
    </w:p>
    <w:p w14:paraId="391964A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综上，我公司的环境应急能力基本可以满足</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Ⅱ级、Ⅲ级突发环境事件的应急需求，发生</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Ⅰ级及以上的环境事件时，需请求当地政府协调应急救援。</w:t>
      </w:r>
    </w:p>
    <w:p w14:paraId="20DA3375">
      <w:pPr>
        <w:pageBreakBefore w:val="0"/>
        <w:widowControl/>
        <w:kinsoku/>
        <w:overflowPunct/>
        <w:bidi w:val="0"/>
        <w:spacing w:line="500" w:lineRule="exact"/>
        <w:ind w:firstLine="560"/>
        <w:rPr>
          <w:rFonts w:hint="default" w:ascii="Times New Roman" w:hAnsi="Times New Roman" w:cs="Times New Roman" w:eastAsiaTheme="minorEastAsia"/>
          <w:bCs/>
          <w:color w:val="auto"/>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74468163">
      <w:pPr>
        <w:pStyle w:val="3"/>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kern w:val="0"/>
          <w:sz w:val="28"/>
          <w:szCs w:val="28"/>
          <w:highlight w:val="none"/>
        </w:rPr>
      </w:pPr>
      <w:bookmarkStart w:id="715" w:name="_Toc26374"/>
      <w:bookmarkStart w:id="716" w:name="_Toc2732"/>
      <w:bookmarkStart w:id="717" w:name="_Toc12145"/>
      <w:bookmarkStart w:id="718" w:name="_Toc31778"/>
      <w:bookmarkStart w:id="719" w:name="_Toc651"/>
      <w:bookmarkStart w:id="720" w:name="_Toc359"/>
      <w:r>
        <w:rPr>
          <w:rFonts w:hint="default" w:ascii="Times New Roman" w:hAnsi="Times New Roman" w:cs="Times New Roman" w:eastAsiaTheme="minorEastAsia"/>
          <w:color w:val="auto"/>
          <w:kern w:val="0"/>
          <w:sz w:val="28"/>
          <w:szCs w:val="28"/>
          <w:highlight w:val="none"/>
        </w:rPr>
        <w:t xml:space="preserve">9 </w:t>
      </w:r>
      <w:bookmarkEnd w:id="715"/>
      <w:bookmarkEnd w:id="716"/>
      <w:r>
        <w:rPr>
          <w:rFonts w:hint="default" w:ascii="Times New Roman" w:hAnsi="Times New Roman" w:cs="Times New Roman" w:eastAsiaTheme="minorEastAsia"/>
          <w:color w:val="auto"/>
          <w:kern w:val="0"/>
          <w:sz w:val="28"/>
          <w:szCs w:val="28"/>
          <w:highlight w:val="none"/>
        </w:rPr>
        <w:t>预案管理</w:t>
      </w:r>
      <w:bookmarkEnd w:id="717"/>
      <w:bookmarkEnd w:id="718"/>
      <w:bookmarkEnd w:id="719"/>
      <w:bookmarkEnd w:id="720"/>
    </w:p>
    <w:p w14:paraId="78688A04">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721" w:name="_Toc16385"/>
      <w:bookmarkStart w:id="722" w:name="_Toc4858"/>
      <w:bookmarkStart w:id="723" w:name="_Toc21653"/>
      <w:bookmarkStart w:id="724" w:name="_Toc27344"/>
      <w:bookmarkStart w:id="725" w:name="_Toc11521"/>
      <w:bookmarkStart w:id="726" w:name="_Toc3637"/>
      <w:r>
        <w:rPr>
          <w:rFonts w:hint="default" w:ascii="Times New Roman" w:hAnsi="Times New Roman" w:cs="Times New Roman" w:eastAsiaTheme="minorEastAsia"/>
          <w:color w:val="auto"/>
          <w:sz w:val="24"/>
          <w:szCs w:val="24"/>
          <w:highlight w:val="none"/>
        </w:rPr>
        <w:t>9.1培训</w:t>
      </w:r>
      <w:bookmarkEnd w:id="721"/>
      <w:bookmarkEnd w:id="722"/>
      <w:bookmarkEnd w:id="723"/>
      <w:bookmarkEnd w:id="724"/>
      <w:bookmarkEnd w:id="725"/>
      <w:bookmarkEnd w:id="726"/>
    </w:p>
    <w:p w14:paraId="599ED878">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27" w:name="_Toc2339"/>
      <w:bookmarkStart w:id="728" w:name="_Toc31672"/>
      <w:bookmarkStart w:id="729" w:name="_Toc7204"/>
      <w:bookmarkStart w:id="730" w:name="_Toc2754"/>
      <w:bookmarkStart w:id="731" w:name="_Toc21596"/>
      <w:bookmarkStart w:id="732" w:name="_Toc13071"/>
      <w:r>
        <w:rPr>
          <w:rFonts w:hint="default" w:ascii="Times New Roman" w:hAnsi="Times New Roman" w:cs="Times New Roman" w:eastAsiaTheme="minorEastAsia"/>
          <w:color w:val="auto"/>
          <w:sz w:val="24"/>
          <w:szCs w:val="24"/>
          <w:highlight w:val="none"/>
        </w:rPr>
        <w:t>9.1.1 应急救援指挥组成员的培训</w:t>
      </w:r>
      <w:bookmarkEnd w:id="727"/>
      <w:bookmarkEnd w:id="728"/>
      <w:bookmarkEnd w:id="729"/>
      <w:bookmarkEnd w:id="730"/>
      <w:bookmarkEnd w:id="731"/>
      <w:bookmarkEnd w:id="732"/>
    </w:p>
    <w:p w14:paraId="5C9A06D9">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本预案制订实施后，所有应急救援指挥组成员应认真学习本预案内容，明确在救援现场所担负的责任和义务。由应急救援</w:t>
      </w:r>
      <w:r>
        <w:rPr>
          <w:rFonts w:hint="eastAsia" w:ascii="Times New Roman" w:hAnsi="Times New Roman" w:cs="Times New Roman"/>
          <w:color w:val="auto"/>
          <w:sz w:val="24"/>
          <w:szCs w:val="24"/>
          <w:highlight w:val="none"/>
          <w:lang w:val="en-US" w:eastAsia="zh-CN"/>
        </w:rPr>
        <w:t>指挥</w:t>
      </w:r>
      <w:r>
        <w:rPr>
          <w:rFonts w:hint="default" w:ascii="Times New Roman" w:hAnsi="Times New Roman" w:cs="Times New Roman" w:eastAsiaTheme="minorEastAsia"/>
          <w:color w:val="auto"/>
          <w:sz w:val="24"/>
          <w:szCs w:val="24"/>
          <w:highlight w:val="none"/>
        </w:rPr>
        <w:t>组每半年组织一次应急培训，主要培训内容：</w:t>
      </w:r>
    </w:p>
    <w:p w14:paraId="226F100E">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（1）熟悉、掌握事故应急救援预案内容，明确自己的分工，业务熟练，使之成为重大事故应急救援的骨干力量；</w:t>
      </w:r>
    </w:p>
    <w:p w14:paraId="61477375">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（2）熟练使用各种防范装置和用具；</w:t>
      </w:r>
    </w:p>
    <w:p w14:paraId="0F971D84">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（3）掌握开展事故现场抢救、救援及事故处理的措施；</w:t>
      </w:r>
    </w:p>
    <w:p w14:paraId="1F6A4CED">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（4）懂得事故现场自我防范及监护，清楚人员疏散撤离方案、路径。</w:t>
      </w:r>
    </w:p>
    <w:p w14:paraId="30956E04">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color w:val="auto"/>
          <w:sz w:val="24"/>
          <w:szCs w:val="24"/>
          <w:highlight w:val="none"/>
          <w:lang w:val="en-US" w:eastAsia="zh-CN"/>
        </w:rPr>
        <w:t>洞悉每个成员的工作行程和路径以及联系方式。</w:t>
      </w:r>
    </w:p>
    <w:p w14:paraId="78B24F5F">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33" w:name="_Toc12933"/>
      <w:bookmarkStart w:id="734" w:name="_Toc7287"/>
      <w:bookmarkStart w:id="735" w:name="_Toc17461"/>
      <w:bookmarkStart w:id="736" w:name="_Toc18889"/>
      <w:bookmarkStart w:id="737" w:name="_Toc30050"/>
      <w:bookmarkStart w:id="738" w:name="_Toc22357"/>
      <w:r>
        <w:rPr>
          <w:rFonts w:hint="default" w:ascii="Times New Roman" w:hAnsi="Times New Roman" w:cs="Times New Roman" w:eastAsiaTheme="minorEastAsia"/>
          <w:color w:val="auto"/>
          <w:sz w:val="24"/>
          <w:szCs w:val="24"/>
          <w:highlight w:val="none"/>
        </w:rPr>
        <w:t>9.1.2 员工的培训</w:t>
      </w:r>
      <w:bookmarkEnd w:id="733"/>
      <w:bookmarkEnd w:id="734"/>
      <w:bookmarkEnd w:id="735"/>
      <w:bookmarkEnd w:id="736"/>
      <w:bookmarkEnd w:id="737"/>
      <w:bookmarkEnd w:id="738"/>
    </w:p>
    <w:p w14:paraId="4533ED8D">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员工应急响应的培训</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结合每年组织的安全技术知识培训一并进行，每年不少于2次，主要培训内容：</w:t>
      </w:r>
    </w:p>
    <w:p w14:paraId="5BFAFDB0">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环保安全生产规章制度、安全操作规程；</w:t>
      </w:r>
    </w:p>
    <w:p w14:paraId="7B1B3E6D">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（2）防毒的基本知识，防范设施的维护管理和防范措施的应用；</w:t>
      </w:r>
    </w:p>
    <w:p w14:paraId="582171B7">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（3）生产过程中异常情况的排除，处理方法；</w:t>
      </w:r>
    </w:p>
    <w:p w14:paraId="215A8E2A">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（4）事故发生后如何开展自救和互救；</w:t>
      </w:r>
    </w:p>
    <w:p w14:paraId="3888C6F5">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（5）事故发生后的撤离和疏散途径方法；</w:t>
      </w:r>
    </w:p>
    <w:p w14:paraId="5AA47086">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（6）环境污染事故应急预案的作用与内容；</w:t>
      </w:r>
    </w:p>
    <w:p w14:paraId="1412989F">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（7）应急救援人员的基本要求及责任；</w:t>
      </w:r>
    </w:p>
    <w:p w14:paraId="078E4836">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（8）本单位污染物的种类，数量，各类污染物的危害性；</w:t>
      </w:r>
    </w:p>
    <w:p w14:paraId="0E01970F">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（9）防止污染物扩散、处理、处置各类污染事故的基本方法；</w:t>
      </w:r>
    </w:p>
    <w:p w14:paraId="428454E8">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（10）主要消防器材、防护设备等的位置及使用方法。</w:t>
      </w:r>
    </w:p>
    <w:p w14:paraId="42E664B3">
      <w:pPr>
        <w:pStyle w:val="78"/>
        <w:keepNext w:val="0"/>
        <w:keepLines w:val="0"/>
        <w:pageBreakBefore w:val="0"/>
        <w:widowControl/>
        <w:kinsoku/>
        <w:wordWrap/>
        <w:overflowPunct/>
        <w:topLinePunct w:val="0"/>
        <w:autoSpaceDE/>
        <w:autoSpaceDN/>
        <w:bidi w:val="0"/>
        <w:adjustRightInd w:val="0"/>
        <w:snapToGrid w:val="0"/>
        <w:spacing w:line="500" w:lineRule="exact"/>
        <w:ind w:left="1196" w:leftChars="170" w:hanging="720" w:hangingChars="300"/>
        <w:jc w:val="both"/>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）本企业所辖的管道线路、站场、阀室、附属设施及周边自然和社会环境的相关信息；事故案例分析等</w:t>
      </w:r>
      <w:r>
        <w:rPr>
          <w:rFonts w:hint="eastAsia" w:ascii="Times New Roman" w:hAnsi="Times New Roman" w:cs="Times New Roman"/>
          <w:color w:val="auto"/>
          <w:sz w:val="24"/>
          <w:szCs w:val="24"/>
          <w:highlight w:val="none"/>
          <w:lang w:eastAsia="zh-CN"/>
        </w:rPr>
        <w:t>。</w:t>
      </w:r>
    </w:p>
    <w:p w14:paraId="3554C963">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培训方法：采取课堂教学、综合讨论、现场讲解、模拟事故发生、测试考核等方式进行。</w:t>
      </w:r>
    </w:p>
    <w:p w14:paraId="48B3BFDE">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39" w:name="_Toc11899"/>
      <w:bookmarkStart w:id="740" w:name="_Toc9140"/>
      <w:bookmarkStart w:id="741" w:name="_Toc28147"/>
      <w:bookmarkStart w:id="742" w:name="_Toc23974"/>
      <w:bookmarkStart w:id="743" w:name="_Toc25854"/>
      <w:bookmarkStart w:id="744" w:name="_Toc5984"/>
      <w:r>
        <w:rPr>
          <w:rFonts w:hint="default" w:ascii="Times New Roman" w:hAnsi="Times New Roman" w:cs="Times New Roman" w:eastAsiaTheme="minorEastAsia"/>
          <w:color w:val="auto"/>
          <w:sz w:val="24"/>
          <w:szCs w:val="24"/>
          <w:highlight w:val="none"/>
        </w:rPr>
        <w:t>9.1.3 外部公众的培训</w:t>
      </w:r>
      <w:bookmarkEnd w:id="739"/>
      <w:bookmarkEnd w:id="740"/>
      <w:bookmarkEnd w:id="741"/>
      <w:bookmarkEnd w:id="742"/>
      <w:bookmarkEnd w:id="743"/>
      <w:bookmarkEnd w:id="744"/>
    </w:p>
    <w:p w14:paraId="42350CA9">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通过多种媒体</w:t>
      </w:r>
      <w:r>
        <w:rPr>
          <w:rFonts w:hint="eastAsia" w:ascii="Times New Roman" w:hAnsi="Times New Roman" w:cs="Times New Roman"/>
          <w:color w:val="auto"/>
          <w:sz w:val="24"/>
          <w:szCs w:val="24"/>
          <w:highlight w:val="none"/>
          <w:lang w:val="en-US" w:eastAsia="zh-CN"/>
        </w:rPr>
        <w:t>等</w:t>
      </w:r>
      <w:r>
        <w:rPr>
          <w:rFonts w:hint="default" w:ascii="Times New Roman" w:hAnsi="Times New Roman" w:cs="Times New Roman" w:eastAsiaTheme="minorEastAsia"/>
          <w:color w:val="auto"/>
          <w:sz w:val="24"/>
          <w:szCs w:val="24"/>
          <w:highlight w:val="none"/>
        </w:rPr>
        <w:t>形式，向外部公众(周边</w:t>
      </w:r>
      <w:r>
        <w:rPr>
          <w:rFonts w:hint="eastAsia" w:ascii="Times New Roman" w:hAnsi="Times New Roman"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、社区、人口聚居区等)广泛宣传环境污染事件应急预案和相关的应急法律法规，让外部公众正确认识如何应对突发环境污染事件。以发放宣传品的形式为主，每年进行一次。</w:t>
      </w:r>
    </w:p>
    <w:p w14:paraId="40849477">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当发生事故时，应采取以下措施：</w:t>
      </w:r>
    </w:p>
    <w:p w14:paraId="043E787E">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（1）分析研判。</w:t>
      </w:r>
      <w:r>
        <w:rPr>
          <w:rFonts w:hint="eastAsia" w:ascii="Times New Roman" w:hAnsi="Times New Roman" w:cs="Times New Roman"/>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组织有关部门和机构、专业技术人员及专家，及时对预警信息进行分析研判，预估可能的影响范围和危害程度。</w:t>
      </w:r>
    </w:p>
    <w:p w14:paraId="79999BC6">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（2）防范处置。</w:t>
      </w:r>
      <w:r>
        <w:rPr>
          <w:rFonts w:hint="eastAsia" w:ascii="Times New Roman" w:hAnsi="Times New Roman" w:cs="Times New Roman"/>
          <w:color w:val="auto"/>
          <w:sz w:val="24"/>
          <w:szCs w:val="24"/>
          <w:highlight w:val="none"/>
          <w:lang w:val="en-US" w:eastAsia="zh-CN"/>
        </w:rPr>
        <w:t>应急处置</w:t>
      </w:r>
      <w:r>
        <w:rPr>
          <w:rFonts w:hint="default" w:ascii="Times New Roman" w:hAnsi="Times New Roman" w:cs="Times New Roman" w:eastAsiaTheme="minorEastAsia"/>
          <w:color w:val="auto"/>
          <w:sz w:val="24"/>
          <w:szCs w:val="24"/>
          <w:highlight w:val="none"/>
        </w:rPr>
        <w:t>组迅速采取有效处置措施，控制事件苗头。在涉险区域设置注意事项提示或事件危害警告标志，利用各种渠道增加宣传频次，告知公众避险和减轻危害的常识、需采取的必要的健康防护措施。</w:t>
      </w:r>
    </w:p>
    <w:p w14:paraId="2CB5CDEF">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（3）应急准备。</w:t>
      </w:r>
      <w:r>
        <w:rPr>
          <w:rFonts w:hint="eastAsia" w:ascii="Times New Roman" w:hAnsi="Times New Roman" w:cs="Times New Roman"/>
          <w:color w:val="auto"/>
          <w:sz w:val="24"/>
          <w:szCs w:val="24"/>
          <w:highlight w:val="none"/>
          <w:lang w:val="en-US" w:eastAsia="zh-CN"/>
        </w:rPr>
        <w:t>通讯联络组</w:t>
      </w:r>
      <w:r>
        <w:rPr>
          <w:rFonts w:hint="default" w:ascii="Times New Roman" w:hAnsi="Times New Roman" w:cs="Times New Roman" w:eastAsiaTheme="minorEastAsia"/>
          <w:color w:val="auto"/>
          <w:sz w:val="24"/>
          <w:szCs w:val="24"/>
          <w:highlight w:val="none"/>
        </w:rPr>
        <w:t>提前疏散、转移可能受到危害的人员，并进行妥善安置。责令应急救援队伍、负有特定职责的人员进入待命状态，动员后备人员做好参加应急救援和处置工作的准备，并调集应急所需物资和设备，做好应急保障工作。对可能导致突发环境事件发生的部门加强环境监管。</w:t>
      </w:r>
    </w:p>
    <w:p w14:paraId="7FA21EA4">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（4）舆论引导。</w:t>
      </w:r>
      <w:r>
        <w:rPr>
          <w:rFonts w:hint="eastAsia" w:ascii="Times New Roman" w:hAnsi="Times New Roman" w:cs="Times New Roman"/>
          <w:color w:val="auto"/>
          <w:sz w:val="24"/>
          <w:szCs w:val="24"/>
          <w:highlight w:val="none"/>
          <w:lang w:val="en-US" w:eastAsia="zh-CN"/>
        </w:rPr>
        <w:t>通讯联络组</w:t>
      </w:r>
      <w:r>
        <w:rPr>
          <w:rFonts w:hint="default" w:ascii="Times New Roman" w:hAnsi="Times New Roman" w:cs="Times New Roman" w:eastAsiaTheme="minorEastAsia"/>
          <w:color w:val="auto"/>
          <w:sz w:val="24"/>
          <w:szCs w:val="24"/>
          <w:highlight w:val="none"/>
        </w:rPr>
        <w:t>及时准确发布事态最新情况，加强相关舆情监测，做好舆论引导工作。做好人员的疏散转移、维护避难场所治安，进行交通疏导和管制，开展自救互救的宣传教育，制止谣言传播，稳定社会秩序。</w:t>
      </w:r>
    </w:p>
    <w:p w14:paraId="3F8A24F9">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（5）应急疏散。当发生事故时启动相关应急预案，迅速按照</w:t>
      </w:r>
      <w:r>
        <w:rPr>
          <w:rFonts w:hint="eastAsia" w:ascii="Times New Roman" w:hAnsi="Times New Roman"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 xml:space="preserve">周边区域道路交通图、疏散路线图，合理疏散和安置避险群众，组织经常性应急疏散演练。 </w:t>
      </w:r>
    </w:p>
    <w:p w14:paraId="25BD1BBF">
      <w:pPr>
        <w:pStyle w:val="78"/>
        <w:pageBreakBefore w:val="0"/>
        <w:widowControl/>
        <w:kinsoku/>
        <w:overflowPunct/>
        <w:bidi w:val="0"/>
        <w:spacing w:line="500" w:lineRule="exact"/>
        <w:ind w:firstLine="560"/>
        <w:jc w:val="both"/>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（6）应急医疗救护。与附近单位签订互救协议，迅速提供救济物品，</w:t>
      </w:r>
      <w:r>
        <w:rPr>
          <w:rFonts w:hint="eastAsia" w:ascii="Times New Roman" w:hAnsi="Times New Roman" w:cs="Times New Roman"/>
          <w:color w:val="auto"/>
          <w:sz w:val="24"/>
          <w:szCs w:val="24"/>
          <w:highlight w:val="none"/>
          <w:lang w:val="en-US" w:eastAsia="zh-CN"/>
        </w:rPr>
        <w:t>医疗救治组</w:t>
      </w:r>
      <w:r>
        <w:rPr>
          <w:rFonts w:hint="default" w:ascii="Times New Roman" w:hAnsi="Times New Roman" w:cs="Times New Roman" w:eastAsiaTheme="minorEastAsia"/>
          <w:color w:val="auto"/>
          <w:sz w:val="24"/>
          <w:szCs w:val="24"/>
          <w:highlight w:val="none"/>
        </w:rPr>
        <w:t>保障疏散群众，负责做好现场抢救、医疗以及转运伤员。</w:t>
      </w:r>
    </w:p>
    <w:p w14:paraId="71A3F8CF">
      <w:pPr>
        <w:pStyle w:val="4"/>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745" w:name="_Toc5112"/>
      <w:bookmarkStart w:id="746" w:name="_Toc1890"/>
      <w:bookmarkStart w:id="747" w:name="_Toc20135"/>
      <w:bookmarkStart w:id="748" w:name="_Toc24841"/>
      <w:bookmarkStart w:id="749" w:name="_Toc26695"/>
      <w:bookmarkStart w:id="750" w:name="_Toc15302"/>
      <w:r>
        <w:rPr>
          <w:rFonts w:hint="default" w:ascii="Times New Roman" w:hAnsi="Times New Roman" w:cs="Times New Roman" w:eastAsiaTheme="minorEastAsia"/>
          <w:color w:val="auto"/>
          <w:sz w:val="24"/>
          <w:szCs w:val="24"/>
          <w:highlight w:val="none"/>
        </w:rPr>
        <w:t>9.2</w:t>
      </w:r>
      <w:r>
        <w:rPr>
          <w:rFonts w:hint="eastAsia" w:cs="Times New Roman"/>
          <w:color w:val="auto"/>
          <w:sz w:val="24"/>
          <w:szCs w:val="24"/>
          <w:highlight w:val="none"/>
          <w:lang w:val="en-US" w:eastAsia="zh-CN"/>
        </w:rPr>
        <w:t>应急</w:t>
      </w:r>
      <w:r>
        <w:rPr>
          <w:rFonts w:hint="default" w:ascii="Times New Roman" w:hAnsi="Times New Roman" w:cs="Times New Roman" w:eastAsiaTheme="minorEastAsia"/>
          <w:color w:val="auto"/>
          <w:sz w:val="24"/>
          <w:szCs w:val="24"/>
          <w:highlight w:val="none"/>
        </w:rPr>
        <w:t>演练</w:t>
      </w:r>
      <w:bookmarkEnd w:id="745"/>
      <w:bookmarkEnd w:id="746"/>
      <w:bookmarkEnd w:id="747"/>
      <w:bookmarkEnd w:id="748"/>
      <w:bookmarkEnd w:id="749"/>
      <w:bookmarkEnd w:id="750"/>
    </w:p>
    <w:p w14:paraId="77E47119">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51" w:name="_Toc4531"/>
      <w:bookmarkStart w:id="752" w:name="_Toc6041"/>
      <w:bookmarkStart w:id="753" w:name="_Toc10143"/>
      <w:bookmarkStart w:id="754" w:name="_Toc29506"/>
      <w:bookmarkStart w:id="755" w:name="_Toc13098"/>
      <w:bookmarkStart w:id="756" w:name="_Toc7900"/>
      <w:r>
        <w:rPr>
          <w:rFonts w:hint="default" w:ascii="Times New Roman" w:hAnsi="Times New Roman" w:cs="Times New Roman" w:eastAsiaTheme="minorEastAsia"/>
          <w:color w:val="auto"/>
          <w:sz w:val="24"/>
          <w:szCs w:val="24"/>
          <w:highlight w:val="none"/>
        </w:rPr>
        <w:t>9.2.1 演练准备内容</w:t>
      </w:r>
      <w:bookmarkEnd w:id="751"/>
      <w:bookmarkEnd w:id="752"/>
      <w:bookmarkEnd w:id="753"/>
      <w:bookmarkEnd w:id="754"/>
      <w:bookmarkEnd w:id="755"/>
      <w:bookmarkEnd w:id="756"/>
    </w:p>
    <w:p w14:paraId="3E2BB900">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default" w:ascii="Times New Roman" w:hAnsi="Times New Roman" w:cs="Times New Roman" w:eastAsiaTheme="minorEastAsia"/>
          <w:bCs/>
          <w:color w:val="auto"/>
          <w:sz w:val="24"/>
          <w:szCs w:val="24"/>
          <w:highlight w:val="none"/>
        </w:rPr>
        <w:t>演练分类</w:t>
      </w:r>
    </w:p>
    <w:p w14:paraId="2A43BF5F">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①明确目的。明确演练的主要目的是检验我公司在突发环境事件的情况下，应急处理能力；</w:t>
      </w:r>
    </w:p>
    <w:p w14:paraId="4A3AE417">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②制定方案。明确演练的过程，主要内容等，重点突出应急状态下的组织指挥、综合调度、现场救治、后勤保障等方面的内容；</w:t>
      </w:r>
    </w:p>
    <w:p w14:paraId="685F512C">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③成立组织。成立演练机构，明确主要职责；</w:t>
      </w:r>
    </w:p>
    <w:p w14:paraId="08A1C964">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④设计情景。包括设计事故现场、准备演练场地、模拟现场构建等。</w:t>
      </w:r>
    </w:p>
    <w:p w14:paraId="5A5077F5">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57" w:name="_Toc29526"/>
      <w:bookmarkStart w:id="758" w:name="_Toc10783"/>
      <w:bookmarkStart w:id="759" w:name="_Toc1697"/>
      <w:bookmarkStart w:id="760" w:name="_Toc24356"/>
      <w:bookmarkStart w:id="761" w:name="_Toc20304"/>
      <w:bookmarkStart w:id="762" w:name="_Toc4591"/>
      <w:r>
        <w:rPr>
          <w:rFonts w:hint="default" w:ascii="Times New Roman" w:hAnsi="Times New Roman" w:cs="Times New Roman" w:eastAsiaTheme="minorEastAsia"/>
          <w:color w:val="auto"/>
          <w:sz w:val="24"/>
          <w:szCs w:val="24"/>
          <w:highlight w:val="none"/>
        </w:rPr>
        <w:t>9.2.2 演练方式、范围与频次</w:t>
      </w:r>
      <w:bookmarkEnd w:id="757"/>
      <w:bookmarkEnd w:id="758"/>
      <w:bookmarkEnd w:id="759"/>
      <w:bookmarkEnd w:id="760"/>
      <w:bookmarkEnd w:id="761"/>
      <w:bookmarkEnd w:id="762"/>
    </w:p>
    <w:p w14:paraId="759B9F9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演练方式：以现场实景演练为主，分综合演练和单项演练；根据情况可以和安全、消防演练相结合。主要演练课题如下：</w:t>
      </w:r>
    </w:p>
    <w:p w14:paraId="2188CB6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（1）泄漏应急处置演练：根据公司可能发生的泄漏事故，组织应急小组演练事故预警、应急物资的使用。重点演练泄漏物堵漏工具使用，</w:t>
      </w:r>
      <w:r>
        <w:rPr>
          <w:rFonts w:hint="eastAsia" w:ascii="Times New Roman" w:hAnsi="Times New Roman" w:cs="Times New Roman" w:eastAsiaTheme="minorEastAsia"/>
          <w:bCs/>
          <w:color w:val="auto"/>
          <w:sz w:val="24"/>
          <w:szCs w:val="24"/>
          <w:highlight w:val="none"/>
          <w:lang w:val="en-US" w:eastAsia="zh-CN"/>
        </w:rPr>
        <w:t>租赁厂区的</w:t>
      </w:r>
      <w:r>
        <w:rPr>
          <w:rFonts w:hint="default" w:ascii="Times New Roman" w:hAnsi="Times New Roman" w:cs="Times New Roman" w:eastAsiaTheme="minorEastAsia"/>
          <w:bCs/>
          <w:color w:val="auto"/>
          <w:sz w:val="24"/>
          <w:szCs w:val="24"/>
          <w:highlight w:val="none"/>
        </w:rPr>
        <w:t>应急泵是否能启用及使用、各应急物资能否被及时取用和正确使用、如何快速有效堵漏等。</w:t>
      </w:r>
    </w:p>
    <w:p w14:paraId="69F1865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（2）火灾爆炸事故应急处置演练：根据预案组织员工演练事故预警、重点演练各导流及应急水池是否畅通、重点演练急救及医疗、交通控制及管理、人员疏散、向上级报告情况及向友邻单位通报情况等课题。</w:t>
      </w:r>
    </w:p>
    <w:p w14:paraId="53D62B9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（3）水污染应急处置演练：针对厂区原料泄漏和消防尾水次生污染事件，组织员工演练关闭污水截止阀。</w:t>
      </w:r>
    </w:p>
    <w:p w14:paraId="61FC717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color w:val="auto"/>
          <w:sz w:val="24"/>
          <w:szCs w:val="24"/>
          <w:highlight w:val="none"/>
        </w:rPr>
        <w:t>（4）组织公众避险的方式方法演练：针对发生事故后，厂外群众根据</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周边区域道路交通图、疏散路线图合理有序迅速的疏散。</w:t>
      </w:r>
    </w:p>
    <w:p w14:paraId="71CCFB1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演练范围：主要在本</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内部，涉及外部公众（周边</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、社区、人口聚居区等）的环境应急演练应该由政府组织，</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要积极配合。</w:t>
      </w:r>
    </w:p>
    <w:p w14:paraId="6F75F0E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演练的频次：</w:t>
      </w:r>
    </w:p>
    <w:p w14:paraId="71A7123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eastAsia" w:ascii="Times New Roman" w:hAnsi="Times New Roman" w:cs="Times New Roman" w:eastAsiaTheme="minorEastAsia"/>
          <w:bCs/>
          <w:color w:val="auto"/>
          <w:sz w:val="24"/>
          <w:szCs w:val="24"/>
          <w:highlight w:val="none"/>
          <w:lang w:eastAsia="zh-CN"/>
        </w:rPr>
        <w:t>（</w:t>
      </w:r>
      <w:r>
        <w:rPr>
          <w:rFonts w:hint="eastAsia" w:ascii="Times New Roman" w:hAnsi="Times New Roman" w:cs="Times New Roman" w:eastAsiaTheme="minorEastAsia"/>
          <w:bCs/>
          <w:color w:val="auto"/>
          <w:sz w:val="24"/>
          <w:szCs w:val="24"/>
          <w:highlight w:val="none"/>
          <w:lang w:val="en-US" w:eastAsia="zh-CN"/>
        </w:rPr>
        <w:t>a</w:t>
      </w:r>
      <w:r>
        <w:rPr>
          <w:rFonts w:hint="eastAsia"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组织指挥演练由指挥组负责人每年组织一次；</w:t>
      </w:r>
    </w:p>
    <w:p w14:paraId="065AFAC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lang w:eastAsia="zh-CN"/>
        </w:rPr>
        <w:t>（</w:t>
      </w:r>
      <w:r>
        <w:rPr>
          <w:rFonts w:hint="eastAsia" w:ascii="Times New Roman" w:hAnsi="Times New Roman" w:cs="Times New Roman" w:eastAsiaTheme="minorEastAsia"/>
          <w:bCs/>
          <w:color w:val="auto"/>
          <w:sz w:val="24"/>
          <w:szCs w:val="24"/>
          <w:highlight w:val="none"/>
          <w:lang w:val="en-US" w:eastAsia="zh-CN"/>
        </w:rPr>
        <w:t>b</w:t>
      </w:r>
      <w:r>
        <w:rPr>
          <w:rFonts w:hint="default"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单项演练由每专业组负责人每年组织二次；</w:t>
      </w:r>
    </w:p>
    <w:p w14:paraId="2628D1A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sz w:val="24"/>
          <w:szCs w:val="24"/>
          <w:highlight w:val="none"/>
          <w:lang w:eastAsia="zh-CN"/>
        </w:rPr>
      </w:pPr>
      <w:r>
        <w:rPr>
          <w:rFonts w:hint="default" w:ascii="Times New Roman" w:hAnsi="Times New Roman" w:cs="Times New Roman" w:eastAsiaTheme="minorEastAsia"/>
          <w:bCs/>
          <w:color w:val="auto"/>
          <w:sz w:val="24"/>
          <w:szCs w:val="24"/>
          <w:highlight w:val="none"/>
          <w:lang w:eastAsia="zh-CN"/>
        </w:rPr>
        <w:t>（</w:t>
      </w:r>
      <w:r>
        <w:rPr>
          <w:rFonts w:hint="eastAsia" w:ascii="Times New Roman" w:hAnsi="Times New Roman" w:cs="Times New Roman" w:eastAsiaTheme="minorEastAsia"/>
          <w:bCs/>
          <w:color w:val="auto"/>
          <w:sz w:val="24"/>
          <w:szCs w:val="24"/>
          <w:highlight w:val="none"/>
          <w:lang w:val="en-US" w:eastAsia="zh-CN"/>
        </w:rPr>
        <w:t>c</w:t>
      </w:r>
      <w:r>
        <w:rPr>
          <w:rFonts w:hint="default"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综合演练由指挥领导小组组长每年组织一次；</w:t>
      </w:r>
    </w:p>
    <w:p w14:paraId="1904F5A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lang w:eastAsia="zh-CN"/>
        </w:rPr>
        <w:t>（</w:t>
      </w:r>
      <w:r>
        <w:rPr>
          <w:rFonts w:hint="eastAsia" w:ascii="Times New Roman" w:hAnsi="Times New Roman" w:cs="Times New Roman" w:eastAsiaTheme="minorEastAsia"/>
          <w:bCs/>
          <w:color w:val="auto"/>
          <w:sz w:val="24"/>
          <w:szCs w:val="24"/>
          <w:highlight w:val="none"/>
          <w:lang w:val="en-US" w:eastAsia="zh-CN"/>
        </w:rPr>
        <w:t>d</w:t>
      </w:r>
      <w:r>
        <w:rPr>
          <w:rFonts w:hint="default"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政府有关部门的演练，公司积极组织参加。</w:t>
      </w:r>
    </w:p>
    <w:p w14:paraId="65EF290C">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63" w:name="_Toc8995"/>
      <w:bookmarkStart w:id="764" w:name="_Toc26495"/>
      <w:bookmarkStart w:id="765" w:name="_Toc26835"/>
      <w:bookmarkStart w:id="766" w:name="_Toc9466"/>
      <w:bookmarkStart w:id="767" w:name="_Toc19409"/>
      <w:bookmarkStart w:id="768" w:name="_Toc10879"/>
      <w:r>
        <w:rPr>
          <w:rFonts w:hint="default" w:ascii="Times New Roman" w:hAnsi="Times New Roman" w:cs="Times New Roman" w:eastAsiaTheme="minorEastAsia"/>
          <w:color w:val="auto"/>
          <w:sz w:val="24"/>
          <w:szCs w:val="24"/>
          <w:highlight w:val="none"/>
        </w:rPr>
        <w:t>9.2.3 演练组织</w:t>
      </w:r>
      <w:bookmarkEnd w:id="763"/>
      <w:bookmarkEnd w:id="764"/>
      <w:bookmarkEnd w:id="765"/>
      <w:bookmarkEnd w:id="766"/>
      <w:bookmarkEnd w:id="767"/>
      <w:bookmarkEnd w:id="768"/>
    </w:p>
    <w:p w14:paraId="3F13B46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演练组织由</w:t>
      </w:r>
      <w:r>
        <w:rPr>
          <w:rFonts w:hint="eastAsia" w:ascii="Times New Roman" w:hAnsi="Times New Roman" w:cs="Times New Roman" w:eastAsiaTheme="minorEastAsia"/>
          <w:bCs/>
          <w:color w:val="auto"/>
          <w:sz w:val="24"/>
          <w:szCs w:val="24"/>
          <w:highlight w:val="none"/>
          <w:lang w:eastAsia="zh-CN"/>
        </w:rPr>
        <w:t>应急救援指挥组</w:t>
      </w:r>
      <w:r>
        <w:rPr>
          <w:rFonts w:hint="default" w:ascii="Times New Roman" w:hAnsi="Times New Roman" w:cs="Times New Roman" w:eastAsiaTheme="minorEastAsia"/>
          <w:bCs/>
          <w:color w:val="auto"/>
          <w:sz w:val="24"/>
          <w:szCs w:val="24"/>
          <w:highlight w:val="none"/>
        </w:rPr>
        <w:t>负责，其主要工作职责是：领导演练工作，制定演练计划和文书，下达演练指示，协调演练工作，组织演练物资，确定演练人员，解决演练中的有关问题。</w:t>
      </w:r>
    </w:p>
    <w:p w14:paraId="658CD831">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69" w:name="_Toc308433195"/>
      <w:bookmarkStart w:id="770" w:name="_Toc10211"/>
      <w:bookmarkStart w:id="771" w:name="_Toc30035"/>
      <w:bookmarkStart w:id="772" w:name="_Toc4139"/>
      <w:bookmarkStart w:id="773" w:name="_Toc24297"/>
      <w:bookmarkStart w:id="774" w:name="_Toc23214"/>
      <w:bookmarkStart w:id="775" w:name="_Toc18946"/>
      <w:bookmarkStart w:id="776" w:name="_Toc271202574"/>
      <w:r>
        <w:rPr>
          <w:rFonts w:hint="default" w:ascii="Times New Roman" w:hAnsi="Times New Roman" w:cs="Times New Roman" w:eastAsiaTheme="minorEastAsia"/>
          <w:color w:val="auto"/>
          <w:sz w:val="24"/>
          <w:szCs w:val="24"/>
          <w:highlight w:val="none"/>
        </w:rPr>
        <w:t>9.2.4 应急演练的评价、总结与追踪</w:t>
      </w:r>
      <w:bookmarkEnd w:id="769"/>
      <w:bookmarkEnd w:id="770"/>
      <w:bookmarkEnd w:id="771"/>
      <w:bookmarkEnd w:id="772"/>
      <w:bookmarkEnd w:id="773"/>
      <w:bookmarkEnd w:id="774"/>
      <w:bookmarkEnd w:id="775"/>
      <w:bookmarkEnd w:id="776"/>
    </w:p>
    <w:p w14:paraId="2E5E64D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评价：应急演练结束后，指挥部领导就全部过程进行点评，对应急计划和实施程序的有效性、应急装备的可行性、应急人员的素质和反应速度等作出评价，肯定成绩，针对演练中暴露出的问题，提出改进意见；</w:t>
      </w:r>
    </w:p>
    <w:p w14:paraId="2FF3CBF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（2）总结：形成书面总结，上报有关部门并存档；</w:t>
      </w:r>
    </w:p>
    <w:p w14:paraId="6AF8C52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rPr>
        <w:t>（3）追踪：针对演练中暴露出的问题及时进行修正、补充、完善，使预案进一步合理化；同时，追踪有关改进措施的落实。</w:t>
      </w:r>
    </w:p>
    <w:p w14:paraId="716AF8A9">
      <w:pPr>
        <w:pStyle w:val="89"/>
        <w:pageBreakBefore w:val="0"/>
        <w:kinsoku/>
        <w:overflowPunct/>
        <w:bidi w:val="0"/>
        <w:spacing w:before="120" w:after="120" w:line="500" w:lineRule="exact"/>
        <w:rPr>
          <w:rFonts w:hint="default" w:ascii="Times New Roman" w:hAnsi="Times New Roman" w:cs="Times New Roman" w:eastAsiaTheme="minorEastAsia"/>
          <w:color w:val="auto"/>
          <w:sz w:val="24"/>
          <w:szCs w:val="24"/>
          <w:highlight w:val="none"/>
        </w:rPr>
      </w:pPr>
      <w:bookmarkStart w:id="777" w:name="_Toc5079"/>
      <w:bookmarkStart w:id="778" w:name="_Toc4859"/>
      <w:bookmarkStart w:id="779" w:name="_Toc46679865"/>
      <w:bookmarkStart w:id="780" w:name="_Toc27662263"/>
      <w:bookmarkStart w:id="781" w:name="_Toc15784"/>
      <w:bookmarkStart w:id="782" w:name="_Toc511979051"/>
      <w:bookmarkStart w:id="783" w:name="_Toc15296"/>
      <w:bookmarkStart w:id="784" w:name="_Toc38773924"/>
      <w:bookmarkStart w:id="785" w:name="_Toc22961"/>
      <w:r>
        <w:rPr>
          <w:rFonts w:hint="default" w:ascii="Times New Roman" w:hAnsi="Times New Roman" w:cs="Times New Roman" w:eastAsiaTheme="minorEastAsia"/>
          <w:color w:val="auto"/>
          <w:sz w:val="24"/>
          <w:szCs w:val="24"/>
          <w:highlight w:val="none"/>
        </w:rPr>
        <w:t>9.3 预案的评审、备案、发布和更新</w:t>
      </w:r>
      <w:bookmarkEnd w:id="777"/>
      <w:bookmarkEnd w:id="778"/>
      <w:bookmarkEnd w:id="779"/>
      <w:bookmarkEnd w:id="780"/>
      <w:bookmarkEnd w:id="781"/>
      <w:bookmarkEnd w:id="782"/>
      <w:bookmarkEnd w:id="783"/>
      <w:bookmarkEnd w:id="784"/>
      <w:bookmarkEnd w:id="785"/>
    </w:p>
    <w:p w14:paraId="670E697E">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86" w:name="_Toc511979052"/>
      <w:bookmarkStart w:id="787" w:name="_Toc46679866"/>
      <w:bookmarkStart w:id="788" w:name="_Toc27662264"/>
      <w:bookmarkStart w:id="789" w:name="_Toc38773925"/>
      <w:bookmarkStart w:id="790" w:name="_Toc19484"/>
      <w:bookmarkStart w:id="791" w:name="_Toc14488"/>
      <w:bookmarkStart w:id="792" w:name="_Toc22520"/>
      <w:bookmarkStart w:id="793" w:name="_Toc11287"/>
      <w:bookmarkStart w:id="794" w:name="_Toc19737"/>
      <w:r>
        <w:rPr>
          <w:rFonts w:hint="default" w:ascii="Times New Roman" w:hAnsi="Times New Roman" w:cs="Times New Roman" w:eastAsiaTheme="minorEastAsia"/>
          <w:color w:val="auto"/>
          <w:sz w:val="24"/>
          <w:szCs w:val="24"/>
          <w:highlight w:val="none"/>
        </w:rPr>
        <w:t xml:space="preserve">9.3.1 </w:t>
      </w:r>
      <w:bookmarkEnd w:id="786"/>
      <w:bookmarkEnd w:id="787"/>
      <w:bookmarkEnd w:id="788"/>
      <w:bookmarkEnd w:id="789"/>
      <w:bookmarkEnd w:id="790"/>
      <w:r>
        <w:rPr>
          <w:rFonts w:hint="default" w:ascii="Times New Roman" w:hAnsi="Times New Roman" w:cs="Times New Roman" w:eastAsiaTheme="minorEastAsia"/>
          <w:color w:val="auto"/>
          <w:sz w:val="24"/>
          <w:szCs w:val="24"/>
          <w:highlight w:val="none"/>
        </w:rPr>
        <w:t>内部评审</w:t>
      </w:r>
      <w:bookmarkEnd w:id="791"/>
      <w:bookmarkEnd w:id="792"/>
      <w:bookmarkEnd w:id="793"/>
      <w:bookmarkEnd w:id="794"/>
    </w:p>
    <w:p w14:paraId="7A46A81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应急预案编制完成后，由公司主要负责人组织有关部门和人员进行内部评审，着重对预案的针对性、符合性、有效性进行评审，提出修改意见，由编制人员进行修改完善。</w:t>
      </w:r>
    </w:p>
    <w:p w14:paraId="7B4C8B09">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795" w:name="_Toc13093"/>
      <w:bookmarkStart w:id="796" w:name="_Toc2218"/>
      <w:bookmarkStart w:id="797" w:name="_Toc13248"/>
      <w:bookmarkStart w:id="798" w:name="_Toc20577"/>
      <w:bookmarkStart w:id="799" w:name="_Toc12087"/>
      <w:bookmarkStart w:id="800" w:name="_Toc18939"/>
      <w:r>
        <w:rPr>
          <w:rFonts w:hint="default" w:ascii="Times New Roman" w:hAnsi="Times New Roman" w:cs="Times New Roman" w:eastAsiaTheme="minorEastAsia"/>
          <w:color w:val="auto"/>
          <w:sz w:val="24"/>
          <w:szCs w:val="24"/>
          <w:highlight w:val="none"/>
        </w:rPr>
        <w:t>9.3.2 外部评审</w:t>
      </w:r>
      <w:bookmarkEnd w:id="795"/>
      <w:bookmarkEnd w:id="796"/>
      <w:bookmarkEnd w:id="797"/>
      <w:bookmarkEnd w:id="798"/>
      <w:bookmarkEnd w:id="799"/>
      <w:bookmarkEnd w:id="800"/>
    </w:p>
    <w:p w14:paraId="517FE02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在内部评审的基础上，由上级主管部门、相关</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、单位、环保部门、周边公众代表、专家等对预案进行外部评审，提出修改意见，进一步完善预案。</w:t>
      </w:r>
    </w:p>
    <w:p w14:paraId="1AF302B4">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801" w:name="_Toc17804"/>
      <w:bookmarkStart w:id="802" w:name="_Toc23501"/>
      <w:bookmarkStart w:id="803" w:name="_Toc20527"/>
      <w:bookmarkStart w:id="804" w:name="_Toc28534"/>
      <w:bookmarkStart w:id="805" w:name="_Toc20054"/>
      <w:bookmarkStart w:id="806" w:name="_Toc29035"/>
      <w:r>
        <w:rPr>
          <w:rFonts w:hint="default" w:ascii="Times New Roman" w:hAnsi="Times New Roman" w:cs="Times New Roman" w:eastAsiaTheme="minorEastAsia"/>
          <w:color w:val="auto"/>
          <w:sz w:val="24"/>
          <w:szCs w:val="24"/>
          <w:highlight w:val="none"/>
        </w:rPr>
        <w:t>9.3.3 备案</w:t>
      </w:r>
      <w:bookmarkEnd w:id="801"/>
      <w:bookmarkEnd w:id="802"/>
      <w:bookmarkEnd w:id="803"/>
      <w:bookmarkEnd w:id="804"/>
      <w:bookmarkEnd w:id="805"/>
      <w:bookmarkEnd w:id="806"/>
    </w:p>
    <w:p w14:paraId="3D5BF9F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预案经评审完善后，由我公司主要负责人签署发布，按规定报有关部门备案。</w:t>
      </w:r>
    </w:p>
    <w:p w14:paraId="77445EE8">
      <w:pPr>
        <w:pStyle w:val="2"/>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807" w:name="_Toc18494"/>
      <w:bookmarkStart w:id="808" w:name="_Toc24783"/>
      <w:bookmarkStart w:id="809" w:name="_Toc6447"/>
      <w:bookmarkStart w:id="810" w:name="_Toc16068"/>
      <w:bookmarkStart w:id="811" w:name="_Toc8447"/>
      <w:bookmarkStart w:id="812" w:name="_Toc14396"/>
      <w:r>
        <w:rPr>
          <w:rFonts w:hint="default" w:ascii="Times New Roman" w:hAnsi="Times New Roman" w:cs="Times New Roman" w:eastAsiaTheme="minorEastAsia"/>
          <w:color w:val="auto"/>
          <w:sz w:val="24"/>
          <w:szCs w:val="24"/>
          <w:highlight w:val="none"/>
        </w:rPr>
        <w:t>9.3.4 更新计划与及时备案</w:t>
      </w:r>
      <w:bookmarkEnd w:id="807"/>
      <w:bookmarkEnd w:id="808"/>
      <w:bookmarkEnd w:id="809"/>
      <w:bookmarkEnd w:id="810"/>
      <w:bookmarkEnd w:id="811"/>
      <w:bookmarkEnd w:id="812"/>
    </w:p>
    <w:p w14:paraId="2C31EEB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预案的动态修正，是指根据非常规突发事件进程中最新获取的信息，及时对原有的决策方案进行修正。根据情景应对模式，需要不断获取新信息，及时调整方向，修正现有的决策方案，防止决策错误的延续或再次扩大。因此，环境应急预案每三年至少修订一次；有下列情形之一的，应当及时组织进行修订评审，然后重新发布，并抄送至相关部门。</w:t>
      </w:r>
    </w:p>
    <w:p w14:paraId="5B61AA01">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（1）厂址、布局、原材料、设备、危险品、产品、生产工艺和技术等发生变化的；</w:t>
      </w:r>
    </w:p>
    <w:p w14:paraId="10221557">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（2）相关单位和人员发生变化或者</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织指挥体系或职责调整的；</w:t>
      </w:r>
    </w:p>
    <w:p w14:paraId="60A7604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（3）周围环境或者环境敏感点发生变化的；</w:t>
      </w:r>
    </w:p>
    <w:p w14:paraId="085A60E0">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（4）环境应急预案依据的法律、法规、规章等发生变化的；</w:t>
      </w:r>
    </w:p>
    <w:p w14:paraId="3F7E14F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（5）日常应急管理、训练、演练或实际应急过程中发现预案缺陷的；</w:t>
      </w:r>
    </w:p>
    <w:p w14:paraId="6FC31913">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（6）对于重点装置及重点环境风险源、风险物质建议制定专项预案；</w:t>
      </w:r>
    </w:p>
    <w:p w14:paraId="739D1188">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（7）环境保护主管部门或者</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认为应当适时修订的。</w:t>
      </w:r>
    </w:p>
    <w:p w14:paraId="24AB916E">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对环境应急预案个别内容进行调整的，修编工作可适当简化；对环境应急预案进行重大修编的，修编工作参照环境应急预案制定步骤进行。</w:t>
      </w:r>
    </w:p>
    <w:p w14:paraId="248B001B">
      <w:pPr>
        <w:pStyle w:val="89"/>
        <w:pageBreakBefore w:val="0"/>
        <w:kinsoku/>
        <w:overflowPunct/>
        <w:bidi w:val="0"/>
        <w:spacing w:before="120" w:after="120" w:line="500" w:lineRule="exact"/>
        <w:rPr>
          <w:rFonts w:hint="default" w:ascii="Times New Roman" w:hAnsi="Times New Roman" w:cs="Times New Roman" w:eastAsiaTheme="minorEastAsia"/>
          <w:color w:val="auto"/>
          <w:sz w:val="24"/>
          <w:szCs w:val="24"/>
          <w:highlight w:val="none"/>
        </w:rPr>
      </w:pPr>
      <w:bookmarkStart w:id="813" w:name="_Toc31494"/>
      <w:bookmarkStart w:id="814" w:name="_Toc46679870"/>
      <w:bookmarkStart w:id="815" w:name="_Toc9087"/>
      <w:bookmarkStart w:id="816" w:name="_Toc511979056"/>
      <w:bookmarkStart w:id="817" w:name="_Toc31845"/>
      <w:bookmarkStart w:id="818" w:name="_Toc38773929"/>
      <w:bookmarkStart w:id="819" w:name="_Toc19831"/>
      <w:bookmarkStart w:id="820" w:name="_Toc27662268"/>
      <w:bookmarkStart w:id="821" w:name="_Toc24931"/>
      <w:r>
        <w:rPr>
          <w:rFonts w:hint="default" w:ascii="Times New Roman" w:hAnsi="Times New Roman" w:cs="Times New Roman" w:eastAsiaTheme="minorEastAsia"/>
          <w:color w:val="auto"/>
          <w:sz w:val="24"/>
          <w:szCs w:val="24"/>
          <w:highlight w:val="none"/>
        </w:rPr>
        <w:t>9.4 预案的实施和生效日期</w:t>
      </w:r>
      <w:bookmarkEnd w:id="813"/>
      <w:bookmarkEnd w:id="814"/>
      <w:bookmarkEnd w:id="815"/>
      <w:bookmarkEnd w:id="816"/>
      <w:bookmarkEnd w:id="817"/>
      <w:bookmarkEnd w:id="818"/>
      <w:bookmarkEnd w:id="819"/>
      <w:bookmarkEnd w:id="820"/>
      <w:bookmarkEnd w:id="821"/>
    </w:p>
    <w:p w14:paraId="3F70C768">
      <w:pPr>
        <w:keepNext w:val="0"/>
        <w:keepLines w:val="0"/>
        <w:pageBreakBefore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本预案由</w:t>
      </w:r>
      <w:r>
        <w:rPr>
          <w:rFonts w:hint="eastAsia" w:ascii="Times New Roman" w:hAnsi="Times New Roman" w:cs="Times New Roman" w:eastAsiaTheme="minorEastAsia"/>
          <w:color w:val="auto"/>
          <w:sz w:val="24"/>
          <w:szCs w:val="24"/>
          <w:highlight w:val="none"/>
        </w:rPr>
        <w:fldChar w:fldCharType="begin"/>
      </w:r>
      <w:r>
        <w:rPr>
          <w:rFonts w:hint="eastAsia" w:ascii="Times New Roman" w:hAnsi="Times New Roman" w:cs="Times New Roman" w:eastAsiaTheme="minorEastAsia"/>
          <w:color w:val="auto"/>
          <w:sz w:val="24"/>
          <w:szCs w:val="24"/>
          <w:highlight w:val="none"/>
        </w:rPr>
        <w:instrText xml:space="preserve"> HYPERLINK "javascript:zxtb('XZXKTYPE_A','暂存','card1','fc5c1215140948f896b26e64c489f794','readonly')" </w:instrText>
      </w:r>
      <w:r>
        <w:rPr>
          <w:rFonts w:hint="eastAsia" w:ascii="Times New Roman" w:hAnsi="Times New Roman" w:cs="Times New Roman" w:eastAsiaTheme="minorEastAsia"/>
          <w:color w:val="auto"/>
          <w:sz w:val="24"/>
          <w:szCs w:val="24"/>
          <w:highlight w:val="none"/>
        </w:rPr>
        <w:fldChar w:fldCharType="separate"/>
      </w:r>
      <w:r>
        <w:rPr>
          <w:rFonts w:hint="eastAsia" w:ascii="Times New Roman" w:hAnsi="Times New Roman" w:cs="Times New Roman" w:eastAsiaTheme="minorEastAsia"/>
          <w:color w:val="auto"/>
          <w:sz w:val="24"/>
          <w:szCs w:val="24"/>
          <w:highlight w:val="none"/>
          <w:lang w:eastAsia="zh-CN"/>
        </w:rPr>
        <w:t>南通奥庭建材有限公司</w:t>
      </w:r>
      <w:r>
        <w:rPr>
          <w:rFonts w:hint="eastAsia" w:ascii="Times New Roman" w:hAnsi="Times New Roman" w:cs="Times New Roman" w:eastAsiaTheme="minorEastAsia"/>
          <w:color w:val="auto"/>
          <w:sz w:val="24"/>
          <w:szCs w:val="24"/>
          <w:highlight w:val="none"/>
        </w:rPr>
        <w:fldChar w:fldCharType="end"/>
      </w:r>
      <w:r>
        <w:rPr>
          <w:rFonts w:hint="default" w:ascii="Times New Roman" w:hAnsi="Times New Roman" w:cs="Times New Roman" w:eastAsiaTheme="minorEastAsia"/>
          <w:color w:val="auto"/>
          <w:sz w:val="24"/>
          <w:szCs w:val="24"/>
          <w:highlight w:val="none"/>
        </w:rPr>
        <w:t>应急预案编制工作组制订，由公司法人签字发布，从发布之日起生效，并同时实施。</w:t>
      </w:r>
    </w:p>
    <w:p w14:paraId="59226080">
      <w:pPr>
        <w:keepNext w:val="0"/>
        <w:keepLines w:val="0"/>
        <w:pageBreakBefore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预案的实施主要是落实预案中的各项工作，进一步明确各项职责和任务分工，加强应急知识的宣传、教育和培训，定期组织应急预案演练。</w:t>
      </w:r>
    </w:p>
    <w:p w14:paraId="0BD8BE8C">
      <w:pPr>
        <w:keepNext w:val="0"/>
        <w:keepLines w:val="0"/>
        <w:pageBreakBefore w:val="0"/>
        <w:widowControl/>
        <w:kinsoku/>
        <w:wordWrap/>
        <w:overflowPunct/>
        <w:topLinePunct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为适应国家相关法律、法规的调整和上级部门或应急资源的变化，公司应根据自身内部因素（如进行改、扩建及生产工艺发生重大改变等情况）和外部环境的变化及时对本预案进行修订更新，并将新预案送相关部门和单位，实现应急预案持续改进。</w:t>
      </w:r>
    </w:p>
    <w:bookmarkEnd w:id="602"/>
    <w:bookmarkEnd w:id="603"/>
    <w:bookmarkEnd w:id="604"/>
    <w:bookmarkEnd w:id="605"/>
    <w:p w14:paraId="6A9CBAF0">
      <w:pPr>
        <w:pageBreakBefore w:val="0"/>
        <w:widowControl/>
        <w:kinsoku/>
        <w:overflowPunct/>
        <w:bidi w:val="0"/>
        <w:spacing w:line="500" w:lineRule="exact"/>
        <w:ind w:firstLine="561"/>
        <w:rPr>
          <w:rFonts w:hint="default" w:ascii="Times New Roman" w:hAnsi="Times New Roman" w:cs="Times New Roman" w:eastAsiaTheme="minorEastAsia"/>
          <w:color w:val="auto"/>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3365E452">
      <w:pPr>
        <w:pStyle w:val="3"/>
        <w:pageBreakBefore w:val="0"/>
        <w:kinsoku/>
        <w:wordWrap/>
        <w:overflowPunct/>
        <w:topLinePunct w:val="0"/>
        <w:autoSpaceDE/>
        <w:autoSpaceDN/>
        <w:bidi w:val="0"/>
        <w:spacing w:beforeLines="0" w:afterLines="0" w:line="360" w:lineRule="auto"/>
        <w:ind w:left="0" w:leftChars="0" w:firstLine="0" w:firstLineChars="0"/>
        <w:jc w:val="left"/>
        <w:textAlignment w:val="auto"/>
        <w:rPr>
          <w:rFonts w:hint="default" w:ascii="Times New Roman" w:hAnsi="Times New Roman" w:cs="Times New Roman" w:eastAsiaTheme="minorEastAsia"/>
          <w:color w:val="auto"/>
          <w:kern w:val="0"/>
          <w:sz w:val="28"/>
          <w:szCs w:val="28"/>
          <w:highlight w:val="none"/>
        </w:rPr>
      </w:pPr>
      <w:bookmarkStart w:id="822" w:name="_Toc18598"/>
      <w:bookmarkStart w:id="823" w:name="_Toc24521"/>
      <w:bookmarkStart w:id="824" w:name="_Toc15936"/>
      <w:bookmarkStart w:id="825" w:name="_Toc26469"/>
      <w:bookmarkStart w:id="826" w:name="_Toc25451"/>
      <w:bookmarkStart w:id="827" w:name="_Toc1396"/>
      <w:r>
        <w:rPr>
          <w:rFonts w:hint="default" w:ascii="Times New Roman" w:hAnsi="Times New Roman" w:cs="Times New Roman" w:eastAsiaTheme="minorEastAsia"/>
          <w:color w:val="auto"/>
          <w:kern w:val="0"/>
          <w:sz w:val="28"/>
          <w:szCs w:val="28"/>
          <w:highlight w:val="none"/>
        </w:rPr>
        <w:t xml:space="preserve">10 </w:t>
      </w:r>
      <w:r>
        <w:rPr>
          <w:rFonts w:hint="eastAsia" w:cs="Times New Roman"/>
          <w:color w:val="auto"/>
          <w:kern w:val="0"/>
          <w:sz w:val="28"/>
          <w:szCs w:val="28"/>
          <w:highlight w:val="none"/>
          <w:lang w:val="en-US" w:eastAsia="zh-CN"/>
        </w:rPr>
        <w:t>附图、</w:t>
      </w:r>
      <w:r>
        <w:rPr>
          <w:rFonts w:hint="default" w:ascii="Times New Roman" w:hAnsi="Times New Roman" w:cs="Times New Roman" w:eastAsiaTheme="minorEastAsia"/>
          <w:color w:val="auto"/>
          <w:kern w:val="0"/>
          <w:sz w:val="28"/>
          <w:szCs w:val="28"/>
          <w:highlight w:val="none"/>
        </w:rPr>
        <w:t>附件</w:t>
      </w:r>
      <w:bookmarkEnd w:id="822"/>
      <w:bookmarkEnd w:id="823"/>
      <w:bookmarkEnd w:id="824"/>
      <w:bookmarkEnd w:id="825"/>
      <w:bookmarkEnd w:id="826"/>
      <w:bookmarkEnd w:id="827"/>
    </w:p>
    <w:p w14:paraId="5E13472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28" w:name="_Toc5209"/>
      <w:bookmarkStart w:id="829" w:name="_Toc11698"/>
      <w:r>
        <w:rPr>
          <w:rFonts w:hint="default" w:ascii="Times New Roman" w:hAnsi="Times New Roman" w:eastAsia="宋体" w:cs="Times New Roman"/>
          <w:color w:val="auto"/>
          <w:kern w:val="0"/>
          <w:sz w:val="24"/>
          <w:szCs w:val="24"/>
          <w:highlight w:val="none"/>
          <w:lang w:val="en-US" w:eastAsia="zh-CN"/>
        </w:rPr>
        <w:t>附图1 项目地理位置图</w:t>
      </w:r>
      <w:bookmarkEnd w:id="828"/>
      <w:bookmarkEnd w:id="829"/>
    </w:p>
    <w:p w14:paraId="6EEB75A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30" w:name="_Toc14083"/>
      <w:bookmarkStart w:id="831" w:name="_Toc7692"/>
      <w:r>
        <w:rPr>
          <w:rFonts w:hint="default" w:ascii="Times New Roman" w:hAnsi="Times New Roman" w:eastAsia="宋体" w:cs="Times New Roman"/>
          <w:color w:val="auto"/>
          <w:kern w:val="0"/>
          <w:sz w:val="24"/>
          <w:szCs w:val="24"/>
          <w:highlight w:val="none"/>
          <w:lang w:val="en-US" w:eastAsia="zh-CN"/>
        </w:rPr>
        <w:t xml:space="preserve">附图2 </w:t>
      </w:r>
      <w:bookmarkEnd w:id="830"/>
      <w:bookmarkEnd w:id="831"/>
      <w:r>
        <w:rPr>
          <w:rFonts w:hint="default" w:ascii="Times New Roman" w:hAnsi="Times New Roman" w:eastAsia="宋体" w:cs="Times New Roman"/>
          <w:color w:val="auto"/>
          <w:kern w:val="0"/>
          <w:sz w:val="24"/>
          <w:szCs w:val="24"/>
          <w:highlight w:val="none"/>
          <w:lang w:val="en-US" w:eastAsia="zh-CN"/>
        </w:rPr>
        <w:t>周边环境图</w:t>
      </w:r>
    </w:p>
    <w:p w14:paraId="7FAE848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kern w:val="0"/>
          <w:sz w:val="24"/>
          <w:szCs w:val="24"/>
          <w:highlight w:val="none"/>
          <w:lang w:val="en-US" w:eastAsia="zh-CN"/>
        </w:rPr>
      </w:pPr>
      <w:bookmarkStart w:id="832" w:name="_Toc27919"/>
      <w:bookmarkStart w:id="833" w:name="_Toc15587"/>
      <w:r>
        <w:rPr>
          <w:rFonts w:hint="default" w:ascii="Times New Roman" w:hAnsi="Times New Roman" w:eastAsia="宋体" w:cs="Times New Roman"/>
          <w:color w:val="auto"/>
          <w:kern w:val="0"/>
          <w:sz w:val="24"/>
          <w:szCs w:val="24"/>
          <w:highlight w:val="none"/>
          <w:lang w:val="en-US" w:eastAsia="zh-CN"/>
        </w:rPr>
        <w:t xml:space="preserve">附图3 </w:t>
      </w:r>
      <w:bookmarkEnd w:id="832"/>
      <w:bookmarkEnd w:id="833"/>
      <w:r>
        <w:rPr>
          <w:rFonts w:hint="eastAsia" w:ascii="Times New Roman" w:hAnsi="Times New Roman" w:cs="Times New Roman" w:eastAsiaTheme="minorEastAsia"/>
          <w:color w:val="auto"/>
          <w:sz w:val="24"/>
          <w:szCs w:val="24"/>
          <w:highlight w:val="none"/>
          <w:lang w:val="en-US" w:eastAsia="zh-CN"/>
        </w:rPr>
        <w:t>风险源平面图</w:t>
      </w:r>
    </w:p>
    <w:p w14:paraId="7CECB7D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kern w:val="0"/>
          <w:sz w:val="24"/>
          <w:szCs w:val="24"/>
          <w:highlight w:val="none"/>
          <w:lang w:val="en-US" w:eastAsia="zh-CN"/>
        </w:rPr>
      </w:pPr>
      <w:bookmarkStart w:id="834" w:name="_Toc7680"/>
      <w:r>
        <w:rPr>
          <w:rFonts w:hint="eastAsia" w:ascii="Times New Roman" w:hAnsi="Times New Roman" w:eastAsia="宋体" w:cs="Times New Roman"/>
          <w:color w:val="auto"/>
          <w:kern w:val="0"/>
          <w:sz w:val="24"/>
          <w:szCs w:val="24"/>
          <w:highlight w:val="none"/>
          <w:lang w:val="en-US" w:eastAsia="zh-CN"/>
        </w:rPr>
        <w:t>附图4 厂区平面图</w:t>
      </w:r>
    </w:p>
    <w:p w14:paraId="50DEADBB">
      <w:pPr>
        <w:keepNext w:val="0"/>
        <w:keepLines w:val="0"/>
        <w:widowControl/>
        <w:adjustRightInd/>
        <w:snapToGrid/>
        <w:spacing w:line="360" w:lineRule="auto"/>
        <w:ind w:firstLine="480" w:firstLineChars="200"/>
        <w:outlineLvl w:val="9"/>
        <w:rPr>
          <w:rFonts w:hint="default"/>
          <w:lang w:val="en-US" w:eastAsia="zh-CN"/>
        </w:rPr>
      </w:pPr>
      <w:r>
        <w:rPr>
          <w:rFonts w:hint="eastAsia" w:ascii="Times New Roman" w:hAnsi="Times New Roman" w:eastAsia="宋体" w:cs="Times New Roman"/>
          <w:color w:val="auto"/>
          <w:kern w:val="0"/>
          <w:sz w:val="24"/>
          <w:szCs w:val="24"/>
          <w:highlight w:val="none"/>
          <w:lang w:val="en-US" w:eastAsia="zh-CN"/>
        </w:rPr>
        <w:t>附图5 雨污管网图</w:t>
      </w:r>
      <w:bookmarkEnd w:id="834"/>
    </w:p>
    <w:p w14:paraId="27C3968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rPr>
      </w:pPr>
      <w:bookmarkStart w:id="835" w:name="_Toc19044"/>
      <w:bookmarkStart w:id="836" w:name="_Toc7905"/>
      <w:r>
        <w:rPr>
          <w:rFonts w:hint="default" w:ascii="Times New Roman" w:hAnsi="Times New Roman" w:eastAsia="宋体" w:cs="Times New Roman"/>
          <w:color w:val="auto"/>
          <w:kern w:val="0"/>
          <w:sz w:val="24"/>
          <w:szCs w:val="24"/>
          <w:highlight w:val="none"/>
          <w:lang w:val="en-US" w:eastAsia="zh-CN"/>
        </w:rPr>
        <w:t>附图</w:t>
      </w:r>
      <w:r>
        <w:rPr>
          <w:rFonts w:hint="eastAsia" w:ascii="Times New Roman" w:hAnsi="Times New Roman" w:eastAsia="宋体"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lang w:val="en-US" w:eastAsia="zh-CN"/>
        </w:rPr>
        <w:t xml:space="preserve"> </w:t>
      </w:r>
      <w:bookmarkEnd w:id="835"/>
      <w:bookmarkEnd w:id="836"/>
      <w:r>
        <w:rPr>
          <w:rFonts w:hint="eastAsia" w:ascii="Times New Roman" w:hAnsi="Times New Roman" w:eastAsia="宋体" w:cs="Times New Roman"/>
          <w:color w:val="auto"/>
          <w:kern w:val="0"/>
          <w:sz w:val="24"/>
          <w:szCs w:val="24"/>
          <w:highlight w:val="none"/>
          <w:lang w:val="en-US" w:eastAsia="zh-CN"/>
        </w:rPr>
        <w:t>应急物资分布图</w:t>
      </w:r>
    </w:p>
    <w:p w14:paraId="5B760B5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37" w:name="_Toc7750"/>
      <w:bookmarkStart w:id="838" w:name="_Toc5042"/>
      <w:r>
        <w:rPr>
          <w:rFonts w:hint="default" w:ascii="Times New Roman" w:hAnsi="Times New Roman" w:eastAsia="宋体" w:cs="Times New Roman"/>
          <w:color w:val="auto"/>
          <w:kern w:val="0"/>
          <w:sz w:val="24"/>
          <w:szCs w:val="24"/>
          <w:highlight w:val="none"/>
          <w:lang w:val="en-US" w:eastAsia="zh-CN"/>
        </w:rPr>
        <w:t>附图</w:t>
      </w:r>
      <w:r>
        <w:rPr>
          <w:rFonts w:hint="eastAsia" w:ascii="Times New Roman" w:hAnsi="Times New Roman" w:eastAsia="宋体" w:cs="Times New Roman"/>
          <w:color w:val="auto"/>
          <w:kern w:val="0"/>
          <w:sz w:val="24"/>
          <w:szCs w:val="24"/>
          <w:highlight w:val="none"/>
          <w:lang w:val="en-US" w:eastAsia="zh-CN"/>
        </w:rPr>
        <w:t>7</w:t>
      </w:r>
      <w:r>
        <w:rPr>
          <w:rFonts w:hint="default" w:ascii="Times New Roman" w:hAnsi="Times New Roman" w:eastAsia="宋体" w:cs="Times New Roman"/>
          <w:color w:val="auto"/>
          <w:kern w:val="0"/>
          <w:sz w:val="24"/>
          <w:szCs w:val="24"/>
          <w:highlight w:val="none"/>
          <w:lang w:val="en-US" w:eastAsia="zh-CN"/>
        </w:rPr>
        <w:t xml:space="preserve"> </w:t>
      </w:r>
      <w:bookmarkEnd w:id="837"/>
      <w:bookmarkEnd w:id="838"/>
      <w:bookmarkStart w:id="839" w:name="_Toc25237"/>
      <w:bookmarkStart w:id="840" w:name="_Toc4965"/>
      <w:r>
        <w:rPr>
          <w:rFonts w:hint="eastAsia" w:ascii="Times New Roman" w:hAnsi="Times New Roman" w:eastAsia="宋体" w:cs="Times New Roman"/>
          <w:color w:val="auto"/>
          <w:kern w:val="0"/>
          <w:sz w:val="24"/>
          <w:szCs w:val="24"/>
          <w:highlight w:val="none"/>
          <w:lang w:val="en-US" w:eastAsia="zh-CN"/>
        </w:rPr>
        <w:t>周边水系图</w:t>
      </w:r>
    </w:p>
    <w:p w14:paraId="589FE54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附图</w:t>
      </w:r>
      <w:r>
        <w:rPr>
          <w:rFonts w:hint="eastAsia" w:ascii="Times New Roman" w:hAnsi="Times New Roman" w:eastAsia="宋体" w:cs="Times New Roman"/>
          <w:color w:val="auto"/>
          <w:kern w:val="0"/>
          <w:sz w:val="24"/>
          <w:szCs w:val="24"/>
          <w:highlight w:val="none"/>
          <w:lang w:val="en-US" w:eastAsia="zh-CN"/>
        </w:rPr>
        <w:t>8应急物资分布图</w:t>
      </w:r>
    </w:p>
    <w:p w14:paraId="5E9DC3B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附图</w:t>
      </w:r>
      <w:r>
        <w:rPr>
          <w:rFonts w:hint="eastAsia" w:ascii="Times New Roman" w:hAnsi="Times New Roman" w:eastAsia="宋体" w:cs="Times New Roman"/>
          <w:color w:val="auto"/>
          <w:kern w:val="0"/>
          <w:sz w:val="24"/>
          <w:szCs w:val="24"/>
          <w:highlight w:val="none"/>
          <w:lang w:val="en-US" w:eastAsia="zh-CN"/>
        </w:rPr>
        <w:t>9应急疏散图</w:t>
      </w:r>
    </w:p>
    <w:bookmarkEnd w:id="839"/>
    <w:bookmarkEnd w:id="840"/>
    <w:p w14:paraId="49933D7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附图10 公司</w:t>
      </w:r>
      <w:r>
        <w:rPr>
          <w:rFonts w:hint="default" w:ascii="Times New Roman" w:hAnsi="Times New Roman" w:eastAsia="宋体" w:cs="Times New Roman"/>
          <w:color w:val="auto"/>
          <w:kern w:val="0"/>
          <w:sz w:val="24"/>
          <w:szCs w:val="24"/>
          <w:highlight w:val="none"/>
          <w:lang w:val="en-US" w:eastAsia="zh-CN"/>
        </w:rPr>
        <w:t>周边区域道路交通图、疏散路线图</w:t>
      </w:r>
    </w:p>
    <w:p w14:paraId="54360E6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附图11 敏感目标分布图</w:t>
      </w:r>
    </w:p>
    <w:p w14:paraId="77A2411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41" w:name="_Toc6549"/>
      <w:bookmarkStart w:id="842" w:name="_Toc19505"/>
    </w:p>
    <w:p w14:paraId="5D8E184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 xml:space="preserve">附件1  </w:t>
      </w:r>
      <w:r>
        <w:rPr>
          <w:rFonts w:hint="eastAsia" w:ascii="Times New Roman" w:hAnsi="Times New Roman" w:eastAsia="宋体" w:cs="Times New Roman"/>
          <w:color w:val="auto"/>
          <w:kern w:val="0"/>
          <w:sz w:val="24"/>
          <w:szCs w:val="24"/>
          <w:highlight w:val="none"/>
          <w:lang w:val="en-US" w:eastAsia="zh-CN"/>
        </w:rPr>
        <w:t>应急救援办公室</w:t>
      </w:r>
      <w:r>
        <w:rPr>
          <w:rFonts w:hint="default" w:ascii="Times New Roman" w:hAnsi="Times New Roman" w:eastAsia="宋体" w:cs="Times New Roman"/>
          <w:color w:val="auto"/>
          <w:kern w:val="0"/>
          <w:sz w:val="24"/>
          <w:szCs w:val="24"/>
          <w:highlight w:val="none"/>
          <w:lang w:val="en-US" w:eastAsia="zh-CN"/>
        </w:rPr>
        <w:t>成员联系方式及24小时应急值守电话</w:t>
      </w:r>
      <w:bookmarkEnd w:id="841"/>
      <w:bookmarkEnd w:id="842"/>
    </w:p>
    <w:p w14:paraId="27A73FE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43" w:name="_Toc18054"/>
      <w:bookmarkStart w:id="844" w:name="_Toc21908"/>
      <w:r>
        <w:rPr>
          <w:rFonts w:hint="default" w:ascii="Times New Roman" w:hAnsi="Times New Roman" w:eastAsia="宋体" w:cs="Times New Roman"/>
          <w:color w:val="auto"/>
          <w:kern w:val="0"/>
          <w:sz w:val="24"/>
          <w:szCs w:val="24"/>
          <w:highlight w:val="none"/>
          <w:lang w:val="en-US" w:eastAsia="zh-CN"/>
        </w:rPr>
        <w:t>附件2  外部应急救援力量及信息通报单位联系电话</w:t>
      </w:r>
      <w:bookmarkEnd w:id="843"/>
      <w:bookmarkEnd w:id="844"/>
    </w:p>
    <w:p w14:paraId="1F8B83B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45" w:name="_Toc17302"/>
      <w:r>
        <w:rPr>
          <w:rFonts w:hint="eastAsia" w:ascii="Times New Roman" w:hAnsi="Times New Roman" w:eastAsia="宋体" w:cs="Times New Roman"/>
          <w:color w:val="auto"/>
          <w:kern w:val="0"/>
          <w:sz w:val="24"/>
          <w:szCs w:val="24"/>
          <w:highlight w:val="none"/>
          <w:lang w:val="en-US" w:eastAsia="zh-CN"/>
        </w:rPr>
        <w:t>附件3  应急物资台账</w:t>
      </w:r>
      <w:bookmarkEnd w:id="845"/>
    </w:p>
    <w:p w14:paraId="59A38C5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46" w:name="_Toc21265"/>
      <w:bookmarkStart w:id="847" w:name="_Toc30265"/>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lang w:val="en-US" w:eastAsia="zh-CN"/>
        </w:rPr>
        <w:t xml:space="preserve">  </w:t>
      </w:r>
      <w:r>
        <w:rPr>
          <w:rFonts w:hint="eastAsia" w:ascii="Times New Roman" w:hAnsi="Times New Roman" w:eastAsia="宋体" w:cs="Times New Roman"/>
          <w:color w:val="auto"/>
          <w:kern w:val="0"/>
          <w:sz w:val="24"/>
          <w:szCs w:val="24"/>
          <w:highlight w:val="none"/>
          <w:lang w:val="en-US" w:eastAsia="zh-CN"/>
        </w:rPr>
        <w:t>环评</w:t>
      </w:r>
      <w:r>
        <w:rPr>
          <w:rFonts w:hint="default" w:ascii="Times New Roman" w:hAnsi="Times New Roman" w:eastAsia="宋体" w:cs="Times New Roman"/>
          <w:color w:val="auto"/>
          <w:kern w:val="0"/>
          <w:sz w:val="24"/>
          <w:szCs w:val="24"/>
          <w:highlight w:val="none"/>
          <w:lang w:val="en-US" w:eastAsia="zh-CN"/>
        </w:rPr>
        <w:t>批复</w:t>
      </w:r>
      <w:bookmarkEnd w:id="846"/>
      <w:bookmarkEnd w:id="847"/>
    </w:p>
    <w:p w14:paraId="252CE2F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48" w:name="_Toc6086"/>
      <w:bookmarkStart w:id="849" w:name="_Toc22214"/>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lang w:val="en-US" w:eastAsia="zh-CN"/>
        </w:rPr>
        <w:t xml:space="preserve">  危废处置协议</w:t>
      </w:r>
      <w:bookmarkEnd w:id="848"/>
      <w:r>
        <w:rPr>
          <w:rFonts w:hint="eastAsia" w:ascii="Times New Roman" w:hAnsi="Times New Roman" w:eastAsia="宋体" w:cs="Times New Roman"/>
          <w:color w:val="auto"/>
          <w:kern w:val="0"/>
          <w:sz w:val="24"/>
          <w:szCs w:val="24"/>
          <w:highlight w:val="none"/>
          <w:lang w:val="en-US" w:eastAsia="zh-CN"/>
        </w:rPr>
        <w:t>及处置单位资质</w:t>
      </w:r>
      <w:bookmarkEnd w:id="849"/>
    </w:p>
    <w:p w14:paraId="7A73B4E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50" w:name="_Toc6522"/>
      <w:bookmarkStart w:id="851" w:name="_Toc16496"/>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lang w:val="en-US" w:eastAsia="zh-CN"/>
        </w:rPr>
        <w:t xml:space="preserve">  污水接管证明</w:t>
      </w:r>
      <w:bookmarkEnd w:id="850"/>
      <w:bookmarkEnd w:id="851"/>
    </w:p>
    <w:p w14:paraId="266449F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52" w:name="_Toc9909"/>
      <w:bookmarkStart w:id="853" w:name="_Toc17268"/>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7</w:t>
      </w:r>
      <w:r>
        <w:rPr>
          <w:rFonts w:hint="default" w:ascii="Times New Roman" w:hAnsi="Times New Roman" w:eastAsia="宋体" w:cs="Times New Roman"/>
          <w:color w:val="auto"/>
          <w:kern w:val="0"/>
          <w:sz w:val="24"/>
          <w:szCs w:val="24"/>
          <w:highlight w:val="none"/>
          <w:lang w:val="en-US" w:eastAsia="zh-CN"/>
        </w:rPr>
        <w:t xml:space="preserve">  生活垃圾处理协议</w:t>
      </w:r>
      <w:bookmarkEnd w:id="852"/>
      <w:bookmarkEnd w:id="853"/>
    </w:p>
    <w:p w14:paraId="6F91185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54" w:name="_Toc21165"/>
      <w:bookmarkStart w:id="855" w:name="_Toc1048"/>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8</w:t>
      </w:r>
      <w:r>
        <w:rPr>
          <w:rFonts w:hint="default" w:ascii="Times New Roman" w:hAnsi="Times New Roman" w:eastAsia="宋体" w:cs="Times New Roman"/>
          <w:color w:val="auto"/>
          <w:kern w:val="0"/>
          <w:sz w:val="24"/>
          <w:szCs w:val="24"/>
          <w:highlight w:val="none"/>
          <w:lang w:val="en-US" w:eastAsia="zh-CN"/>
        </w:rPr>
        <w:t xml:space="preserve">  互助救援</w:t>
      </w:r>
      <w:r>
        <w:rPr>
          <w:rFonts w:hint="eastAsia" w:ascii="Times New Roman" w:hAnsi="Times New Roman" w:eastAsia="宋体" w:cs="Times New Roman"/>
          <w:color w:val="auto"/>
          <w:kern w:val="0"/>
          <w:sz w:val="24"/>
          <w:szCs w:val="24"/>
          <w:highlight w:val="none"/>
          <w:lang w:val="en-US" w:eastAsia="zh-CN"/>
        </w:rPr>
        <w:t>互助</w:t>
      </w:r>
      <w:r>
        <w:rPr>
          <w:rFonts w:hint="default" w:ascii="Times New Roman" w:hAnsi="Times New Roman" w:eastAsia="宋体" w:cs="Times New Roman"/>
          <w:color w:val="auto"/>
          <w:kern w:val="0"/>
          <w:sz w:val="24"/>
          <w:szCs w:val="24"/>
          <w:highlight w:val="none"/>
          <w:lang w:val="en-US" w:eastAsia="zh-CN"/>
        </w:rPr>
        <w:t>协议</w:t>
      </w:r>
      <w:bookmarkEnd w:id="854"/>
      <w:bookmarkEnd w:id="855"/>
    </w:p>
    <w:p w14:paraId="5079A3E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56" w:name="_Toc15619"/>
      <w:bookmarkStart w:id="857" w:name="_Toc30857"/>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9</w:t>
      </w:r>
      <w:r>
        <w:rPr>
          <w:rFonts w:hint="default" w:ascii="Times New Roman" w:hAnsi="Times New Roman" w:eastAsia="宋体" w:cs="Times New Roman"/>
          <w:color w:val="auto"/>
          <w:kern w:val="0"/>
          <w:sz w:val="24"/>
          <w:szCs w:val="24"/>
          <w:highlight w:val="none"/>
          <w:lang w:val="en-US" w:eastAsia="zh-CN"/>
        </w:rPr>
        <w:t xml:space="preserve">  应急监测协议</w:t>
      </w:r>
      <w:bookmarkEnd w:id="856"/>
      <w:bookmarkEnd w:id="857"/>
    </w:p>
    <w:p w14:paraId="00BFF4B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kern w:val="0"/>
          <w:sz w:val="24"/>
          <w:szCs w:val="24"/>
          <w:highlight w:val="none"/>
          <w:lang w:val="en-US" w:eastAsia="zh-CN"/>
        </w:rPr>
      </w:pPr>
      <w:bookmarkStart w:id="858" w:name="_Toc20279"/>
      <w:r>
        <w:rPr>
          <w:rFonts w:hint="eastAsia" w:ascii="Times New Roman" w:hAnsi="Times New Roman" w:eastAsia="宋体" w:cs="Times New Roman"/>
          <w:color w:val="auto"/>
          <w:kern w:val="0"/>
          <w:sz w:val="24"/>
          <w:szCs w:val="24"/>
          <w:highlight w:val="none"/>
          <w:lang w:val="en-US" w:eastAsia="zh-CN"/>
        </w:rPr>
        <w:t>附件10  环境应急资源维护更新制度</w:t>
      </w:r>
      <w:bookmarkEnd w:id="858"/>
    </w:p>
    <w:p w14:paraId="03F0423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kern w:val="0"/>
          <w:sz w:val="24"/>
          <w:szCs w:val="24"/>
          <w:highlight w:val="none"/>
          <w:lang w:val="en-US" w:eastAsia="zh-CN"/>
        </w:rPr>
      </w:pPr>
      <w:bookmarkStart w:id="859" w:name="_Toc30813"/>
      <w:r>
        <w:rPr>
          <w:rFonts w:hint="eastAsia" w:ascii="Times New Roman" w:hAnsi="Times New Roman" w:eastAsia="宋体" w:cs="Times New Roman"/>
          <w:color w:val="auto"/>
          <w:kern w:val="0"/>
          <w:sz w:val="24"/>
          <w:szCs w:val="24"/>
          <w:highlight w:val="none"/>
          <w:lang w:val="en-US" w:eastAsia="zh-CN"/>
        </w:rPr>
        <w:t>附件11  污染防治设施运行管理制度</w:t>
      </w:r>
      <w:bookmarkEnd w:id="859"/>
    </w:p>
    <w:p w14:paraId="615690E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60" w:name="_Toc22991"/>
      <w:r>
        <w:rPr>
          <w:rFonts w:hint="eastAsia" w:ascii="Times New Roman" w:hAnsi="Times New Roman" w:eastAsia="宋体" w:cs="Times New Roman"/>
          <w:color w:val="auto"/>
          <w:kern w:val="0"/>
          <w:sz w:val="24"/>
          <w:szCs w:val="24"/>
          <w:highlight w:val="none"/>
          <w:lang w:val="en-US" w:eastAsia="zh-CN"/>
        </w:rPr>
        <w:t>附件12  应急预案演练记录</w:t>
      </w:r>
      <w:bookmarkEnd w:id="860"/>
    </w:p>
    <w:p w14:paraId="5CFCC77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861" w:name="_Toc7379"/>
      <w:r>
        <w:rPr>
          <w:rFonts w:hint="default" w:ascii="Times New Roman" w:hAnsi="Times New Roman" w:eastAsia="宋体" w:cs="Times New Roman"/>
          <w:color w:val="auto"/>
          <w:kern w:val="0"/>
          <w:sz w:val="24"/>
          <w:szCs w:val="24"/>
          <w:highlight w:val="none"/>
          <w:lang w:val="en-US" w:eastAsia="zh-CN"/>
        </w:rPr>
        <w:t>附件1</w:t>
      </w:r>
      <w:r>
        <w:rPr>
          <w:rFonts w:hint="eastAsia" w:ascii="Times New Roman" w:hAnsi="Times New Roman" w:eastAsia="宋体"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lang w:val="en-US" w:eastAsia="zh-CN"/>
        </w:rPr>
        <w:t xml:space="preserve">  内部评审意见</w:t>
      </w:r>
      <w:bookmarkEnd w:id="861"/>
    </w:p>
    <w:p w14:paraId="27DAE94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cs="Times New Roman" w:eastAsiaTheme="minorEastAsia"/>
          <w:color w:val="auto"/>
          <w:kern w:val="0"/>
          <w:sz w:val="24"/>
          <w:szCs w:val="24"/>
          <w:highlight w:val="none"/>
          <w:lang w:val="en-US" w:eastAsia="zh-CN"/>
        </w:rPr>
      </w:pPr>
      <w:bookmarkStart w:id="862" w:name="_Toc31575"/>
      <w:bookmarkStart w:id="863" w:name="_Toc15974"/>
      <w:r>
        <w:rPr>
          <w:rFonts w:hint="default" w:ascii="Times New Roman" w:hAnsi="Times New Roman" w:eastAsia="宋体" w:cs="Times New Roman"/>
          <w:color w:val="auto"/>
          <w:kern w:val="0"/>
          <w:sz w:val="24"/>
          <w:szCs w:val="24"/>
          <w:highlight w:val="none"/>
          <w:lang w:val="en-US" w:eastAsia="zh-CN"/>
        </w:rPr>
        <w:t>附件1</w:t>
      </w:r>
      <w:r>
        <w:rPr>
          <w:rFonts w:hint="eastAsia" w:ascii="Times New Roman" w:hAnsi="Times New Roman" w:eastAsia="宋体"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lang w:val="en-US" w:eastAsia="zh-CN"/>
        </w:rPr>
        <w:t xml:space="preserve">  </w:t>
      </w:r>
      <w:bookmarkEnd w:id="862"/>
      <w:bookmarkEnd w:id="863"/>
      <w:r>
        <w:rPr>
          <w:rFonts w:hint="default" w:ascii="Times New Roman" w:hAnsi="Times New Roman" w:cs="Times New Roman" w:eastAsiaTheme="minorEastAsia"/>
          <w:color w:val="auto"/>
          <w:sz w:val="24"/>
          <w:szCs w:val="24"/>
          <w:highlight w:val="none"/>
        </w:rPr>
        <w:t>信息接报、处理、上报等规范化格式</w:t>
      </w:r>
      <w:r>
        <w:rPr>
          <w:rFonts w:hint="eastAsia" w:ascii="Times New Roman" w:hAnsi="Times New Roman" w:cs="Times New Roman" w:eastAsiaTheme="minorEastAsia"/>
          <w:color w:val="auto"/>
          <w:sz w:val="24"/>
          <w:szCs w:val="24"/>
          <w:highlight w:val="none"/>
          <w:lang w:val="en-US" w:eastAsia="zh-CN"/>
        </w:rPr>
        <w:t>文件</w:t>
      </w:r>
    </w:p>
    <w:p w14:paraId="3B4814A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附件1</w:t>
      </w:r>
      <w:r>
        <w:rPr>
          <w:rFonts w:hint="eastAsia" w:ascii="Times New Roman" w:hAnsi="Times New Roman" w:eastAsia="宋体"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lang w:val="en-US" w:eastAsia="zh-CN"/>
        </w:rPr>
        <w:t xml:space="preserve">  </w:t>
      </w:r>
      <w:r>
        <w:rPr>
          <w:rFonts w:hint="eastAsia" w:ascii="Times New Roman" w:hAnsi="Times New Roman" w:eastAsia="宋体" w:cs="Times New Roman"/>
          <w:color w:val="auto"/>
          <w:kern w:val="0"/>
          <w:sz w:val="24"/>
          <w:szCs w:val="24"/>
          <w:highlight w:val="none"/>
          <w:lang w:val="en-US" w:eastAsia="zh-CN"/>
        </w:rPr>
        <w:t>环境风险防范和应急管理制度</w:t>
      </w:r>
    </w:p>
    <w:p w14:paraId="41A97205">
      <w:pPr>
        <w:pageBreakBefore w:val="0"/>
        <w:widowControl/>
        <w:kinsoku/>
        <w:overflowPunct/>
        <w:bidi w:val="0"/>
        <w:adjustRightInd/>
        <w:snapToGrid/>
        <w:spacing w:line="360" w:lineRule="auto"/>
        <w:ind w:firstLine="480" w:firstLineChars="200"/>
        <w:jc w:val="left"/>
        <w:outlineLvl w:val="9"/>
        <w:rPr>
          <w:rFonts w:hint="default" w:ascii="Times New Roman" w:hAnsi="Times New Roman" w:cs="Times New Roman" w:eastAsiaTheme="minorEastAsia"/>
          <w:color w:val="auto"/>
          <w:sz w:val="24"/>
          <w:szCs w:val="24"/>
          <w:highlight w:val="none"/>
        </w:rPr>
      </w:pPr>
      <w:r>
        <w:rPr>
          <w:rFonts w:hint="eastAsia" w:ascii="Times New Roman" w:hAnsi="Times New Roman" w:eastAsia="宋体" w:cs="Times New Roman"/>
          <w:color w:val="auto"/>
          <w:kern w:val="0"/>
          <w:sz w:val="24"/>
          <w:szCs w:val="24"/>
          <w:highlight w:val="none"/>
          <w:lang w:val="en-US" w:eastAsia="zh-CN"/>
        </w:rPr>
        <w:t>附件16  员工个人工商意外险</w:t>
      </w:r>
    </w:p>
    <w:sectPr>
      <w:headerReference r:id="rId14" w:type="default"/>
      <w:footerReference r:id="rId15"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425"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体">
    <w:altName w:val="宋体"/>
    <w:panose1 w:val="00000000000000000000"/>
    <w:charset w:val="86"/>
    <w:family w:val="roma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1E8FA">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9D42F">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6B3B4">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29B22">
    <w:pPr>
      <w:pStyle w:val="2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E98CE">
    <w:pPr>
      <w:pStyle w:val="2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8EAC9">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B9173">
                          <w:pPr>
                            <w:pStyle w:val="21"/>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50e4tAgAAW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a0o0Uyj56fu3&#10;049fp59fSTyERK31M0Q+WMSG7q3pED6cexxG5l3lVPyCE4EfAh8vAosuEB4vTSfTaQ4Xh2/YAD97&#10;vG6dD++EUSQaBXWoYBKWHTY+9KFDSMymzbqRMlVRatIW9PrqT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k50e4tAgAAWQQAAA4AAAAAAAAAAQAgAAAAHwEAAGRycy9lMm9Eb2MueG1sUEsFBgAAAAAG&#10;AAYAWQEAAL4FAAAAAA==&#10;">
              <v:fill on="f" focussize="0,0"/>
              <v:stroke on="f" weight="0.5pt"/>
              <v:imagedata o:title=""/>
              <o:lock v:ext="edit" aspectratio="f"/>
              <v:textbox inset="0mm,0mm,0mm,0mm" style="mso-fit-shape-to-text:t;">
                <w:txbxContent>
                  <w:p w14:paraId="49BB9173">
                    <w:pPr>
                      <w:pStyle w:val="21"/>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1D9C4">
    <w:pPr>
      <w:pStyle w:val="21"/>
      <w:ind w:firstLineChars="111"/>
      <w:jc w:val="center"/>
    </w:pPr>
    <w:r>
      <w:fldChar w:fldCharType="begin"/>
    </w:r>
    <w:r>
      <w:instrText xml:space="preserve"> PAGE   \* MERGEFORMAT </w:instrText>
    </w:r>
    <w:r>
      <w:fldChar w:fldCharType="separate"/>
    </w:r>
    <w:r>
      <w:rPr>
        <w:lang w:val="zh-CN"/>
      </w:rPr>
      <w:t>80</w:t>
    </w:r>
    <w:r>
      <w:rPr>
        <w:lang w:val="zh-CN"/>
      </w:rPr>
      <w:fldChar w:fldCharType="end"/>
    </w:r>
  </w:p>
  <w:p w14:paraId="1D1083CE">
    <w:pPr>
      <w:pStyle w:val="21"/>
      <w:tabs>
        <w:tab w:val="right" w:pos="9057"/>
        <w:tab w:val="clear" w:pos="8306"/>
      </w:tabs>
      <w:ind w:firstLine="360"/>
      <w:rPr>
        <w:rFonts w:ascii="华文行楷" w:eastAsia="华文行楷"/>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0B460">
    <w:pPr>
      <w:pStyle w:val="21"/>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EAC4C">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219EAC4C">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1E400">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FB2E0">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F4891">
    <w:pPr>
      <w:pStyle w:val="2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FFDEB">
    <w:pPr>
      <w:pStyle w:val="22"/>
      <w:pBdr>
        <w:top w:val="none" w:color="auto" w:sz="0" w:space="0"/>
        <w:left w:val="none" w:color="auto" w:sz="0" w:space="0"/>
        <w:bottom w:val="single" w:color="auto" w:sz="4" w:space="1"/>
        <w:right w:val="none" w:color="auto" w:sz="0" w:space="0"/>
      </w:pBdr>
      <w:jc w:val="center"/>
    </w:pPr>
    <w:r>
      <w:rPr>
        <w:rFonts w:hint="default"/>
      </w:rPr>
      <w:fldChar w:fldCharType="begin"/>
    </w:r>
    <w:r>
      <w:rPr>
        <w:rFonts w:hint="default"/>
      </w:rPr>
      <w:instrText xml:space="preserve"> HYPERLINK "javascript:zxtb('XZXKTYPE_A','%E6%9A%82%E5%AD%98','card1','fc5c1215140948f896b26e64c489f794','readonly')" </w:instrText>
    </w:r>
    <w:r>
      <w:rPr>
        <w:rFonts w:hint="default"/>
      </w:rPr>
      <w:fldChar w:fldCharType="separate"/>
    </w:r>
    <w:r>
      <w:rPr>
        <w:rFonts w:hint="eastAsia"/>
        <w:lang w:eastAsia="zh-CN"/>
      </w:rPr>
      <w:t>南通奥庭建材有限公司</w:t>
    </w:r>
    <w:r>
      <w:rPr>
        <w:rFonts w:hint="eastAsia"/>
      </w:rPr>
      <w:fldChar w:fldCharType="end"/>
    </w:r>
    <w:r>
      <w:rPr>
        <w:rFonts w:hint="eastAsia"/>
      </w:rPr>
      <w:t>突发环境事件应急预案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C5070">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87E050"/>
    <w:multiLevelType w:val="singleLevel"/>
    <w:tmpl w:val="C987E050"/>
    <w:lvl w:ilvl="0" w:tentative="0">
      <w:start w:val="1"/>
      <w:numFmt w:val="lowerLetter"/>
      <w:lvlText w:val="%1."/>
      <w:lvlJc w:val="left"/>
      <w:pPr>
        <w:tabs>
          <w:tab w:val="left" w:pos="312"/>
        </w:tabs>
      </w:pPr>
    </w:lvl>
  </w:abstractNum>
  <w:abstractNum w:abstractNumId="1">
    <w:nsid w:val="FFFFFF89"/>
    <w:multiLevelType w:val="singleLevel"/>
    <w:tmpl w:val="FFFFFF89"/>
    <w:lvl w:ilvl="0" w:tentative="0">
      <w:start w:val="1"/>
      <w:numFmt w:val="bullet"/>
      <w:pStyle w:val="9"/>
      <w:lvlText w:val=""/>
      <w:lvlJc w:val="left"/>
      <w:pPr>
        <w:tabs>
          <w:tab w:val="left" w:pos="360"/>
        </w:tabs>
        <w:ind w:left="360" w:hanging="360" w:hangingChars="200"/>
      </w:pPr>
      <w:rPr>
        <w:rFonts w:hint="default" w:ascii="Wingdings" w:hAnsi="Wingdings"/>
      </w:rPr>
    </w:lvl>
  </w:abstractNum>
  <w:abstractNum w:abstractNumId="2">
    <w:nsid w:val="234B4E8D"/>
    <w:multiLevelType w:val="singleLevel"/>
    <w:tmpl w:val="234B4E8D"/>
    <w:lvl w:ilvl="0" w:tentative="0">
      <w:start w:val="1"/>
      <w:numFmt w:val="upperLetter"/>
      <w:lvlText w:val="%1."/>
      <w:lvlJc w:val="left"/>
      <w:pPr>
        <w:tabs>
          <w:tab w:val="left" w:pos="312"/>
        </w:tabs>
      </w:pPr>
    </w:lvl>
  </w:abstractNum>
  <w:abstractNum w:abstractNumId="3">
    <w:nsid w:val="5DAF8A8E"/>
    <w:multiLevelType w:val="singleLevel"/>
    <w:tmpl w:val="5DAF8A8E"/>
    <w:lvl w:ilvl="0" w:tentative="0">
      <w:start w:val="1"/>
      <w:numFmt w:val="lowerLetter"/>
      <w:lvlText w:val="%1."/>
      <w:lvlJc w:val="left"/>
      <w:pPr>
        <w:tabs>
          <w:tab w:val="left" w:pos="312"/>
        </w:tabs>
      </w:pPr>
    </w:lvl>
  </w:abstractNum>
  <w:abstractNum w:abstractNumId="4">
    <w:nsid w:val="709FA43D"/>
    <w:multiLevelType w:val="singleLevel"/>
    <w:tmpl w:val="709FA43D"/>
    <w:lvl w:ilvl="0" w:tentative="0">
      <w:start w:val="1"/>
      <w:numFmt w:val="upperLetter"/>
      <w:lvlText w:val="%1."/>
      <w:lvlJc w:val="left"/>
      <w:pPr>
        <w:tabs>
          <w:tab w:val="left" w:pos="312"/>
        </w:tabs>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mirrorMargins w:val="1"/>
  <w:bordersDoNotSurroundHeader w:val="0"/>
  <w:bordersDoNotSurroundFooter w:val="0"/>
  <w:hideSpellingErrors/>
  <w:hideGrammaticalErrors/>
  <w:documentProtection w:enforcement="0"/>
  <w:defaultTabStop w:val="0"/>
  <w:drawingGridHorizontalSpacing w:val="14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yNjhmZmQ2NzdmOTEyNWVlNjA1MTAwZTIwMjE3OGQifQ=="/>
  </w:docVars>
  <w:rsids>
    <w:rsidRoot w:val="00F937FC"/>
    <w:rsid w:val="00000094"/>
    <w:rsid w:val="0000023D"/>
    <w:rsid w:val="00000250"/>
    <w:rsid w:val="0000028E"/>
    <w:rsid w:val="000006B3"/>
    <w:rsid w:val="00000935"/>
    <w:rsid w:val="00000987"/>
    <w:rsid w:val="00000BB2"/>
    <w:rsid w:val="00001146"/>
    <w:rsid w:val="00001677"/>
    <w:rsid w:val="000018A4"/>
    <w:rsid w:val="000019E8"/>
    <w:rsid w:val="000022BA"/>
    <w:rsid w:val="000022BE"/>
    <w:rsid w:val="0000235F"/>
    <w:rsid w:val="0000280C"/>
    <w:rsid w:val="000029BD"/>
    <w:rsid w:val="00002AE4"/>
    <w:rsid w:val="00002C12"/>
    <w:rsid w:val="000030FE"/>
    <w:rsid w:val="000031A5"/>
    <w:rsid w:val="000032C3"/>
    <w:rsid w:val="0000334A"/>
    <w:rsid w:val="00003A4E"/>
    <w:rsid w:val="00003EA8"/>
    <w:rsid w:val="00003FBA"/>
    <w:rsid w:val="000040EB"/>
    <w:rsid w:val="0000425B"/>
    <w:rsid w:val="00004FB2"/>
    <w:rsid w:val="0000543D"/>
    <w:rsid w:val="000057EC"/>
    <w:rsid w:val="000059B0"/>
    <w:rsid w:val="00005BF2"/>
    <w:rsid w:val="00005E48"/>
    <w:rsid w:val="00005E6F"/>
    <w:rsid w:val="00006602"/>
    <w:rsid w:val="00006644"/>
    <w:rsid w:val="00006D3C"/>
    <w:rsid w:val="000070D8"/>
    <w:rsid w:val="00007629"/>
    <w:rsid w:val="0000779D"/>
    <w:rsid w:val="000102C3"/>
    <w:rsid w:val="00010379"/>
    <w:rsid w:val="000106A7"/>
    <w:rsid w:val="00010971"/>
    <w:rsid w:val="00010ECF"/>
    <w:rsid w:val="00011199"/>
    <w:rsid w:val="00011240"/>
    <w:rsid w:val="000112D5"/>
    <w:rsid w:val="000114DC"/>
    <w:rsid w:val="0001162D"/>
    <w:rsid w:val="00011753"/>
    <w:rsid w:val="00011C5C"/>
    <w:rsid w:val="00012267"/>
    <w:rsid w:val="0001233E"/>
    <w:rsid w:val="000128AB"/>
    <w:rsid w:val="000128B3"/>
    <w:rsid w:val="000135B7"/>
    <w:rsid w:val="000136F6"/>
    <w:rsid w:val="0001385B"/>
    <w:rsid w:val="00013898"/>
    <w:rsid w:val="0001390E"/>
    <w:rsid w:val="00013A30"/>
    <w:rsid w:val="00013B81"/>
    <w:rsid w:val="00014097"/>
    <w:rsid w:val="000142F4"/>
    <w:rsid w:val="0001439E"/>
    <w:rsid w:val="0001460F"/>
    <w:rsid w:val="00014616"/>
    <w:rsid w:val="000152EF"/>
    <w:rsid w:val="0001567F"/>
    <w:rsid w:val="000158EA"/>
    <w:rsid w:val="00015AB2"/>
    <w:rsid w:val="00015AB6"/>
    <w:rsid w:val="00015F12"/>
    <w:rsid w:val="00016645"/>
    <w:rsid w:val="00016B91"/>
    <w:rsid w:val="00017027"/>
    <w:rsid w:val="00017061"/>
    <w:rsid w:val="00017A2C"/>
    <w:rsid w:val="00017B32"/>
    <w:rsid w:val="00017C1C"/>
    <w:rsid w:val="0002010F"/>
    <w:rsid w:val="00020297"/>
    <w:rsid w:val="00020466"/>
    <w:rsid w:val="000205B2"/>
    <w:rsid w:val="00020661"/>
    <w:rsid w:val="00020B5C"/>
    <w:rsid w:val="000212B4"/>
    <w:rsid w:val="000214DF"/>
    <w:rsid w:val="0002168A"/>
    <w:rsid w:val="00021805"/>
    <w:rsid w:val="00021889"/>
    <w:rsid w:val="0002194D"/>
    <w:rsid w:val="00022164"/>
    <w:rsid w:val="000223C3"/>
    <w:rsid w:val="000225B6"/>
    <w:rsid w:val="00022D57"/>
    <w:rsid w:val="00022F83"/>
    <w:rsid w:val="000232DE"/>
    <w:rsid w:val="000235AB"/>
    <w:rsid w:val="00023C54"/>
    <w:rsid w:val="00024173"/>
    <w:rsid w:val="000242B8"/>
    <w:rsid w:val="0002472D"/>
    <w:rsid w:val="00024D2F"/>
    <w:rsid w:val="00024E5D"/>
    <w:rsid w:val="0002522F"/>
    <w:rsid w:val="000253C3"/>
    <w:rsid w:val="00025631"/>
    <w:rsid w:val="00025870"/>
    <w:rsid w:val="00025A66"/>
    <w:rsid w:val="000261C4"/>
    <w:rsid w:val="00026892"/>
    <w:rsid w:val="00027011"/>
    <w:rsid w:val="00027815"/>
    <w:rsid w:val="00027FE9"/>
    <w:rsid w:val="00030374"/>
    <w:rsid w:val="00030CBB"/>
    <w:rsid w:val="00030E84"/>
    <w:rsid w:val="00031B98"/>
    <w:rsid w:val="00031E6D"/>
    <w:rsid w:val="00032638"/>
    <w:rsid w:val="00032C27"/>
    <w:rsid w:val="00032E70"/>
    <w:rsid w:val="0003321A"/>
    <w:rsid w:val="000336F7"/>
    <w:rsid w:val="00033DCC"/>
    <w:rsid w:val="00034114"/>
    <w:rsid w:val="00034929"/>
    <w:rsid w:val="0003505A"/>
    <w:rsid w:val="00035911"/>
    <w:rsid w:val="00036024"/>
    <w:rsid w:val="000364F4"/>
    <w:rsid w:val="000365F2"/>
    <w:rsid w:val="00036D6D"/>
    <w:rsid w:val="00036FDB"/>
    <w:rsid w:val="00037645"/>
    <w:rsid w:val="00037852"/>
    <w:rsid w:val="00037CF1"/>
    <w:rsid w:val="000403B0"/>
    <w:rsid w:val="0004090A"/>
    <w:rsid w:val="00040B55"/>
    <w:rsid w:val="00041259"/>
    <w:rsid w:val="00041301"/>
    <w:rsid w:val="000418F1"/>
    <w:rsid w:val="00041920"/>
    <w:rsid w:val="00041A5F"/>
    <w:rsid w:val="00042185"/>
    <w:rsid w:val="000428B4"/>
    <w:rsid w:val="000429A1"/>
    <w:rsid w:val="00042A74"/>
    <w:rsid w:val="00042C33"/>
    <w:rsid w:val="00043059"/>
    <w:rsid w:val="00043635"/>
    <w:rsid w:val="000437BE"/>
    <w:rsid w:val="0004388F"/>
    <w:rsid w:val="00043BEE"/>
    <w:rsid w:val="00043ECB"/>
    <w:rsid w:val="00043F93"/>
    <w:rsid w:val="000443C3"/>
    <w:rsid w:val="00044439"/>
    <w:rsid w:val="00044578"/>
    <w:rsid w:val="00044AA6"/>
    <w:rsid w:val="00044F68"/>
    <w:rsid w:val="00044F8D"/>
    <w:rsid w:val="00045430"/>
    <w:rsid w:val="00045711"/>
    <w:rsid w:val="00045831"/>
    <w:rsid w:val="00046050"/>
    <w:rsid w:val="00046312"/>
    <w:rsid w:val="00046938"/>
    <w:rsid w:val="00046939"/>
    <w:rsid w:val="0005048C"/>
    <w:rsid w:val="00050507"/>
    <w:rsid w:val="000508E4"/>
    <w:rsid w:val="00050905"/>
    <w:rsid w:val="00050AC5"/>
    <w:rsid w:val="00050B19"/>
    <w:rsid w:val="00050D18"/>
    <w:rsid w:val="00051062"/>
    <w:rsid w:val="000513FC"/>
    <w:rsid w:val="00051C94"/>
    <w:rsid w:val="00051F40"/>
    <w:rsid w:val="000525C8"/>
    <w:rsid w:val="000526E5"/>
    <w:rsid w:val="00052862"/>
    <w:rsid w:val="000529DA"/>
    <w:rsid w:val="00052C7E"/>
    <w:rsid w:val="00052DE5"/>
    <w:rsid w:val="00052E97"/>
    <w:rsid w:val="00053615"/>
    <w:rsid w:val="00053BE4"/>
    <w:rsid w:val="00053FD6"/>
    <w:rsid w:val="00054275"/>
    <w:rsid w:val="00054445"/>
    <w:rsid w:val="00054EBF"/>
    <w:rsid w:val="000554C8"/>
    <w:rsid w:val="000556C0"/>
    <w:rsid w:val="000556EB"/>
    <w:rsid w:val="00055EF6"/>
    <w:rsid w:val="00056E6F"/>
    <w:rsid w:val="00056EDB"/>
    <w:rsid w:val="00056F9F"/>
    <w:rsid w:val="0005707A"/>
    <w:rsid w:val="000606D8"/>
    <w:rsid w:val="0006070B"/>
    <w:rsid w:val="00060A1E"/>
    <w:rsid w:val="00060C16"/>
    <w:rsid w:val="00061280"/>
    <w:rsid w:val="000612BF"/>
    <w:rsid w:val="00061346"/>
    <w:rsid w:val="000619B8"/>
    <w:rsid w:val="00062869"/>
    <w:rsid w:val="000628CA"/>
    <w:rsid w:val="00062943"/>
    <w:rsid w:val="00062ABD"/>
    <w:rsid w:val="00062C47"/>
    <w:rsid w:val="00062CAB"/>
    <w:rsid w:val="00063034"/>
    <w:rsid w:val="00063636"/>
    <w:rsid w:val="00063702"/>
    <w:rsid w:val="00063E94"/>
    <w:rsid w:val="000643BC"/>
    <w:rsid w:val="0006484C"/>
    <w:rsid w:val="000649D7"/>
    <w:rsid w:val="00064E78"/>
    <w:rsid w:val="00065088"/>
    <w:rsid w:val="000650F9"/>
    <w:rsid w:val="000651E9"/>
    <w:rsid w:val="0006520E"/>
    <w:rsid w:val="0006560B"/>
    <w:rsid w:val="00065646"/>
    <w:rsid w:val="000656B5"/>
    <w:rsid w:val="000658C0"/>
    <w:rsid w:val="0006616D"/>
    <w:rsid w:val="000665FF"/>
    <w:rsid w:val="00066BC7"/>
    <w:rsid w:val="00067233"/>
    <w:rsid w:val="00067343"/>
    <w:rsid w:val="00067726"/>
    <w:rsid w:val="00067746"/>
    <w:rsid w:val="0006776F"/>
    <w:rsid w:val="000679CA"/>
    <w:rsid w:val="00067B8C"/>
    <w:rsid w:val="00067B93"/>
    <w:rsid w:val="00067C63"/>
    <w:rsid w:val="00067CF7"/>
    <w:rsid w:val="000701D0"/>
    <w:rsid w:val="0007051F"/>
    <w:rsid w:val="00070532"/>
    <w:rsid w:val="000707B2"/>
    <w:rsid w:val="0007085F"/>
    <w:rsid w:val="00070ABD"/>
    <w:rsid w:val="00070D42"/>
    <w:rsid w:val="00070D52"/>
    <w:rsid w:val="00071506"/>
    <w:rsid w:val="0007165C"/>
    <w:rsid w:val="00072022"/>
    <w:rsid w:val="00072182"/>
    <w:rsid w:val="00072379"/>
    <w:rsid w:val="00072520"/>
    <w:rsid w:val="000725AD"/>
    <w:rsid w:val="00072E66"/>
    <w:rsid w:val="00073206"/>
    <w:rsid w:val="0007327F"/>
    <w:rsid w:val="000732C4"/>
    <w:rsid w:val="0007372D"/>
    <w:rsid w:val="000739A9"/>
    <w:rsid w:val="00073E5B"/>
    <w:rsid w:val="00074622"/>
    <w:rsid w:val="0007483A"/>
    <w:rsid w:val="000748D8"/>
    <w:rsid w:val="00074972"/>
    <w:rsid w:val="00074D93"/>
    <w:rsid w:val="00074DA6"/>
    <w:rsid w:val="000752BA"/>
    <w:rsid w:val="00075343"/>
    <w:rsid w:val="00075466"/>
    <w:rsid w:val="0007554B"/>
    <w:rsid w:val="00075CB9"/>
    <w:rsid w:val="000761BE"/>
    <w:rsid w:val="000763B2"/>
    <w:rsid w:val="0007683A"/>
    <w:rsid w:val="00077184"/>
    <w:rsid w:val="000774D6"/>
    <w:rsid w:val="000779F4"/>
    <w:rsid w:val="000779FB"/>
    <w:rsid w:val="00077A47"/>
    <w:rsid w:val="000801A7"/>
    <w:rsid w:val="00080244"/>
    <w:rsid w:val="00080A78"/>
    <w:rsid w:val="00080DCA"/>
    <w:rsid w:val="00080F0D"/>
    <w:rsid w:val="000813AB"/>
    <w:rsid w:val="00081638"/>
    <w:rsid w:val="00081B82"/>
    <w:rsid w:val="00081B85"/>
    <w:rsid w:val="00081ED6"/>
    <w:rsid w:val="00082149"/>
    <w:rsid w:val="00082260"/>
    <w:rsid w:val="00082355"/>
    <w:rsid w:val="0008298C"/>
    <w:rsid w:val="00082B64"/>
    <w:rsid w:val="00082B86"/>
    <w:rsid w:val="00082DB4"/>
    <w:rsid w:val="00083105"/>
    <w:rsid w:val="00083212"/>
    <w:rsid w:val="000833B0"/>
    <w:rsid w:val="0008370E"/>
    <w:rsid w:val="0008386F"/>
    <w:rsid w:val="00083D8A"/>
    <w:rsid w:val="00083F12"/>
    <w:rsid w:val="000842F8"/>
    <w:rsid w:val="00084377"/>
    <w:rsid w:val="00084435"/>
    <w:rsid w:val="000847CD"/>
    <w:rsid w:val="00084BDE"/>
    <w:rsid w:val="00084CB1"/>
    <w:rsid w:val="00084F1F"/>
    <w:rsid w:val="00085498"/>
    <w:rsid w:val="000859E4"/>
    <w:rsid w:val="000859F8"/>
    <w:rsid w:val="00085CE4"/>
    <w:rsid w:val="000860B0"/>
    <w:rsid w:val="00086202"/>
    <w:rsid w:val="00086384"/>
    <w:rsid w:val="00086CD6"/>
    <w:rsid w:val="00086E22"/>
    <w:rsid w:val="00087A51"/>
    <w:rsid w:val="0009024E"/>
    <w:rsid w:val="00090A4D"/>
    <w:rsid w:val="00090AE5"/>
    <w:rsid w:val="00090CDC"/>
    <w:rsid w:val="00090FB2"/>
    <w:rsid w:val="00093057"/>
    <w:rsid w:val="000930DE"/>
    <w:rsid w:val="000932A8"/>
    <w:rsid w:val="0009359B"/>
    <w:rsid w:val="000936AE"/>
    <w:rsid w:val="00093D1E"/>
    <w:rsid w:val="00093DC9"/>
    <w:rsid w:val="000941FE"/>
    <w:rsid w:val="00094241"/>
    <w:rsid w:val="000950BD"/>
    <w:rsid w:val="0009523A"/>
    <w:rsid w:val="00095490"/>
    <w:rsid w:val="00095547"/>
    <w:rsid w:val="00095556"/>
    <w:rsid w:val="00095777"/>
    <w:rsid w:val="0009592A"/>
    <w:rsid w:val="00095B36"/>
    <w:rsid w:val="00095B79"/>
    <w:rsid w:val="00095DB8"/>
    <w:rsid w:val="000960F1"/>
    <w:rsid w:val="000964A1"/>
    <w:rsid w:val="00096663"/>
    <w:rsid w:val="00096760"/>
    <w:rsid w:val="000969D7"/>
    <w:rsid w:val="00096AA8"/>
    <w:rsid w:val="00096B60"/>
    <w:rsid w:val="00096E8C"/>
    <w:rsid w:val="00097201"/>
    <w:rsid w:val="00097649"/>
    <w:rsid w:val="000978CA"/>
    <w:rsid w:val="000A042E"/>
    <w:rsid w:val="000A0E93"/>
    <w:rsid w:val="000A1752"/>
    <w:rsid w:val="000A19F0"/>
    <w:rsid w:val="000A1C3C"/>
    <w:rsid w:val="000A2237"/>
    <w:rsid w:val="000A2614"/>
    <w:rsid w:val="000A2853"/>
    <w:rsid w:val="000A2983"/>
    <w:rsid w:val="000A345D"/>
    <w:rsid w:val="000A34D0"/>
    <w:rsid w:val="000A40D3"/>
    <w:rsid w:val="000A46AB"/>
    <w:rsid w:val="000A479C"/>
    <w:rsid w:val="000A4AEF"/>
    <w:rsid w:val="000A53DB"/>
    <w:rsid w:val="000A5B4E"/>
    <w:rsid w:val="000A67CE"/>
    <w:rsid w:val="000A6E20"/>
    <w:rsid w:val="000A6F5A"/>
    <w:rsid w:val="000A716A"/>
    <w:rsid w:val="000A7524"/>
    <w:rsid w:val="000A76C4"/>
    <w:rsid w:val="000A792E"/>
    <w:rsid w:val="000A7B67"/>
    <w:rsid w:val="000A7BB9"/>
    <w:rsid w:val="000A7F17"/>
    <w:rsid w:val="000B0452"/>
    <w:rsid w:val="000B088B"/>
    <w:rsid w:val="000B09E2"/>
    <w:rsid w:val="000B0C08"/>
    <w:rsid w:val="000B0D11"/>
    <w:rsid w:val="000B109C"/>
    <w:rsid w:val="000B10B0"/>
    <w:rsid w:val="000B10B2"/>
    <w:rsid w:val="000B15D1"/>
    <w:rsid w:val="000B1695"/>
    <w:rsid w:val="000B1881"/>
    <w:rsid w:val="000B1E54"/>
    <w:rsid w:val="000B1F1C"/>
    <w:rsid w:val="000B2ECB"/>
    <w:rsid w:val="000B2FAA"/>
    <w:rsid w:val="000B3639"/>
    <w:rsid w:val="000B39A0"/>
    <w:rsid w:val="000B3C91"/>
    <w:rsid w:val="000B3DCC"/>
    <w:rsid w:val="000B44C1"/>
    <w:rsid w:val="000B4908"/>
    <w:rsid w:val="000B4DDE"/>
    <w:rsid w:val="000B4E50"/>
    <w:rsid w:val="000B5FB0"/>
    <w:rsid w:val="000B67D3"/>
    <w:rsid w:val="000B6DCF"/>
    <w:rsid w:val="000B6DFD"/>
    <w:rsid w:val="000B6E83"/>
    <w:rsid w:val="000B7349"/>
    <w:rsid w:val="000B7886"/>
    <w:rsid w:val="000B7A29"/>
    <w:rsid w:val="000C0501"/>
    <w:rsid w:val="000C06E6"/>
    <w:rsid w:val="000C10D5"/>
    <w:rsid w:val="000C11FD"/>
    <w:rsid w:val="000C182C"/>
    <w:rsid w:val="000C1A50"/>
    <w:rsid w:val="000C1CB2"/>
    <w:rsid w:val="000C1F60"/>
    <w:rsid w:val="000C264E"/>
    <w:rsid w:val="000C26C0"/>
    <w:rsid w:val="000C2810"/>
    <w:rsid w:val="000C2DAB"/>
    <w:rsid w:val="000C2F24"/>
    <w:rsid w:val="000C3011"/>
    <w:rsid w:val="000C33D3"/>
    <w:rsid w:val="000C34D8"/>
    <w:rsid w:val="000C350D"/>
    <w:rsid w:val="000C35B7"/>
    <w:rsid w:val="000C37B7"/>
    <w:rsid w:val="000C3B1E"/>
    <w:rsid w:val="000C4A11"/>
    <w:rsid w:val="000C4C1A"/>
    <w:rsid w:val="000C4FD9"/>
    <w:rsid w:val="000C5264"/>
    <w:rsid w:val="000C5450"/>
    <w:rsid w:val="000C57A5"/>
    <w:rsid w:val="000C59C1"/>
    <w:rsid w:val="000C5A87"/>
    <w:rsid w:val="000C5B0D"/>
    <w:rsid w:val="000C606C"/>
    <w:rsid w:val="000C6070"/>
    <w:rsid w:val="000C6630"/>
    <w:rsid w:val="000C6784"/>
    <w:rsid w:val="000C6B58"/>
    <w:rsid w:val="000C72F1"/>
    <w:rsid w:val="000C741D"/>
    <w:rsid w:val="000C74A1"/>
    <w:rsid w:val="000C761C"/>
    <w:rsid w:val="000C7A02"/>
    <w:rsid w:val="000C7C07"/>
    <w:rsid w:val="000D0643"/>
    <w:rsid w:val="000D09FF"/>
    <w:rsid w:val="000D0D98"/>
    <w:rsid w:val="000D1670"/>
    <w:rsid w:val="000D1720"/>
    <w:rsid w:val="000D1913"/>
    <w:rsid w:val="000D1A37"/>
    <w:rsid w:val="000D1D08"/>
    <w:rsid w:val="000D2036"/>
    <w:rsid w:val="000D213F"/>
    <w:rsid w:val="000D2172"/>
    <w:rsid w:val="000D2482"/>
    <w:rsid w:val="000D2BD6"/>
    <w:rsid w:val="000D30D8"/>
    <w:rsid w:val="000D355C"/>
    <w:rsid w:val="000D38FE"/>
    <w:rsid w:val="000D3A81"/>
    <w:rsid w:val="000D41F3"/>
    <w:rsid w:val="000D452F"/>
    <w:rsid w:val="000D4A94"/>
    <w:rsid w:val="000D508D"/>
    <w:rsid w:val="000D57E5"/>
    <w:rsid w:val="000D5932"/>
    <w:rsid w:val="000D598E"/>
    <w:rsid w:val="000D5C48"/>
    <w:rsid w:val="000D5CF6"/>
    <w:rsid w:val="000D6703"/>
    <w:rsid w:val="000D672F"/>
    <w:rsid w:val="000D677E"/>
    <w:rsid w:val="000D6ACF"/>
    <w:rsid w:val="000D6C17"/>
    <w:rsid w:val="000D6F9A"/>
    <w:rsid w:val="000D70DB"/>
    <w:rsid w:val="000D7372"/>
    <w:rsid w:val="000D7A66"/>
    <w:rsid w:val="000D7C06"/>
    <w:rsid w:val="000E0562"/>
    <w:rsid w:val="000E0672"/>
    <w:rsid w:val="000E06A6"/>
    <w:rsid w:val="000E07BF"/>
    <w:rsid w:val="000E1313"/>
    <w:rsid w:val="000E1711"/>
    <w:rsid w:val="000E192E"/>
    <w:rsid w:val="000E1FDE"/>
    <w:rsid w:val="000E212E"/>
    <w:rsid w:val="000E222A"/>
    <w:rsid w:val="000E2411"/>
    <w:rsid w:val="000E2784"/>
    <w:rsid w:val="000E2950"/>
    <w:rsid w:val="000E2CE9"/>
    <w:rsid w:val="000E2E95"/>
    <w:rsid w:val="000E2F92"/>
    <w:rsid w:val="000E343A"/>
    <w:rsid w:val="000E372A"/>
    <w:rsid w:val="000E3C95"/>
    <w:rsid w:val="000E4315"/>
    <w:rsid w:val="000E4B04"/>
    <w:rsid w:val="000E4BA8"/>
    <w:rsid w:val="000E4C43"/>
    <w:rsid w:val="000E5037"/>
    <w:rsid w:val="000E5214"/>
    <w:rsid w:val="000E5391"/>
    <w:rsid w:val="000E5B18"/>
    <w:rsid w:val="000E5DBF"/>
    <w:rsid w:val="000E5E22"/>
    <w:rsid w:val="000E5FDE"/>
    <w:rsid w:val="000E6BA8"/>
    <w:rsid w:val="000E7204"/>
    <w:rsid w:val="000E750E"/>
    <w:rsid w:val="000E7803"/>
    <w:rsid w:val="000E7AA9"/>
    <w:rsid w:val="000E7AFA"/>
    <w:rsid w:val="000E7B04"/>
    <w:rsid w:val="000E7DA9"/>
    <w:rsid w:val="000E7FC9"/>
    <w:rsid w:val="000F08D5"/>
    <w:rsid w:val="000F0BD2"/>
    <w:rsid w:val="000F0ED2"/>
    <w:rsid w:val="000F0ED4"/>
    <w:rsid w:val="000F0FAA"/>
    <w:rsid w:val="000F1263"/>
    <w:rsid w:val="000F14D3"/>
    <w:rsid w:val="000F164A"/>
    <w:rsid w:val="000F190A"/>
    <w:rsid w:val="000F19B0"/>
    <w:rsid w:val="000F1BA4"/>
    <w:rsid w:val="000F1C65"/>
    <w:rsid w:val="000F1F8E"/>
    <w:rsid w:val="000F2401"/>
    <w:rsid w:val="000F2521"/>
    <w:rsid w:val="000F2C0F"/>
    <w:rsid w:val="000F3043"/>
    <w:rsid w:val="000F31FC"/>
    <w:rsid w:val="000F34AD"/>
    <w:rsid w:val="000F3B7F"/>
    <w:rsid w:val="000F479F"/>
    <w:rsid w:val="000F4F9A"/>
    <w:rsid w:val="000F53DB"/>
    <w:rsid w:val="000F5573"/>
    <w:rsid w:val="000F55C3"/>
    <w:rsid w:val="000F569F"/>
    <w:rsid w:val="000F5C0F"/>
    <w:rsid w:val="000F5C1D"/>
    <w:rsid w:val="000F5D1C"/>
    <w:rsid w:val="000F65A0"/>
    <w:rsid w:val="000F68B1"/>
    <w:rsid w:val="000F6D8B"/>
    <w:rsid w:val="000F6E0E"/>
    <w:rsid w:val="000F709C"/>
    <w:rsid w:val="000F75E8"/>
    <w:rsid w:val="000F7806"/>
    <w:rsid w:val="000F78E8"/>
    <w:rsid w:val="000F790F"/>
    <w:rsid w:val="000F7FA0"/>
    <w:rsid w:val="000F7FF5"/>
    <w:rsid w:val="001002C4"/>
    <w:rsid w:val="001007C7"/>
    <w:rsid w:val="00100CED"/>
    <w:rsid w:val="001010B5"/>
    <w:rsid w:val="001011A4"/>
    <w:rsid w:val="001011F9"/>
    <w:rsid w:val="00101A58"/>
    <w:rsid w:val="00101A61"/>
    <w:rsid w:val="00102029"/>
    <w:rsid w:val="00102084"/>
    <w:rsid w:val="001023FA"/>
    <w:rsid w:val="0010257F"/>
    <w:rsid w:val="0010266C"/>
    <w:rsid w:val="00102987"/>
    <w:rsid w:val="00102BFB"/>
    <w:rsid w:val="00102D65"/>
    <w:rsid w:val="00102DC3"/>
    <w:rsid w:val="0010304C"/>
    <w:rsid w:val="0010366E"/>
    <w:rsid w:val="0010383C"/>
    <w:rsid w:val="0010384D"/>
    <w:rsid w:val="00103B78"/>
    <w:rsid w:val="00103C4A"/>
    <w:rsid w:val="00103CF9"/>
    <w:rsid w:val="0010409E"/>
    <w:rsid w:val="001045D6"/>
    <w:rsid w:val="00104958"/>
    <w:rsid w:val="00104A10"/>
    <w:rsid w:val="00104A4F"/>
    <w:rsid w:val="00104DF9"/>
    <w:rsid w:val="001051D1"/>
    <w:rsid w:val="00106217"/>
    <w:rsid w:val="001071B9"/>
    <w:rsid w:val="00107231"/>
    <w:rsid w:val="00107401"/>
    <w:rsid w:val="00107CF3"/>
    <w:rsid w:val="00110063"/>
    <w:rsid w:val="0011044F"/>
    <w:rsid w:val="00110753"/>
    <w:rsid w:val="00110973"/>
    <w:rsid w:val="00110E27"/>
    <w:rsid w:val="0011128D"/>
    <w:rsid w:val="00111449"/>
    <w:rsid w:val="001114A6"/>
    <w:rsid w:val="00111A95"/>
    <w:rsid w:val="00111D95"/>
    <w:rsid w:val="00112456"/>
    <w:rsid w:val="001126DA"/>
    <w:rsid w:val="0011312E"/>
    <w:rsid w:val="00113BF8"/>
    <w:rsid w:val="00114313"/>
    <w:rsid w:val="00114896"/>
    <w:rsid w:val="00114F7C"/>
    <w:rsid w:val="001150C5"/>
    <w:rsid w:val="00115826"/>
    <w:rsid w:val="00115B44"/>
    <w:rsid w:val="00116939"/>
    <w:rsid w:val="00116A28"/>
    <w:rsid w:val="00116F97"/>
    <w:rsid w:val="00117844"/>
    <w:rsid w:val="00117DEB"/>
    <w:rsid w:val="0012018F"/>
    <w:rsid w:val="001202A6"/>
    <w:rsid w:val="0012037C"/>
    <w:rsid w:val="00120571"/>
    <w:rsid w:val="00120817"/>
    <w:rsid w:val="00120CC0"/>
    <w:rsid w:val="00120FDF"/>
    <w:rsid w:val="001215AB"/>
    <w:rsid w:val="001217F5"/>
    <w:rsid w:val="00121AB0"/>
    <w:rsid w:val="001224FB"/>
    <w:rsid w:val="00122A4E"/>
    <w:rsid w:val="0012300B"/>
    <w:rsid w:val="0012322A"/>
    <w:rsid w:val="00123260"/>
    <w:rsid w:val="001232E8"/>
    <w:rsid w:val="0012335B"/>
    <w:rsid w:val="0012366B"/>
    <w:rsid w:val="0012393C"/>
    <w:rsid w:val="00123A5C"/>
    <w:rsid w:val="00123A6D"/>
    <w:rsid w:val="001247B5"/>
    <w:rsid w:val="0012480A"/>
    <w:rsid w:val="00124A60"/>
    <w:rsid w:val="00124F9D"/>
    <w:rsid w:val="00125CA8"/>
    <w:rsid w:val="00125DB1"/>
    <w:rsid w:val="00125DC2"/>
    <w:rsid w:val="00125DEE"/>
    <w:rsid w:val="00125E35"/>
    <w:rsid w:val="001261AA"/>
    <w:rsid w:val="00126521"/>
    <w:rsid w:val="001266AD"/>
    <w:rsid w:val="00126A30"/>
    <w:rsid w:val="00127101"/>
    <w:rsid w:val="00127313"/>
    <w:rsid w:val="0012793A"/>
    <w:rsid w:val="00127E6D"/>
    <w:rsid w:val="00127FD4"/>
    <w:rsid w:val="001302F8"/>
    <w:rsid w:val="0013075E"/>
    <w:rsid w:val="0013084C"/>
    <w:rsid w:val="00130891"/>
    <w:rsid w:val="001312E6"/>
    <w:rsid w:val="0013171C"/>
    <w:rsid w:val="00132469"/>
    <w:rsid w:val="00132542"/>
    <w:rsid w:val="001326ED"/>
    <w:rsid w:val="00132EE7"/>
    <w:rsid w:val="00133068"/>
    <w:rsid w:val="0013343B"/>
    <w:rsid w:val="00133709"/>
    <w:rsid w:val="0013389C"/>
    <w:rsid w:val="00133FCF"/>
    <w:rsid w:val="00134171"/>
    <w:rsid w:val="00134801"/>
    <w:rsid w:val="00134C9E"/>
    <w:rsid w:val="00134D92"/>
    <w:rsid w:val="0013562F"/>
    <w:rsid w:val="001357C4"/>
    <w:rsid w:val="00135937"/>
    <w:rsid w:val="00135A93"/>
    <w:rsid w:val="00135EC5"/>
    <w:rsid w:val="00135FC8"/>
    <w:rsid w:val="001360AB"/>
    <w:rsid w:val="00136C0A"/>
    <w:rsid w:val="00136CFA"/>
    <w:rsid w:val="00136E83"/>
    <w:rsid w:val="001373F2"/>
    <w:rsid w:val="00137502"/>
    <w:rsid w:val="00137536"/>
    <w:rsid w:val="00137589"/>
    <w:rsid w:val="00137BFC"/>
    <w:rsid w:val="00137F6C"/>
    <w:rsid w:val="001403E1"/>
    <w:rsid w:val="00140623"/>
    <w:rsid w:val="00140943"/>
    <w:rsid w:val="001409A3"/>
    <w:rsid w:val="00141334"/>
    <w:rsid w:val="001416B1"/>
    <w:rsid w:val="001428F6"/>
    <w:rsid w:val="00142964"/>
    <w:rsid w:val="0014303C"/>
    <w:rsid w:val="00143DFE"/>
    <w:rsid w:val="00144D31"/>
    <w:rsid w:val="00145304"/>
    <w:rsid w:val="00145622"/>
    <w:rsid w:val="00145739"/>
    <w:rsid w:val="001457C8"/>
    <w:rsid w:val="00145A1C"/>
    <w:rsid w:val="0014629D"/>
    <w:rsid w:val="0014704A"/>
    <w:rsid w:val="00147344"/>
    <w:rsid w:val="00147479"/>
    <w:rsid w:val="00147BEF"/>
    <w:rsid w:val="00147E03"/>
    <w:rsid w:val="001503F8"/>
    <w:rsid w:val="001516AF"/>
    <w:rsid w:val="00152232"/>
    <w:rsid w:val="00152245"/>
    <w:rsid w:val="001522E2"/>
    <w:rsid w:val="00152420"/>
    <w:rsid w:val="001524DE"/>
    <w:rsid w:val="0015282F"/>
    <w:rsid w:val="00152900"/>
    <w:rsid w:val="00152B65"/>
    <w:rsid w:val="00152C2B"/>
    <w:rsid w:val="00152D7E"/>
    <w:rsid w:val="00152DD6"/>
    <w:rsid w:val="00152E13"/>
    <w:rsid w:val="00153571"/>
    <w:rsid w:val="00153834"/>
    <w:rsid w:val="00153D2C"/>
    <w:rsid w:val="00153DA2"/>
    <w:rsid w:val="0015436F"/>
    <w:rsid w:val="001544F3"/>
    <w:rsid w:val="00154581"/>
    <w:rsid w:val="00154EAB"/>
    <w:rsid w:val="00155041"/>
    <w:rsid w:val="001555B8"/>
    <w:rsid w:val="001557DF"/>
    <w:rsid w:val="001561C1"/>
    <w:rsid w:val="00156C16"/>
    <w:rsid w:val="00156C1E"/>
    <w:rsid w:val="00157714"/>
    <w:rsid w:val="00157BBF"/>
    <w:rsid w:val="00157D12"/>
    <w:rsid w:val="001604B9"/>
    <w:rsid w:val="0016053B"/>
    <w:rsid w:val="001609AC"/>
    <w:rsid w:val="00160A4F"/>
    <w:rsid w:val="00160C81"/>
    <w:rsid w:val="0016105B"/>
    <w:rsid w:val="001610C7"/>
    <w:rsid w:val="001610DE"/>
    <w:rsid w:val="001611A7"/>
    <w:rsid w:val="00161428"/>
    <w:rsid w:val="00161681"/>
    <w:rsid w:val="0016174F"/>
    <w:rsid w:val="00161A3C"/>
    <w:rsid w:val="00161AD5"/>
    <w:rsid w:val="00161D14"/>
    <w:rsid w:val="0016256C"/>
    <w:rsid w:val="001629B0"/>
    <w:rsid w:val="00162A50"/>
    <w:rsid w:val="00162C2E"/>
    <w:rsid w:val="00163056"/>
    <w:rsid w:val="001635FE"/>
    <w:rsid w:val="001642C7"/>
    <w:rsid w:val="001646A5"/>
    <w:rsid w:val="00164763"/>
    <w:rsid w:val="00164CD0"/>
    <w:rsid w:val="00164E6A"/>
    <w:rsid w:val="00165CE5"/>
    <w:rsid w:val="001665CE"/>
    <w:rsid w:val="00166736"/>
    <w:rsid w:val="001669E7"/>
    <w:rsid w:val="00166F8F"/>
    <w:rsid w:val="00167312"/>
    <w:rsid w:val="001674EF"/>
    <w:rsid w:val="00167683"/>
    <w:rsid w:val="001677D3"/>
    <w:rsid w:val="001679E2"/>
    <w:rsid w:val="00167A6A"/>
    <w:rsid w:val="00167FAB"/>
    <w:rsid w:val="00170346"/>
    <w:rsid w:val="00170C73"/>
    <w:rsid w:val="00170E04"/>
    <w:rsid w:val="00170EE5"/>
    <w:rsid w:val="00171148"/>
    <w:rsid w:val="00171197"/>
    <w:rsid w:val="0017180E"/>
    <w:rsid w:val="00171B90"/>
    <w:rsid w:val="00171C2C"/>
    <w:rsid w:val="0017210F"/>
    <w:rsid w:val="00172439"/>
    <w:rsid w:val="00172C23"/>
    <w:rsid w:val="001732E9"/>
    <w:rsid w:val="00173A17"/>
    <w:rsid w:val="00173D0A"/>
    <w:rsid w:val="00174A63"/>
    <w:rsid w:val="00175087"/>
    <w:rsid w:val="00175694"/>
    <w:rsid w:val="00175986"/>
    <w:rsid w:val="00175D15"/>
    <w:rsid w:val="00175D9F"/>
    <w:rsid w:val="0017612B"/>
    <w:rsid w:val="0017637A"/>
    <w:rsid w:val="00176AB0"/>
    <w:rsid w:val="00176B48"/>
    <w:rsid w:val="00176D3E"/>
    <w:rsid w:val="00176F18"/>
    <w:rsid w:val="00176F3C"/>
    <w:rsid w:val="00176F6F"/>
    <w:rsid w:val="001775A0"/>
    <w:rsid w:val="0017761B"/>
    <w:rsid w:val="00177E7D"/>
    <w:rsid w:val="00177F2F"/>
    <w:rsid w:val="00180098"/>
    <w:rsid w:val="001809CE"/>
    <w:rsid w:val="00180B59"/>
    <w:rsid w:val="00180B8D"/>
    <w:rsid w:val="00180C0C"/>
    <w:rsid w:val="00181365"/>
    <w:rsid w:val="00182065"/>
    <w:rsid w:val="001820AB"/>
    <w:rsid w:val="00182CB5"/>
    <w:rsid w:val="00182E05"/>
    <w:rsid w:val="00182F28"/>
    <w:rsid w:val="0018323C"/>
    <w:rsid w:val="001837FA"/>
    <w:rsid w:val="00183A52"/>
    <w:rsid w:val="00183B8C"/>
    <w:rsid w:val="00183D69"/>
    <w:rsid w:val="00183DE6"/>
    <w:rsid w:val="00183E10"/>
    <w:rsid w:val="00184044"/>
    <w:rsid w:val="0018409C"/>
    <w:rsid w:val="0018426D"/>
    <w:rsid w:val="00184304"/>
    <w:rsid w:val="00184595"/>
    <w:rsid w:val="00184813"/>
    <w:rsid w:val="00184842"/>
    <w:rsid w:val="00184876"/>
    <w:rsid w:val="0018494C"/>
    <w:rsid w:val="00184C5B"/>
    <w:rsid w:val="00184C96"/>
    <w:rsid w:val="00184F80"/>
    <w:rsid w:val="00185045"/>
    <w:rsid w:val="0018521E"/>
    <w:rsid w:val="001854BC"/>
    <w:rsid w:val="001855AF"/>
    <w:rsid w:val="00185865"/>
    <w:rsid w:val="0018623A"/>
    <w:rsid w:val="001867C2"/>
    <w:rsid w:val="00186983"/>
    <w:rsid w:val="00186AF0"/>
    <w:rsid w:val="00186E37"/>
    <w:rsid w:val="00186E6E"/>
    <w:rsid w:val="0018704D"/>
    <w:rsid w:val="001876B6"/>
    <w:rsid w:val="00187BA7"/>
    <w:rsid w:val="00187BF5"/>
    <w:rsid w:val="00187DE5"/>
    <w:rsid w:val="00187E04"/>
    <w:rsid w:val="0019036A"/>
    <w:rsid w:val="00190755"/>
    <w:rsid w:val="00190DA2"/>
    <w:rsid w:val="00190E16"/>
    <w:rsid w:val="00191422"/>
    <w:rsid w:val="0019148F"/>
    <w:rsid w:val="001914E7"/>
    <w:rsid w:val="00191ACA"/>
    <w:rsid w:val="00191B24"/>
    <w:rsid w:val="00191B5C"/>
    <w:rsid w:val="00191C35"/>
    <w:rsid w:val="00192982"/>
    <w:rsid w:val="00192A56"/>
    <w:rsid w:val="00192D38"/>
    <w:rsid w:val="00193978"/>
    <w:rsid w:val="001939FA"/>
    <w:rsid w:val="00193ABD"/>
    <w:rsid w:val="00193B88"/>
    <w:rsid w:val="00194097"/>
    <w:rsid w:val="00194262"/>
    <w:rsid w:val="00194700"/>
    <w:rsid w:val="00194937"/>
    <w:rsid w:val="001956F3"/>
    <w:rsid w:val="001961A4"/>
    <w:rsid w:val="001967EE"/>
    <w:rsid w:val="001972FC"/>
    <w:rsid w:val="00197338"/>
    <w:rsid w:val="0019739C"/>
    <w:rsid w:val="0019748C"/>
    <w:rsid w:val="001974B6"/>
    <w:rsid w:val="001976F7"/>
    <w:rsid w:val="001977B0"/>
    <w:rsid w:val="00197A19"/>
    <w:rsid w:val="001A04A8"/>
    <w:rsid w:val="001A0A59"/>
    <w:rsid w:val="001A0F30"/>
    <w:rsid w:val="001A12F4"/>
    <w:rsid w:val="001A1813"/>
    <w:rsid w:val="001A1899"/>
    <w:rsid w:val="001A1F3D"/>
    <w:rsid w:val="001A20B8"/>
    <w:rsid w:val="001A21D5"/>
    <w:rsid w:val="001A2866"/>
    <w:rsid w:val="001A34B4"/>
    <w:rsid w:val="001A3500"/>
    <w:rsid w:val="001A37BB"/>
    <w:rsid w:val="001A385B"/>
    <w:rsid w:val="001A387B"/>
    <w:rsid w:val="001A38B7"/>
    <w:rsid w:val="001A4158"/>
    <w:rsid w:val="001A4444"/>
    <w:rsid w:val="001A44DC"/>
    <w:rsid w:val="001A47A7"/>
    <w:rsid w:val="001A4DD2"/>
    <w:rsid w:val="001A4E7C"/>
    <w:rsid w:val="001A574E"/>
    <w:rsid w:val="001A5B41"/>
    <w:rsid w:val="001A6098"/>
    <w:rsid w:val="001A6134"/>
    <w:rsid w:val="001A69BD"/>
    <w:rsid w:val="001A6AA6"/>
    <w:rsid w:val="001A6BB5"/>
    <w:rsid w:val="001A6E14"/>
    <w:rsid w:val="001A70C7"/>
    <w:rsid w:val="001A71B9"/>
    <w:rsid w:val="001A757C"/>
    <w:rsid w:val="001A7857"/>
    <w:rsid w:val="001A7A76"/>
    <w:rsid w:val="001A7E24"/>
    <w:rsid w:val="001A7F79"/>
    <w:rsid w:val="001B0193"/>
    <w:rsid w:val="001B0519"/>
    <w:rsid w:val="001B08B7"/>
    <w:rsid w:val="001B0FCE"/>
    <w:rsid w:val="001B1294"/>
    <w:rsid w:val="001B1318"/>
    <w:rsid w:val="001B135F"/>
    <w:rsid w:val="001B14D9"/>
    <w:rsid w:val="001B1598"/>
    <w:rsid w:val="001B183A"/>
    <w:rsid w:val="001B20F2"/>
    <w:rsid w:val="001B2168"/>
    <w:rsid w:val="001B22C2"/>
    <w:rsid w:val="001B27D5"/>
    <w:rsid w:val="001B2888"/>
    <w:rsid w:val="001B2FE2"/>
    <w:rsid w:val="001B3628"/>
    <w:rsid w:val="001B3F32"/>
    <w:rsid w:val="001B4281"/>
    <w:rsid w:val="001B44D9"/>
    <w:rsid w:val="001B4672"/>
    <w:rsid w:val="001B4674"/>
    <w:rsid w:val="001B539F"/>
    <w:rsid w:val="001B580C"/>
    <w:rsid w:val="001B5ADE"/>
    <w:rsid w:val="001B5DE1"/>
    <w:rsid w:val="001B6500"/>
    <w:rsid w:val="001B65B4"/>
    <w:rsid w:val="001B6915"/>
    <w:rsid w:val="001B695D"/>
    <w:rsid w:val="001B6C31"/>
    <w:rsid w:val="001B6C5F"/>
    <w:rsid w:val="001B6F5A"/>
    <w:rsid w:val="001B7765"/>
    <w:rsid w:val="001B77D7"/>
    <w:rsid w:val="001B7832"/>
    <w:rsid w:val="001C0178"/>
    <w:rsid w:val="001C01D8"/>
    <w:rsid w:val="001C0867"/>
    <w:rsid w:val="001C0E03"/>
    <w:rsid w:val="001C11B9"/>
    <w:rsid w:val="001C16A5"/>
    <w:rsid w:val="001C17DB"/>
    <w:rsid w:val="001C19D0"/>
    <w:rsid w:val="001C1D70"/>
    <w:rsid w:val="001C2E86"/>
    <w:rsid w:val="001C304F"/>
    <w:rsid w:val="001C313F"/>
    <w:rsid w:val="001C354A"/>
    <w:rsid w:val="001C3A4C"/>
    <w:rsid w:val="001C4039"/>
    <w:rsid w:val="001C4354"/>
    <w:rsid w:val="001C438E"/>
    <w:rsid w:val="001C49A2"/>
    <w:rsid w:val="001C5539"/>
    <w:rsid w:val="001C588A"/>
    <w:rsid w:val="001C5CC0"/>
    <w:rsid w:val="001C5FA6"/>
    <w:rsid w:val="001C6027"/>
    <w:rsid w:val="001C657E"/>
    <w:rsid w:val="001C67FE"/>
    <w:rsid w:val="001C69E4"/>
    <w:rsid w:val="001C6AF6"/>
    <w:rsid w:val="001C6C8B"/>
    <w:rsid w:val="001C6E28"/>
    <w:rsid w:val="001C731C"/>
    <w:rsid w:val="001C7A6B"/>
    <w:rsid w:val="001D0122"/>
    <w:rsid w:val="001D05F6"/>
    <w:rsid w:val="001D0687"/>
    <w:rsid w:val="001D077F"/>
    <w:rsid w:val="001D0D09"/>
    <w:rsid w:val="001D110D"/>
    <w:rsid w:val="001D13DB"/>
    <w:rsid w:val="001D14FE"/>
    <w:rsid w:val="001D1523"/>
    <w:rsid w:val="001D16CB"/>
    <w:rsid w:val="001D19AC"/>
    <w:rsid w:val="001D215E"/>
    <w:rsid w:val="001D2334"/>
    <w:rsid w:val="001D2362"/>
    <w:rsid w:val="001D23AB"/>
    <w:rsid w:val="001D2CD4"/>
    <w:rsid w:val="001D3649"/>
    <w:rsid w:val="001D44DA"/>
    <w:rsid w:val="001D4780"/>
    <w:rsid w:val="001D4893"/>
    <w:rsid w:val="001D4A66"/>
    <w:rsid w:val="001D4AC5"/>
    <w:rsid w:val="001D4B96"/>
    <w:rsid w:val="001D4E47"/>
    <w:rsid w:val="001D5146"/>
    <w:rsid w:val="001D532E"/>
    <w:rsid w:val="001D584C"/>
    <w:rsid w:val="001D62FC"/>
    <w:rsid w:val="001D660A"/>
    <w:rsid w:val="001D66BB"/>
    <w:rsid w:val="001D6E92"/>
    <w:rsid w:val="001D6F88"/>
    <w:rsid w:val="001D714D"/>
    <w:rsid w:val="001D71C4"/>
    <w:rsid w:val="001D7B6A"/>
    <w:rsid w:val="001E0875"/>
    <w:rsid w:val="001E0B0F"/>
    <w:rsid w:val="001E0C0A"/>
    <w:rsid w:val="001E15C9"/>
    <w:rsid w:val="001E15D4"/>
    <w:rsid w:val="001E1A8F"/>
    <w:rsid w:val="001E1E7D"/>
    <w:rsid w:val="001E1FA2"/>
    <w:rsid w:val="001E2001"/>
    <w:rsid w:val="001E25E5"/>
    <w:rsid w:val="001E2693"/>
    <w:rsid w:val="001E33FA"/>
    <w:rsid w:val="001E35EA"/>
    <w:rsid w:val="001E3869"/>
    <w:rsid w:val="001E38D1"/>
    <w:rsid w:val="001E3984"/>
    <w:rsid w:val="001E3A5C"/>
    <w:rsid w:val="001E3E6A"/>
    <w:rsid w:val="001E3E9C"/>
    <w:rsid w:val="001E46F2"/>
    <w:rsid w:val="001E483C"/>
    <w:rsid w:val="001E49DA"/>
    <w:rsid w:val="001E4F03"/>
    <w:rsid w:val="001E4F83"/>
    <w:rsid w:val="001E533F"/>
    <w:rsid w:val="001E5959"/>
    <w:rsid w:val="001E617A"/>
    <w:rsid w:val="001E63A1"/>
    <w:rsid w:val="001E7119"/>
    <w:rsid w:val="001E7571"/>
    <w:rsid w:val="001E7979"/>
    <w:rsid w:val="001E7A71"/>
    <w:rsid w:val="001E7C8C"/>
    <w:rsid w:val="001E7C8E"/>
    <w:rsid w:val="001F0114"/>
    <w:rsid w:val="001F075E"/>
    <w:rsid w:val="001F0818"/>
    <w:rsid w:val="001F0C92"/>
    <w:rsid w:val="001F0C97"/>
    <w:rsid w:val="001F1061"/>
    <w:rsid w:val="001F127C"/>
    <w:rsid w:val="001F1659"/>
    <w:rsid w:val="001F18EB"/>
    <w:rsid w:val="001F1A3E"/>
    <w:rsid w:val="001F1DCD"/>
    <w:rsid w:val="001F20FD"/>
    <w:rsid w:val="001F23B4"/>
    <w:rsid w:val="001F2773"/>
    <w:rsid w:val="001F2C24"/>
    <w:rsid w:val="001F2D47"/>
    <w:rsid w:val="001F2D6E"/>
    <w:rsid w:val="001F32E1"/>
    <w:rsid w:val="001F3472"/>
    <w:rsid w:val="001F3490"/>
    <w:rsid w:val="001F371B"/>
    <w:rsid w:val="001F385E"/>
    <w:rsid w:val="001F3D24"/>
    <w:rsid w:val="001F42EB"/>
    <w:rsid w:val="001F44F0"/>
    <w:rsid w:val="001F482A"/>
    <w:rsid w:val="001F48A2"/>
    <w:rsid w:val="001F4917"/>
    <w:rsid w:val="001F49AF"/>
    <w:rsid w:val="001F4A01"/>
    <w:rsid w:val="001F4C2E"/>
    <w:rsid w:val="001F4E42"/>
    <w:rsid w:val="001F4F15"/>
    <w:rsid w:val="001F4F48"/>
    <w:rsid w:val="001F52BC"/>
    <w:rsid w:val="001F56E6"/>
    <w:rsid w:val="001F5935"/>
    <w:rsid w:val="001F5B4E"/>
    <w:rsid w:val="001F5BE5"/>
    <w:rsid w:val="001F5F43"/>
    <w:rsid w:val="001F6093"/>
    <w:rsid w:val="001F63CE"/>
    <w:rsid w:val="001F643D"/>
    <w:rsid w:val="001F6523"/>
    <w:rsid w:val="001F7167"/>
    <w:rsid w:val="001F73DF"/>
    <w:rsid w:val="001F75E5"/>
    <w:rsid w:val="001F7838"/>
    <w:rsid w:val="0020031B"/>
    <w:rsid w:val="00200B76"/>
    <w:rsid w:val="00200CF1"/>
    <w:rsid w:val="00200DC2"/>
    <w:rsid w:val="00200EDB"/>
    <w:rsid w:val="00200F30"/>
    <w:rsid w:val="0020101D"/>
    <w:rsid w:val="002014EE"/>
    <w:rsid w:val="002015D2"/>
    <w:rsid w:val="002015EA"/>
    <w:rsid w:val="00201752"/>
    <w:rsid w:val="00201C6B"/>
    <w:rsid w:val="00202098"/>
    <w:rsid w:val="00202102"/>
    <w:rsid w:val="0020238E"/>
    <w:rsid w:val="002024AD"/>
    <w:rsid w:val="0020257C"/>
    <w:rsid w:val="00202A26"/>
    <w:rsid w:val="00202B99"/>
    <w:rsid w:val="00202F17"/>
    <w:rsid w:val="00203084"/>
    <w:rsid w:val="00203153"/>
    <w:rsid w:val="00203173"/>
    <w:rsid w:val="00203624"/>
    <w:rsid w:val="00203895"/>
    <w:rsid w:val="00203C32"/>
    <w:rsid w:val="00203CAD"/>
    <w:rsid w:val="002044CB"/>
    <w:rsid w:val="002047A0"/>
    <w:rsid w:val="002047FE"/>
    <w:rsid w:val="00204CAE"/>
    <w:rsid w:val="0020520E"/>
    <w:rsid w:val="00205DB4"/>
    <w:rsid w:val="00205E26"/>
    <w:rsid w:val="00205E2A"/>
    <w:rsid w:val="00205E50"/>
    <w:rsid w:val="002060F6"/>
    <w:rsid w:val="0020619D"/>
    <w:rsid w:val="00206840"/>
    <w:rsid w:val="00206E31"/>
    <w:rsid w:val="00207501"/>
    <w:rsid w:val="00207719"/>
    <w:rsid w:val="0020796C"/>
    <w:rsid w:val="00207F97"/>
    <w:rsid w:val="002101B8"/>
    <w:rsid w:val="002106B5"/>
    <w:rsid w:val="00210955"/>
    <w:rsid w:val="00210A43"/>
    <w:rsid w:val="00210D36"/>
    <w:rsid w:val="00210D69"/>
    <w:rsid w:val="0021125A"/>
    <w:rsid w:val="0021143C"/>
    <w:rsid w:val="00211530"/>
    <w:rsid w:val="002115C7"/>
    <w:rsid w:val="00211788"/>
    <w:rsid w:val="002117A2"/>
    <w:rsid w:val="0021194E"/>
    <w:rsid w:val="00211960"/>
    <w:rsid w:val="00211B66"/>
    <w:rsid w:val="00211B68"/>
    <w:rsid w:val="00211D16"/>
    <w:rsid w:val="002122DB"/>
    <w:rsid w:val="00212A9F"/>
    <w:rsid w:val="00212FEB"/>
    <w:rsid w:val="0021346F"/>
    <w:rsid w:val="00213C2C"/>
    <w:rsid w:val="00213E5A"/>
    <w:rsid w:val="0021451C"/>
    <w:rsid w:val="002156C3"/>
    <w:rsid w:val="002157CF"/>
    <w:rsid w:val="00215D94"/>
    <w:rsid w:val="00215E17"/>
    <w:rsid w:val="00215FAF"/>
    <w:rsid w:val="00216517"/>
    <w:rsid w:val="00216A96"/>
    <w:rsid w:val="00217592"/>
    <w:rsid w:val="0021779A"/>
    <w:rsid w:val="00217D15"/>
    <w:rsid w:val="00217DED"/>
    <w:rsid w:val="00220199"/>
    <w:rsid w:val="00220647"/>
    <w:rsid w:val="002207E0"/>
    <w:rsid w:val="00220C89"/>
    <w:rsid w:val="00220D05"/>
    <w:rsid w:val="002219CA"/>
    <w:rsid w:val="00221AC8"/>
    <w:rsid w:val="00221B96"/>
    <w:rsid w:val="00221DCD"/>
    <w:rsid w:val="00221FCF"/>
    <w:rsid w:val="00222A77"/>
    <w:rsid w:val="00222B3B"/>
    <w:rsid w:val="00222FC0"/>
    <w:rsid w:val="002230DA"/>
    <w:rsid w:val="00223C60"/>
    <w:rsid w:val="00224409"/>
    <w:rsid w:val="002245BC"/>
    <w:rsid w:val="002247E0"/>
    <w:rsid w:val="00224C41"/>
    <w:rsid w:val="0022523E"/>
    <w:rsid w:val="0022542C"/>
    <w:rsid w:val="0022597D"/>
    <w:rsid w:val="00225AA4"/>
    <w:rsid w:val="00225AF3"/>
    <w:rsid w:val="00225F81"/>
    <w:rsid w:val="00226372"/>
    <w:rsid w:val="00226BB6"/>
    <w:rsid w:val="00226E6C"/>
    <w:rsid w:val="00227180"/>
    <w:rsid w:val="00227478"/>
    <w:rsid w:val="00227616"/>
    <w:rsid w:val="00227745"/>
    <w:rsid w:val="0023023A"/>
    <w:rsid w:val="00230272"/>
    <w:rsid w:val="0023042C"/>
    <w:rsid w:val="00230482"/>
    <w:rsid w:val="002305BB"/>
    <w:rsid w:val="00230699"/>
    <w:rsid w:val="00230BEA"/>
    <w:rsid w:val="00231503"/>
    <w:rsid w:val="00231AFF"/>
    <w:rsid w:val="00231C55"/>
    <w:rsid w:val="0023237D"/>
    <w:rsid w:val="00232635"/>
    <w:rsid w:val="002327EA"/>
    <w:rsid w:val="00232909"/>
    <w:rsid w:val="00232F8F"/>
    <w:rsid w:val="00233A3A"/>
    <w:rsid w:val="00233A7B"/>
    <w:rsid w:val="00233B70"/>
    <w:rsid w:val="00233D9A"/>
    <w:rsid w:val="00233E30"/>
    <w:rsid w:val="0023431D"/>
    <w:rsid w:val="00234686"/>
    <w:rsid w:val="00234A09"/>
    <w:rsid w:val="00234BD3"/>
    <w:rsid w:val="00234E8E"/>
    <w:rsid w:val="002362A9"/>
    <w:rsid w:val="002364CD"/>
    <w:rsid w:val="002371FD"/>
    <w:rsid w:val="002372F9"/>
    <w:rsid w:val="00237897"/>
    <w:rsid w:val="00237DD6"/>
    <w:rsid w:val="00237EDA"/>
    <w:rsid w:val="00237F9C"/>
    <w:rsid w:val="0024027F"/>
    <w:rsid w:val="00240477"/>
    <w:rsid w:val="00240C6D"/>
    <w:rsid w:val="00240D6F"/>
    <w:rsid w:val="00241123"/>
    <w:rsid w:val="00241652"/>
    <w:rsid w:val="00241827"/>
    <w:rsid w:val="0024197B"/>
    <w:rsid w:val="00241BD3"/>
    <w:rsid w:val="00241C11"/>
    <w:rsid w:val="00241F84"/>
    <w:rsid w:val="00241FA0"/>
    <w:rsid w:val="00242187"/>
    <w:rsid w:val="0024250B"/>
    <w:rsid w:val="00242857"/>
    <w:rsid w:val="00242AF9"/>
    <w:rsid w:val="00242B92"/>
    <w:rsid w:val="002439E1"/>
    <w:rsid w:val="00243BE7"/>
    <w:rsid w:val="00243DF0"/>
    <w:rsid w:val="00244443"/>
    <w:rsid w:val="00244BDB"/>
    <w:rsid w:val="00244DD1"/>
    <w:rsid w:val="0024501F"/>
    <w:rsid w:val="00245183"/>
    <w:rsid w:val="00245785"/>
    <w:rsid w:val="00245868"/>
    <w:rsid w:val="00245D36"/>
    <w:rsid w:val="00245E11"/>
    <w:rsid w:val="002464BD"/>
    <w:rsid w:val="00246603"/>
    <w:rsid w:val="00246BF5"/>
    <w:rsid w:val="00246D95"/>
    <w:rsid w:val="0024711F"/>
    <w:rsid w:val="00247AA9"/>
    <w:rsid w:val="00247B09"/>
    <w:rsid w:val="00247C60"/>
    <w:rsid w:val="00247CEC"/>
    <w:rsid w:val="00247E94"/>
    <w:rsid w:val="002508A9"/>
    <w:rsid w:val="00250AAB"/>
    <w:rsid w:val="0025103D"/>
    <w:rsid w:val="002513BE"/>
    <w:rsid w:val="00251860"/>
    <w:rsid w:val="00252BDE"/>
    <w:rsid w:val="00252E88"/>
    <w:rsid w:val="0025329D"/>
    <w:rsid w:val="0025334D"/>
    <w:rsid w:val="00253548"/>
    <w:rsid w:val="002536F4"/>
    <w:rsid w:val="002536FE"/>
    <w:rsid w:val="00253C7B"/>
    <w:rsid w:val="00253CC4"/>
    <w:rsid w:val="00254255"/>
    <w:rsid w:val="002543FE"/>
    <w:rsid w:val="002547E0"/>
    <w:rsid w:val="002548FE"/>
    <w:rsid w:val="0025497F"/>
    <w:rsid w:val="00254E02"/>
    <w:rsid w:val="00255450"/>
    <w:rsid w:val="002555E2"/>
    <w:rsid w:val="0025563B"/>
    <w:rsid w:val="00255876"/>
    <w:rsid w:val="002559E1"/>
    <w:rsid w:val="00255A59"/>
    <w:rsid w:val="00255D74"/>
    <w:rsid w:val="002561AB"/>
    <w:rsid w:val="00256626"/>
    <w:rsid w:val="00256A8B"/>
    <w:rsid w:val="0025711C"/>
    <w:rsid w:val="002572A0"/>
    <w:rsid w:val="00260239"/>
    <w:rsid w:val="00260431"/>
    <w:rsid w:val="0026058D"/>
    <w:rsid w:val="00260DC3"/>
    <w:rsid w:val="002612E8"/>
    <w:rsid w:val="002616AB"/>
    <w:rsid w:val="002618F7"/>
    <w:rsid w:val="00261C42"/>
    <w:rsid w:val="00261EC8"/>
    <w:rsid w:val="00262747"/>
    <w:rsid w:val="0026293B"/>
    <w:rsid w:val="0026297F"/>
    <w:rsid w:val="002629BB"/>
    <w:rsid w:val="00263197"/>
    <w:rsid w:val="002632F6"/>
    <w:rsid w:val="0026385C"/>
    <w:rsid w:val="002644B5"/>
    <w:rsid w:val="00264BC2"/>
    <w:rsid w:val="0026575E"/>
    <w:rsid w:val="00265D17"/>
    <w:rsid w:val="00265DA3"/>
    <w:rsid w:val="00266082"/>
    <w:rsid w:val="002662D1"/>
    <w:rsid w:val="0026680C"/>
    <w:rsid w:val="00266853"/>
    <w:rsid w:val="00266894"/>
    <w:rsid w:val="002669DD"/>
    <w:rsid w:val="00266A50"/>
    <w:rsid w:val="00266D64"/>
    <w:rsid w:val="00267B90"/>
    <w:rsid w:val="002700D5"/>
    <w:rsid w:val="00270173"/>
    <w:rsid w:val="002707FD"/>
    <w:rsid w:val="00270C59"/>
    <w:rsid w:val="00270EF5"/>
    <w:rsid w:val="0027169B"/>
    <w:rsid w:val="002719B4"/>
    <w:rsid w:val="00272286"/>
    <w:rsid w:val="002726F5"/>
    <w:rsid w:val="00272BDA"/>
    <w:rsid w:val="00272E32"/>
    <w:rsid w:val="00272EF1"/>
    <w:rsid w:val="00272FCB"/>
    <w:rsid w:val="00273088"/>
    <w:rsid w:val="0027321E"/>
    <w:rsid w:val="0027338B"/>
    <w:rsid w:val="002733F0"/>
    <w:rsid w:val="002737A0"/>
    <w:rsid w:val="002737CD"/>
    <w:rsid w:val="00273AB1"/>
    <w:rsid w:val="00273AE6"/>
    <w:rsid w:val="00273B07"/>
    <w:rsid w:val="00274016"/>
    <w:rsid w:val="002748CD"/>
    <w:rsid w:val="00275215"/>
    <w:rsid w:val="00275218"/>
    <w:rsid w:val="002758D4"/>
    <w:rsid w:val="00275A32"/>
    <w:rsid w:val="00275F15"/>
    <w:rsid w:val="00275F80"/>
    <w:rsid w:val="00276041"/>
    <w:rsid w:val="00276215"/>
    <w:rsid w:val="002768E1"/>
    <w:rsid w:val="00276E4E"/>
    <w:rsid w:val="002772A0"/>
    <w:rsid w:val="00277386"/>
    <w:rsid w:val="002776AF"/>
    <w:rsid w:val="002779D4"/>
    <w:rsid w:val="00277B3A"/>
    <w:rsid w:val="00277F27"/>
    <w:rsid w:val="00280416"/>
    <w:rsid w:val="002806F3"/>
    <w:rsid w:val="0028079B"/>
    <w:rsid w:val="00280825"/>
    <w:rsid w:val="0028119A"/>
    <w:rsid w:val="00281422"/>
    <w:rsid w:val="00281783"/>
    <w:rsid w:val="00281EE9"/>
    <w:rsid w:val="0028226A"/>
    <w:rsid w:val="0028230E"/>
    <w:rsid w:val="002823EF"/>
    <w:rsid w:val="00282A0A"/>
    <w:rsid w:val="00282F07"/>
    <w:rsid w:val="0028366D"/>
    <w:rsid w:val="00283DB6"/>
    <w:rsid w:val="00283E81"/>
    <w:rsid w:val="002846EE"/>
    <w:rsid w:val="00284958"/>
    <w:rsid w:val="002849B7"/>
    <w:rsid w:val="002855E0"/>
    <w:rsid w:val="00285721"/>
    <w:rsid w:val="00285732"/>
    <w:rsid w:val="0028589D"/>
    <w:rsid w:val="00285A76"/>
    <w:rsid w:val="00286B99"/>
    <w:rsid w:val="00287AA9"/>
    <w:rsid w:val="00287DC9"/>
    <w:rsid w:val="00287DCE"/>
    <w:rsid w:val="00287E60"/>
    <w:rsid w:val="00290747"/>
    <w:rsid w:val="00290949"/>
    <w:rsid w:val="00290ABA"/>
    <w:rsid w:val="00290CA4"/>
    <w:rsid w:val="002913B6"/>
    <w:rsid w:val="002913BF"/>
    <w:rsid w:val="002923C9"/>
    <w:rsid w:val="002924D3"/>
    <w:rsid w:val="0029277E"/>
    <w:rsid w:val="00292DED"/>
    <w:rsid w:val="00292E1E"/>
    <w:rsid w:val="002931FA"/>
    <w:rsid w:val="002932C6"/>
    <w:rsid w:val="002934FD"/>
    <w:rsid w:val="002935EF"/>
    <w:rsid w:val="002937C0"/>
    <w:rsid w:val="00293AE5"/>
    <w:rsid w:val="00293EBF"/>
    <w:rsid w:val="00294050"/>
    <w:rsid w:val="0029436F"/>
    <w:rsid w:val="00294AC8"/>
    <w:rsid w:val="00294DD0"/>
    <w:rsid w:val="00294E77"/>
    <w:rsid w:val="002952F4"/>
    <w:rsid w:val="0029535E"/>
    <w:rsid w:val="00295AEF"/>
    <w:rsid w:val="0029650E"/>
    <w:rsid w:val="0029656E"/>
    <w:rsid w:val="00296783"/>
    <w:rsid w:val="00296812"/>
    <w:rsid w:val="00296830"/>
    <w:rsid w:val="002969D5"/>
    <w:rsid w:val="00297E18"/>
    <w:rsid w:val="002A0551"/>
    <w:rsid w:val="002A0625"/>
    <w:rsid w:val="002A0783"/>
    <w:rsid w:val="002A0BCF"/>
    <w:rsid w:val="002A17BD"/>
    <w:rsid w:val="002A1B0F"/>
    <w:rsid w:val="002A1C76"/>
    <w:rsid w:val="002A23CD"/>
    <w:rsid w:val="002A28AA"/>
    <w:rsid w:val="002A2900"/>
    <w:rsid w:val="002A299D"/>
    <w:rsid w:val="002A3309"/>
    <w:rsid w:val="002A3D6F"/>
    <w:rsid w:val="002A3D89"/>
    <w:rsid w:val="002A3D93"/>
    <w:rsid w:val="002A3E53"/>
    <w:rsid w:val="002A3E70"/>
    <w:rsid w:val="002A452E"/>
    <w:rsid w:val="002A4BA8"/>
    <w:rsid w:val="002A530A"/>
    <w:rsid w:val="002A5750"/>
    <w:rsid w:val="002A58D4"/>
    <w:rsid w:val="002A6269"/>
    <w:rsid w:val="002A68BF"/>
    <w:rsid w:val="002A6DDB"/>
    <w:rsid w:val="002A6E4E"/>
    <w:rsid w:val="002A6E9F"/>
    <w:rsid w:val="002A72F6"/>
    <w:rsid w:val="002A7475"/>
    <w:rsid w:val="002A74E3"/>
    <w:rsid w:val="002A74EF"/>
    <w:rsid w:val="002A74FE"/>
    <w:rsid w:val="002B0138"/>
    <w:rsid w:val="002B08FD"/>
    <w:rsid w:val="002B0D75"/>
    <w:rsid w:val="002B160E"/>
    <w:rsid w:val="002B1762"/>
    <w:rsid w:val="002B1CA9"/>
    <w:rsid w:val="002B1D1C"/>
    <w:rsid w:val="002B1D84"/>
    <w:rsid w:val="002B2007"/>
    <w:rsid w:val="002B222F"/>
    <w:rsid w:val="002B26A7"/>
    <w:rsid w:val="002B2B53"/>
    <w:rsid w:val="002B2B5E"/>
    <w:rsid w:val="002B2C22"/>
    <w:rsid w:val="002B2F8B"/>
    <w:rsid w:val="002B3770"/>
    <w:rsid w:val="002B395F"/>
    <w:rsid w:val="002B39A9"/>
    <w:rsid w:val="002B3C42"/>
    <w:rsid w:val="002B4543"/>
    <w:rsid w:val="002B45D0"/>
    <w:rsid w:val="002B4698"/>
    <w:rsid w:val="002B4813"/>
    <w:rsid w:val="002B4CD5"/>
    <w:rsid w:val="002B4D24"/>
    <w:rsid w:val="002B55E1"/>
    <w:rsid w:val="002B5684"/>
    <w:rsid w:val="002B56E2"/>
    <w:rsid w:val="002B59C3"/>
    <w:rsid w:val="002B5BD6"/>
    <w:rsid w:val="002B5C60"/>
    <w:rsid w:val="002B5CAB"/>
    <w:rsid w:val="002B5F24"/>
    <w:rsid w:val="002B5F40"/>
    <w:rsid w:val="002B649E"/>
    <w:rsid w:val="002B6685"/>
    <w:rsid w:val="002B67F8"/>
    <w:rsid w:val="002B6907"/>
    <w:rsid w:val="002B7140"/>
    <w:rsid w:val="002B7169"/>
    <w:rsid w:val="002B7941"/>
    <w:rsid w:val="002C05B0"/>
    <w:rsid w:val="002C05D7"/>
    <w:rsid w:val="002C07EF"/>
    <w:rsid w:val="002C092C"/>
    <w:rsid w:val="002C0A5E"/>
    <w:rsid w:val="002C10DE"/>
    <w:rsid w:val="002C15E5"/>
    <w:rsid w:val="002C1A53"/>
    <w:rsid w:val="002C1E85"/>
    <w:rsid w:val="002C1F35"/>
    <w:rsid w:val="002C21D1"/>
    <w:rsid w:val="002C2351"/>
    <w:rsid w:val="002C27A0"/>
    <w:rsid w:val="002C2B54"/>
    <w:rsid w:val="002C2C5C"/>
    <w:rsid w:val="002C2CAD"/>
    <w:rsid w:val="002C330D"/>
    <w:rsid w:val="002C361C"/>
    <w:rsid w:val="002C3641"/>
    <w:rsid w:val="002C36CA"/>
    <w:rsid w:val="002C3F63"/>
    <w:rsid w:val="002C4241"/>
    <w:rsid w:val="002C4348"/>
    <w:rsid w:val="002C4358"/>
    <w:rsid w:val="002C4788"/>
    <w:rsid w:val="002C47A4"/>
    <w:rsid w:val="002C4BB6"/>
    <w:rsid w:val="002C4DB7"/>
    <w:rsid w:val="002C5164"/>
    <w:rsid w:val="002C523B"/>
    <w:rsid w:val="002C529B"/>
    <w:rsid w:val="002C52E7"/>
    <w:rsid w:val="002C56D5"/>
    <w:rsid w:val="002C5A83"/>
    <w:rsid w:val="002C623E"/>
    <w:rsid w:val="002C626B"/>
    <w:rsid w:val="002C640F"/>
    <w:rsid w:val="002C6D72"/>
    <w:rsid w:val="002C70E4"/>
    <w:rsid w:val="002C753D"/>
    <w:rsid w:val="002C7846"/>
    <w:rsid w:val="002C7A98"/>
    <w:rsid w:val="002D02C1"/>
    <w:rsid w:val="002D047D"/>
    <w:rsid w:val="002D07B4"/>
    <w:rsid w:val="002D0F5A"/>
    <w:rsid w:val="002D13C4"/>
    <w:rsid w:val="002D15C5"/>
    <w:rsid w:val="002D1BD6"/>
    <w:rsid w:val="002D1D34"/>
    <w:rsid w:val="002D1E5C"/>
    <w:rsid w:val="002D1F13"/>
    <w:rsid w:val="002D2278"/>
    <w:rsid w:val="002D2316"/>
    <w:rsid w:val="002D2559"/>
    <w:rsid w:val="002D2767"/>
    <w:rsid w:val="002D290A"/>
    <w:rsid w:val="002D2F58"/>
    <w:rsid w:val="002D2F7D"/>
    <w:rsid w:val="002D3107"/>
    <w:rsid w:val="002D3DFC"/>
    <w:rsid w:val="002D47C4"/>
    <w:rsid w:val="002D4897"/>
    <w:rsid w:val="002D5372"/>
    <w:rsid w:val="002D5ADD"/>
    <w:rsid w:val="002D5AFB"/>
    <w:rsid w:val="002D5BFB"/>
    <w:rsid w:val="002D5F6E"/>
    <w:rsid w:val="002D610A"/>
    <w:rsid w:val="002D620B"/>
    <w:rsid w:val="002D6255"/>
    <w:rsid w:val="002D63AF"/>
    <w:rsid w:val="002D65CC"/>
    <w:rsid w:val="002D6C79"/>
    <w:rsid w:val="002D6CC3"/>
    <w:rsid w:val="002D72B8"/>
    <w:rsid w:val="002D75D8"/>
    <w:rsid w:val="002D7872"/>
    <w:rsid w:val="002D7AAB"/>
    <w:rsid w:val="002D7BBF"/>
    <w:rsid w:val="002E01AA"/>
    <w:rsid w:val="002E037F"/>
    <w:rsid w:val="002E0479"/>
    <w:rsid w:val="002E04CB"/>
    <w:rsid w:val="002E0852"/>
    <w:rsid w:val="002E0A53"/>
    <w:rsid w:val="002E0A8A"/>
    <w:rsid w:val="002E191A"/>
    <w:rsid w:val="002E1B8A"/>
    <w:rsid w:val="002E234D"/>
    <w:rsid w:val="002E286D"/>
    <w:rsid w:val="002E2C4F"/>
    <w:rsid w:val="002E2FE5"/>
    <w:rsid w:val="002E35BA"/>
    <w:rsid w:val="002E35E5"/>
    <w:rsid w:val="002E3D3B"/>
    <w:rsid w:val="002E3E68"/>
    <w:rsid w:val="002E3EF9"/>
    <w:rsid w:val="002E436A"/>
    <w:rsid w:val="002E528D"/>
    <w:rsid w:val="002E5372"/>
    <w:rsid w:val="002E5DDA"/>
    <w:rsid w:val="002E6042"/>
    <w:rsid w:val="002E6289"/>
    <w:rsid w:val="002E6B4F"/>
    <w:rsid w:val="002E7111"/>
    <w:rsid w:val="002E7405"/>
    <w:rsid w:val="002E79CD"/>
    <w:rsid w:val="002E7AD4"/>
    <w:rsid w:val="002E7B43"/>
    <w:rsid w:val="002F0036"/>
    <w:rsid w:val="002F0116"/>
    <w:rsid w:val="002F0325"/>
    <w:rsid w:val="002F05E0"/>
    <w:rsid w:val="002F0832"/>
    <w:rsid w:val="002F0874"/>
    <w:rsid w:val="002F0B2E"/>
    <w:rsid w:val="002F0D4D"/>
    <w:rsid w:val="002F0EA0"/>
    <w:rsid w:val="002F169D"/>
    <w:rsid w:val="002F17FF"/>
    <w:rsid w:val="002F1918"/>
    <w:rsid w:val="002F1C69"/>
    <w:rsid w:val="002F1ECF"/>
    <w:rsid w:val="002F211D"/>
    <w:rsid w:val="002F248E"/>
    <w:rsid w:val="002F254F"/>
    <w:rsid w:val="002F269E"/>
    <w:rsid w:val="002F28F9"/>
    <w:rsid w:val="002F2D25"/>
    <w:rsid w:val="002F3A0F"/>
    <w:rsid w:val="002F40A5"/>
    <w:rsid w:val="002F4127"/>
    <w:rsid w:val="002F4233"/>
    <w:rsid w:val="002F4551"/>
    <w:rsid w:val="002F4971"/>
    <w:rsid w:val="002F52B8"/>
    <w:rsid w:val="002F568E"/>
    <w:rsid w:val="002F599F"/>
    <w:rsid w:val="002F59DA"/>
    <w:rsid w:val="002F6971"/>
    <w:rsid w:val="002F7143"/>
    <w:rsid w:val="00300286"/>
    <w:rsid w:val="0030060A"/>
    <w:rsid w:val="003008B7"/>
    <w:rsid w:val="003009A0"/>
    <w:rsid w:val="00301091"/>
    <w:rsid w:val="003010DD"/>
    <w:rsid w:val="0030129B"/>
    <w:rsid w:val="00301351"/>
    <w:rsid w:val="0030153E"/>
    <w:rsid w:val="003016DA"/>
    <w:rsid w:val="003017D8"/>
    <w:rsid w:val="00301E2E"/>
    <w:rsid w:val="003020AF"/>
    <w:rsid w:val="003021D4"/>
    <w:rsid w:val="00302953"/>
    <w:rsid w:val="00302B58"/>
    <w:rsid w:val="00302D8B"/>
    <w:rsid w:val="00302FB0"/>
    <w:rsid w:val="00303669"/>
    <w:rsid w:val="003036C2"/>
    <w:rsid w:val="00303722"/>
    <w:rsid w:val="00303875"/>
    <w:rsid w:val="00303BE2"/>
    <w:rsid w:val="00303F77"/>
    <w:rsid w:val="00303F8F"/>
    <w:rsid w:val="003040A5"/>
    <w:rsid w:val="003040A8"/>
    <w:rsid w:val="003040F1"/>
    <w:rsid w:val="0030486F"/>
    <w:rsid w:val="00304C64"/>
    <w:rsid w:val="00304CAE"/>
    <w:rsid w:val="003050F8"/>
    <w:rsid w:val="00305358"/>
    <w:rsid w:val="00305902"/>
    <w:rsid w:val="00305D4B"/>
    <w:rsid w:val="0030610E"/>
    <w:rsid w:val="003062D6"/>
    <w:rsid w:val="003067B1"/>
    <w:rsid w:val="00306F91"/>
    <w:rsid w:val="003070C9"/>
    <w:rsid w:val="0030715E"/>
    <w:rsid w:val="003077C6"/>
    <w:rsid w:val="00307ACF"/>
    <w:rsid w:val="00307CEA"/>
    <w:rsid w:val="00307E92"/>
    <w:rsid w:val="00310141"/>
    <w:rsid w:val="00310677"/>
    <w:rsid w:val="00311C19"/>
    <w:rsid w:val="00311D6A"/>
    <w:rsid w:val="003122B7"/>
    <w:rsid w:val="00312537"/>
    <w:rsid w:val="0031283E"/>
    <w:rsid w:val="00312854"/>
    <w:rsid w:val="00312CDB"/>
    <w:rsid w:val="00312D84"/>
    <w:rsid w:val="00312E6F"/>
    <w:rsid w:val="003137B3"/>
    <w:rsid w:val="00313FD4"/>
    <w:rsid w:val="0031466E"/>
    <w:rsid w:val="0031480F"/>
    <w:rsid w:val="00315225"/>
    <w:rsid w:val="003153C7"/>
    <w:rsid w:val="003153DF"/>
    <w:rsid w:val="00315647"/>
    <w:rsid w:val="00316450"/>
    <w:rsid w:val="00316462"/>
    <w:rsid w:val="0031697A"/>
    <w:rsid w:val="00316C14"/>
    <w:rsid w:val="00317250"/>
    <w:rsid w:val="00317648"/>
    <w:rsid w:val="003178F9"/>
    <w:rsid w:val="0031799E"/>
    <w:rsid w:val="00317DE0"/>
    <w:rsid w:val="003205BA"/>
    <w:rsid w:val="00320635"/>
    <w:rsid w:val="0032110B"/>
    <w:rsid w:val="00321238"/>
    <w:rsid w:val="003212AE"/>
    <w:rsid w:val="003212C2"/>
    <w:rsid w:val="003218A3"/>
    <w:rsid w:val="00321E3A"/>
    <w:rsid w:val="00322420"/>
    <w:rsid w:val="00322612"/>
    <w:rsid w:val="0032271E"/>
    <w:rsid w:val="003228B6"/>
    <w:rsid w:val="00322B0E"/>
    <w:rsid w:val="00322D4F"/>
    <w:rsid w:val="00322DED"/>
    <w:rsid w:val="0032347C"/>
    <w:rsid w:val="003235EA"/>
    <w:rsid w:val="0032364A"/>
    <w:rsid w:val="0032376A"/>
    <w:rsid w:val="003239AF"/>
    <w:rsid w:val="00323BF5"/>
    <w:rsid w:val="00324099"/>
    <w:rsid w:val="003242E7"/>
    <w:rsid w:val="00324853"/>
    <w:rsid w:val="00324CDD"/>
    <w:rsid w:val="00324D29"/>
    <w:rsid w:val="00324F26"/>
    <w:rsid w:val="00325122"/>
    <w:rsid w:val="003252EF"/>
    <w:rsid w:val="003258C2"/>
    <w:rsid w:val="00325ACF"/>
    <w:rsid w:val="00325F61"/>
    <w:rsid w:val="00325FB6"/>
    <w:rsid w:val="00326001"/>
    <w:rsid w:val="003268B8"/>
    <w:rsid w:val="00326CA4"/>
    <w:rsid w:val="00327566"/>
    <w:rsid w:val="00327BF7"/>
    <w:rsid w:val="00330829"/>
    <w:rsid w:val="00330FB6"/>
    <w:rsid w:val="0033118E"/>
    <w:rsid w:val="00331636"/>
    <w:rsid w:val="003318D1"/>
    <w:rsid w:val="00331A5B"/>
    <w:rsid w:val="00332098"/>
    <w:rsid w:val="00332585"/>
    <w:rsid w:val="00332986"/>
    <w:rsid w:val="003329E7"/>
    <w:rsid w:val="00332A18"/>
    <w:rsid w:val="00332C92"/>
    <w:rsid w:val="00332FF8"/>
    <w:rsid w:val="0033432B"/>
    <w:rsid w:val="00334540"/>
    <w:rsid w:val="00334612"/>
    <w:rsid w:val="00334C83"/>
    <w:rsid w:val="00334DB7"/>
    <w:rsid w:val="00334E2F"/>
    <w:rsid w:val="00334E59"/>
    <w:rsid w:val="00334E8D"/>
    <w:rsid w:val="00335007"/>
    <w:rsid w:val="00335753"/>
    <w:rsid w:val="00335AA0"/>
    <w:rsid w:val="00335B90"/>
    <w:rsid w:val="00335E12"/>
    <w:rsid w:val="00335FE7"/>
    <w:rsid w:val="0033605D"/>
    <w:rsid w:val="0033666F"/>
    <w:rsid w:val="003369A8"/>
    <w:rsid w:val="00336C63"/>
    <w:rsid w:val="00336F2F"/>
    <w:rsid w:val="00336F31"/>
    <w:rsid w:val="00337362"/>
    <w:rsid w:val="003378A5"/>
    <w:rsid w:val="003379C6"/>
    <w:rsid w:val="00337F47"/>
    <w:rsid w:val="00340315"/>
    <w:rsid w:val="00340414"/>
    <w:rsid w:val="00340B16"/>
    <w:rsid w:val="00340DDC"/>
    <w:rsid w:val="00340F97"/>
    <w:rsid w:val="003413D8"/>
    <w:rsid w:val="00341A74"/>
    <w:rsid w:val="00341EAB"/>
    <w:rsid w:val="00342089"/>
    <w:rsid w:val="0034208B"/>
    <w:rsid w:val="003421DB"/>
    <w:rsid w:val="00342597"/>
    <w:rsid w:val="003429C1"/>
    <w:rsid w:val="00342B35"/>
    <w:rsid w:val="00342C16"/>
    <w:rsid w:val="003430FF"/>
    <w:rsid w:val="00343A58"/>
    <w:rsid w:val="00343B57"/>
    <w:rsid w:val="00343CCE"/>
    <w:rsid w:val="00343EBE"/>
    <w:rsid w:val="00343F09"/>
    <w:rsid w:val="003441D4"/>
    <w:rsid w:val="003442DE"/>
    <w:rsid w:val="00344409"/>
    <w:rsid w:val="003445C6"/>
    <w:rsid w:val="0034537A"/>
    <w:rsid w:val="0034594C"/>
    <w:rsid w:val="00345F0C"/>
    <w:rsid w:val="00346117"/>
    <w:rsid w:val="003467E3"/>
    <w:rsid w:val="00346BEC"/>
    <w:rsid w:val="00346C2E"/>
    <w:rsid w:val="0034719E"/>
    <w:rsid w:val="003473AD"/>
    <w:rsid w:val="003474BC"/>
    <w:rsid w:val="0034751F"/>
    <w:rsid w:val="00347D2B"/>
    <w:rsid w:val="00350006"/>
    <w:rsid w:val="0035019C"/>
    <w:rsid w:val="003503D5"/>
    <w:rsid w:val="003507C9"/>
    <w:rsid w:val="00351006"/>
    <w:rsid w:val="003510E6"/>
    <w:rsid w:val="00351185"/>
    <w:rsid w:val="00351538"/>
    <w:rsid w:val="00351AC2"/>
    <w:rsid w:val="0035228C"/>
    <w:rsid w:val="00352AD9"/>
    <w:rsid w:val="00352B6F"/>
    <w:rsid w:val="00352C3C"/>
    <w:rsid w:val="00352EDE"/>
    <w:rsid w:val="00353438"/>
    <w:rsid w:val="00353AA2"/>
    <w:rsid w:val="00353CAD"/>
    <w:rsid w:val="00353DDF"/>
    <w:rsid w:val="003546C8"/>
    <w:rsid w:val="00354975"/>
    <w:rsid w:val="00354BC9"/>
    <w:rsid w:val="00354C8E"/>
    <w:rsid w:val="00354FFC"/>
    <w:rsid w:val="00355992"/>
    <w:rsid w:val="00356A0E"/>
    <w:rsid w:val="0035722F"/>
    <w:rsid w:val="00357537"/>
    <w:rsid w:val="00357784"/>
    <w:rsid w:val="00357FBC"/>
    <w:rsid w:val="00360176"/>
    <w:rsid w:val="0036037A"/>
    <w:rsid w:val="0036062D"/>
    <w:rsid w:val="003607C4"/>
    <w:rsid w:val="00360AF3"/>
    <w:rsid w:val="00360B57"/>
    <w:rsid w:val="00360BDA"/>
    <w:rsid w:val="0036119E"/>
    <w:rsid w:val="00361319"/>
    <w:rsid w:val="003623AE"/>
    <w:rsid w:val="00362958"/>
    <w:rsid w:val="003629B3"/>
    <w:rsid w:val="00362C57"/>
    <w:rsid w:val="00363101"/>
    <w:rsid w:val="003635E9"/>
    <w:rsid w:val="00363B50"/>
    <w:rsid w:val="00363BD7"/>
    <w:rsid w:val="00363C71"/>
    <w:rsid w:val="00363D47"/>
    <w:rsid w:val="00363F1D"/>
    <w:rsid w:val="00363F81"/>
    <w:rsid w:val="003645D0"/>
    <w:rsid w:val="00364670"/>
    <w:rsid w:val="00364C01"/>
    <w:rsid w:val="00364D14"/>
    <w:rsid w:val="00365017"/>
    <w:rsid w:val="00365066"/>
    <w:rsid w:val="0036538D"/>
    <w:rsid w:val="00365454"/>
    <w:rsid w:val="0036599D"/>
    <w:rsid w:val="00365F75"/>
    <w:rsid w:val="00365FF3"/>
    <w:rsid w:val="00366088"/>
    <w:rsid w:val="0036627D"/>
    <w:rsid w:val="00366A26"/>
    <w:rsid w:val="00366CE1"/>
    <w:rsid w:val="00366DEE"/>
    <w:rsid w:val="00366EA7"/>
    <w:rsid w:val="00367833"/>
    <w:rsid w:val="00367B16"/>
    <w:rsid w:val="00367B2A"/>
    <w:rsid w:val="00367E8A"/>
    <w:rsid w:val="00370406"/>
    <w:rsid w:val="003707C9"/>
    <w:rsid w:val="00370C55"/>
    <w:rsid w:val="003711C0"/>
    <w:rsid w:val="003714A9"/>
    <w:rsid w:val="0037160E"/>
    <w:rsid w:val="00371CC1"/>
    <w:rsid w:val="00371D27"/>
    <w:rsid w:val="00372154"/>
    <w:rsid w:val="003721C8"/>
    <w:rsid w:val="00372505"/>
    <w:rsid w:val="003726E9"/>
    <w:rsid w:val="0037275D"/>
    <w:rsid w:val="00372A16"/>
    <w:rsid w:val="00372A37"/>
    <w:rsid w:val="00372C52"/>
    <w:rsid w:val="00372E0A"/>
    <w:rsid w:val="00372FBA"/>
    <w:rsid w:val="003732B0"/>
    <w:rsid w:val="003737ED"/>
    <w:rsid w:val="00373818"/>
    <w:rsid w:val="00373874"/>
    <w:rsid w:val="00373908"/>
    <w:rsid w:val="00374117"/>
    <w:rsid w:val="003754DA"/>
    <w:rsid w:val="003757CF"/>
    <w:rsid w:val="00375E6C"/>
    <w:rsid w:val="00375F73"/>
    <w:rsid w:val="0037638C"/>
    <w:rsid w:val="003765BE"/>
    <w:rsid w:val="003766B6"/>
    <w:rsid w:val="00376A2A"/>
    <w:rsid w:val="00376E06"/>
    <w:rsid w:val="00376FEE"/>
    <w:rsid w:val="0037729B"/>
    <w:rsid w:val="003773AB"/>
    <w:rsid w:val="003775AF"/>
    <w:rsid w:val="00377F8D"/>
    <w:rsid w:val="00377FBB"/>
    <w:rsid w:val="003801FB"/>
    <w:rsid w:val="0038084C"/>
    <w:rsid w:val="00380953"/>
    <w:rsid w:val="003809CD"/>
    <w:rsid w:val="00381175"/>
    <w:rsid w:val="00381677"/>
    <w:rsid w:val="00381C07"/>
    <w:rsid w:val="00382125"/>
    <w:rsid w:val="003827EA"/>
    <w:rsid w:val="00382892"/>
    <w:rsid w:val="003829CF"/>
    <w:rsid w:val="00382C1A"/>
    <w:rsid w:val="003830A0"/>
    <w:rsid w:val="003838DC"/>
    <w:rsid w:val="00383BE8"/>
    <w:rsid w:val="00383C1A"/>
    <w:rsid w:val="00383E2D"/>
    <w:rsid w:val="00384122"/>
    <w:rsid w:val="0038425E"/>
    <w:rsid w:val="0038449C"/>
    <w:rsid w:val="003846DE"/>
    <w:rsid w:val="0038515C"/>
    <w:rsid w:val="003853D2"/>
    <w:rsid w:val="00385A69"/>
    <w:rsid w:val="00385F42"/>
    <w:rsid w:val="003860AA"/>
    <w:rsid w:val="00386305"/>
    <w:rsid w:val="00386565"/>
    <w:rsid w:val="0038678C"/>
    <w:rsid w:val="0038694D"/>
    <w:rsid w:val="00386A73"/>
    <w:rsid w:val="00386C30"/>
    <w:rsid w:val="00386D19"/>
    <w:rsid w:val="003873C6"/>
    <w:rsid w:val="003874BD"/>
    <w:rsid w:val="00387733"/>
    <w:rsid w:val="00387AEB"/>
    <w:rsid w:val="00387B05"/>
    <w:rsid w:val="00387D6A"/>
    <w:rsid w:val="00390485"/>
    <w:rsid w:val="003905B3"/>
    <w:rsid w:val="00390A04"/>
    <w:rsid w:val="00390A1D"/>
    <w:rsid w:val="00390A52"/>
    <w:rsid w:val="00390B13"/>
    <w:rsid w:val="00390B7A"/>
    <w:rsid w:val="00390FD0"/>
    <w:rsid w:val="0039131D"/>
    <w:rsid w:val="00391740"/>
    <w:rsid w:val="0039177A"/>
    <w:rsid w:val="0039241A"/>
    <w:rsid w:val="00392468"/>
    <w:rsid w:val="003928F7"/>
    <w:rsid w:val="003929AE"/>
    <w:rsid w:val="00392DF5"/>
    <w:rsid w:val="00392E78"/>
    <w:rsid w:val="0039317C"/>
    <w:rsid w:val="00393394"/>
    <w:rsid w:val="00393400"/>
    <w:rsid w:val="003934EA"/>
    <w:rsid w:val="00393502"/>
    <w:rsid w:val="003938F2"/>
    <w:rsid w:val="00393B3B"/>
    <w:rsid w:val="00393C15"/>
    <w:rsid w:val="00393C91"/>
    <w:rsid w:val="0039446A"/>
    <w:rsid w:val="00394C23"/>
    <w:rsid w:val="00394C94"/>
    <w:rsid w:val="00394CA1"/>
    <w:rsid w:val="00394CC8"/>
    <w:rsid w:val="003950FD"/>
    <w:rsid w:val="00395688"/>
    <w:rsid w:val="00395879"/>
    <w:rsid w:val="00395887"/>
    <w:rsid w:val="00395B5C"/>
    <w:rsid w:val="00395F52"/>
    <w:rsid w:val="00396161"/>
    <w:rsid w:val="003963AF"/>
    <w:rsid w:val="003967DC"/>
    <w:rsid w:val="00396B5D"/>
    <w:rsid w:val="00397517"/>
    <w:rsid w:val="00397555"/>
    <w:rsid w:val="003975B3"/>
    <w:rsid w:val="00397637"/>
    <w:rsid w:val="00397A13"/>
    <w:rsid w:val="00397B3B"/>
    <w:rsid w:val="00397E16"/>
    <w:rsid w:val="00397F58"/>
    <w:rsid w:val="00397FA5"/>
    <w:rsid w:val="003A0027"/>
    <w:rsid w:val="003A0621"/>
    <w:rsid w:val="003A0763"/>
    <w:rsid w:val="003A077D"/>
    <w:rsid w:val="003A0795"/>
    <w:rsid w:val="003A0C46"/>
    <w:rsid w:val="003A0DCD"/>
    <w:rsid w:val="003A0EAF"/>
    <w:rsid w:val="003A13C7"/>
    <w:rsid w:val="003A140B"/>
    <w:rsid w:val="003A1639"/>
    <w:rsid w:val="003A16B9"/>
    <w:rsid w:val="003A2053"/>
    <w:rsid w:val="003A239B"/>
    <w:rsid w:val="003A23BE"/>
    <w:rsid w:val="003A2880"/>
    <w:rsid w:val="003A41DE"/>
    <w:rsid w:val="003A4239"/>
    <w:rsid w:val="003A4594"/>
    <w:rsid w:val="003A5116"/>
    <w:rsid w:val="003A518A"/>
    <w:rsid w:val="003A5370"/>
    <w:rsid w:val="003A53BF"/>
    <w:rsid w:val="003A5491"/>
    <w:rsid w:val="003A5766"/>
    <w:rsid w:val="003A57F8"/>
    <w:rsid w:val="003A5B8A"/>
    <w:rsid w:val="003A60E9"/>
    <w:rsid w:val="003A62A7"/>
    <w:rsid w:val="003A6627"/>
    <w:rsid w:val="003A68CF"/>
    <w:rsid w:val="003A69B5"/>
    <w:rsid w:val="003A7334"/>
    <w:rsid w:val="003A7471"/>
    <w:rsid w:val="003A79D5"/>
    <w:rsid w:val="003B02F5"/>
    <w:rsid w:val="003B03E2"/>
    <w:rsid w:val="003B0542"/>
    <w:rsid w:val="003B0737"/>
    <w:rsid w:val="003B0ED4"/>
    <w:rsid w:val="003B148E"/>
    <w:rsid w:val="003B1F27"/>
    <w:rsid w:val="003B2557"/>
    <w:rsid w:val="003B25D1"/>
    <w:rsid w:val="003B25DF"/>
    <w:rsid w:val="003B2986"/>
    <w:rsid w:val="003B2E4F"/>
    <w:rsid w:val="003B392C"/>
    <w:rsid w:val="003B39A2"/>
    <w:rsid w:val="003B3A78"/>
    <w:rsid w:val="003B3D22"/>
    <w:rsid w:val="003B3F61"/>
    <w:rsid w:val="003B4020"/>
    <w:rsid w:val="003B43D8"/>
    <w:rsid w:val="003B4E8A"/>
    <w:rsid w:val="003B554D"/>
    <w:rsid w:val="003B5694"/>
    <w:rsid w:val="003B57F5"/>
    <w:rsid w:val="003B64C8"/>
    <w:rsid w:val="003B6830"/>
    <w:rsid w:val="003B6BEF"/>
    <w:rsid w:val="003B6DC1"/>
    <w:rsid w:val="003B77EB"/>
    <w:rsid w:val="003C00AB"/>
    <w:rsid w:val="003C0746"/>
    <w:rsid w:val="003C0919"/>
    <w:rsid w:val="003C14BB"/>
    <w:rsid w:val="003C1788"/>
    <w:rsid w:val="003C1A44"/>
    <w:rsid w:val="003C1EC3"/>
    <w:rsid w:val="003C20AA"/>
    <w:rsid w:val="003C2367"/>
    <w:rsid w:val="003C2704"/>
    <w:rsid w:val="003C2A0C"/>
    <w:rsid w:val="003C344F"/>
    <w:rsid w:val="003C3795"/>
    <w:rsid w:val="003C434C"/>
    <w:rsid w:val="003C48C4"/>
    <w:rsid w:val="003C4CE8"/>
    <w:rsid w:val="003C5412"/>
    <w:rsid w:val="003C5663"/>
    <w:rsid w:val="003C56C1"/>
    <w:rsid w:val="003C56C9"/>
    <w:rsid w:val="003C5B53"/>
    <w:rsid w:val="003C6116"/>
    <w:rsid w:val="003C6172"/>
    <w:rsid w:val="003C68D8"/>
    <w:rsid w:val="003C6EB7"/>
    <w:rsid w:val="003C75DC"/>
    <w:rsid w:val="003C7618"/>
    <w:rsid w:val="003D05D9"/>
    <w:rsid w:val="003D08C7"/>
    <w:rsid w:val="003D1054"/>
    <w:rsid w:val="003D16F0"/>
    <w:rsid w:val="003D193F"/>
    <w:rsid w:val="003D1B1C"/>
    <w:rsid w:val="003D1B68"/>
    <w:rsid w:val="003D1F06"/>
    <w:rsid w:val="003D20DE"/>
    <w:rsid w:val="003D217D"/>
    <w:rsid w:val="003D2D89"/>
    <w:rsid w:val="003D32CC"/>
    <w:rsid w:val="003D403E"/>
    <w:rsid w:val="003D45A5"/>
    <w:rsid w:val="003D470D"/>
    <w:rsid w:val="003D4928"/>
    <w:rsid w:val="003D4B2B"/>
    <w:rsid w:val="003D4E1F"/>
    <w:rsid w:val="003D4E26"/>
    <w:rsid w:val="003D5095"/>
    <w:rsid w:val="003D5140"/>
    <w:rsid w:val="003D5880"/>
    <w:rsid w:val="003D5C95"/>
    <w:rsid w:val="003D5DA3"/>
    <w:rsid w:val="003D5EB0"/>
    <w:rsid w:val="003D67A4"/>
    <w:rsid w:val="003D6F8F"/>
    <w:rsid w:val="003D785C"/>
    <w:rsid w:val="003D79DE"/>
    <w:rsid w:val="003D7A6A"/>
    <w:rsid w:val="003D7A7C"/>
    <w:rsid w:val="003D7E87"/>
    <w:rsid w:val="003D7FDB"/>
    <w:rsid w:val="003E0158"/>
    <w:rsid w:val="003E0327"/>
    <w:rsid w:val="003E03F7"/>
    <w:rsid w:val="003E071A"/>
    <w:rsid w:val="003E09D0"/>
    <w:rsid w:val="003E0C70"/>
    <w:rsid w:val="003E0F6B"/>
    <w:rsid w:val="003E100F"/>
    <w:rsid w:val="003E11E3"/>
    <w:rsid w:val="003E1273"/>
    <w:rsid w:val="003E1817"/>
    <w:rsid w:val="003E1AA5"/>
    <w:rsid w:val="003E1EA5"/>
    <w:rsid w:val="003E1FEA"/>
    <w:rsid w:val="003E22D6"/>
    <w:rsid w:val="003E2636"/>
    <w:rsid w:val="003E265A"/>
    <w:rsid w:val="003E2828"/>
    <w:rsid w:val="003E2E51"/>
    <w:rsid w:val="003E327C"/>
    <w:rsid w:val="003E357C"/>
    <w:rsid w:val="003E3599"/>
    <w:rsid w:val="003E36E9"/>
    <w:rsid w:val="003E42A9"/>
    <w:rsid w:val="003E4965"/>
    <w:rsid w:val="003E4B28"/>
    <w:rsid w:val="003E52FA"/>
    <w:rsid w:val="003E5347"/>
    <w:rsid w:val="003E600E"/>
    <w:rsid w:val="003E604F"/>
    <w:rsid w:val="003E611E"/>
    <w:rsid w:val="003E6371"/>
    <w:rsid w:val="003E66E9"/>
    <w:rsid w:val="003E6743"/>
    <w:rsid w:val="003E6867"/>
    <w:rsid w:val="003E68ED"/>
    <w:rsid w:val="003E69DF"/>
    <w:rsid w:val="003E69F4"/>
    <w:rsid w:val="003E6A34"/>
    <w:rsid w:val="003E6ECC"/>
    <w:rsid w:val="003E6EE7"/>
    <w:rsid w:val="003E70D8"/>
    <w:rsid w:val="003E72F1"/>
    <w:rsid w:val="003E7CEF"/>
    <w:rsid w:val="003F0164"/>
    <w:rsid w:val="003F0188"/>
    <w:rsid w:val="003F01DE"/>
    <w:rsid w:val="003F079C"/>
    <w:rsid w:val="003F07DF"/>
    <w:rsid w:val="003F0AA9"/>
    <w:rsid w:val="003F0C01"/>
    <w:rsid w:val="003F0EA9"/>
    <w:rsid w:val="003F10D9"/>
    <w:rsid w:val="003F149F"/>
    <w:rsid w:val="003F18B5"/>
    <w:rsid w:val="003F18E8"/>
    <w:rsid w:val="003F20DF"/>
    <w:rsid w:val="003F2341"/>
    <w:rsid w:val="003F23BC"/>
    <w:rsid w:val="003F23FB"/>
    <w:rsid w:val="003F2437"/>
    <w:rsid w:val="003F2542"/>
    <w:rsid w:val="003F28B2"/>
    <w:rsid w:val="003F2B24"/>
    <w:rsid w:val="003F2F7E"/>
    <w:rsid w:val="003F30FB"/>
    <w:rsid w:val="003F36CC"/>
    <w:rsid w:val="003F39AE"/>
    <w:rsid w:val="003F41D6"/>
    <w:rsid w:val="003F465E"/>
    <w:rsid w:val="003F4735"/>
    <w:rsid w:val="003F4815"/>
    <w:rsid w:val="003F5512"/>
    <w:rsid w:val="003F5661"/>
    <w:rsid w:val="003F57F0"/>
    <w:rsid w:val="003F5DA3"/>
    <w:rsid w:val="003F60BA"/>
    <w:rsid w:val="003F6136"/>
    <w:rsid w:val="003F624E"/>
    <w:rsid w:val="003F6B82"/>
    <w:rsid w:val="003F6D80"/>
    <w:rsid w:val="003F6F38"/>
    <w:rsid w:val="003F70A8"/>
    <w:rsid w:val="003F797D"/>
    <w:rsid w:val="004005CB"/>
    <w:rsid w:val="00400665"/>
    <w:rsid w:val="00400759"/>
    <w:rsid w:val="004009E7"/>
    <w:rsid w:val="00401515"/>
    <w:rsid w:val="00401E0B"/>
    <w:rsid w:val="004023F8"/>
    <w:rsid w:val="004024DC"/>
    <w:rsid w:val="004026E0"/>
    <w:rsid w:val="00402734"/>
    <w:rsid w:val="004029B6"/>
    <w:rsid w:val="00402B0F"/>
    <w:rsid w:val="00402B61"/>
    <w:rsid w:val="00402C16"/>
    <w:rsid w:val="00402C34"/>
    <w:rsid w:val="00402DA4"/>
    <w:rsid w:val="0040301D"/>
    <w:rsid w:val="004035BA"/>
    <w:rsid w:val="004035BF"/>
    <w:rsid w:val="004035FB"/>
    <w:rsid w:val="004038AC"/>
    <w:rsid w:val="004038D7"/>
    <w:rsid w:val="00403992"/>
    <w:rsid w:val="00403E33"/>
    <w:rsid w:val="00404054"/>
    <w:rsid w:val="0040412B"/>
    <w:rsid w:val="00404305"/>
    <w:rsid w:val="00404CE5"/>
    <w:rsid w:val="00404DD7"/>
    <w:rsid w:val="00404ECE"/>
    <w:rsid w:val="00405AB4"/>
    <w:rsid w:val="004064C0"/>
    <w:rsid w:val="0040672D"/>
    <w:rsid w:val="004071A3"/>
    <w:rsid w:val="00407A7B"/>
    <w:rsid w:val="00407BA1"/>
    <w:rsid w:val="00407BB3"/>
    <w:rsid w:val="004101B8"/>
    <w:rsid w:val="00410407"/>
    <w:rsid w:val="00410A84"/>
    <w:rsid w:val="00410C3C"/>
    <w:rsid w:val="0041105A"/>
    <w:rsid w:val="0041111E"/>
    <w:rsid w:val="0041144C"/>
    <w:rsid w:val="00411457"/>
    <w:rsid w:val="004118DC"/>
    <w:rsid w:val="00411F7F"/>
    <w:rsid w:val="0041243D"/>
    <w:rsid w:val="00412A2C"/>
    <w:rsid w:val="00412B04"/>
    <w:rsid w:val="00413275"/>
    <w:rsid w:val="004134EA"/>
    <w:rsid w:val="004135E8"/>
    <w:rsid w:val="004139F7"/>
    <w:rsid w:val="00413B38"/>
    <w:rsid w:val="00413DB5"/>
    <w:rsid w:val="0041419D"/>
    <w:rsid w:val="0041478B"/>
    <w:rsid w:val="00414820"/>
    <w:rsid w:val="004151F8"/>
    <w:rsid w:val="004152D3"/>
    <w:rsid w:val="0041556E"/>
    <w:rsid w:val="00415EE2"/>
    <w:rsid w:val="004164F1"/>
    <w:rsid w:val="0041688D"/>
    <w:rsid w:val="00416E15"/>
    <w:rsid w:val="00416EFD"/>
    <w:rsid w:val="00417119"/>
    <w:rsid w:val="004171AD"/>
    <w:rsid w:val="004171B3"/>
    <w:rsid w:val="00417683"/>
    <w:rsid w:val="0041789F"/>
    <w:rsid w:val="00420059"/>
    <w:rsid w:val="004203F1"/>
    <w:rsid w:val="004206B8"/>
    <w:rsid w:val="00420CB0"/>
    <w:rsid w:val="00420F1A"/>
    <w:rsid w:val="0042135C"/>
    <w:rsid w:val="00421544"/>
    <w:rsid w:val="0042156B"/>
    <w:rsid w:val="004216E9"/>
    <w:rsid w:val="004217D6"/>
    <w:rsid w:val="0042186F"/>
    <w:rsid w:val="004218E7"/>
    <w:rsid w:val="004226AE"/>
    <w:rsid w:val="00422801"/>
    <w:rsid w:val="00422C63"/>
    <w:rsid w:val="0042369B"/>
    <w:rsid w:val="00423996"/>
    <w:rsid w:val="0042404F"/>
    <w:rsid w:val="004241A3"/>
    <w:rsid w:val="004247F8"/>
    <w:rsid w:val="00424B61"/>
    <w:rsid w:val="00424D50"/>
    <w:rsid w:val="00424DDC"/>
    <w:rsid w:val="00425049"/>
    <w:rsid w:val="00425894"/>
    <w:rsid w:val="004265F1"/>
    <w:rsid w:val="00426711"/>
    <w:rsid w:val="004267AA"/>
    <w:rsid w:val="004271A0"/>
    <w:rsid w:val="004271D3"/>
    <w:rsid w:val="004303C5"/>
    <w:rsid w:val="00430537"/>
    <w:rsid w:val="00430579"/>
    <w:rsid w:val="004306E2"/>
    <w:rsid w:val="004307EC"/>
    <w:rsid w:val="00430BBB"/>
    <w:rsid w:val="00430C94"/>
    <w:rsid w:val="00431AF9"/>
    <w:rsid w:val="00431C3E"/>
    <w:rsid w:val="004327CD"/>
    <w:rsid w:val="00432BE6"/>
    <w:rsid w:val="00432D9E"/>
    <w:rsid w:val="004330F3"/>
    <w:rsid w:val="00433441"/>
    <w:rsid w:val="00433C7D"/>
    <w:rsid w:val="00433CE1"/>
    <w:rsid w:val="0043440A"/>
    <w:rsid w:val="004346A7"/>
    <w:rsid w:val="0043486B"/>
    <w:rsid w:val="00434C92"/>
    <w:rsid w:val="00435064"/>
    <w:rsid w:val="00435536"/>
    <w:rsid w:val="00435ADA"/>
    <w:rsid w:val="0043683E"/>
    <w:rsid w:val="00436B5B"/>
    <w:rsid w:val="00436B64"/>
    <w:rsid w:val="00436D63"/>
    <w:rsid w:val="00436EA9"/>
    <w:rsid w:val="004371E4"/>
    <w:rsid w:val="00437228"/>
    <w:rsid w:val="00437851"/>
    <w:rsid w:val="004379F2"/>
    <w:rsid w:val="00440074"/>
    <w:rsid w:val="00440247"/>
    <w:rsid w:val="004406E7"/>
    <w:rsid w:val="00440DA8"/>
    <w:rsid w:val="0044116C"/>
    <w:rsid w:val="0044159D"/>
    <w:rsid w:val="0044179A"/>
    <w:rsid w:val="00441B2C"/>
    <w:rsid w:val="00441F50"/>
    <w:rsid w:val="004423FF"/>
    <w:rsid w:val="00442552"/>
    <w:rsid w:val="00442867"/>
    <w:rsid w:val="00442948"/>
    <w:rsid w:val="00442CE2"/>
    <w:rsid w:val="00443182"/>
    <w:rsid w:val="00443288"/>
    <w:rsid w:val="004434D3"/>
    <w:rsid w:val="00443720"/>
    <w:rsid w:val="00443C84"/>
    <w:rsid w:val="00443D6A"/>
    <w:rsid w:val="00443DB3"/>
    <w:rsid w:val="00443E5D"/>
    <w:rsid w:val="00444504"/>
    <w:rsid w:val="00444734"/>
    <w:rsid w:val="00444B27"/>
    <w:rsid w:val="00444CAB"/>
    <w:rsid w:val="00444CDD"/>
    <w:rsid w:val="0044516C"/>
    <w:rsid w:val="00445190"/>
    <w:rsid w:val="0044525B"/>
    <w:rsid w:val="0044545C"/>
    <w:rsid w:val="0044575F"/>
    <w:rsid w:val="004458B3"/>
    <w:rsid w:val="00445C9D"/>
    <w:rsid w:val="00445DAE"/>
    <w:rsid w:val="00446038"/>
    <w:rsid w:val="00446198"/>
    <w:rsid w:val="004466C0"/>
    <w:rsid w:val="004466CE"/>
    <w:rsid w:val="00446710"/>
    <w:rsid w:val="00446807"/>
    <w:rsid w:val="00446DEB"/>
    <w:rsid w:val="00446F3D"/>
    <w:rsid w:val="0044709D"/>
    <w:rsid w:val="004475D7"/>
    <w:rsid w:val="00447E00"/>
    <w:rsid w:val="00450302"/>
    <w:rsid w:val="004506A1"/>
    <w:rsid w:val="00450993"/>
    <w:rsid w:val="004509CD"/>
    <w:rsid w:val="00450DDB"/>
    <w:rsid w:val="00451162"/>
    <w:rsid w:val="004519AA"/>
    <w:rsid w:val="00452343"/>
    <w:rsid w:val="004527EA"/>
    <w:rsid w:val="004528CD"/>
    <w:rsid w:val="00452C41"/>
    <w:rsid w:val="00452D90"/>
    <w:rsid w:val="00453532"/>
    <w:rsid w:val="00453A10"/>
    <w:rsid w:val="00453E37"/>
    <w:rsid w:val="00454298"/>
    <w:rsid w:val="00454416"/>
    <w:rsid w:val="00454765"/>
    <w:rsid w:val="00454A13"/>
    <w:rsid w:val="00454E31"/>
    <w:rsid w:val="00455040"/>
    <w:rsid w:val="004551BF"/>
    <w:rsid w:val="004557E6"/>
    <w:rsid w:val="00455F7A"/>
    <w:rsid w:val="00455FC6"/>
    <w:rsid w:val="00456E00"/>
    <w:rsid w:val="0045720E"/>
    <w:rsid w:val="0045747B"/>
    <w:rsid w:val="0045756E"/>
    <w:rsid w:val="004578CA"/>
    <w:rsid w:val="00457E4B"/>
    <w:rsid w:val="00457EB2"/>
    <w:rsid w:val="004601E4"/>
    <w:rsid w:val="004607FC"/>
    <w:rsid w:val="00460E8C"/>
    <w:rsid w:val="004612F7"/>
    <w:rsid w:val="00461380"/>
    <w:rsid w:val="004614A9"/>
    <w:rsid w:val="00461E98"/>
    <w:rsid w:val="004620A2"/>
    <w:rsid w:val="004624A9"/>
    <w:rsid w:val="00462978"/>
    <w:rsid w:val="00462D99"/>
    <w:rsid w:val="00462FD3"/>
    <w:rsid w:val="0046313E"/>
    <w:rsid w:val="0046331B"/>
    <w:rsid w:val="00463B6C"/>
    <w:rsid w:val="00463E23"/>
    <w:rsid w:val="00463E75"/>
    <w:rsid w:val="00464129"/>
    <w:rsid w:val="004645DC"/>
    <w:rsid w:val="004648E2"/>
    <w:rsid w:val="00464DAD"/>
    <w:rsid w:val="00464EA0"/>
    <w:rsid w:val="00465688"/>
    <w:rsid w:val="00465A6A"/>
    <w:rsid w:val="00465C68"/>
    <w:rsid w:val="00465F46"/>
    <w:rsid w:val="00466730"/>
    <w:rsid w:val="0046724D"/>
    <w:rsid w:val="004674C4"/>
    <w:rsid w:val="00470521"/>
    <w:rsid w:val="00470B03"/>
    <w:rsid w:val="00470B1E"/>
    <w:rsid w:val="00470C1B"/>
    <w:rsid w:val="00471B66"/>
    <w:rsid w:val="00471C7C"/>
    <w:rsid w:val="00471E2B"/>
    <w:rsid w:val="00471F57"/>
    <w:rsid w:val="0047286B"/>
    <w:rsid w:val="0047354C"/>
    <w:rsid w:val="004739D9"/>
    <w:rsid w:val="00473C31"/>
    <w:rsid w:val="00473D91"/>
    <w:rsid w:val="00473DAC"/>
    <w:rsid w:val="00473E29"/>
    <w:rsid w:val="00474157"/>
    <w:rsid w:val="0047418E"/>
    <w:rsid w:val="004741F7"/>
    <w:rsid w:val="0047441C"/>
    <w:rsid w:val="004747C0"/>
    <w:rsid w:val="00474CA1"/>
    <w:rsid w:val="004765EB"/>
    <w:rsid w:val="004767BA"/>
    <w:rsid w:val="00476BB4"/>
    <w:rsid w:val="00476C6E"/>
    <w:rsid w:val="00476DFB"/>
    <w:rsid w:val="004770D1"/>
    <w:rsid w:val="004771AB"/>
    <w:rsid w:val="004773A8"/>
    <w:rsid w:val="0047756C"/>
    <w:rsid w:val="00477761"/>
    <w:rsid w:val="00477773"/>
    <w:rsid w:val="00477810"/>
    <w:rsid w:val="00477B31"/>
    <w:rsid w:val="00477D86"/>
    <w:rsid w:val="004803BB"/>
    <w:rsid w:val="0048056E"/>
    <w:rsid w:val="00480712"/>
    <w:rsid w:val="004807E8"/>
    <w:rsid w:val="004808B9"/>
    <w:rsid w:val="004808CF"/>
    <w:rsid w:val="00480C5F"/>
    <w:rsid w:val="00480D17"/>
    <w:rsid w:val="00480D1E"/>
    <w:rsid w:val="00480FD1"/>
    <w:rsid w:val="004813AC"/>
    <w:rsid w:val="00481994"/>
    <w:rsid w:val="004819AC"/>
    <w:rsid w:val="00481D5A"/>
    <w:rsid w:val="00481D65"/>
    <w:rsid w:val="00481F81"/>
    <w:rsid w:val="004820F8"/>
    <w:rsid w:val="00482117"/>
    <w:rsid w:val="0048225B"/>
    <w:rsid w:val="00482417"/>
    <w:rsid w:val="0048242C"/>
    <w:rsid w:val="004824E1"/>
    <w:rsid w:val="0048289B"/>
    <w:rsid w:val="0048295C"/>
    <w:rsid w:val="00482B93"/>
    <w:rsid w:val="00482C66"/>
    <w:rsid w:val="00482F84"/>
    <w:rsid w:val="0048339F"/>
    <w:rsid w:val="00483478"/>
    <w:rsid w:val="004834F1"/>
    <w:rsid w:val="00483567"/>
    <w:rsid w:val="00483681"/>
    <w:rsid w:val="00483A7F"/>
    <w:rsid w:val="00483AC6"/>
    <w:rsid w:val="00484A85"/>
    <w:rsid w:val="00484E13"/>
    <w:rsid w:val="004856AC"/>
    <w:rsid w:val="00485756"/>
    <w:rsid w:val="00485BB5"/>
    <w:rsid w:val="004860C3"/>
    <w:rsid w:val="004863AE"/>
    <w:rsid w:val="004865FF"/>
    <w:rsid w:val="00486C51"/>
    <w:rsid w:val="004870B3"/>
    <w:rsid w:val="004870B5"/>
    <w:rsid w:val="004872FA"/>
    <w:rsid w:val="004878BB"/>
    <w:rsid w:val="00487B8E"/>
    <w:rsid w:val="00487E47"/>
    <w:rsid w:val="00487E67"/>
    <w:rsid w:val="004900CB"/>
    <w:rsid w:val="0049060B"/>
    <w:rsid w:val="00490CF4"/>
    <w:rsid w:val="00491029"/>
    <w:rsid w:val="004911EE"/>
    <w:rsid w:val="004914CA"/>
    <w:rsid w:val="004916DA"/>
    <w:rsid w:val="00491734"/>
    <w:rsid w:val="00491914"/>
    <w:rsid w:val="00491ABB"/>
    <w:rsid w:val="00491F09"/>
    <w:rsid w:val="00491F5F"/>
    <w:rsid w:val="0049285D"/>
    <w:rsid w:val="0049291D"/>
    <w:rsid w:val="00492CF0"/>
    <w:rsid w:val="00492D43"/>
    <w:rsid w:val="004931DF"/>
    <w:rsid w:val="004939FB"/>
    <w:rsid w:val="00493E1A"/>
    <w:rsid w:val="004941DB"/>
    <w:rsid w:val="00494356"/>
    <w:rsid w:val="00494963"/>
    <w:rsid w:val="00494991"/>
    <w:rsid w:val="00494A34"/>
    <w:rsid w:val="00494BA2"/>
    <w:rsid w:val="0049531F"/>
    <w:rsid w:val="00495F1E"/>
    <w:rsid w:val="00496031"/>
    <w:rsid w:val="00496AC1"/>
    <w:rsid w:val="00496B7E"/>
    <w:rsid w:val="00496BD9"/>
    <w:rsid w:val="0049739E"/>
    <w:rsid w:val="00497B0C"/>
    <w:rsid w:val="00497D4C"/>
    <w:rsid w:val="004A0730"/>
    <w:rsid w:val="004A0CF2"/>
    <w:rsid w:val="004A0EAA"/>
    <w:rsid w:val="004A0F7A"/>
    <w:rsid w:val="004A1071"/>
    <w:rsid w:val="004A12A7"/>
    <w:rsid w:val="004A13FE"/>
    <w:rsid w:val="004A140F"/>
    <w:rsid w:val="004A17EB"/>
    <w:rsid w:val="004A1A3B"/>
    <w:rsid w:val="004A1CFA"/>
    <w:rsid w:val="004A1CFC"/>
    <w:rsid w:val="004A1D54"/>
    <w:rsid w:val="004A1FAA"/>
    <w:rsid w:val="004A2351"/>
    <w:rsid w:val="004A25C7"/>
    <w:rsid w:val="004A2E17"/>
    <w:rsid w:val="004A2EEA"/>
    <w:rsid w:val="004A2F69"/>
    <w:rsid w:val="004A2FDE"/>
    <w:rsid w:val="004A3185"/>
    <w:rsid w:val="004A320C"/>
    <w:rsid w:val="004A3850"/>
    <w:rsid w:val="004A42A2"/>
    <w:rsid w:val="004A46A4"/>
    <w:rsid w:val="004A48EF"/>
    <w:rsid w:val="004A4A1F"/>
    <w:rsid w:val="004A4A4E"/>
    <w:rsid w:val="004A58BB"/>
    <w:rsid w:val="004A5994"/>
    <w:rsid w:val="004A5DEF"/>
    <w:rsid w:val="004A6860"/>
    <w:rsid w:val="004A6ACC"/>
    <w:rsid w:val="004A6DD4"/>
    <w:rsid w:val="004A7046"/>
    <w:rsid w:val="004A7311"/>
    <w:rsid w:val="004A7370"/>
    <w:rsid w:val="004A74E2"/>
    <w:rsid w:val="004A7642"/>
    <w:rsid w:val="004B06A2"/>
    <w:rsid w:val="004B06E9"/>
    <w:rsid w:val="004B0815"/>
    <w:rsid w:val="004B0D3C"/>
    <w:rsid w:val="004B1388"/>
    <w:rsid w:val="004B198D"/>
    <w:rsid w:val="004B19D4"/>
    <w:rsid w:val="004B1AC7"/>
    <w:rsid w:val="004B1BAA"/>
    <w:rsid w:val="004B1F70"/>
    <w:rsid w:val="004B26EE"/>
    <w:rsid w:val="004B29FD"/>
    <w:rsid w:val="004B30B0"/>
    <w:rsid w:val="004B30D9"/>
    <w:rsid w:val="004B31E1"/>
    <w:rsid w:val="004B3449"/>
    <w:rsid w:val="004B3C28"/>
    <w:rsid w:val="004B3DBF"/>
    <w:rsid w:val="004B427B"/>
    <w:rsid w:val="004B4951"/>
    <w:rsid w:val="004B5619"/>
    <w:rsid w:val="004B563D"/>
    <w:rsid w:val="004B596D"/>
    <w:rsid w:val="004B5AC3"/>
    <w:rsid w:val="004B6C29"/>
    <w:rsid w:val="004B7088"/>
    <w:rsid w:val="004B7218"/>
    <w:rsid w:val="004B740E"/>
    <w:rsid w:val="004B7CA3"/>
    <w:rsid w:val="004B7CDA"/>
    <w:rsid w:val="004B7DAE"/>
    <w:rsid w:val="004C0244"/>
    <w:rsid w:val="004C0453"/>
    <w:rsid w:val="004C0703"/>
    <w:rsid w:val="004C0A09"/>
    <w:rsid w:val="004C0B39"/>
    <w:rsid w:val="004C0DD0"/>
    <w:rsid w:val="004C1255"/>
    <w:rsid w:val="004C12D9"/>
    <w:rsid w:val="004C145D"/>
    <w:rsid w:val="004C171C"/>
    <w:rsid w:val="004C205E"/>
    <w:rsid w:val="004C2816"/>
    <w:rsid w:val="004C2836"/>
    <w:rsid w:val="004C2A63"/>
    <w:rsid w:val="004C2ABD"/>
    <w:rsid w:val="004C2EFE"/>
    <w:rsid w:val="004C3051"/>
    <w:rsid w:val="004C372E"/>
    <w:rsid w:val="004C3A6D"/>
    <w:rsid w:val="004C3E0A"/>
    <w:rsid w:val="004C3FB8"/>
    <w:rsid w:val="004C430D"/>
    <w:rsid w:val="004C4486"/>
    <w:rsid w:val="004C457F"/>
    <w:rsid w:val="004C4758"/>
    <w:rsid w:val="004C47EC"/>
    <w:rsid w:val="004C4C76"/>
    <w:rsid w:val="004C5398"/>
    <w:rsid w:val="004C5659"/>
    <w:rsid w:val="004C5847"/>
    <w:rsid w:val="004C6374"/>
    <w:rsid w:val="004C653C"/>
    <w:rsid w:val="004C65FB"/>
    <w:rsid w:val="004C6660"/>
    <w:rsid w:val="004C6BDD"/>
    <w:rsid w:val="004C6F29"/>
    <w:rsid w:val="004C6FD5"/>
    <w:rsid w:val="004C717C"/>
    <w:rsid w:val="004C734F"/>
    <w:rsid w:val="004C740D"/>
    <w:rsid w:val="004C766D"/>
    <w:rsid w:val="004C7929"/>
    <w:rsid w:val="004C7D2C"/>
    <w:rsid w:val="004C7D36"/>
    <w:rsid w:val="004C7E9B"/>
    <w:rsid w:val="004D01E6"/>
    <w:rsid w:val="004D0272"/>
    <w:rsid w:val="004D04A9"/>
    <w:rsid w:val="004D084C"/>
    <w:rsid w:val="004D097C"/>
    <w:rsid w:val="004D0DC9"/>
    <w:rsid w:val="004D1099"/>
    <w:rsid w:val="004D10A7"/>
    <w:rsid w:val="004D1256"/>
    <w:rsid w:val="004D15E8"/>
    <w:rsid w:val="004D16DA"/>
    <w:rsid w:val="004D180D"/>
    <w:rsid w:val="004D1FC9"/>
    <w:rsid w:val="004D206B"/>
    <w:rsid w:val="004D221F"/>
    <w:rsid w:val="004D22AF"/>
    <w:rsid w:val="004D22CB"/>
    <w:rsid w:val="004D28DE"/>
    <w:rsid w:val="004D2EEB"/>
    <w:rsid w:val="004D2F64"/>
    <w:rsid w:val="004D32A5"/>
    <w:rsid w:val="004D37FD"/>
    <w:rsid w:val="004D3DB6"/>
    <w:rsid w:val="004D412A"/>
    <w:rsid w:val="004D4359"/>
    <w:rsid w:val="004D4490"/>
    <w:rsid w:val="004D49C8"/>
    <w:rsid w:val="004D4C08"/>
    <w:rsid w:val="004D4E0F"/>
    <w:rsid w:val="004D58C3"/>
    <w:rsid w:val="004D5AB3"/>
    <w:rsid w:val="004D5AFF"/>
    <w:rsid w:val="004D5D03"/>
    <w:rsid w:val="004D617E"/>
    <w:rsid w:val="004D6A17"/>
    <w:rsid w:val="004D6C61"/>
    <w:rsid w:val="004D7169"/>
    <w:rsid w:val="004D72A0"/>
    <w:rsid w:val="004D7521"/>
    <w:rsid w:val="004D7FFE"/>
    <w:rsid w:val="004E06C9"/>
    <w:rsid w:val="004E06F5"/>
    <w:rsid w:val="004E0723"/>
    <w:rsid w:val="004E0CD2"/>
    <w:rsid w:val="004E0FDE"/>
    <w:rsid w:val="004E112F"/>
    <w:rsid w:val="004E16A3"/>
    <w:rsid w:val="004E1801"/>
    <w:rsid w:val="004E1922"/>
    <w:rsid w:val="004E22C5"/>
    <w:rsid w:val="004E23E7"/>
    <w:rsid w:val="004E2466"/>
    <w:rsid w:val="004E29B5"/>
    <w:rsid w:val="004E3084"/>
    <w:rsid w:val="004E3107"/>
    <w:rsid w:val="004E3312"/>
    <w:rsid w:val="004E39C5"/>
    <w:rsid w:val="004E3A0E"/>
    <w:rsid w:val="004E3CBB"/>
    <w:rsid w:val="004E401D"/>
    <w:rsid w:val="004E433A"/>
    <w:rsid w:val="004E4A1D"/>
    <w:rsid w:val="004E4B73"/>
    <w:rsid w:val="004E4C43"/>
    <w:rsid w:val="004E5145"/>
    <w:rsid w:val="004E5554"/>
    <w:rsid w:val="004E5A3D"/>
    <w:rsid w:val="004E5E2C"/>
    <w:rsid w:val="004E66AA"/>
    <w:rsid w:val="004E66E7"/>
    <w:rsid w:val="004E6755"/>
    <w:rsid w:val="004E68D2"/>
    <w:rsid w:val="004E68D3"/>
    <w:rsid w:val="004E6E98"/>
    <w:rsid w:val="004E6F07"/>
    <w:rsid w:val="004E73E6"/>
    <w:rsid w:val="004E7482"/>
    <w:rsid w:val="004E761F"/>
    <w:rsid w:val="004E7852"/>
    <w:rsid w:val="004E7969"/>
    <w:rsid w:val="004E7D53"/>
    <w:rsid w:val="004E7F83"/>
    <w:rsid w:val="004F049D"/>
    <w:rsid w:val="004F05B7"/>
    <w:rsid w:val="004F0696"/>
    <w:rsid w:val="004F07A0"/>
    <w:rsid w:val="004F113F"/>
    <w:rsid w:val="004F14C3"/>
    <w:rsid w:val="004F1548"/>
    <w:rsid w:val="004F2C7D"/>
    <w:rsid w:val="004F2C8F"/>
    <w:rsid w:val="004F30C0"/>
    <w:rsid w:val="004F334A"/>
    <w:rsid w:val="004F3578"/>
    <w:rsid w:val="004F3C82"/>
    <w:rsid w:val="004F3EDA"/>
    <w:rsid w:val="004F4666"/>
    <w:rsid w:val="004F4AAE"/>
    <w:rsid w:val="004F4DF6"/>
    <w:rsid w:val="004F5247"/>
    <w:rsid w:val="004F527F"/>
    <w:rsid w:val="004F5781"/>
    <w:rsid w:val="004F5ACF"/>
    <w:rsid w:val="004F5E18"/>
    <w:rsid w:val="004F64FB"/>
    <w:rsid w:val="004F6851"/>
    <w:rsid w:val="004F6922"/>
    <w:rsid w:val="004F6B10"/>
    <w:rsid w:val="004F7AEB"/>
    <w:rsid w:val="004F7BFE"/>
    <w:rsid w:val="004F7FA8"/>
    <w:rsid w:val="00500083"/>
    <w:rsid w:val="00500157"/>
    <w:rsid w:val="005005B6"/>
    <w:rsid w:val="00500850"/>
    <w:rsid w:val="00501619"/>
    <w:rsid w:val="00501751"/>
    <w:rsid w:val="005019EF"/>
    <w:rsid w:val="00501D84"/>
    <w:rsid w:val="0050233A"/>
    <w:rsid w:val="00502C65"/>
    <w:rsid w:val="00502F7F"/>
    <w:rsid w:val="0050358B"/>
    <w:rsid w:val="005036C5"/>
    <w:rsid w:val="00504757"/>
    <w:rsid w:val="0050484E"/>
    <w:rsid w:val="005056DF"/>
    <w:rsid w:val="005061EE"/>
    <w:rsid w:val="00506BEF"/>
    <w:rsid w:val="0050733E"/>
    <w:rsid w:val="005073BF"/>
    <w:rsid w:val="00507474"/>
    <w:rsid w:val="0050763E"/>
    <w:rsid w:val="0050777C"/>
    <w:rsid w:val="005077F0"/>
    <w:rsid w:val="00507B47"/>
    <w:rsid w:val="00507BCF"/>
    <w:rsid w:val="00507D80"/>
    <w:rsid w:val="0051007F"/>
    <w:rsid w:val="005100AB"/>
    <w:rsid w:val="00510562"/>
    <w:rsid w:val="00510E68"/>
    <w:rsid w:val="00510F4E"/>
    <w:rsid w:val="005111B6"/>
    <w:rsid w:val="00511287"/>
    <w:rsid w:val="00511A6D"/>
    <w:rsid w:val="00511D7C"/>
    <w:rsid w:val="00512195"/>
    <w:rsid w:val="00512294"/>
    <w:rsid w:val="005124D7"/>
    <w:rsid w:val="005124FB"/>
    <w:rsid w:val="005127F5"/>
    <w:rsid w:val="00512A97"/>
    <w:rsid w:val="00512FC7"/>
    <w:rsid w:val="00513214"/>
    <w:rsid w:val="00513C0E"/>
    <w:rsid w:val="00513C14"/>
    <w:rsid w:val="00513D8C"/>
    <w:rsid w:val="00513DFA"/>
    <w:rsid w:val="00514205"/>
    <w:rsid w:val="0051429E"/>
    <w:rsid w:val="005144BF"/>
    <w:rsid w:val="0051468C"/>
    <w:rsid w:val="005146D8"/>
    <w:rsid w:val="00515159"/>
    <w:rsid w:val="005151E3"/>
    <w:rsid w:val="00515673"/>
    <w:rsid w:val="00515A2C"/>
    <w:rsid w:val="00515D5C"/>
    <w:rsid w:val="005163ED"/>
    <w:rsid w:val="00516478"/>
    <w:rsid w:val="00516894"/>
    <w:rsid w:val="0051765B"/>
    <w:rsid w:val="00517B52"/>
    <w:rsid w:val="005200A9"/>
    <w:rsid w:val="00520153"/>
    <w:rsid w:val="00520563"/>
    <w:rsid w:val="005205A0"/>
    <w:rsid w:val="005208F6"/>
    <w:rsid w:val="00520A25"/>
    <w:rsid w:val="00520B4F"/>
    <w:rsid w:val="00520F07"/>
    <w:rsid w:val="005224B6"/>
    <w:rsid w:val="00522A19"/>
    <w:rsid w:val="00522C26"/>
    <w:rsid w:val="005234C6"/>
    <w:rsid w:val="00523749"/>
    <w:rsid w:val="00523DB2"/>
    <w:rsid w:val="00523E82"/>
    <w:rsid w:val="005241B3"/>
    <w:rsid w:val="00524B5B"/>
    <w:rsid w:val="00524D43"/>
    <w:rsid w:val="005254BF"/>
    <w:rsid w:val="00525902"/>
    <w:rsid w:val="005263BF"/>
    <w:rsid w:val="00526527"/>
    <w:rsid w:val="00526672"/>
    <w:rsid w:val="00526987"/>
    <w:rsid w:val="00526DD7"/>
    <w:rsid w:val="0052708F"/>
    <w:rsid w:val="00527151"/>
    <w:rsid w:val="0052756F"/>
    <w:rsid w:val="0053047B"/>
    <w:rsid w:val="0053058F"/>
    <w:rsid w:val="00531CE5"/>
    <w:rsid w:val="00531DD8"/>
    <w:rsid w:val="00531EA3"/>
    <w:rsid w:val="00532028"/>
    <w:rsid w:val="005320C7"/>
    <w:rsid w:val="00532268"/>
    <w:rsid w:val="005328AE"/>
    <w:rsid w:val="00532C5E"/>
    <w:rsid w:val="005332FD"/>
    <w:rsid w:val="00533DC9"/>
    <w:rsid w:val="005343F6"/>
    <w:rsid w:val="0053471B"/>
    <w:rsid w:val="00534894"/>
    <w:rsid w:val="00534E23"/>
    <w:rsid w:val="00534EC0"/>
    <w:rsid w:val="00534F6E"/>
    <w:rsid w:val="0053507F"/>
    <w:rsid w:val="0053514C"/>
    <w:rsid w:val="00535174"/>
    <w:rsid w:val="00535315"/>
    <w:rsid w:val="00535363"/>
    <w:rsid w:val="00535381"/>
    <w:rsid w:val="005356A8"/>
    <w:rsid w:val="0053593B"/>
    <w:rsid w:val="0053625E"/>
    <w:rsid w:val="00536454"/>
    <w:rsid w:val="00536F0C"/>
    <w:rsid w:val="0053749D"/>
    <w:rsid w:val="005378D1"/>
    <w:rsid w:val="00537AEF"/>
    <w:rsid w:val="00537C19"/>
    <w:rsid w:val="00537E51"/>
    <w:rsid w:val="00537E54"/>
    <w:rsid w:val="00537E6F"/>
    <w:rsid w:val="00540022"/>
    <w:rsid w:val="0054015D"/>
    <w:rsid w:val="005404ED"/>
    <w:rsid w:val="00540B11"/>
    <w:rsid w:val="00540C57"/>
    <w:rsid w:val="00540E86"/>
    <w:rsid w:val="0054180A"/>
    <w:rsid w:val="005418A1"/>
    <w:rsid w:val="00541A85"/>
    <w:rsid w:val="00541C54"/>
    <w:rsid w:val="00542854"/>
    <w:rsid w:val="00542B48"/>
    <w:rsid w:val="00542C82"/>
    <w:rsid w:val="00542E6E"/>
    <w:rsid w:val="00543214"/>
    <w:rsid w:val="00543AE6"/>
    <w:rsid w:val="00544010"/>
    <w:rsid w:val="00544291"/>
    <w:rsid w:val="005443AA"/>
    <w:rsid w:val="005445FE"/>
    <w:rsid w:val="00545445"/>
    <w:rsid w:val="0054551A"/>
    <w:rsid w:val="00545A3E"/>
    <w:rsid w:val="00545C1D"/>
    <w:rsid w:val="00545FED"/>
    <w:rsid w:val="005460C5"/>
    <w:rsid w:val="0054617C"/>
    <w:rsid w:val="00546624"/>
    <w:rsid w:val="00546656"/>
    <w:rsid w:val="005477A6"/>
    <w:rsid w:val="0055038C"/>
    <w:rsid w:val="0055049E"/>
    <w:rsid w:val="005506FD"/>
    <w:rsid w:val="00550D8F"/>
    <w:rsid w:val="00550E64"/>
    <w:rsid w:val="00551950"/>
    <w:rsid w:val="00551B75"/>
    <w:rsid w:val="00552010"/>
    <w:rsid w:val="005524BF"/>
    <w:rsid w:val="00552566"/>
    <w:rsid w:val="00552C48"/>
    <w:rsid w:val="00553180"/>
    <w:rsid w:val="005533EB"/>
    <w:rsid w:val="005535F3"/>
    <w:rsid w:val="005536ED"/>
    <w:rsid w:val="005538C9"/>
    <w:rsid w:val="00553A68"/>
    <w:rsid w:val="00553D2D"/>
    <w:rsid w:val="00553F1D"/>
    <w:rsid w:val="00553FFC"/>
    <w:rsid w:val="0055442E"/>
    <w:rsid w:val="0055488B"/>
    <w:rsid w:val="00554F70"/>
    <w:rsid w:val="005551F3"/>
    <w:rsid w:val="0055522F"/>
    <w:rsid w:val="00555520"/>
    <w:rsid w:val="00555CCA"/>
    <w:rsid w:val="00555D53"/>
    <w:rsid w:val="00555E27"/>
    <w:rsid w:val="00555F18"/>
    <w:rsid w:val="00556369"/>
    <w:rsid w:val="0055649A"/>
    <w:rsid w:val="005564C1"/>
    <w:rsid w:val="00556E9E"/>
    <w:rsid w:val="005574A3"/>
    <w:rsid w:val="005576E7"/>
    <w:rsid w:val="0056009A"/>
    <w:rsid w:val="00560729"/>
    <w:rsid w:val="0056077E"/>
    <w:rsid w:val="005608AB"/>
    <w:rsid w:val="00560BBB"/>
    <w:rsid w:val="00560BD8"/>
    <w:rsid w:val="00560EC4"/>
    <w:rsid w:val="00561209"/>
    <w:rsid w:val="00561A86"/>
    <w:rsid w:val="00561BEE"/>
    <w:rsid w:val="00561F44"/>
    <w:rsid w:val="00561F58"/>
    <w:rsid w:val="0056202E"/>
    <w:rsid w:val="005629BD"/>
    <w:rsid w:val="00562FDB"/>
    <w:rsid w:val="0056373A"/>
    <w:rsid w:val="00563B2F"/>
    <w:rsid w:val="00563EB4"/>
    <w:rsid w:val="00563F93"/>
    <w:rsid w:val="00563FCB"/>
    <w:rsid w:val="00563FD2"/>
    <w:rsid w:val="00564519"/>
    <w:rsid w:val="005648E9"/>
    <w:rsid w:val="0056491B"/>
    <w:rsid w:val="00565BD4"/>
    <w:rsid w:val="00566419"/>
    <w:rsid w:val="0056677E"/>
    <w:rsid w:val="00566B17"/>
    <w:rsid w:val="00566B67"/>
    <w:rsid w:val="0056752A"/>
    <w:rsid w:val="0056758A"/>
    <w:rsid w:val="00567665"/>
    <w:rsid w:val="0056781C"/>
    <w:rsid w:val="00567AE3"/>
    <w:rsid w:val="00567B36"/>
    <w:rsid w:val="00567D2F"/>
    <w:rsid w:val="00567D86"/>
    <w:rsid w:val="00567FB9"/>
    <w:rsid w:val="00570851"/>
    <w:rsid w:val="00571146"/>
    <w:rsid w:val="00571448"/>
    <w:rsid w:val="0057146B"/>
    <w:rsid w:val="005714DA"/>
    <w:rsid w:val="0057158A"/>
    <w:rsid w:val="005717A4"/>
    <w:rsid w:val="005719D3"/>
    <w:rsid w:val="00572017"/>
    <w:rsid w:val="0057228F"/>
    <w:rsid w:val="00572302"/>
    <w:rsid w:val="005723BC"/>
    <w:rsid w:val="005725B9"/>
    <w:rsid w:val="00572F7D"/>
    <w:rsid w:val="00573F62"/>
    <w:rsid w:val="00573FD2"/>
    <w:rsid w:val="005742E8"/>
    <w:rsid w:val="00574953"/>
    <w:rsid w:val="00574EF1"/>
    <w:rsid w:val="00575651"/>
    <w:rsid w:val="00575E9B"/>
    <w:rsid w:val="00575FCA"/>
    <w:rsid w:val="005760BE"/>
    <w:rsid w:val="00576105"/>
    <w:rsid w:val="0057615B"/>
    <w:rsid w:val="00576B51"/>
    <w:rsid w:val="00576BA2"/>
    <w:rsid w:val="00576D1C"/>
    <w:rsid w:val="00576DA3"/>
    <w:rsid w:val="00577126"/>
    <w:rsid w:val="00577211"/>
    <w:rsid w:val="00577395"/>
    <w:rsid w:val="005776DD"/>
    <w:rsid w:val="00580035"/>
    <w:rsid w:val="005800B6"/>
    <w:rsid w:val="00580932"/>
    <w:rsid w:val="00580B6B"/>
    <w:rsid w:val="00580EA3"/>
    <w:rsid w:val="00581158"/>
    <w:rsid w:val="005814CA"/>
    <w:rsid w:val="00581627"/>
    <w:rsid w:val="0058186D"/>
    <w:rsid w:val="00581CF9"/>
    <w:rsid w:val="00581DF4"/>
    <w:rsid w:val="00581F33"/>
    <w:rsid w:val="00582499"/>
    <w:rsid w:val="0058288C"/>
    <w:rsid w:val="00582B76"/>
    <w:rsid w:val="00583088"/>
    <w:rsid w:val="005830AF"/>
    <w:rsid w:val="0058355C"/>
    <w:rsid w:val="0058363B"/>
    <w:rsid w:val="005837D2"/>
    <w:rsid w:val="00583FE1"/>
    <w:rsid w:val="00584028"/>
    <w:rsid w:val="00584434"/>
    <w:rsid w:val="005844C7"/>
    <w:rsid w:val="00584829"/>
    <w:rsid w:val="00584AFB"/>
    <w:rsid w:val="00584BC8"/>
    <w:rsid w:val="00584DC2"/>
    <w:rsid w:val="00584E91"/>
    <w:rsid w:val="00585082"/>
    <w:rsid w:val="005852C4"/>
    <w:rsid w:val="00585D73"/>
    <w:rsid w:val="00586650"/>
    <w:rsid w:val="00586763"/>
    <w:rsid w:val="00586EB9"/>
    <w:rsid w:val="0058701F"/>
    <w:rsid w:val="0058719B"/>
    <w:rsid w:val="00587204"/>
    <w:rsid w:val="00587753"/>
    <w:rsid w:val="005900D0"/>
    <w:rsid w:val="005900F4"/>
    <w:rsid w:val="005902FE"/>
    <w:rsid w:val="005905BE"/>
    <w:rsid w:val="00590628"/>
    <w:rsid w:val="00590AB0"/>
    <w:rsid w:val="00590B7E"/>
    <w:rsid w:val="00590BD8"/>
    <w:rsid w:val="00590CD4"/>
    <w:rsid w:val="00591479"/>
    <w:rsid w:val="00591488"/>
    <w:rsid w:val="005914FA"/>
    <w:rsid w:val="0059158A"/>
    <w:rsid w:val="0059170F"/>
    <w:rsid w:val="005919A9"/>
    <w:rsid w:val="00591A7F"/>
    <w:rsid w:val="00591BF0"/>
    <w:rsid w:val="00591D7F"/>
    <w:rsid w:val="00591E84"/>
    <w:rsid w:val="005920D4"/>
    <w:rsid w:val="005926D4"/>
    <w:rsid w:val="00592700"/>
    <w:rsid w:val="00592ADA"/>
    <w:rsid w:val="00592FE1"/>
    <w:rsid w:val="00593389"/>
    <w:rsid w:val="0059346D"/>
    <w:rsid w:val="00593A34"/>
    <w:rsid w:val="00593B0A"/>
    <w:rsid w:val="00593E32"/>
    <w:rsid w:val="005944D8"/>
    <w:rsid w:val="005945CE"/>
    <w:rsid w:val="00594684"/>
    <w:rsid w:val="00594F01"/>
    <w:rsid w:val="0059502A"/>
    <w:rsid w:val="005951C4"/>
    <w:rsid w:val="005953CF"/>
    <w:rsid w:val="00595847"/>
    <w:rsid w:val="005958E4"/>
    <w:rsid w:val="00595B69"/>
    <w:rsid w:val="00595BA1"/>
    <w:rsid w:val="00595D6F"/>
    <w:rsid w:val="00595DFD"/>
    <w:rsid w:val="005960D5"/>
    <w:rsid w:val="005960F1"/>
    <w:rsid w:val="00596245"/>
    <w:rsid w:val="0059698D"/>
    <w:rsid w:val="00596D50"/>
    <w:rsid w:val="00596E26"/>
    <w:rsid w:val="00597238"/>
    <w:rsid w:val="00597988"/>
    <w:rsid w:val="00597BA5"/>
    <w:rsid w:val="00597BF1"/>
    <w:rsid w:val="005A0A2B"/>
    <w:rsid w:val="005A0ECE"/>
    <w:rsid w:val="005A1026"/>
    <w:rsid w:val="005A121A"/>
    <w:rsid w:val="005A1251"/>
    <w:rsid w:val="005A160D"/>
    <w:rsid w:val="005A190C"/>
    <w:rsid w:val="005A19CD"/>
    <w:rsid w:val="005A1E18"/>
    <w:rsid w:val="005A212C"/>
    <w:rsid w:val="005A21E2"/>
    <w:rsid w:val="005A22D5"/>
    <w:rsid w:val="005A2491"/>
    <w:rsid w:val="005A2BA9"/>
    <w:rsid w:val="005A2CDC"/>
    <w:rsid w:val="005A3268"/>
    <w:rsid w:val="005A34A1"/>
    <w:rsid w:val="005A38F6"/>
    <w:rsid w:val="005A3EA1"/>
    <w:rsid w:val="005A3EFB"/>
    <w:rsid w:val="005A4005"/>
    <w:rsid w:val="005A4026"/>
    <w:rsid w:val="005A4107"/>
    <w:rsid w:val="005A4196"/>
    <w:rsid w:val="005A48D5"/>
    <w:rsid w:val="005A4F87"/>
    <w:rsid w:val="005A550A"/>
    <w:rsid w:val="005A5573"/>
    <w:rsid w:val="005A55A7"/>
    <w:rsid w:val="005A59B4"/>
    <w:rsid w:val="005A60D0"/>
    <w:rsid w:val="005A682B"/>
    <w:rsid w:val="005A6CA8"/>
    <w:rsid w:val="005A6D94"/>
    <w:rsid w:val="005A72DE"/>
    <w:rsid w:val="005A7327"/>
    <w:rsid w:val="005A76B5"/>
    <w:rsid w:val="005A76B8"/>
    <w:rsid w:val="005A78FD"/>
    <w:rsid w:val="005A7CB0"/>
    <w:rsid w:val="005A7D09"/>
    <w:rsid w:val="005A7E63"/>
    <w:rsid w:val="005A7E69"/>
    <w:rsid w:val="005B01C3"/>
    <w:rsid w:val="005B01ED"/>
    <w:rsid w:val="005B0911"/>
    <w:rsid w:val="005B09CC"/>
    <w:rsid w:val="005B0AED"/>
    <w:rsid w:val="005B0C77"/>
    <w:rsid w:val="005B0D2C"/>
    <w:rsid w:val="005B1276"/>
    <w:rsid w:val="005B1657"/>
    <w:rsid w:val="005B1873"/>
    <w:rsid w:val="005B192A"/>
    <w:rsid w:val="005B1C8F"/>
    <w:rsid w:val="005B2013"/>
    <w:rsid w:val="005B23BD"/>
    <w:rsid w:val="005B2747"/>
    <w:rsid w:val="005B2818"/>
    <w:rsid w:val="005B3402"/>
    <w:rsid w:val="005B3DC8"/>
    <w:rsid w:val="005B4082"/>
    <w:rsid w:val="005B4224"/>
    <w:rsid w:val="005B4322"/>
    <w:rsid w:val="005B4FAE"/>
    <w:rsid w:val="005B5001"/>
    <w:rsid w:val="005B50BC"/>
    <w:rsid w:val="005B50E7"/>
    <w:rsid w:val="005B524C"/>
    <w:rsid w:val="005B592B"/>
    <w:rsid w:val="005B5C30"/>
    <w:rsid w:val="005B5C34"/>
    <w:rsid w:val="005B6018"/>
    <w:rsid w:val="005B60CD"/>
    <w:rsid w:val="005B62D5"/>
    <w:rsid w:val="005B662E"/>
    <w:rsid w:val="005B6A80"/>
    <w:rsid w:val="005B6E03"/>
    <w:rsid w:val="005B6E31"/>
    <w:rsid w:val="005B72A7"/>
    <w:rsid w:val="005B79E9"/>
    <w:rsid w:val="005C0127"/>
    <w:rsid w:val="005C06D0"/>
    <w:rsid w:val="005C0702"/>
    <w:rsid w:val="005C0A14"/>
    <w:rsid w:val="005C1496"/>
    <w:rsid w:val="005C1B3C"/>
    <w:rsid w:val="005C1BAC"/>
    <w:rsid w:val="005C1D19"/>
    <w:rsid w:val="005C21FE"/>
    <w:rsid w:val="005C220E"/>
    <w:rsid w:val="005C2842"/>
    <w:rsid w:val="005C292A"/>
    <w:rsid w:val="005C2B09"/>
    <w:rsid w:val="005C2C60"/>
    <w:rsid w:val="005C2CF0"/>
    <w:rsid w:val="005C37C7"/>
    <w:rsid w:val="005C3B06"/>
    <w:rsid w:val="005C3CC9"/>
    <w:rsid w:val="005C42EC"/>
    <w:rsid w:val="005C4714"/>
    <w:rsid w:val="005C4B91"/>
    <w:rsid w:val="005C4BAB"/>
    <w:rsid w:val="005C4C8A"/>
    <w:rsid w:val="005C5589"/>
    <w:rsid w:val="005C559F"/>
    <w:rsid w:val="005C57FA"/>
    <w:rsid w:val="005C5A16"/>
    <w:rsid w:val="005C5DAA"/>
    <w:rsid w:val="005C5E03"/>
    <w:rsid w:val="005C61FC"/>
    <w:rsid w:val="005C62B1"/>
    <w:rsid w:val="005C63EF"/>
    <w:rsid w:val="005C65CD"/>
    <w:rsid w:val="005C685B"/>
    <w:rsid w:val="005C6874"/>
    <w:rsid w:val="005C6A87"/>
    <w:rsid w:val="005C6AFE"/>
    <w:rsid w:val="005C710C"/>
    <w:rsid w:val="005C7160"/>
    <w:rsid w:val="005C7469"/>
    <w:rsid w:val="005C7B5A"/>
    <w:rsid w:val="005C7B66"/>
    <w:rsid w:val="005C7CD7"/>
    <w:rsid w:val="005C7DE8"/>
    <w:rsid w:val="005C7F59"/>
    <w:rsid w:val="005D0513"/>
    <w:rsid w:val="005D05A1"/>
    <w:rsid w:val="005D09D7"/>
    <w:rsid w:val="005D0DF6"/>
    <w:rsid w:val="005D1140"/>
    <w:rsid w:val="005D13F6"/>
    <w:rsid w:val="005D18D5"/>
    <w:rsid w:val="005D1B9A"/>
    <w:rsid w:val="005D1BCE"/>
    <w:rsid w:val="005D1D6D"/>
    <w:rsid w:val="005D252A"/>
    <w:rsid w:val="005D2704"/>
    <w:rsid w:val="005D280E"/>
    <w:rsid w:val="005D2831"/>
    <w:rsid w:val="005D2AA9"/>
    <w:rsid w:val="005D2B2F"/>
    <w:rsid w:val="005D2E2F"/>
    <w:rsid w:val="005D305A"/>
    <w:rsid w:val="005D39D3"/>
    <w:rsid w:val="005D3D63"/>
    <w:rsid w:val="005D43AE"/>
    <w:rsid w:val="005D4744"/>
    <w:rsid w:val="005D49F7"/>
    <w:rsid w:val="005D4ABF"/>
    <w:rsid w:val="005D4B55"/>
    <w:rsid w:val="005D512C"/>
    <w:rsid w:val="005D5172"/>
    <w:rsid w:val="005D52DB"/>
    <w:rsid w:val="005D5577"/>
    <w:rsid w:val="005D571F"/>
    <w:rsid w:val="005D584F"/>
    <w:rsid w:val="005D603C"/>
    <w:rsid w:val="005D659A"/>
    <w:rsid w:val="005D65A1"/>
    <w:rsid w:val="005D66DC"/>
    <w:rsid w:val="005D6843"/>
    <w:rsid w:val="005D69EB"/>
    <w:rsid w:val="005D69FF"/>
    <w:rsid w:val="005D75DD"/>
    <w:rsid w:val="005E07CE"/>
    <w:rsid w:val="005E134A"/>
    <w:rsid w:val="005E1914"/>
    <w:rsid w:val="005E1AC2"/>
    <w:rsid w:val="005E1BD5"/>
    <w:rsid w:val="005E1F07"/>
    <w:rsid w:val="005E2315"/>
    <w:rsid w:val="005E23E6"/>
    <w:rsid w:val="005E24A2"/>
    <w:rsid w:val="005E265F"/>
    <w:rsid w:val="005E2909"/>
    <w:rsid w:val="005E2E0E"/>
    <w:rsid w:val="005E2E42"/>
    <w:rsid w:val="005E2EC9"/>
    <w:rsid w:val="005E307A"/>
    <w:rsid w:val="005E39D7"/>
    <w:rsid w:val="005E3A58"/>
    <w:rsid w:val="005E417A"/>
    <w:rsid w:val="005E481C"/>
    <w:rsid w:val="005E4A40"/>
    <w:rsid w:val="005E4AC7"/>
    <w:rsid w:val="005E4AD7"/>
    <w:rsid w:val="005E4B5D"/>
    <w:rsid w:val="005E4CB2"/>
    <w:rsid w:val="005E4E71"/>
    <w:rsid w:val="005E513F"/>
    <w:rsid w:val="005E56FD"/>
    <w:rsid w:val="005E576F"/>
    <w:rsid w:val="005E6281"/>
    <w:rsid w:val="005E6475"/>
    <w:rsid w:val="005E6611"/>
    <w:rsid w:val="005E6904"/>
    <w:rsid w:val="005E6CED"/>
    <w:rsid w:val="005E6DE0"/>
    <w:rsid w:val="005E6E43"/>
    <w:rsid w:val="005E6F4E"/>
    <w:rsid w:val="005E707E"/>
    <w:rsid w:val="005E70BE"/>
    <w:rsid w:val="005E73E2"/>
    <w:rsid w:val="005E74F3"/>
    <w:rsid w:val="005E7666"/>
    <w:rsid w:val="005F038E"/>
    <w:rsid w:val="005F061E"/>
    <w:rsid w:val="005F0781"/>
    <w:rsid w:val="005F0DFF"/>
    <w:rsid w:val="005F1403"/>
    <w:rsid w:val="005F1573"/>
    <w:rsid w:val="005F17AB"/>
    <w:rsid w:val="005F2963"/>
    <w:rsid w:val="005F2BAD"/>
    <w:rsid w:val="005F2BB3"/>
    <w:rsid w:val="005F2D46"/>
    <w:rsid w:val="005F2E6D"/>
    <w:rsid w:val="005F318C"/>
    <w:rsid w:val="005F38C0"/>
    <w:rsid w:val="005F44A2"/>
    <w:rsid w:val="005F4B5C"/>
    <w:rsid w:val="005F55DD"/>
    <w:rsid w:val="005F5893"/>
    <w:rsid w:val="005F58EE"/>
    <w:rsid w:val="005F5926"/>
    <w:rsid w:val="005F5B4C"/>
    <w:rsid w:val="005F5B6C"/>
    <w:rsid w:val="005F633F"/>
    <w:rsid w:val="005F6842"/>
    <w:rsid w:val="005F6A36"/>
    <w:rsid w:val="005F6DA6"/>
    <w:rsid w:val="005F7BED"/>
    <w:rsid w:val="005F7C17"/>
    <w:rsid w:val="005F7EED"/>
    <w:rsid w:val="006002CD"/>
    <w:rsid w:val="006002FA"/>
    <w:rsid w:val="00600540"/>
    <w:rsid w:val="0060060F"/>
    <w:rsid w:val="00600A5D"/>
    <w:rsid w:val="00600A60"/>
    <w:rsid w:val="00600B3F"/>
    <w:rsid w:val="00600C6C"/>
    <w:rsid w:val="00600EEF"/>
    <w:rsid w:val="00600F53"/>
    <w:rsid w:val="00601346"/>
    <w:rsid w:val="006013EE"/>
    <w:rsid w:val="006016F9"/>
    <w:rsid w:val="00601769"/>
    <w:rsid w:val="00601CD7"/>
    <w:rsid w:val="00602932"/>
    <w:rsid w:val="0060297B"/>
    <w:rsid w:val="00602D62"/>
    <w:rsid w:val="00602DE4"/>
    <w:rsid w:val="00602FB8"/>
    <w:rsid w:val="006035D6"/>
    <w:rsid w:val="006036EF"/>
    <w:rsid w:val="006039CD"/>
    <w:rsid w:val="00603A57"/>
    <w:rsid w:val="00603F28"/>
    <w:rsid w:val="00604160"/>
    <w:rsid w:val="0060426D"/>
    <w:rsid w:val="006046F0"/>
    <w:rsid w:val="00604AF4"/>
    <w:rsid w:val="00604B49"/>
    <w:rsid w:val="00604BE9"/>
    <w:rsid w:val="00604CA2"/>
    <w:rsid w:val="006054D5"/>
    <w:rsid w:val="00605D9E"/>
    <w:rsid w:val="00605DB9"/>
    <w:rsid w:val="00605F78"/>
    <w:rsid w:val="00606177"/>
    <w:rsid w:val="0060665A"/>
    <w:rsid w:val="0060672C"/>
    <w:rsid w:val="006069F9"/>
    <w:rsid w:val="00606D83"/>
    <w:rsid w:val="00606F6D"/>
    <w:rsid w:val="00607203"/>
    <w:rsid w:val="00607239"/>
    <w:rsid w:val="006077BF"/>
    <w:rsid w:val="00607A5D"/>
    <w:rsid w:val="00607B67"/>
    <w:rsid w:val="00607FC3"/>
    <w:rsid w:val="006109BD"/>
    <w:rsid w:val="00610FB6"/>
    <w:rsid w:val="00611199"/>
    <w:rsid w:val="00611459"/>
    <w:rsid w:val="006118C1"/>
    <w:rsid w:val="00612FDA"/>
    <w:rsid w:val="0061333C"/>
    <w:rsid w:val="00613F47"/>
    <w:rsid w:val="006141A5"/>
    <w:rsid w:val="0061432E"/>
    <w:rsid w:val="00614A88"/>
    <w:rsid w:val="00614C9D"/>
    <w:rsid w:val="00614DB9"/>
    <w:rsid w:val="00614E44"/>
    <w:rsid w:val="00614F4A"/>
    <w:rsid w:val="0061524F"/>
    <w:rsid w:val="00615D98"/>
    <w:rsid w:val="00615F93"/>
    <w:rsid w:val="006161B5"/>
    <w:rsid w:val="006163D6"/>
    <w:rsid w:val="00616467"/>
    <w:rsid w:val="006166F6"/>
    <w:rsid w:val="00616733"/>
    <w:rsid w:val="006169AB"/>
    <w:rsid w:val="00616FF2"/>
    <w:rsid w:val="006178D1"/>
    <w:rsid w:val="00617B7E"/>
    <w:rsid w:val="00617E1F"/>
    <w:rsid w:val="00617E73"/>
    <w:rsid w:val="00617FD7"/>
    <w:rsid w:val="00620A77"/>
    <w:rsid w:val="00620D71"/>
    <w:rsid w:val="00621076"/>
    <w:rsid w:val="00621120"/>
    <w:rsid w:val="00621124"/>
    <w:rsid w:val="006213EC"/>
    <w:rsid w:val="006215E0"/>
    <w:rsid w:val="00621722"/>
    <w:rsid w:val="0062180E"/>
    <w:rsid w:val="00621858"/>
    <w:rsid w:val="0062189A"/>
    <w:rsid w:val="00621FB8"/>
    <w:rsid w:val="0062204E"/>
    <w:rsid w:val="006222AD"/>
    <w:rsid w:val="006229D4"/>
    <w:rsid w:val="006230E9"/>
    <w:rsid w:val="00623273"/>
    <w:rsid w:val="00623459"/>
    <w:rsid w:val="006238B0"/>
    <w:rsid w:val="00623C87"/>
    <w:rsid w:val="006241DA"/>
    <w:rsid w:val="00624307"/>
    <w:rsid w:val="0062481A"/>
    <w:rsid w:val="00624B58"/>
    <w:rsid w:val="00624C5D"/>
    <w:rsid w:val="00624D26"/>
    <w:rsid w:val="00624DB8"/>
    <w:rsid w:val="00624ECC"/>
    <w:rsid w:val="00624EF3"/>
    <w:rsid w:val="00625463"/>
    <w:rsid w:val="00625561"/>
    <w:rsid w:val="00625819"/>
    <w:rsid w:val="0062591D"/>
    <w:rsid w:val="00625E0A"/>
    <w:rsid w:val="006260F5"/>
    <w:rsid w:val="006265B2"/>
    <w:rsid w:val="006265B9"/>
    <w:rsid w:val="006267BE"/>
    <w:rsid w:val="00626B80"/>
    <w:rsid w:val="00626C93"/>
    <w:rsid w:val="00626E25"/>
    <w:rsid w:val="00626FAC"/>
    <w:rsid w:val="00627126"/>
    <w:rsid w:val="00627165"/>
    <w:rsid w:val="00627339"/>
    <w:rsid w:val="006274F8"/>
    <w:rsid w:val="00627512"/>
    <w:rsid w:val="0062772B"/>
    <w:rsid w:val="0063018F"/>
    <w:rsid w:val="0063081E"/>
    <w:rsid w:val="00630E08"/>
    <w:rsid w:val="00630E10"/>
    <w:rsid w:val="00630F67"/>
    <w:rsid w:val="0063104D"/>
    <w:rsid w:val="00631443"/>
    <w:rsid w:val="006317B1"/>
    <w:rsid w:val="00631B52"/>
    <w:rsid w:val="00631BB8"/>
    <w:rsid w:val="00632329"/>
    <w:rsid w:val="006326EF"/>
    <w:rsid w:val="006327D7"/>
    <w:rsid w:val="00632856"/>
    <w:rsid w:val="00632CA5"/>
    <w:rsid w:val="00633078"/>
    <w:rsid w:val="00633CEA"/>
    <w:rsid w:val="00633D91"/>
    <w:rsid w:val="006341AB"/>
    <w:rsid w:val="006346D3"/>
    <w:rsid w:val="0063563E"/>
    <w:rsid w:val="0063631F"/>
    <w:rsid w:val="006363A6"/>
    <w:rsid w:val="0063643F"/>
    <w:rsid w:val="00636547"/>
    <w:rsid w:val="0063658E"/>
    <w:rsid w:val="00636719"/>
    <w:rsid w:val="00636BDD"/>
    <w:rsid w:val="00636D33"/>
    <w:rsid w:val="0063723E"/>
    <w:rsid w:val="00637444"/>
    <w:rsid w:val="00637B2D"/>
    <w:rsid w:val="00640064"/>
    <w:rsid w:val="006404F6"/>
    <w:rsid w:val="006406B8"/>
    <w:rsid w:val="006408A2"/>
    <w:rsid w:val="006408D4"/>
    <w:rsid w:val="00640B57"/>
    <w:rsid w:val="00640CD6"/>
    <w:rsid w:val="00640EBA"/>
    <w:rsid w:val="00640F32"/>
    <w:rsid w:val="00640FD8"/>
    <w:rsid w:val="00641071"/>
    <w:rsid w:val="006410A1"/>
    <w:rsid w:val="00641393"/>
    <w:rsid w:val="00641471"/>
    <w:rsid w:val="0064196E"/>
    <w:rsid w:val="00641E52"/>
    <w:rsid w:val="00641EAD"/>
    <w:rsid w:val="00642109"/>
    <w:rsid w:val="006421DE"/>
    <w:rsid w:val="006429D6"/>
    <w:rsid w:val="00642DE8"/>
    <w:rsid w:val="0064329B"/>
    <w:rsid w:val="0064333C"/>
    <w:rsid w:val="0064339C"/>
    <w:rsid w:val="006434CC"/>
    <w:rsid w:val="00643A99"/>
    <w:rsid w:val="00643E07"/>
    <w:rsid w:val="00644796"/>
    <w:rsid w:val="00644843"/>
    <w:rsid w:val="0064490A"/>
    <w:rsid w:val="006449DB"/>
    <w:rsid w:val="00644C7C"/>
    <w:rsid w:val="0064562F"/>
    <w:rsid w:val="0064575A"/>
    <w:rsid w:val="006457FC"/>
    <w:rsid w:val="00645B7A"/>
    <w:rsid w:val="00645BA9"/>
    <w:rsid w:val="0064629C"/>
    <w:rsid w:val="006463D6"/>
    <w:rsid w:val="0064662A"/>
    <w:rsid w:val="00646BB3"/>
    <w:rsid w:val="00646D13"/>
    <w:rsid w:val="00647553"/>
    <w:rsid w:val="00647971"/>
    <w:rsid w:val="00647A94"/>
    <w:rsid w:val="00647BBD"/>
    <w:rsid w:val="00647BFA"/>
    <w:rsid w:val="00647F31"/>
    <w:rsid w:val="00650091"/>
    <w:rsid w:val="006501C3"/>
    <w:rsid w:val="00650359"/>
    <w:rsid w:val="006504AC"/>
    <w:rsid w:val="006508C5"/>
    <w:rsid w:val="00650989"/>
    <w:rsid w:val="00650A5C"/>
    <w:rsid w:val="00650D61"/>
    <w:rsid w:val="00650DB6"/>
    <w:rsid w:val="00650DEE"/>
    <w:rsid w:val="00650E5C"/>
    <w:rsid w:val="00651341"/>
    <w:rsid w:val="0065135B"/>
    <w:rsid w:val="0065143A"/>
    <w:rsid w:val="00651DB0"/>
    <w:rsid w:val="00651DC7"/>
    <w:rsid w:val="00651F4A"/>
    <w:rsid w:val="00652476"/>
    <w:rsid w:val="006524DE"/>
    <w:rsid w:val="006526CF"/>
    <w:rsid w:val="0065271E"/>
    <w:rsid w:val="00652815"/>
    <w:rsid w:val="00652A83"/>
    <w:rsid w:val="00652ABE"/>
    <w:rsid w:val="00652F2C"/>
    <w:rsid w:val="006530AD"/>
    <w:rsid w:val="00653104"/>
    <w:rsid w:val="00653837"/>
    <w:rsid w:val="00653ED0"/>
    <w:rsid w:val="00654089"/>
    <w:rsid w:val="00654355"/>
    <w:rsid w:val="00654920"/>
    <w:rsid w:val="0065498A"/>
    <w:rsid w:val="00654F90"/>
    <w:rsid w:val="0065571E"/>
    <w:rsid w:val="006557AB"/>
    <w:rsid w:val="00656A15"/>
    <w:rsid w:val="00656B19"/>
    <w:rsid w:val="00656B31"/>
    <w:rsid w:val="00657559"/>
    <w:rsid w:val="0065780F"/>
    <w:rsid w:val="00657DBA"/>
    <w:rsid w:val="0066089A"/>
    <w:rsid w:val="00660980"/>
    <w:rsid w:val="00660D09"/>
    <w:rsid w:val="00661015"/>
    <w:rsid w:val="00661219"/>
    <w:rsid w:val="006616B7"/>
    <w:rsid w:val="00661E4C"/>
    <w:rsid w:val="00662141"/>
    <w:rsid w:val="006622EC"/>
    <w:rsid w:val="006623DA"/>
    <w:rsid w:val="0066242A"/>
    <w:rsid w:val="006624AE"/>
    <w:rsid w:val="006627C5"/>
    <w:rsid w:val="00662AA6"/>
    <w:rsid w:val="00662FCE"/>
    <w:rsid w:val="00663895"/>
    <w:rsid w:val="006638E1"/>
    <w:rsid w:val="006639D6"/>
    <w:rsid w:val="006645B5"/>
    <w:rsid w:val="006646F2"/>
    <w:rsid w:val="006650B7"/>
    <w:rsid w:val="0066522A"/>
    <w:rsid w:val="006654E7"/>
    <w:rsid w:val="006655DF"/>
    <w:rsid w:val="00665B53"/>
    <w:rsid w:val="00665B74"/>
    <w:rsid w:val="00665E40"/>
    <w:rsid w:val="006662A7"/>
    <w:rsid w:val="00666741"/>
    <w:rsid w:val="00666845"/>
    <w:rsid w:val="00666B4F"/>
    <w:rsid w:val="00666B75"/>
    <w:rsid w:val="00666C65"/>
    <w:rsid w:val="00666DEA"/>
    <w:rsid w:val="00666FEB"/>
    <w:rsid w:val="0066749F"/>
    <w:rsid w:val="00667D8F"/>
    <w:rsid w:val="00667DAE"/>
    <w:rsid w:val="0067010E"/>
    <w:rsid w:val="006702A5"/>
    <w:rsid w:val="00670328"/>
    <w:rsid w:val="00670502"/>
    <w:rsid w:val="0067066C"/>
    <w:rsid w:val="00670B07"/>
    <w:rsid w:val="00670D1A"/>
    <w:rsid w:val="00670DBA"/>
    <w:rsid w:val="006713A0"/>
    <w:rsid w:val="006714EB"/>
    <w:rsid w:val="0067182D"/>
    <w:rsid w:val="006725B8"/>
    <w:rsid w:val="0067298F"/>
    <w:rsid w:val="00672A93"/>
    <w:rsid w:val="00672E15"/>
    <w:rsid w:val="00672ED6"/>
    <w:rsid w:val="00672F82"/>
    <w:rsid w:val="0067333D"/>
    <w:rsid w:val="00673659"/>
    <w:rsid w:val="006737F4"/>
    <w:rsid w:val="00673E5F"/>
    <w:rsid w:val="00673FAA"/>
    <w:rsid w:val="00674565"/>
    <w:rsid w:val="0067524B"/>
    <w:rsid w:val="00676280"/>
    <w:rsid w:val="0067647F"/>
    <w:rsid w:val="006767D4"/>
    <w:rsid w:val="00676BF5"/>
    <w:rsid w:val="00676F05"/>
    <w:rsid w:val="006773C8"/>
    <w:rsid w:val="00677888"/>
    <w:rsid w:val="00680073"/>
    <w:rsid w:val="006809C0"/>
    <w:rsid w:val="00680A4A"/>
    <w:rsid w:val="006810CF"/>
    <w:rsid w:val="00681134"/>
    <w:rsid w:val="006814D2"/>
    <w:rsid w:val="006816AF"/>
    <w:rsid w:val="00681B7D"/>
    <w:rsid w:val="00681C7F"/>
    <w:rsid w:val="006821CE"/>
    <w:rsid w:val="006822AF"/>
    <w:rsid w:val="0068287F"/>
    <w:rsid w:val="00682E82"/>
    <w:rsid w:val="00683163"/>
    <w:rsid w:val="0068319E"/>
    <w:rsid w:val="006832CF"/>
    <w:rsid w:val="00683339"/>
    <w:rsid w:val="006833FF"/>
    <w:rsid w:val="00683435"/>
    <w:rsid w:val="00683C39"/>
    <w:rsid w:val="00683EE7"/>
    <w:rsid w:val="00683F1B"/>
    <w:rsid w:val="00683FD0"/>
    <w:rsid w:val="00684254"/>
    <w:rsid w:val="00684281"/>
    <w:rsid w:val="006843B3"/>
    <w:rsid w:val="006844A3"/>
    <w:rsid w:val="0068456A"/>
    <w:rsid w:val="00684AEF"/>
    <w:rsid w:val="006851EF"/>
    <w:rsid w:val="0068533C"/>
    <w:rsid w:val="006853D2"/>
    <w:rsid w:val="006858B6"/>
    <w:rsid w:val="00685BAD"/>
    <w:rsid w:val="006861D2"/>
    <w:rsid w:val="0068623A"/>
    <w:rsid w:val="0068668D"/>
    <w:rsid w:val="0068670B"/>
    <w:rsid w:val="006867B6"/>
    <w:rsid w:val="00687387"/>
    <w:rsid w:val="0068768C"/>
    <w:rsid w:val="00687826"/>
    <w:rsid w:val="00687E08"/>
    <w:rsid w:val="00690311"/>
    <w:rsid w:val="00690354"/>
    <w:rsid w:val="0069045D"/>
    <w:rsid w:val="00690651"/>
    <w:rsid w:val="00690D5B"/>
    <w:rsid w:val="0069120A"/>
    <w:rsid w:val="00691876"/>
    <w:rsid w:val="00691C57"/>
    <w:rsid w:val="00692487"/>
    <w:rsid w:val="0069263B"/>
    <w:rsid w:val="006930F9"/>
    <w:rsid w:val="006935DF"/>
    <w:rsid w:val="00693916"/>
    <w:rsid w:val="00694188"/>
    <w:rsid w:val="00694422"/>
    <w:rsid w:val="00694AC3"/>
    <w:rsid w:val="00695270"/>
    <w:rsid w:val="00695272"/>
    <w:rsid w:val="00695455"/>
    <w:rsid w:val="00695CFA"/>
    <w:rsid w:val="00695D40"/>
    <w:rsid w:val="00696234"/>
    <w:rsid w:val="00696258"/>
    <w:rsid w:val="006963D2"/>
    <w:rsid w:val="00696643"/>
    <w:rsid w:val="0069735F"/>
    <w:rsid w:val="0069754F"/>
    <w:rsid w:val="00697772"/>
    <w:rsid w:val="006977B3"/>
    <w:rsid w:val="00697C14"/>
    <w:rsid w:val="00697E59"/>
    <w:rsid w:val="006A02BE"/>
    <w:rsid w:val="006A03AF"/>
    <w:rsid w:val="006A046D"/>
    <w:rsid w:val="006A06B1"/>
    <w:rsid w:val="006A09E9"/>
    <w:rsid w:val="006A0A93"/>
    <w:rsid w:val="006A0AE1"/>
    <w:rsid w:val="006A0F8C"/>
    <w:rsid w:val="006A11EF"/>
    <w:rsid w:val="006A162B"/>
    <w:rsid w:val="006A1826"/>
    <w:rsid w:val="006A1A4A"/>
    <w:rsid w:val="006A1D37"/>
    <w:rsid w:val="006A1F36"/>
    <w:rsid w:val="006A255D"/>
    <w:rsid w:val="006A256F"/>
    <w:rsid w:val="006A2C23"/>
    <w:rsid w:val="006A2C43"/>
    <w:rsid w:val="006A3FE3"/>
    <w:rsid w:val="006A41DD"/>
    <w:rsid w:val="006A431F"/>
    <w:rsid w:val="006A44AD"/>
    <w:rsid w:val="006A4DC6"/>
    <w:rsid w:val="006A4FBF"/>
    <w:rsid w:val="006A4FFD"/>
    <w:rsid w:val="006A53E3"/>
    <w:rsid w:val="006A59B8"/>
    <w:rsid w:val="006A5E4F"/>
    <w:rsid w:val="006A605B"/>
    <w:rsid w:val="006A60C3"/>
    <w:rsid w:val="006A6178"/>
    <w:rsid w:val="006A62D3"/>
    <w:rsid w:val="006A6BDB"/>
    <w:rsid w:val="006A6FF7"/>
    <w:rsid w:val="006A703F"/>
    <w:rsid w:val="006A75CC"/>
    <w:rsid w:val="006A7787"/>
    <w:rsid w:val="006A7830"/>
    <w:rsid w:val="006B00D7"/>
    <w:rsid w:val="006B0CDB"/>
    <w:rsid w:val="006B1201"/>
    <w:rsid w:val="006B16CB"/>
    <w:rsid w:val="006B1721"/>
    <w:rsid w:val="006B19E6"/>
    <w:rsid w:val="006B1CDF"/>
    <w:rsid w:val="006B1D70"/>
    <w:rsid w:val="006B2246"/>
    <w:rsid w:val="006B2485"/>
    <w:rsid w:val="006B24E8"/>
    <w:rsid w:val="006B27A0"/>
    <w:rsid w:val="006B31A1"/>
    <w:rsid w:val="006B330A"/>
    <w:rsid w:val="006B3340"/>
    <w:rsid w:val="006B33D3"/>
    <w:rsid w:val="006B3ED9"/>
    <w:rsid w:val="006B414B"/>
    <w:rsid w:val="006B43ED"/>
    <w:rsid w:val="006B47A4"/>
    <w:rsid w:val="006B4DC0"/>
    <w:rsid w:val="006B4E9C"/>
    <w:rsid w:val="006B5206"/>
    <w:rsid w:val="006B5988"/>
    <w:rsid w:val="006B5EEE"/>
    <w:rsid w:val="006B60F0"/>
    <w:rsid w:val="006B644B"/>
    <w:rsid w:val="006B69C0"/>
    <w:rsid w:val="006B6FDA"/>
    <w:rsid w:val="006B7407"/>
    <w:rsid w:val="006B7553"/>
    <w:rsid w:val="006B77E0"/>
    <w:rsid w:val="006B7B2C"/>
    <w:rsid w:val="006B7B2D"/>
    <w:rsid w:val="006B7D7C"/>
    <w:rsid w:val="006C001D"/>
    <w:rsid w:val="006C01BF"/>
    <w:rsid w:val="006C08FC"/>
    <w:rsid w:val="006C0A48"/>
    <w:rsid w:val="006C1996"/>
    <w:rsid w:val="006C1C75"/>
    <w:rsid w:val="006C2183"/>
    <w:rsid w:val="006C2560"/>
    <w:rsid w:val="006C259E"/>
    <w:rsid w:val="006C25BE"/>
    <w:rsid w:val="006C27EE"/>
    <w:rsid w:val="006C2CE5"/>
    <w:rsid w:val="006C2D29"/>
    <w:rsid w:val="006C2DC1"/>
    <w:rsid w:val="006C3838"/>
    <w:rsid w:val="006C3C5D"/>
    <w:rsid w:val="006C3DEE"/>
    <w:rsid w:val="006C3F4E"/>
    <w:rsid w:val="006C459F"/>
    <w:rsid w:val="006C4D96"/>
    <w:rsid w:val="006C4EC3"/>
    <w:rsid w:val="006C53C7"/>
    <w:rsid w:val="006C58B8"/>
    <w:rsid w:val="006C58CE"/>
    <w:rsid w:val="006C58D6"/>
    <w:rsid w:val="006C5D1F"/>
    <w:rsid w:val="006C5DB4"/>
    <w:rsid w:val="006C6109"/>
    <w:rsid w:val="006C65F2"/>
    <w:rsid w:val="006C6951"/>
    <w:rsid w:val="006C6A76"/>
    <w:rsid w:val="006C6E75"/>
    <w:rsid w:val="006C75C2"/>
    <w:rsid w:val="006C762A"/>
    <w:rsid w:val="006C7AF1"/>
    <w:rsid w:val="006D00CC"/>
    <w:rsid w:val="006D0258"/>
    <w:rsid w:val="006D033D"/>
    <w:rsid w:val="006D05D1"/>
    <w:rsid w:val="006D0852"/>
    <w:rsid w:val="006D087C"/>
    <w:rsid w:val="006D132F"/>
    <w:rsid w:val="006D1695"/>
    <w:rsid w:val="006D178F"/>
    <w:rsid w:val="006D1794"/>
    <w:rsid w:val="006D1C64"/>
    <w:rsid w:val="006D1DD2"/>
    <w:rsid w:val="006D1E17"/>
    <w:rsid w:val="006D2518"/>
    <w:rsid w:val="006D2895"/>
    <w:rsid w:val="006D2975"/>
    <w:rsid w:val="006D29A1"/>
    <w:rsid w:val="006D29C8"/>
    <w:rsid w:val="006D305E"/>
    <w:rsid w:val="006D30C7"/>
    <w:rsid w:val="006D3393"/>
    <w:rsid w:val="006D3443"/>
    <w:rsid w:val="006D400C"/>
    <w:rsid w:val="006D4F41"/>
    <w:rsid w:val="006D5239"/>
    <w:rsid w:val="006D55D6"/>
    <w:rsid w:val="006D5741"/>
    <w:rsid w:val="006D5B4F"/>
    <w:rsid w:val="006D5B8D"/>
    <w:rsid w:val="006D5CE2"/>
    <w:rsid w:val="006D5EDE"/>
    <w:rsid w:val="006D6042"/>
    <w:rsid w:val="006D6275"/>
    <w:rsid w:val="006D6696"/>
    <w:rsid w:val="006D6AE4"/>
    <w:rsid w:val="006D6C12"/>
    <w:rsid w:val="006D6DD8"/>
    <w:rsid w:val="006D70D7"/>
    <w:rsid w:val="006D716F"/>
    <w:rsid w:val="006D734B"/>
    <w:rsid w:val="006D7DA8"/>
    <w:rsid w:val="006E0631"/>
    <w:rsid w:val="006E0712"/>
    <w:rsid w:val="006E0DD8"/>
    <w:rsid w:val="006E0EEB"/>
    <w:rsid w:val="006E1934"/>
    <w:rsid w:val="006E1B92"/>
    <w:rsid w:val="006E2145"/>
    <w:rsid w:val="006E2569"/>
    <w:rsid w:val="006E263B"/>
    <w:rsid w:val="006E2692"/>
    <w:rsid w:val="006E26A8"/>
    <w:rsid w:val="006E2A98"/>
    <w:rsid w:val="006E2BBB"/>
    <w:rsid w:val="006E30E3"/>
    <w:rsid w:val="006E316D"/>
    <w:rsid w:val="006E37E4"/>
    <w:rsid w:val="006E387B"/>
    <w:rsid w:val="006E3BF5"/>
    <w:rsid w:val="006E3CC5"/>
    <w:rsid w:val="006E45FA"/>
    <w:rsid w:val="006E4880"/>
    <w:rsid w:val="006E4AF4"/>
    <w:rsid w:val="006E4C2A"/>
    <w:rsid w:val="006E4D57"/>
    <w:rsid w:val="006E505B"/>
    <w:rsid w:val="006E5160"/>
    <w:rsid w:val="006E5263"/>
    <w:rsid w:val="006E5314"/>
    <w:rsid w:val="006E539B"/>
    <w:rsid w:val="006E5BA8"/>
    <w:rsid w:val="006E5C73"/>
    <w:rsid w:val="006E5D6D"/>
    <w:rsid w:val="006E5E31"/>
    <w:rsid w:val="006E5F46"/>
    <w:rsid w:val="006E608F"/>
    <w:rsid w:val="006E6535"/>
    <w:rsid w:val="006E6BFA"/>
    <w:rsid w:val="006E7041"/>
    <w:rsid w:val="006E7298"/>
    <w:rsid w:val="006E72AC"/>
    <w:rsid w:val="006E7479"/>
    <w:rsid w:val="006E7A0E"/>
    <w:rsid w:val="006E7BDA"/>
    <w:rsid w:val="006F0155"/>
    <w:rsid w:val="006F057F"/>
    <w:rsid w:val="006F0B3A"/>
    <w:rsid w:val="006F12AB"/>
    <w:rsid w:val="006F14E7"/>
    <w:rsid w:val="006F1707"/>
    <w:rsid w:val="006F1AA6"/>
    <w:rsid w:val="006F1E4D"/>
    <w:rsid w:val="006F1F54"/>
    <w:rsid w:val="006F2976"/>
    <w:rsid w:val="006F29C7"/>
    <w:rsid w:val="006F2BE5"/>
    <w:rsid w:val="006F3B73"/>
    <w:rsid w:val="006F3F2D"/>
    <w:rsid w:val="006F4415"/>
    <w:rsid w:val="006F485B"/>
    <w:rsid w:val="006F4DD6"/>
    <w:rsid w:val="006F5798"/>
    <w:rsid w:val="006F5EBF"/>
    <w:rsid w:val="006F5F5C"/>
    <w:rsid w:val="006F6760"/>
    <w:rsid w:val="006F6DD0"/>
    <w:rsid w:val="006F6F6C"/>
    <w:rsid w:val="006F7249"/>
    <w:rsid w:val="006F7277"/>
    <w:rsid w:val="006F7322"/>
    <w:rsid w:val="006F7435"/>
    <w:rsid w:val="006F743C"/>
    <w:rsid w:val="006F74B3"/>
    <w:rsid w:val="006F7886"/>
    <w:rsid w:val="006F7EED"/>
    <w:rsid w:val="0070016A"/>
    <w:rsid w:val="0070016C"/>
    <w:rsid w:val="007007AF"/>
    <w:rsid w:val="00700994"/>
    <w:rsid w:val="00700B99"/>
    <w:rsid w:val="00700D5E"/>
    <w:rsid w:val="00700FB9"/>
    <w:rsid w:val="0070107E"/>
    <w:rsid w:val="007013EA"/>
    <w:rsid w:val="007015EF"/>
    <w:rsid w:val="007015FE"/>
    <w:rsid w:val="007017E0"/>
    <w:rsid w:val="007019D4"/>
    <w:rsid w:val="00701B5D"/>
    <w:rsid w:val="007020A4"/>
    <w:rsid w:val="00702212"/>
    <w:rsid w:val="0070248F"/>
    <w:rsid w:val="00702598"/>
    <w:rsid w:val="007027BD"/>
    <w:rsid w:val="00703896"/>
    <w:rsid w:val="00703D64"/>
    <w:rsid w:val="00703DC3"/>
    <w:rsid w:val="007040EB"/>
    <w:rsid w:val="0070419D"/>
    <w:rsid w:val="00704842"/>
    <w:rsid w:val="00704894"/>
    <w:rsid w:val="00704954"/>
    <w:rsid w:val="00705093"/>
    <w:rsid w:val="0070543E"/>
    <w:rsid w:val="00705503"/>
    <w:rsid w:val="00705FCB"/>
    <w:rsid w:val="00706137"/>
    <w:rsid w:val="00706447"/>
    <w:rsid w:val="007064FF"/>
    <w:rsid w:val="007065F1"/>
    <w:rsid w:val="00706B2B"/>
    <w:rsid w:val="00706E76"/>
    <w:rsid w:val="00706FE2"/>
    <w:rsid w:val="007075CE"/>
    <w:rsid w:val="00707614"/>
    <w:rsid w:val="007076AE"/>
    <w:rsid w:val="0070794D"/>
    <w:rsid w:val="007079C8"/>
    <w:rsid w:val="007100DB"/>
    <w:rsid w:val="0071066A"/>
    <w:rsid w:val="0071079C"/>
    <w:rsid w:val="00710D4A"/>
    <w:rsid w:val="0071102A"/>
    <w:rsid w:val="00711096"/>
    <w:rsid w:val="00711234"/>
    <w:rsid w:val="00711373"/>
    <w:rsid w:val="0071137F"/>
    <w:rsid w:val="00711850"/>
    <w:rsid w:val="00711999"/>
    <w:rsid w:val="007119DE"/>
    <w:rsid w:val="0071206C"/>
    <w:rsid w:val="0071219B"/>
    <w:rsid w:val="007121DB"/>
    <w:rsid w:val="007126A2"/>
    <w:rsid w:val="0071278C"/>
    <w:rsid w:val="00712C9E"/>
    <w:rsid w:val="00713BAE"/>
    <w:rsid w:val="00713BBE"/>
    <w:rsid w:val="00713BBF"/>
    <w:rsid w:val="00713DCD"/>
    <w:rsid w:val="00713E65"/>
    <w:rsid w:val="00714143"/>
    <w:rsid w:val="00714649"/>
    <w:rsid w:val="007151BF"/>
    <w:rsid w:val="007151ED"/>
    <w:rsid w:val="00715D01"/>
    <w:rsid w:val="00715D03"/>
    <w:rsid w:val="00715FDF"/>
    <w:rsid w:val="00716180"/>
    <w:rsid w:val="007165F8"/>
    <w:rsid w:val="007168C9"/>
    <w:rsid w:val="00716B10"/>
    <w:rsid w:val="00716FC9"/>
    <w:rsid w:val="0071718E"/>
    <w:rsid w:val="00717656"/>
    <w:rsid w:val="00717706"/>
    <w:rsid w:val="00717BD8"/>
    <w:rsid w:val="00717F82"/>
    <w:rsid w:val="00717FC7"/>
    <w:rsid w:val="00720005"/>
    <w:rsid w:val="00720061"/>
    <w:rsid w:val="00720188"/>
    <w:rsid w:val="007201DC"/>
    <w:rsid w:val="0072028E"/>
    <w:rsid w:val="00720B46"/>
    <w:rsid w:val="007214C1"/>
    <w:rsid w:val="0072182B"/>
    <w:rsid w:val="007222FA"/>
    <w:rsid w:val="00722322"/>
    <w:rsid w:val="00722B73"/>
    <w:rsid w:val="00722D0A"/>
    <w:rsid w:val="00723255"/>
    <w:rsid w:val="007232C1"/>
    <w:rsid w:val="007234D5"/>
    <w:rsid w:val="007243D0"/>
    <w:rsid w:val="00724A46"/>
    <w:rsid w:val="00724B39"/>
    <w:rsid w:val="00724BB4"/>
    <w:rsid w:val="00724D54"/>
    <w:rsid w:val="00724DA7"/>
    <w:rsid w:val="00725817"/>
    <w:rsid w:val="00725D2A"/>
    <w:rsid w:val="00725DE4"/>
    <w:rsid w:val="00726928"/>
    <w:rsid w:val="00726A1C"/>
    <w:rsid w:val="00726BC7"/>
    <w:rsid w:val="00726C4B"/>
    <w:rsid w:val="00726F64"/>
    <w:rsid w:val="007270AC"/>
    <w:rsid w:val="007273E8"/>
    <w:rsid w:val="00727534"/>
    <w:rsid w:val="00727FB3"/>
    <w:rsid w:val="00730311"/>
    <w:rsid w:val="007306AC"/>
    <w:rsid w:val="0073071B"/>
    <w:rsid w:val="00730E9A"/>
    <w:rsid w:val="0073136F"/>
    <w:rsid w:val="00731BA9"/>
    <w:rsid w:val="00731E61"/>
    <w:rsid w:val="00731EBD"/>
    <w:rsid w:val="0073240F"/>
    <w:rsid w:val="007325EB"/>
    <w:rsid w:val="007326D9"/>
    <w:rsid w:val="00732A6A"/>
    <w:rsid w:val="00732CC9"/>
    <w:rsid w:val="00732E1E"/>
    <w:rsid w:val="00732E58"/>
    <w:rsid w:val="00733BCE"/>
    <w:rsid w:val="00733BF7"/>
    <w:rsid w:val="0073417E"/>
    <w:rsid w:val="00734AF0"/>
    <w:rsid w:val="00734DB2"/>
    <w:rsid w:val="00735558"/>
    <w:rsid w:val="00735753"/>
    <w:rsid w:val="00735A48"/>
    <w:rsid w:val="00735CA1"/>
    <w:rsid w:val="007360DB"/>
    <w:rsid w:val="00736703"/>
    <w:rsid w:val="007368C9"/>
    <w:rsid w:val="00736D22"/>
    <w:rsid w:val="007374BE"/>
    <w:rsid w:val="0073750D"/>
    <w:rsid w:val="00737618"/>
    <w:rsid w:val="00737BAF"/>
    <w:rsid w:val="00737DA3"/>
    <w:rsid w:val="007403C0"/>
    <w:rsid w:val="00740C3C"/>
    <w:rsid w:val="00740DA7"/>
    <w:rsid w:val="00741182"/>
    <w:rsid w:val="0074134A"/>
    <w:rsid w:val="00741DA7"/>
    <w:rsid w:val="00741E82"/>
    <w:rsid w:val="007421FC"/>
    <w:rsid w:val="00742A71"/>
    <w:rsid w:val="00742B6A"/>
    <w:rsid w:val="00742E66"/>
    <w:rsid w:val="00743449"/>
    <w:rsid w:val="0074347F"/>
    <w:rsid w:val="00743712"/>
    <w:rsid w:val="0074374A"/>
    <w:rsid w:val="00743D77"/>
    <w:rsid w:val="00743D9B"/>
    <w:rsid w:val="00743F42"/>
    <w:rsid w:val="007440AC"/>
    <w:rsid w:val="00744127"/>
    <w:rsid w:val="00744666"/>
    <w:rsid w:val="007449AA"/>
    <w:rsid w:val="0074507A"/>
    <w:rsid w:val="0074541A"/>
    <w:rsid w:val="00745911"/>
    <w:rsid w:val="00745BDB"/>
    <w:rsid w:val="00745CC7"/>
    <w:rsid w:val="00745D45"/>
    <w:rsid w:val="0074621D"/>
    <w:rsid w:val="0074668E"/>
    <w:rsid w:val="00746772"/>
    <w:rsid w:val="00746928"/>
    <w:rsid w:val="00746C44"/>
    <w:rsid w:val="007476C5"/>
    <w:rsid w:val="00747BF4"/>
    <w:rsid w:val="00747D67"/>
    <w:rsid w:val="00747F5F"/>
    <w:rsid w:val="0075016A"/>
    <w:rsid w:val="007508CB"/>
    <w:rsid w:val="00750BB5"/>
    <w:rsid w:val="00750C00"/>
    <w:rsid w:val="00750E36"/>
    <w:rsid w:val="007514D7"/>
    <w:rsid w:val="0075176E"/>
    <w:rsid w:val="007518A0"/>
    <w:rsid w:val="00751EB1"/>
    <w:rsid w:val="007525E9"/>
    <w:rsid w:val="00752B62"/>
    <w:rsid w:val="00752E4E"/>
    <w:rsid w:val="007531AE"/>
    <w:rsid w:val="007531EA"/>
    <w:rsid w:val="007532DB"/>
    <w:rsid w:val="00753334"/>
    <w:rsid w:val="007533DB"/>
    <w:rsid w:val="00753B29"/>
    <w:rsid w:val="00753E81"/>
    <w:rsid w:val="007545F9"/>
    <w:rsid w:val="0075468E"/>
    <w:rsid w:val="0075493C"/>
    <w:rsid w:val="00755015"/>
    <w:rsid w:val="0075556A"/>
    <w:rsid w:val="007555B8"/>
    <w:rsid w:val="00755A45"/>
    <w:rsid w:val="00755A48"/>
    <w:rsid w:val="00755E12"/>
    <w:rsid w:val="0075607B"/>
    <w:rsid w:val="0075627A"/>
    <w:rsid w:val="007569CD"/>
    <w:rsid w:val="00756D91"/>
    <w:rsid w:val="007576C8"/>
    <w:rsid w:val="00757E37"/>
    <w:rsid w:val="0076016B"/>
    <w:rsid w:val="007605E9"/>
    <w:rsid w:val="00760C23"/>
    <w:rsid w:val="00760F67"/>
    <w:rsid w:val="0076195D"/>
    <w:rsid w:val="00761C8D"/>
    <w:rsid w:val="00761D0A"/>
    <w:rsid w:val="00761F26"/>
    <w:rsid w:val="0076238E"/>
    <w:rsid w:val="00762D34"/>
    <w:rsid w:val="00762EE1"/>
    <w:rsid w:val="00763047"/>
    <w:rsid w:val="007633BA"/>
    <w:rsid w:val="00763BA7"/>
    <w:rsid w:val="00763C66"/>
    <w:rsid w:val="0076434A"/>
    <w:rsid w:val="00764498"/>
    <w:rsid w:val="007645C8"/>
    <w:rsid w:val="0076503D"/>
    <w:rsid w:val="007650AF"/>
    <w:rsid w:val="007653D7"/>
    <w:rsid w:val="00765ED2"/>
    <w:rsid w:val="007664AD"/>
    <w:rsid w:val="007667EF"/>
    <w:rsid w:val="00766EAA"/>
    <w:rsid w:val="0076795D"/>
    <w:rsid w:val="00767C82"/>
    <w:rsid w:val="00767DB2"/>
    <w:rsid w:val="007706B7"/>
    <w:rsid w:val="007706DD"/>
    <w:rsid w:val="00770BE5"/>
    <w:rsid w:val="00770F88"/>
    <w:rsid w:val="00771174"/>
    <w:rsid w:val="00771AEF"/>
    <w:rsid w:val="00771E3A"/>
    <w:rsid w:val="00772109"/>
    <w:rsid w:val="00772303"/>
    <w:rsid w:val="0077239F"/>
    <w:rsid w:val="0077264C"/>
    <w:rsid w:val="00772D5C"/>
    <w:rsid w:val="007732EC"/>
    <w:rsid w:val="0077377A"/>
    <w:rsid w:val="0077378B"/>
    <w:rsid w:val="0077384F"/>
    <w:rsid w:val="00773A19"/>
    <w:rsid w:val="00773B23"/>
    <w:rsid w:val="00773CE3"/>
    <w:rsid w:val="00773DA6"/>
    <w:rsid w:val="007740DC"/>
    <w:rsid w:val="00774502"/>
    <w:rsid w:val="00774A58"/>
    <w:rsid w:val="00775372"/>
    <w:rsid w:val="007753C5"/>
    <w:rsid w:val="00775720"/>
    <w:rsid w:val="0077638E"/>
    <w:rsid w:val="007767C6"/>
    <w:rsid w:val="007770EA"/>
    <w:rsid w:val="007776B0"/>
    <w:rsid w:val="00777962"/>
    <w:rsid w:val="007801DF"/>
    <w:rsid w:val="0078032D"/>
    <w:rsid w:val="00780AF8"/>
    <w:rsid w:val="00780D3F"/>
    <w:rsid w:val="007810AC"/>
    <w:rsid w:val="00781259"/>
    <w:rsid w:val="007812E7"/>
    <w:rsid w:val="007813D8"/>
    <w:rsid w:val="007813FB"/>
    <w:rsid w:val="0078149D"/>
    <w:rsid w:val="00781AA6"/>
    <w:rsid w:val="00781AF9"/>
    <w:rsid w:val="00781C60"/>
    <w:rsid w:val="00782228"/>
    <w:rsid w:val="007825DB"/>
    <w:rsid w:val="00782601"/>
    <w:rsid w:val="00782A2A"/>
    <w:rsid w:val="00782F80"/>
    <w:rsid w:val="007833EE"/>
    <w:rsid w:val="0078374B"/>
    <w:rsid w:val="0078385B"/>
    <w:rsid w:val="00783A6F"/>
    <w:rsid w:val="00783ABB"/>
    <w:rsid w:val="00783C67"/>
    <w:rsid w:val="00783C90"/>
    <w:rsid w:val="00783D28"/>
    <w:rsid w:val="00783EBB"/>
    <w:rsid w:val="00784495"/>
    <w:rsid w:val="007849BB"/>
    <w:rsid w:val="00784A40"/>
    <w:rsid w:val="00784A90"/>
    <w:rsid w:val="00784B8F"/>
    <w:rsid w:val="00784E44"/>
    <w:rsid w:val="00784EA3"/>
    <w:rsid w:val="00784F95"/>
    <w:rsid w:val="00785184"/>
    <w:rsid w:val="00785570"/>
    <w:rsid w:val="00785680"/>
    <w:rsid w:val="0078585D"/>
    <w:rsid w:val="00785A4E"/>
    <w:rsid w:val="00785C72"/>
    <w:rsid w:val="00785D92"/>
    <w:rsid w:val="00785F7B"/>
    <w:rsid w:val="00786418"/>
    <w:rsid w:val="00786982"/>
    <w:rsid w:val="00786B8D"/>
    <w:rsid w:val="00786F00"/>
    <w:rsid w:val="0078710B"/>
    <w:rsid w:val="00787624"/>
    <w:rsid w:val="00787FCA"/>
    <w:rsid w:val="007900F8"/>
    <w:rsid w:val="00790246"/>
    <w:rsid w:val="007902A6"/>
    <w:rsid w:val="00790D8D"/>
    <w:rsid w:val="00790ECD"/>
    <w:rsid w:val="00790F05"/>
    <w:rsid w:val="00790FEA"/>
    <w:rsid w:val="00791860"/>
    <w:rsid w:val="00791E13"/>
    <w:rsid w:val="00792183"/>
    <w:rsid w:val="0079220A"/>
    <w:rsid w:val="00792470"/>
    <w:rsid w:val="007928DD"/>
    <w:rsid w:val="00792B94"/>
    <w:rsid w:val="00792C90"/>
    <w:rsid w:val="00792E89"/>
    <w:rsid w:val="00792F02"/>
    <w:rsid w:val="00793697"/>
    <w:rsid w:val="0079385B"/>
    <w:rsid w:val="00794353"/>
    <w:rsid w:val="007949EB"/>
    <w:rsid w:val="00794B32"/>
    <w:rsid w:val="00795029"/>
    <w:rsid w:val="0079503C"/>
    <w:rsid w:val="007950F9"/>
    <w:rsid w:val="007952DD"/>
    <w:rsid w:val="0079560A"/>
    <w:rsid w:val="00795760"/>
    <w:rsid w:val="00795856"/>
    <w:rsid w:val="007959CD"/>
    <w:rsid w:val="00795E76"/>
    <w:rsid w:val="007967DF"/>
    <w:rsid w:val="00796A2F"/>
    <w:rsid w:val="00796CF3"/>
    <w:rsid w:val="00796F93"/>
    <w:rsid w:val="007973A3"/>
    <w:rsid w:val="007975E2"/>
    <w:rsid w:val="00797C12"/>
    <w:rsid w:val="00797F14"/>
    <w:rsid w:val="007A0663"/>
    <w:rsid w:val="007A0713"/>
    <w:rsid w:val="007A084B"/>
    <w:rsid w:val="007A0897"/>
    <w:rsid w:val="007A0A53"/>
    <w:rsid w:val="007A0C3D"/>
    <w:rsid w:val="007A1216"/>
    <w:rsid w:val="007A199E"/>
    <w:rsid w:val="007A19FC"/>
    <w:rsid w:val="007A1BA0"/>
    <w:rsid w:val="007A1D34"/>
    <w:rsid w:val="007A1FA6"/>
    <w:rsid w:val="007A249D"/>
    <w:rsid w:val="007A24E5"/>
    <w:rsid w:val="007A34B0"/>
    <w:rsid w:val="007A364E"/>
    <w:rsid w:val="007A3C2A"/>
    <w:rsid w:val="007A416F"/>
    <w:rsid w:val="007A4292"/>
    <w:rsid w:val="007A4D6A"/>
    <w:rsid w:val="007A5018"/>
    <w:rsid w:val="007A547C"/>
    <w:rsid w:val="007A5592"/>
    <w:rsid w:val="007A6138"/>
    <w:rsid w:val="007A63C2"/>
    <w:rsid w:val="007A6A51"/>
    <w:rsid w:val="007A6CDE"/>
    <w:rsid w:val="007A71D1"/>
    <w:rsid w:val="007A72C0"/>
    <w:rsid w:val="007A7697"/>
    <w:rsid w:val="007A7B8B"/>
    <w:rsid w:val="007B0273"/>
    <w:rsid w:val="007B02E5"/>
    <w:rsid w:val="007B1111"/>
    <w:rsid w:val="007B114E"/>
    <w:rsid w:val="007B15C3"/>
    <w:rsid w:val="007B1783"/>
    <w:rsid w:val="007B1CD5"/>
    <w:rsid w:val="007B20F5"/>
    <w:rsid w:val="007B2E5B"/>
    <w:rsid w:val="007B30DB"/>
    <w:rsid w:val="007B32E2"/>
    <w:rsid w:val="007B4028"/>
    <w:rsid w:val="007B4412"/>
    <w:rsid w:val="007B448B"/>
    <w:rsid w:val="007B4717"/>
    <w:rsid w:val="007B4A38"/>
    <w:rsid w:val="007B4E17"/>
    <w:rsid w:val="007B4E80"/>
    <w:rsid w:val="007B4EE0"/>
    <w:rsid w:val="007B4F92"/>
    <w:rsid w:val="007B55BE"/>
    <w:rsid w:val="007B55F8"/>
    <w:rsid w:val="007B5786"/>
    <w:rsid w:val="007B5993"/>
    <w:rsid w:val="007B5B1A"/>
    <w:rsid w:val="007B5F38"/>
    <w:rsid w:val="007B6ABC"/>
    <w:rsid w:val="007B6FAA"/>
    <w:rsid w:val="007B774B"/>
    <w:rsid w:val="007B78F8"/>
    <w:rsid w:val="007B7945"/>
    <w:rsid w:val="007B7A9E"/>
    <w:rsid w:val="007B7ACE"/>
    <w:rsid w:val="007C092F"/>
    <w:rsid w:val="007C10CD"/>
    <w:rsid w:val="007C1A01"/>
    <w:rsid w:val="007C1A0C"/>
    <w:rsid w:val="007C1B19"/>
    <w:rsid w:val="007C1C75"/>
    <w:rsid w:val="007C1E88"/>
    <w:rsid w:val="007C2166"/>
    <w:rsid w:val="007C2500"/>
    <w:rsid w:val="007C2A44"/>
    <w:rsid w:val="007C30F4"/>
    <w:rsid w:val="007C3104"/>
    <w:rsid w:val="007C3250"/>
    <w:rsid w:val="007C359F"/>
    <w:rsid w:val="007C36BA"/>
    <w:rsid w:val="007C3965"/>
    <w:rsid w:val="007C3CB9"/>
    <w:rsid w:val="007C42FA"/>
    <w:rsid w:val="007C43BB"/>
    <w:rsid w:val="007C5145"/>
    <w:rsid w:val="007C540E"/>
    <w:rsid w:val="007C56C9"/>
    <w:rsid w:val="007C590E"/>
    <w:rsid w:val="007C597B"/>
    <w:rsid w:val="007C5E6D"/>
    <w:rsid w:val="007C5EF4"/>
    <w:rsid w:val="007C6199"/>
    <w:rsid w:val="007C624B"/>
    <w:rsid w:val="007C6724"/>
    <w:rsid w:val="007C6959"/>
    <w:rsid w:val="007C6D4C"/>
    <w:rsid w:val="007C6E67"/>
    <w:rsid w:val="007C6E81"/>
    <w:rsid w:val="007C6FFB"/>
    <w:rsid w:val="007C726E"/>
    <w:rsid w:val="007C7559"/>
    <w:rsid w:val="007C77DC"/>
    <w:rsid w:val="007C7866"/>
    <w:rsid w:val="007C78E7"/>
    <w:rsid w:val="007C7FCD"/>
    <w:rsid w:val="007D0217"/>
    <w:rsid w:val="007D086E"/>
    <w:rsid w:val="007D1298"/>
    <w:rsid w:val="007D16FD"/>
    <w:rsid w:val="007D1A24"/>
    <w:rsid w:val="007D1A7F"/>
    <w:rsid w:val="007D1E99"/>
    <w:rsid w:val="007D224D"/>
    <w:rsid w:val="007D22E3"/>
    <w:rsid w:val="007D2429"/>
    <w:rsid w:val="007D29E1"/>
    <w:rsid w:val="007D2AA9"/>
    <w:rsid w:val="007D392C"/>
    <w:rsid w:val="007D3B16"/>
    <w:rsid w:val="007D3CB2"/>
    <w:rsid w:val="007D3DDB"/>
    <w:rsid w:val="007D3E10"/>
    <w:rsid w:val="007D3F48"/>
    <w:rsid w:val="007D4106"/>
    <w:rsid w:val="007D424D"/>
    <w:rsid w:val="007D426D"/>
    <w:rsid w:val="007D43A4"/>
    <w:rsid w:val="007D43DF"/>
    <w:rsid w:val="007D43E8"/>
    <w:rsid w:val="007D4A28"/>
    <w:rsid w:val="007D4AD6"/>
    <w:rsid w:val="007D56D2"/>
    <w:rsid w:val="007D5F4D"/>
    <w:rsid w:val="007D6179"/>
    <w:rsid w:val="007D6A3B"/>
    <w:rsid w:val="007D6BC2"/>
    <w:rsid w:val="007D6DA6"/>
    <w:rsid w:val="007D73B6"/>
    <w:rsid w:val="007D7898"/>
    <w:rsid w:val="007D7C86"/>
    <w:rsid w:val="007D7DF9"/>
    <w:rsid w:val="007E0071"/>
    <w:rsid w:val="007E0163"/>
    <w:rsid w:val="007E01E7"/>
    <w:rsid w:val="007E0583"/>
    <w:rsid w:val="007E0674"/>
    <w:rsid w:val="007E06CF"/>
    <w:rsid w:val="007E089F"/>
    <w:rsid w:val="007E08A1"/>
    <w:rsid w:val="007E18EE"/>
    <w:rsid w:val="007E1B74"/>
    <w:rsid w:val="007E1E7E"/>
    <w:rsid w:val="007E2228"/>
    <w:rsid w:val="007E222C"/>
    <w:rsid w:val="007E29DF"/>
    <w:rsid w:val="007E2C3F"/>
    <w:rsid w:val="007E2FBE"/>
    <w:rsid w:val="007E33A3"/>
    <w:rsid w:val="007E3A63"/>
    <w:rsid w:val="007E3B76"/>
    <w:rsid w:val="007E3BE2"/>
    <w:rsid w:val="007E3C96"/>
    <w:rsid w:val="007E3D7C"/>
    <w:rsid w:val="007E3DE9"/>
    <w:rsid w:val="007E4326"/>
    <w:rsid w:val="007E460B"/>
    <w:rsid w:val="007E4881"/>
    <w:rsid w:val="007E49AB"/>
    <w:rsid w:val="007E4DD8"/>
    <w:rsid w:val="007E4EE3"/>
    <w:rsid w:val="007E59CD"/>
    <w:rsid w:val="007E5BE5"/>
    <w:rsid w:val="007E5E87"/>
    <w:rsid w:val="007E6AEF"/>
    <w:rsid w:val="007E6D18"/>
    <w:rsid w:val="007E6E28"/>
    <w:rsid w:val="007E770C"/>
    <w:rsid w:val="007E77CC"/>
    <w:rsid w:val="007E7B83"/>
    <w:rsid w:val="007E7C18"/>
    <w:rsid w:val="007E7EAE"/>
    <w:rsid w:val="007F0504"/>
    <w:rsid w:val="007F07CF"/>
    <w:rsid w:val="007F0983"/>
    <w:rsid w:val="007F1557"/>
    <w:rsid w:val="007F15A7"/>
    <w:rsid w:val="007F1CD4"/>
    <w:rsid w:val="007F20E6"/>
    <w:rsid w:val="007F2670"/>
    <w:rsid w:val="007F27E0"/>
    <w:rsid w:val="007F2E4D"/>
    <w:rsid w:val="007F3019"/>
    <w:rsid w:val="007F3084"/>
    <w:rsid w:val="007F3104"/>
    <w:rsid w:val="007F346D"/>
    <w:rsid w:val="007F358F"/>
    <w:rsid w:val="007F3D5E"/>
    <w:rsid w:val="007F3FA2"/>
    <w:rsid w:val="007F4498"/>
    <w:rsid w:val="007F4689"/>
    <w:rsid w:val="007F4D82"/>
    <w:rsid w:val="007F530F"/>
    <w:rsid w:val="007F5874"/>
    <w:rsid w:val="007F5F19"/>
    <w:rsid w:val="007F5FAD"/>
    <w:rsid w:val="007F6A80"/>
    <w:rsid w:val="007F74C9"/>
    <w:rsid w:val="007F770E"/>
    <w:rsid w:val="007F7A8C"/>
    <w:rsid w:val="00800034"/>
    <w:rsid w:val="0080013E"/>
    <w:rsid w:val="00800347"/>
    <w:rsid w:val="00800525"/>
    <w:rsid w:val="00800CC1"/>
    <w:rsid w:val="0080116C"/>
    <w:rsid w:val="0080173C"/>
    <w:rsid w:val="00801B24"/>
    <w:rsid w:val="00801B3D"/>
    <w:rsid w:val="008020AB"/>
    <w:rsid w:val="0080278B"/>
    <w:rsid w:val="008028D1"/>
    <w:rsid w:val="00802E8E"/>
    <w:rsid w:val="00802F90"/>
    <w:rsid w:val="008034DC"/>
    <w:rsid w:val="008038B6"/>
    <w:rsid w:val="00803914"/>
    <w:rsid w:val="00803BA7"/>
    <w:rsid w:val="00803C0D"/>
    <w:rsid w:val="00803CEF"/>
    <w:rsid w:val="00803D30"/>
    <w:rsid w:val="00803ECC"/>
    <w:rsid w:val="00803ED7"/>
    <w:rsid w:val="00804028"/>
    <w:rsid w:val="0080421E"/>
    <w:rsid w:val="008043F4"/>
    <w:rsid w:val="008045B5"/>
    <w:rsid w:val="00804A6A"/>
    <w:rsid w:val="00805189"/>
    <w:rsid w:val="008051B3"/>
    <w:rsid w:val="0080564A"/>
    <w:rsid w:val="008057EB"/>
    <w:rsid w:val="00805C91"/>
    <w:rsid w:val="00806017"/>
    <w:rsid w:val="008062B1"/>
    <w:rsid w:val="00806490"/>
    <w:rsid w:val="0080658B"/>
    <w:rsid w:val="0080677F"/>
    <w:rsid w:val="0080699C"/>
    <w:rsid w:val="00807444"/>
    <w:rsid w:val="0080754D"/>
    <w:rsid w:val="008079A2"/>
    <w:rsid w:val="00807B88"/>
    <w:rsid w:val="008100B5"/>
    <w:rsid w:val="008104D0"/>
    <w:rsid w:val="00810E51"/>
    <w:rsid w:val="00811104"/>
    <w:rsid w:val="00811189"/>
    <w:rsid w:val="008113AF"/>
    <w:rsid w:val="00811D07"/>
    <w:rsid w:val="0081223E"/>
    <w:rsid w:val="00812300"/>
    <w:rsid w:val="008128E2"/>
    <w:rsid w:val="008129B0"/>
    <w:rsid w:val="00813823"/>
    <w:rsid w:val="00813AAF"/>
    <w:rsid w:val="00813ACE"/>
    <w:rsid w:val="00813D26"/>
    <w:rsid w:val="008141D4"/>
    <w:rsid w:val="008148FA"/>
    <w:rsid w:val="008152FB"/>
    <w:rsid w:val="00815473"/>
    <w:rsid w:val="0081593A"/>
    <w:rsid w:val="00816066"/>
    <w:rsid w:val="008161F7"/>
    <w:rsid w:val="00816319"/>
    <w:rsid w:val="008168B2"/>
    <w:rsid w:val="00816D29"/>
    <w:rsid w:val="0081716F"/>
    <w:rsid w:val="00817284"/>
    <w:rsid w:val="008178A8"/>
    <w:rsid w:val="00817E92"/>
    <w:rsid w:val="008203DB"/>
    <w:rsid w:val="00820DBA"/>
    <w:rsid w:val="00820F50"/>
    <w:rsid w:val="0082122B"/>
    <w:rsid w:val="00821399"/>
    <w:rsid w:val="00821642"/>
    <w:rsid w:val="00821A72"/>
    <w:rsid w:val="00822009"/>
    <w:rsid w:val="00822683"/>
    <w:rsid w:val="00822E4A"/>
    <w:rsid w:val="008230AA"/>
    <w:rsid w:val="00823726"/>
    <w:rsid w:val="0082374B"/>
    <w:rsid w:val="00823D46"/>
    <w:rsid w:val="00824150"/>
    <w:rsid w:val="00824478"/>
    <w:rsid w:val="00824810"/>
    <w:rsid w:val="008248A0"/>
    <w:rsid w:val="0082514C"/>
    <w:rsid w:val="0082536E"/>
    <w:rsid w:val="0082547F"/>
    <w:rsid w:val="0082549E"/>
    <w:rsid w:val="00825CFF"/>
    <w:rsid w:val="00825E31"/>
    <w:rsid w:val="00826644"/>
    <w:rsid w:val="00826C82"/>
    <w:rsid w:val="00827019"/>
    <w:rsid w:val="008271CD"/>
    <w:rsid w:val="00827257"/>
    <w:rsid w:val="008279AF"/>
    <w:rsid w:val="00827C07"/>
    <w:rsid w:val="00827CF5"/>
    <w:rsid w:val="00827DEA"/>
    <w:rsid w:val="00827EBA"/>
    <w:rsid w:val="0083002A"/>
    <w:rsid w:val="0083054F"/>
    <w:rsid w:val="00831303"/>
    <w:rsid w:val="0083130C"/>
    <w:rsid w:val="00831494"/>
    <w:rsid w:val="00831637"/>
    <w:rsid w:val="00832727"/>
    <w:rsid w:val="00832793"/>
    <w:rsid w:val="008327EB"/>
    <w:rsid w:val="0083289C"/>
    <w:rsid w:val="008328AF"/>
    <w:rsid w:val="00832C64"/>
    <w:rsid w:val="00832C9D"/>
    <w:rsid w:val="00833260"/>
    <w:rsid w:val="008333B8"/>
    <w:rsid w:val="0083345E"/>
    <w:rsid w:val="008349CC"/>
    <w:rsid w:val="00834A9D"/>
    <w:rsid w:val="00834D9A"/>
    <w:rsid w:val="00835049"/>
    <w:rsid w:val="008352A4"/>
    <w:rsid w:val="008354AA"/>
    <w:rsid w:val="00835908"/>
    <w:rsid w:val="00835C9A"/>
    <w:rsid w:val="008367B9"/>
    <w:rsid w:val="00836921"/>
    <w:rsid w:val="00836A5A"/>
    <w:rsid w:val="00836A6F"/>
    <w:rsid w:val="00836C65"/>
    <w:rsid w:val="008371EF"/>
    <w:rsid w:val="00837703"/>
    <w:rsid w:val="00837707"/>
    <w:rsid w:val="008379A4"/>
    <w:rsid w:val="00837B66"/>
    <w:rsid w:val="008402BE"/>
    <w:rsid w:val="00840411"/>
    <w:rsid w:val="00840697"/>
    <w:rsid w:val="008409CC"/>
    <w:rsid w:val="00840D50"/>
    <w:rsid w:val="00840D60"/>
    <w:rsid w:val="00840D73"/>
    <w:rsid w:val="0084104B"/>
    <w:rsid w:val="008419F0"/>
    <w:rsid w:val="00841A72"/>
    <w:rsid w:val="00841B76"/>
    <w:rsid w:val="00841B98"/>
    <w:rsid w:val="00842339"/>
    <w:rsid w:val="00842765"/>
    <w:rsid w:val="00842F67"/>
    <w:rsid w:val="00843E07"/>
    <w:rsid w:val="00844231"/>
    <w:rsid w:val="008442BD"/>
    <w:rsid w:val="0084430E"/>
    <w:rsid w:val="00844CB0"/>
    <w:rsid w:val="00844D8E"/>
    <w:rsid w:val="00844F02"/>
    <w:rsid w:val="008450F7"/>
    <w:rsid w:val="00845311"/>
    <w:rsid w:val="00845770"/>
    <w:rsid w:val="00845893"/>
    <w:rsid w:val="0084634E"/>
    <w:rsid w:val="00846672"/>
    <w:rsid w:val="00846817"/>
    <w:rsid w:val="008468DB"/>
    <w:rsid w:val="008468DD"/>
    <w:rsid w:val="00847500"/>
    <w:rsid w:val="0084769F"/>
    <w:rsid w:val="008477D0"/>
    <w:rsid w:val="008478BA"/>
    <w:rsid w:val="00847E0B"/>
    <w:rsid w:val="00850162"/>
    <w:rsid w:val="00850786"/>
    <w:rsid w:val="008508B8"/>
    <w:rsid w:val="008509B2"/>
    <w:rsid w:val="00850A60"/>
    <w:rsid w:val="00850D62"/>
    <w:rsid w:val="00850EC5"/>
    <w:rsid w:val="00850FA4"/>
    <w:rsid w:val="008512EE"/>
    <w:rsid w:val="00851322"/>
    <w:rsid w:val="008513F3"/>
    <w:rsid w:val="0085180C"/>
    <w:rsid w:val="00851BDD"/>
    <w:rsid w:val="00851E77"/>
    <w:rsid w:val="00852B7D"/>
    <w:rsid w:val="00853955"/>
    <w:rsid w:val="00853F52"/>
    <w:rsid w:val="0085411A"/>
    <w:rsid w:val="00854443"/>
    <w:rsid w:val="008546B4"/>
    <w:rsid w:val="008547F8"/>
    <w:rsid w:val="008548A0"/>
    <w:rsid w:val="00854D9F"/>
    <w:rsid w:val="008553BE"/>
    <w:rsid w:val="00855D88"/>
    <w:rsid w:val="00855E19"/>
    <w:rsid w:val="00855F30"/>
    <w:rsid w:val="00855FA9"/>
    <w:rsid w:val="008569D6"/>
    <w:rsid w:val="00856E43"/>
    <w:rsid w:val="00857697"/>
    <w:rsid w:val="008576FA"/>
    <w:rsid w:val="00857736"/>
    <w:rsid w:val="008577C9"/>
    <w:rsid w:val="00857C94"/>
    <w:rsid w:val="00857EC8"/>
    <w:rsid w:val="00857F23"/>
    <w:rsid w:val="00860132"/>
    <w:rsid w:val="0086016C"/>
    <w:rsid w:val="00860608"/>
    <w:rsid w:val="00860CDE"/>
    <w:rsid w:val="00860D8D"/>
    <w:rsid w:val="00860DB3"/>
    <w:rsid w:val="0086117B"/>
    <w:rsid w:val="0086130F"/>
    <w:rsid w:val="008619F5"/>
    <w:rsid w:val="00861B24"/>
    <w:rsid w:val="00861D41"/>
    <w:rsid w:val="00861F56"/>
    <w:rsid w:val="00862120"/>
    <w:rsid w:val="00862172"/>
    <w:rsid w:val="00862422"/>
    <w:rsid w:val="00862586"/>
    <w:rsid w:val="00862AA4"/>
    <w:rsid w:val="00862BAB"/>
    <w:rsid w:val="00862FE1"/>
    <w:rsid w:val="00863558"/>
    <w:rsid w:val="0086378C"/>
    <w:rsid w:val="00863ADE"/>
    <w:rsid w:val="00863D2A"/>
    <w:rsid w:val="00863E6D"/>
    <w:rsid w:val="0086422F"/>
    <w:rsid w:val="00864357"/>
    <w:rsid w:val="00864455"/>
    <w:rsid w:val="00864A66"/>
    <w:rsid w:val="00864C05"/>
    <w:rsid w:val="00864C17"/>
    <w:rsid w:val="00864DD3"/>
    <w:rsid w:val="00864FA4"/>
    <w:rsid w:val="008653BB"/>
    <w:rsid w:val="008653CC"/>
    <w:rsid w:val="00865AC5"/>
    <w:rsid w:val="0086629A"/>
    <w:rsid w:val="008662DA"/>
    <w:rsid w:val="008664D8"/>
    <w:rsid w:val="008665FA"/>
    <w:rsid w:val="00866FAC"/>
    <w:rsid w:val="0086716E"/>
    <w:rsid w:val="0086742A"/>
    <w:rsid w:val="008674C2"/>
    <w:rsid w:val="008675E7"/>
    <w:rsid w:val="008676AC"/>
    <w:rsid w:val="0086790A"/>
    <w:rsid w:val="00867C86"/>
    <w:rsid w:val="00867EE7"/>
    <w:rsid w:val="008703F5"/>
    <w:rsid w:val="00870730"/>
    <w:rsid w:val="00870D30"/>
    <w:rsid w:val="00870F50"/>
    <w:rsid w:val="0087113D"/>
    <w:rsid w:val="00871945"/>
    <w:rsid w:val="00871E26"/>
    <w:rsid w:val="00871FB1"/>
    <w:rsid w:val="00872A39"/>
    <w:rsid w:val="00872B1A"/>
    <w:rsid w:val="00873573"/>
    <w:rsid w:val="0087363E"/>
    <w:rsid w:val="008737D0"/>
    <w:rsid w:val="00873A34"/>
    <w:rsid w:val="00873AAA"/>
    <w:rsid w:val="00873B5C"/>
    <w:rsid w:val="00874173"/>
    <w:rsid w:val="0087471D"/>
    <w:rsid w:val="00875575"/>
    <w:rsid w:val="0087578D"/>
    <w:rsid w:val="00876351"/>
    <w:rsid w:val="00876727"/>
    <w:rsid w:val="00877032"/>
    <w:rsid w:val="008772A1"/>
    <w:rsid w:val="00877411"/>
    <w:rsid w:val="00877823"/>
    <w:rsid w:val="0087787C"/>
    <w:rsid w:val="00877F3E"/>
    <w:rsid w:val="00880037"/>
    <w:rsid w:val="008804B9"/>
    <w:rsid w:val="00880A6B"/>
    <w:rsid w:val="00880BDF"/>
    <w:rsid w:val="00880F9D"/>
    <w:rsid w:val="00881045"/>
    <w:rsid w:val="008816EF"/>
    <w:rsid w:val="00881795"/>
    <w:rsid w:val="00881EFB"/>
    <w:rsid w:val="008821CD"/>
    <w:rsid w:val="00882721"/>
    <w:rsid w:val="0088297C"/>
    <w:rsid w:val="00882B68"/>
    <w:rsid w:val="00882BF7"/>
    <w:rsid w:val="00882DE7"/>
    <w:rsid w:val="00883264"/>
    <w:rsid w:val="00883727"/>
    <w:rsid w:val="00883A5B"/>
    <w:rsid w:val="00883EBE"/>
    <w:rsid w:val="008844F9"/>
    <w:rsid w:val="00884655"/>
    <w:rsid w:val="00884BE8"/>
    <w:rsid w:val="00884CC7"/>
    <w:rsid w:val="008856A9"/>
    <w:rsid w:val="00886187"/>
    <w:rsid w:val="008861FD"/>
    <w:rsid w:val="008865C3"/>
    <w:rsid w:val="00886671"/>
    <w:rsid w:val="00887232"/>
    <w:rsid w:val="008873CC"/>
    <w:rsid w:val="008876C4"/>
    <w:rsid w:val="00887D82"/>
    <w:rsid w:val="0089019F"/>
    <w:rsid w:val="008902A7"/>
    <w:rsid w:val="008903F0"/>
    <w:rsid w:val="0089079A"/>
    <w:rsid w:val="00890BF9"/>
    <w:rsid w:val="00891205"/>
    <w:rsid w:val="0089129D"/>
    <w:rsid w:val="0089158A"/>
    <w:rsid w:val="00891BEA"/>
    <w:rsid w:val="00891D20"/>
    <w:rsid w:val="00892708"/>
    <w:rsid w:val="00892807"/>
    <w:rsid w:val="00892959"/>
    <w:rsid w:val="00893533"/>
    <w:rsid w:val="0089383A"/>
    <w:rsid w:val="00893A9B"/>
    <w:rsid w:val="00893E65"/>
    <w:rsid w:val="00893FE5"/>
    <w:rsid w:val="0089430E"/>
    <w:rsid w:val="0089432E"/>
    <w:rsid w:val="00894361"/>
    <w:rsid w:val="00894A36"/>
    <w:rsid w:val="00894C3D"/>
    <w:rsid w:val="008952B3"/>
    <w:rsid w:val="00895346"/>
    <w:rsid w:val="00895B73"/>
    <w:rsid w:val="00895B8C"/>
    <w:rsid w:val="00895BC4"/>
    <w:rsid w:val="00895D1E"/>
    <w:rsid w:val="0089606C"/>
    <w:rsid w:val="008963F9"/>
    <w:rsid w:val="008964B1"/>
    <w:rsid w:val="0089674C"/>
    <w:rsid w:val="008967FF"/>
    <w:rsid w:val="00896C4C"/>
    <w:rsid w:val="00896F50"/>
    <w:rsid w:val="00897154"/>
    <w:rsid w:val="008971A4"/>
    <w:rsid w:val="008972A5"/>
    <w:rsid w:val="008976FF"/>
    <w:rsid w:val="008978A4"/>
    <w:rsid w:val="008A0410"/>
    <w:rsid w:val="008A0CDB"/>
    <w:rsid w:val="008A10B7"/>
    <w:rsid w:val="008A11E5"/>
    <w:rsid w:val="008A13E2"/>
    <w:rsid w:val="008A163B"/>
    <w:rsid w:val="008A1C0A"/>
    <w:rsid w:val="008A294F"/>
    <w:rsid w:val="008A2950"/>
    <w:rsid w:val="008A2CB5"/>
    <w:rsid w:val="008A2E0D"/>
    <w:rsid w:val="008A30C6"/>
    <w:rsid w:val="008A34AD"/>
    <w:rsid w:val="008A360D"/>
    <w:rsid w:val="008A3787"/>
    <w:rsid w:val="008A3821"/>
    <w:rsid w:val="008A3AF0"/>
    <w:rsid w:val="008A3C02"/>
    <w:rsid w:val="008A43DB"/>
    <w:rsid w:val="008A4D16"/>
    <w:rsid w:val="008A4D28"/>
    <w:rsid w:val="008A517F"/>
    <w:rsid w:val="008A51D4"/>
    <w:rsid w:val="008A54D6"/>
    <w:rsid w:val="008A5831"/>
    <w:rsid w:val="008A59AA"/>
    <w:rsid w:val="008A59B6"/>
    <w:rsid w:val="008A5CF6"/>
    <w:rsid w:val="008A5D34"/>
    <w:rsid w:val="008A6209"/>
    <w:rsid w:val="008A6570"/>
    <w:rsid w:val="008A681A"/>
    <w:rsid w:val="008A683D"/>
    <w:rsid w:val="008A69D5"/>
    <w:rsid w:val="008A6DDD"/>
    <w:rsid w:val="008A6E9B"/>
    <w:rsid w:val="008A7120"/>
    <w:rsid w:val="008A7240"/>
    <w:rsid w:val="008A7317"/>
    <w:rsid w:val="008A7464"/>
    <w:rsid w:val="008A7FA0"/>
    <w:rsid w:val="008B0206"/>
    <w:rsid w:val="008B04BF"/>
    <w:rsid w:val="008B088C"/>
    <w:rsid w:val="008B08F7"/>
    <w:rsid w:val="008B0C42"/>
    <w:rsid w:val="008B0EB9"/>
    <w:rsid w:val="008B0F7D"/>
    <w:rsid w:val="008B10F8"/>
    <w:rsid w:val="008B1423"/>
    <w:rsid w:val="008B1D88"/>
    <w:rsid w:val="008B1EA4"/>
    <w:rsid w:val="008B2237"/>
    <w:rsid w:val="008B26A1"/>
    <w:rsid w:val="008B2CBE"/>
    <w:rsid w:val="008B2E25"/>
    <w:rsid w:val="008B2E9C"/>
    <w:rsid w:val="008B33A0"/>
    <w:rsid w:val="008B3F5A"/>
    <w:rsid w:val="008B4848"/>
    <w:rsid w:val="008B494E"/>
    <w:rsid w:val="008B4AE4"/>
    <w:rsid w:val="008B4BA7"/>
    <w:rsid w:val="008B4EFE"/>
    <w:rsid w:val="008B516C"/>
    <w:rsid w:val="008B5A56"/>
    <w:rsid w:val="008B5AAC"/>
    <w:rsid w:val="008B5C3F"/>
    <w:rsid w:val="008B5FA9"/>
    <w:rsid w:val="008B679D"/>
    <w:rsid w:val="008B6D70"/>
    <w:rsid w:val="008B7250"/>
    <w:rsid w:val="008B7719"/>
    <w:rsid w:val="008B789C"/>
    <w:rsid w:val="008B7FA3"/>
    <w:rsid w:val="008C017E"/>
    <w:rsid w:val="008C0310"/>
    <w:rsid w:val="008C09B8"/>
    <w:rsid w:val="008C0A28"/>
    <w:rsid w:val="008C0B7B"/>
    <w:rsid w:val="008C0B9A"/>
    <w:rsid w:val="008C13D4"/>
    <w:rsid w:val="008C15F5"/>
    <w:rsid w:val="008C1860"/>
    <w:rsid w:val="008C192C"/>
    <w:rsid w:val="008C1BE3"/>
    <w:rsid w:val="008C1F4E"/>
    <w:rsid w:val="008C224C"/>
    <w:rsid w:val="008C2271"/>
    <w:rsid w:val="008C2665"/>
    <w:rsid w:val="008C2FE8"/>
    <w:rsid w:val="008C30D1"/>
    <w:rsid w:val="008C33F8"/>
    <w:rsid w:val="008C34DA"/>
    <w:rsid w:val="008C38EC"/>
    <w:rsid w:val="008C3AC4"/>
    <w:rsid w:val="008C3D84"/>
    <w:rsid w:val="008C3E39"/>
    <w:rsid w:val="008C3E47"/>
    <w:rsid w:val="008C41A6"/>
    <w:rsid w:val="008C49E6"/>
    <w:rsid w:val="008C5312"/>
    <w:rsid w:val="008C553F"/>
    <w:rsid w:val="008C55F4"/>
    <w:rsid w:val="008C617B"/>
    <w:rsid w:val="008C6221"/>
    <w:rsid w:val="008C64E4"/>
    <w:rsid w:val="008C6A52"/>
    <w:rsid w:val="008C6ACD"/>
    <w:rsid w:val="008C72CE"/>
    <w:rsid w:val="008C73C5"/>
    <w:rsid w:val="008C7715"/>
    <w:rsid w:val="008C7C48"/>
    <w:rsid w:val="008C7DBA"/>
    <w:rsid w:val="008D0092"/>
    <w:rsid w:val="008D06BA"/>
    <w:rsid w:val="008D077D"/>
    <w:rsid w:val="008D08FD"/>
    <w:rsid w:val="008D09E7"/>
    <w:rsid w:val="008D0E1F"/>
    <w:rsid w:val="008D134B"/>
    <w:rsid w:val="008D1BA5"/>
    <w:rsid w:val="008D1C4F"/>
    <w:rsid w:val="008D1D69"/>
    <w:rsid w:val="008D1DDD"/>
    <w:rsid w:val="008D2005"/>
    <w:rsid w:val="008D201E"/>
    <w:rsid w:val="008D2356"/>
    <w:rsid w:val="008D2706"/>
    <w:rsid w:val="008D322B"/>
    <w:rsid w:val="008D3245"/>
    <w:rsid w:val="008D36D9"/>
    <w:rsid w:val="008D4126"/>
    <w:rsid w:val="008D4298"/>
    <w:rsid w:val="008D441C"/>
    <w:rsid w:val="008D4CD5"/>
    <w:rsid w:val="008D4EC3"/>
    <w:rsid w:val="008D4F93"/>
    <w:rsid w:val="008D4FF1"/>
    <w:rsid w:val="008D500A"/>
    <w:rsid w:val="008D50B1"/>
    <w:rsid w:val="008D5803"/>
    <w:rsid w:val="008D5B85"/>
    <w:rsid w:val="008D6492"/>
    <w:rsid w:val="008D6FC6"/>
    <w:rsid w:val="008D73B1"/>
    <w:rsid w:val="008D7A7F"/>
    <w:rsid w:val="008E01C5"/>
    <w:rsid w:val="008E0446"/>
    <w:rsid w:val="008E07B2"/>
    <w:rsid w:val="008E0C40"/>
    <w:rsid w:val="008E0D57"/>
    <w:rsid w:val="008E0E4D"/>
    <w:rsid w:val="008E11E5"/>
    <w:rsid w:val="008E1571"/>
    <w:rsid w:val="008E23E0"/>
    <w:rsid w:val="008E2794"/>
    <w:rsid w:val="008E27C9"/>
    <w:rsid w:val="008E2905"/>
    <w:rsid w:val="008E2BA4"/>
    <w:rsid w:val="008E2DDC"/>
    <w:rsid w:val="008E2E22"/>
    <w:rsid w:val="008E352D"/>
    <w:rsid w:val="008E3BA9"/>
    <w:rsid w:val="008E423D"/>
    <w:rsid w:val="008E5374"/>
    <w:rsid w:val="008E55FE"/>
    <w:rsid w:val="008E5705"/>
    <w:rsid w:val="008E5738"/>
    <w:rsid w:val="008E5950"/>
    <w:rsid w:val="008E5BAE"/>
    <w:rsid w:val="008E5CC4"/>
    <w:rsid w:val="008E5D7E"/>
    <w:rsid w:val="008E5EB0"/>
    <w:rsid w:val="008E61A5"/>
    <w:rsid w:val="008E645A"/>
    <w:rsid w:val="008E6B6D"/>
    <w:rsid w:val="008E73CD"/>
    <w:rsid w:val="008E7470"/>
    <w:rsid w:val="008E7EE4"/>
    <w:rsid w:val="008F06AB"/>
    <w:rsid w:val="008F0C95"/>
    <w:rsid w:val="008F0E14"/>
    <w:rsid w:val="008F0FD6"/>
    <w:rsid w:val="008F1235"/>
    <w:rsid w:val="008F1A2F"/>
    <w:rsid w:val="008F1D84"/>
    <w:rsid w:val="008F2362"/>
    <w:rsid w:val="008F27B7"/>
    <w:rsid w:val="008F2889"/>
    <w:rsid w:val="008F33E9"/>
    <w:rsid w:val="008F3439"/>
    <w:rsid w:val="008F354E"/>
    <w:rsid w:val="008F3CFD"/>
    <w:rsid w:val="008F3F5F"/>
    <w:rsid w:val="008F46E1"/>
    <w:rsid w:val="008F48AA"/>
    <w:rsid w:val="008F4BD2"/>
    <w:rsid w:val="008F5016"/>
    <w:rsid w:val="008F5474"/>
    <w:rsid w:val="008F5C1B"/>
    <w:rsid w:val="008F5F2C"/>
    <w:rsid w:val="008F628B"/>
    <w:rsid w:val="008F6DB4"/>
    <w:rsid w:val="008F78BD"/>
    <w:rsid w:val="008F78CC"/>
    <w:rsid w:val="008F790D"/>
    <w:rsid w:val="008F7DC1"/>
    <w:rsid w:val="008F7DCC"/>
    <w:rsid w:val="008F7E83"/>
    <w:rsid w:val="00900621"/>
    <w:rsid w:val="00900B69"/>
    <w:rsid w:val="0090184A"/>
    <w:rsid w:val="00901B6E"/>
    <w:rsid w:val="0090208A"/>
    <w:rsid w:val="009020EA"/>
    <w:rsid w:val="009029B9"/>
    <w:rsid w:val="00902A91"/>
    <w:rsid w:val="00902ADC"/>
    <w:rsid w:val="00903941"/>
    <w:rsid w:val="00903CEC"/>
    <w:rsid w:val="00903EFF"/>
    <w:rsid w:val="00903FAD"/>
    <w:rsid w:val="00904222"/>
    <w:rsid w:val="009043FE"/>
    <w:rsid w:val="009045B6"/>
    <w:rsid w:val="00904983"/>
    <w:rsid w:val="00904C42"/>
    <w:rsid w:val="00905095"/>
    <w:rsid w:val="00905718"/>
    <w:rsid w:val="00905955"/>
    <w:rsid w:val="00905C9B"/>
    <w:rsid w:val="00905F18"/>
    <w:rsid w:val="00906081"/>
    <w:rsid w:val="009067AE"/>
    <w:rsid w:val="00906A62"/>
    <w:rsid w:val="00906A7C"/>
    <w:rsid w:val="00906B09"/>
    <w:rsid w:val="00906F80"/>
    <w:rsid w:val="0090768F"/>
    <w:rsid w:val="00907807"/>
    <w:rsid w:val="00907966"/>
    <w:rsid w:val="009103D8"/>
    <w:rsid w:val="00910571"/>
    <w:rsid w:val="00910953"/>
    <w:rsid w:val="00910C02"/>
    <w:rsid w:val="00910FAD"/>
    <w:rsid w:val="0091108D"/>
    <w:rsid w:val="00911824"/>
    <w:rsid w:val="00911F48"/>
    <w:rsid w:val="009125CA"/>
    <w:rsid w:val="0091279A"/>
    <w:rsid w:val="0091290C"/>
    <w:rsid w:val="00912F48"/>
    <w:rsid w:val="00912F78"/>
    <w:rsid w:val="00913143"/>
    <w:rsid w:val="0091315B"/>
    <w:rsid w:val="00913496"/>
    <w:rsid w:val="00913704"/>
    <w:rsid w:val="00913AF2"/>
    <w:rsid w:val="00913BBA"/>
    <w:rsid w:val="00913CEA"/>
    <w:rsid w:val="00914DBF"/>
    <w:rsid w:val="00914E1F"/>
    <w:rsid w:val="0091502C"/>
    <w:rsid w:val="00915312"/>
    <w:rsid w:val="009155C9"/>
    <w:rsid w:val="00915815"/>
    <w:rsid w:val="00915E40"/>
    <w:rsid w:val="009161DB"/>
    <w:rsid w:val="009162E8"/>
    <w:rsid w:val="0091685F"/>
    <w:rsid w:val="00916C21"/>
    <w:rsid w:val="009175D0"/>
    <w:rsid w:val="00917D3D"/>
    <w:rsid w:val="00920272"/>
    <w:rsid w:val="0092072A"/>
    <w:rsid w:val="00920D67"/>
    <w:rsid w:val="00921564"/>
    <w:rsid w:val="009217DE"/>
    <w:rsid w:val="009219F6"/>
    <w:rsid w:val="00921E9D"/>
    <w:rsid w:val="009220DF"/>
    <w:rsid w:val="009228AC"/>
    <w:rsid w:val="00922938"/>
    <w:rsid w:val="00922A80"/>
    <w:rsid w:val="00922AA4"/>
    <w:rsid w:val="00922C16"/>
    <w:rsid w:val="00922DE6"/>
    <w:rsid w:val="009232D6"/>
    <w:rsid w:val="009232FF"/>
    <w:rsid w:val="00923ED8"/>
    <w:rsid w:val="0092416C"/>
    <w:rsid w:val="009245F8"/>
    <w:rsid w:val="0092466D"/>
    <w:rsid w:val="009247A3"/>
    <w:rsid w:val="00924D45"/>
    <w:rsid w:val="009251B7"/>
    <w:rsid w:val="00925713"/>
    <w:rsid w:val="00925828"/>
    <w:rsid w:val="009258AF"/>
    <w:rsid w:val="00925D39"/>
    <w:rsid w:val="00925F17"/>
    <w:rsid w:val="00925F7B"/>
    <w:rsid w:val="00926209"/>
    <w:rsid w:val="00926318"/>
    <w:rsid w:val="00926F98"/>
    <w:rsid w:val="00927328"/>
    <w:rsid w:val="0092749E"/>
    <w:rsid w:val="0092752B"/>
    <w:rsid w:val="0092796B"/>
    <w:rsid w:val="009301E0"/>
    <w:rsid w:val="0093046E"/>
    <w:rsid w:val="00930529"/>
    <w:rsid w:val="00930559"/>
    <w:rsid w:val="00930903"/>
    <w:rsid w:val="00930D09"/>
    <w:rsid w:val="00930E6C"/>
    <w:rsid w:val="00931576"/>
    <w:rsid w:val="009316D1"/>
    <w:rsid w:val="009318C3"/>
    <w:rsid w:val="009319F6"/>
    <w:rsid w:val="00931FDB"/>
    <w:rsid w:val="00932329"/>
    <w:rsid w:val="009324C6"/>
    <w:rsid w:val="00932530"/>
    <w:rsid w:val="00932D88"/>
    <w:rsid w:val="009330AA"/>
    <w:rsid w:val="00933468"/>
    <w:rsid w:val="009336A6"/>
    <w:rsid w:val="00933791"/>
    <w:rsid w:val="00933A03"/>
    <w:rsid w:val="009343B0"/>
    <w:rsid w:val="0093466B"/>
    <w:rsid w:val="0093489E"/>
    <w:rsid w:val="00934A40"/>
    <w:rsid w:val="00934FD5"/>
    <w:rsid w:val="00935230"/>
    <w:rsid w:val="00935647"/>
    <w:rsid w:val="00935648"/>
    <w:rsid w:val="00935AE5"/>
    <w:rsid w:val="00935C64"/>
    <w:rsid w:val="00935CDF"/>
    <w:rsid w:val="00935D94"/>
    <w:rsid w:val="0093674D"/>
    <w:rsid w:val="00936856"/>
    <w:rsid w:val="00936E29"/>
    <w:rsid w:val="009374F6"/>
    <w:rsid w:val="00937887"/>
    <w:rsid w:val="00937A18"/>
    <w:rsid w:val="00937BB3"/>
    <w:rsid w:val="00937D26"/>
    <w:rsid w:val="00940104"/>
    <w:rsid w:val="009402D7"/>
    <w:rsid w:val="00940438"/>
    <w:rsid w:val="009404A1"/>
    <w:rsid w:val="009407D0"/>
    <w:rsid w:val="00940847"/>
    <w:rsid w:val="0094084D"/>
    <w:rsid w:val="009408B5"/>
    <w:rsid w:val="009408F9"/>
    <w:rsid w:val="009409E4"/>
    <w:rsid w:val="00940C44"/>
    <w:rsid w:val="00941093"/>
    <w:rsid w:val="00941325"/>
    <w:rsid w:val="00941407"/>
    <w:rsid w:val="00941467"/>
    <w:rsid w:val="009419D9"/>
    <w:rsid w:val="00941BA4"/>
    <w:rsid w:val="00941C85"/>
    <w:rsid w:val="00941F0E"/>
    <w:rsid w:val="00941F57"/>
    <w:rsid w:val="00942037"/>
    <w:rsid w:val="009420A6"/>
    <w:rsid w:val="009422F9"/>
    <w:rsid w:val="009425D3"/>
    <w:rsid w:val="00942834"/>
    <w:rsid w:val="00942BA4"/>
    <w:rsid w:val="00942CD9"/>
    <w:rsid w:val="00943B3D"/>
    <w:rsid w:val="00943E34"/>
    <w:rsid w:val="009446E9"/>
    <w:rsid w:val="00944B91"/>
    <w:rsid w:val="009450CA"/>
    <w:rsid w:val="009454AD"/>
    <w:rsid w:val="0094579C"/>
    <w:rsid w:val="00946C01"/>
    <w:rsid w:val="00946C73"/>
    <w:rsid w:val="00946EFC"/>
    <w:rsid w:val="0094740F"/>
    <w:rsid w:val="009474B6"/>
    <w:rsid w:val="00947776"/>
    <w:rsid w:val="00947BC0"/>
    <w:rsid w:val="00947CC8"/>
    <w:rsid w:val="009501ED"/>
    <w:rsid w:val="0095068F"/>
    <w:rsid w:val="00950C65"/>
    <w:rsid w:val="009516D2"/>
    <w:rsid w:val="009517C4"/>
    <w:rsid w:val="00951ADE"/>
    <w:rsid w:val="00951D61"/>
    <w:rsid w:val="00951FB5"/>
    <w:rsid w:val="009521E5"/>
    <w:rsid w:val="009521EE"/>
    <w:rsid w:val="00952303"/>
    <w:rsid w:val="00952389"/>
    <w:rsid w:val="0095264A"/>
    <w:rsid w:val="00952760"/>
    <w:rsid w:val="00952F25"/>
    <w:rsid w:val="009534C6"/>
    <w:rsid w:val="00953CE2"/>
    <w:rsid w:val="00953E6E"/>
    <w:rsid w:val="00953F3D"/>
    <w:rsid w:val="0095403C"/>
    <w:rsid w:val="00954215"/>
    <w:rsid w:val="0095451B"/>
    <w:rsid w:val="009545CC"/>
    <w:rsid w:val="009547CE"/>
    <w:rsid w:val="00954BBA"/>
    <w:rsid w:val="00954D6E"/>
    <w:rsid w:val="00954F63"/>
    <w:rsid w:val="0095519B"/>
    <w:rsid w:val="0095530B"/>
    <w:rsid w:val="009554A0"/>
    <w:rsid w:val="0095585B"/>
    <w:rsid w:val="00955A0E"/>
    <w:rsid w:val="00955A80"/>
    <w:rsid w:val="00955C08"/>
    <w:rsid w:val="00955C3E"/>
    <w:rsid w:val="00956022"/>
    <w:rsid w:val="009560D9"/>
    <w:rsid w:val="009563EB"/>
    <w:rsid w:val="0095656E"/>
    <w:rsid w:val="009566C7"/>
    <w:rsid w:val="00956A3D"/>
    <w:rsid w:val="00956ABF"/>
    <w:rsid w:val="0095738B"/>
    <w:rsid w:val="00957587"/>
    <w:rsid w:val="00957635"/>
    <w:rsid w:val="00957809"/>
    <w:rsid w:val="00957CC4"/>
    <w:rsid w:val="00960113"/>
    <w:rsid w:val="00960647"/>
    <w:rsid w:val="00960DE9"/>
    <w:rsid w:val="00960EAE"/>
    <w:rsid w:val="009613B2"/>
    <w:rsid w:val="009619E9"/>
    <w:rsid w:val="00961C3C"/>
    <w:rsid w:val="00961C82"/>
    <w:rsid w:val="00961DA5"/>
    <w:rsid w:val="009621CE"/>
    <w:rsid w:val="009622C3"/>
    <w:rsid w:val="009623A7"/>
    <w:rsid w:val="009628AC"/>
    <w:rsid w:val="00962A56"/>
    <w:rsid w:val="00962D83"/>
    <w:rsid w:val="00962FBC"/>
    <w:rsid w:val="00963528"/>
    <w:rsid w:val="00963AB5"/>
    <w:rsid w:val="00963B0B"/>
    <w:rsid w:val="009641EC"/>
    <w:rsid w:val="0096454E"/>
    <w:rsid w:val="00964951"/>
    <w:rsid w:val="009653B0"/>
    <w:rsid w:val="009655CB"/>
    <w:rsid w:val="009657D7"/>
    <w:rsid w:val="00965AD3"/>
    <w:rsid w:val="00965D5D"/>
    <w:rsid w:val="00965E23"/>
    <w:rsid w:val="00965F85"/>
    <w:rsid w:val="009662E6"/>
    <w:rsid w:val="00966630"/>
    <w:rsid w:val="00966C98"/>
    <w:rsid w:val="00966CB0"/>
    <w:rsid w:val="00966D39"/>
    <w:rsid w:val="00966D84"/>
    <w:rsid w:val="00966FF2"/>
    <w:rsid w:val="0096721A"/>
    <w:rsid w:val="009674CA"/>
    <w:rsid w:val="0096778B"/>
    <w:rsid w:val="009677F1"/>
    <w:rsid w:val="00967885"/>
    <w:rsid w:val="00967DC2"/>
    <w:rsid w:val="00970091"/>
    <w:rsid w:val="009701D0"/>
    <w:rsid w:val="009703F7"/>
    <w:rsid w:val="00970584"/>
    <w:rsid w:val="0097068D"/>
    <w:rsid w:val="00970A41"/>
    <w:rsid w:val="00970BFB"/>
    <w:rsid w:val="00970EC4"/>
    <w:rsid w:val="009712FF"/>
    <w:rsid w:val="00971429"/>
    <w:rsid w:val="009715E7"/>
    <w:rsid w:val="00971613"/>
    <w:rsid w:val="00971A33"/>
    <w:rsid w:val="00971D5C"/>
    <w:rsid w:val="00971D61"/>
    <w:rsid w:val="00972250"/>
    <w:rsid w:val="00972319"/>
    <w:rsid w:val="009731B7"/>
    <w:rsid w:val="00973622"/>
    <w:rsid w:val="00973801"/>
    <w:rsid w:val="009738EA"/>
    <w:rsid w:val="009740FC"/>
    <w:rsid w:val="009742C5"/>
    <w:rsid w:val="00974613"/>
    <w:rsid w:val="00974B14"/>
    <w:rsid w:val="00974C06"/>
    <w:rsid w:val="00975203"/>
    <w:rsid w:val="0097564E"/>
    <w:rsid w:val="009756F1"/>
    <w:rsid w:val="009759BB"/>
    <w:rsid w:val="009759DE"/>
    <w:rsid w:val="00975FB7"/>
    <w:rsid w:val="00976000"/>
    <w:rsid w:val="00976109"/>
    <w:rsid w:val="009761D0"/>
    <w:rsid w:val="009763F9"/>
    <w:rsid w:val="009768C0"/>
    <w:rsid w:val="00977228"/>
    <w:rsid w:val="009773BA"/>
    <w:rsid w:val="00977506"/>
    <w:rsid w:val="00977546"/>
    <w:rsid w:val="00980080"/>
    <w:rsid w:val="0098012E"/>
    <w:rsid w:val="009801BF"/>
    <w:rsid w:val="00980857"/>
    <w:rsid w:val="00980C0F"/>
    <w:rsid w:val="00980D1D"/>
    <w:rsid w:val="00980E52"/>
    <w:rsid w:val="0098113F"/>
    <w:rsid w:val="00981320"/>
    <w:rsid w:val="00981905"/>
    <w:rsid w:val="00981E06"/>
    <w:rsid w:val="00982766"/>
    <w:rsid w:val="009830EB"/>
    <w:rsid w:val="0098311E"/>
    <w:rsid w:val="00983262"/>
    <w:rsid w:val="00983866"/>
    <w:rsid w:val="00983B57"/>
    <w:rsid w:val="00983C35"/>
    <w:rsid w:val="00983D28"/>
    <w:rsid w:val="0098405C"/>
    <w:rsid w:val="009845FC"/>
    <w:rsid w:val="00984725"/>
    <w:rsid w:val="0098475B"/>
    <w:rsid w:val="00984B7B"/>
    <w:rsid w:val="009852F5"/>
    <w:rsid w:val="009854D5"/>
    <w:rsid w:val="009858C0"/>
    <w:rsid w:val="00985AFC"/>
    <w:rsid w:val="00985C3D"/>
    <w:rsid w:val="00985CF9"/>
    <w:rsid w:val="00986697"/>
    <w:rsid w:val="00986942"/>
    <w:rsid w:val="00986C3F"/>
    <w:rsid w:val="00986DB1"/>
    <w:rsid w:val="00986E69"/>
    <w:rsid w:val="0098701C"/>
    <w:rsid w:val="00987100"/>
    <w:rsid w:val="0098716A"/>
    <w:rsid w:val="009874AD"/>
    <w:rsid w:val="0098753B"/>
    <w:rsid w:val="009876AD"/>
    <w:rsid w:val="00987B57"/>
    <w:rsid w:val="00987DC2"/>
    <w:rsid w:val="00990114"/>
    <w:rsid w:val="00990308"/>
    <w:rsid w:val="009905D0"/>
    <w:rsid w:val="0099096B"/>
    <w:rsid w:val="00990AB1"/>
    <w:rsid w:val="009913E7"/>
    <w:rsid w:val="009914BB"/>
    <w:rsid w:val="00991AD4"/>
    <w:rsid w:val="00991BCB"/>
    <w:rsid w:val="00991EE6"/>
    <w:rsid w:val="0099220E"/>
    <w:rsid w:val="00992236"/>
    <w:rsid w:val="00992603"/>
    <w:rsid w:val="00992B7A"/>
    <w:rsid w:val="00992B99"/>
    <w:rsid w:val="00992D1C"/>
    <w:rsid w:val="00992E66"/>
    <w:rsid w:val="00993139"/>
    <w:rsid w:val="009933AA"/>
    <w:rsid w:val="00993812"/>
    <w:rsid w:val="00993989"/>
    <w:rsid w:val="00993C55"/>
    <w:rsid w:val="00993ED9"/>
    <w:rsid w:val="00993F7D"/>
    <w:rsid w:val="00993FB1"/>
    <w:rsid w:val="009940B8"/>
    <w:rsid w:val="00994F44"/>
    <w:rsid w:val="0099525B"/>
    <w:rsid w:val="009952E1"/>
    <w:rsid w:val="00995601"/>
    <w:rsid w:val="00995646"/>
    <w:rsid w:val="0099575C"/>
    <w:rsid w:val="00995982"/>
    <w:rsid w:val="00995A19"/>
    <w:rsid w:val="00995A6A"/>
    <w:rsid w:val="00995D65"/>
    <w:rsid w:val="00996A7A"/>
    <w:rsid w:val="00996C4A"/>
    <w:rsid w:val="0099703C"/>
    <w:rsid w:val="009972E1"/>
    <w:rsid w:val="00997BCA"/>
    <w:rsid w:val="00997E5A"/>
    <w:rsid w:val="009A0194"/>
    <w:rsid w:val="009A0390"/>
    <w:rsid w:val="009A0AEB"/>
    <w:rsid w:val="009A0B0C"/>
    <w:rsid w:val="009A0B27"/>
    <w:rsid w:val="009A104C"/>
    <w:rsid w:val="009A11EF"/>
    <w:rsid w:val="009A13FC"/>
    <w:rsid w:val="009A1666"/>
    <w:rsid w:val="009A2498"/>
    <w:rsid w:val="009A29BF"/>
    <w:rsid w:val="009A2FE6"/>
    <w:rsid w:val="009A30A6"/>
    <w:rsid w:val="009A3157"/>
    <w:rsid w:val="009A32C7"/>
    <w:rsid w:val="009A3378"/>
    <w:rsid w:val="009A366D"/>
    <w:rsid w:val="009A36AB"/>
    <w:rsid w:val="009A3C4F"/>
    <w:rsid w:val="009A3D87"/>
    <w:rsid w:val="009A482D"/>
    <w:rsid w:val="009A4C03"/>
    <w:rsid w:val="009A4E5D"/>
    <w:rsid w:val="009A4F08"/>
    <w:rsid w:val="009A5150"/>
    <w:rsid w:val="009A5697"/>
    <w:rsid w:val="009A5CF9"/>
    <w:rsid w:val="009A6659"/>
    <w:rsid w:val="009A67B9"/>
    <w:rsid w:val="009A6D5B"/>
    <w:rsid w:val="009A6F39"/>
    <w:rsid w:val="009A700E"/>
    <w:rsid w:val="009A70D1"/>
    <w:rsid w:val="009A7689"/>
    <w:rsid w:val="009A788A"/>
    <w:rsid w:val="009A7891"/>
    <w:rsid w:val="009A79AF"/>
    <w:rsid w:val="009A7F3B"/>
    <w:rsid w:val="009B016C"/>
    <w:rsid w:val="009B0555"/>
    <w:rsid w:val="009B0845"/>
    <w:rsid w:val="009B1577"/>
    <w:rsid w:val="009B1B5C"/>
    <w:rsid w:val="009B1D68"/>
    <w:rsid w:val="009B1E02"/>
    <w:rsid w:val="009B2010"/>
    <w:rsid w:val="009B2112"/>
    <w:rsid w:val="009B25E9"/>
    <w:rsid w:val="009B26AD"/>
    <w:rsid w:val="009B2799"/>
    <w:rsid w:val="009B28D2"/>
    <w:rsid w:val="009B2CDB"/>
    <w:rsid w:val="009B2EBE"/>
    <w:rsid w:val="009B305B"/>
    <w:rsid w:val="009B3241"/>
    <w:rsid w:val="009B3760"/>
    <w:rsid w:val="009B399A"/>
    <w:rsid w:val="009B3DAB"/>
    <w:rsid w:val="009B4067"/>
    <w:rsid w:val="009B4E99"/>
    <w:rsid w:val="009B5008"/>
    <w:rsid w:val="009B509F"/>
    <w:rsid w:val="009B5255"/>
    <w:rsid w:val="009B5925"/>
    <w:rsid w:val="009B5B0C"/>
    <w:rsid w:val="009B6635"/>
    <w:rsid w:val="009B672C"/>
    <w:rsid w:val="009B6946"/>
    <w:rsid w:val="009B6AB6"/>
    <w:rsid w:val="009B707B"/>
    <w:rsid w:val="009B7844"/>
    <w:rsid w:val="009B7B4C"/>
    <w:rsid w:val="009C04C0"/>
    <w:rsid w:val="009C06AB"/>
    <w:rsid w:val="009C0B91"/>
    <w:rsid w:val="009C0D3B"/>
    <w:rsid w:val="009C0F39"/>
    <w:rsid w:val="009C11E5"/>
    <w:rsid w:val="009C1308"/>
    <w:rsid w:val="009C1552"/>
    <w:rsid w:val="009C16CF"/>
    <w:rsid w:val="009C18EF"/>
    <w:rsid w:val="009C1B8E"/>
    <w:rsid w:val="009C1B92"/>
    <w:rsid w:val="009C1BE0"/>
    <w:rsid w:val="009C1D2B"/>
    <w:rsid w:val="009C2351"/>
    <w:rsid w:val="009C23D7"/>
    <w:rsid w:val="009C2AAD"/>
    <w:rsid w:val="009C2CCE"/>
    <w:rsid w:val="009C31DF"/>
    <w:rsid w:val="009C3A70"/>
    <w:rsid w:val="009C3CC2"/>
    <w:rsid w:val="009C3F98"/>
    <w:rsid w:val="009C4684"/>
    <w:rsid w:val="009C48B1"/>
    <w:rsid w:val="009C4955"/>
    <w:rsid w:val="009C533C"/>
    <w:rsid w:val="009C5409"/>
    <w:rsid w:val="009C5707"/>
    <w:rsid w:val="009C57D9"/>
    <w:rsid w:val="009C6148"/>
    <w:rsid w:val="009C6350"/>
    <w:rsid w:val="009C6356"/>
    <w:rsid w:val="009C6DD7"/>
    <w:rsid w:val="009C6EE6"/>
    <w:rsid w:val="009C706C"/>
    <w:rsid w:val="009C76D3"/>
    <w:rsid w:val="009C7868"/>
    <w:rsid w:val="009C79CE"/>
    <w:rsid w:val="009D0129"/>
    <w:rsid w:val="009D02FF"/>
    <w:rsid w:val="009D03D3"/>
    <w:rsid w:val="009D03F4"/>
    <w:rsid w:val="009D080C"/>
    <w:rsid w:val="009D08A1"/>
    <w:rsid w:val="009D0C2D"/>
    <w:rsid w:val="009D0CB5"/>
    <w:rsid w:val="009D141D"/>
    <w:rsid w:val="009D1531"/>
    <w:rsid w:val="009D1595"/>
    <w:rsid w:val="009D1BFC"/>
    <w:rsid w:val="009D22CD"/>
    <w:rsid w:val="009D2520"/>
    <w:rsid w:val="009D255B"/>
    <w:rsid w:val="009D26C5"/>
    <w:rsid w:val="009D2C31"/>
    <w:rsid w:val="009D2C91"/>
    <w:rsid w:val="009D2DE2"/>
    <w:rsid w:val="009D3840"/>
    <w:rsid w:val="009D3EC9"/>
    <w:rsid w:val="009D403A"/>
    <w:rsid w:val="009D42D5"/>
    <w:rsid w:val="009D4446"/>
    <w:rsid w:val="009D4C43"/>
    <w:rsid w:val="009D4C4C"/>
    <w:rsid w:val="009D4C97"/>
    <w:rsid w:val="009D51FE"/>
    <w:rsid w:val="009D544C"/>
    <w:rsid w:val="009D5B93"/>
    <w:rsid w:val="009D6001"/>
    <w:rsid w:val="009D6174"/>
    <w:rsid w:val="009D61B5"/>
    <w:rsid w:val="009D63AF"/>
    <w:rsid w:val="009D6548"/>
    <w:rsid w:val="009D65F0"/>
    <w:rsid w:val="009D6731"/>
    <w:rsid w:val="009D6988"/>
    <w:rsid w:val="009D69AF"/>
    <w:rsid w:val="009D6F98"/>
    <w:rsid w:val="009D7096"/>
    <w:rsid w:val="009D716A"/>
    <w:rsid w:val="009D778E"/>
    <w:rsid w:val="009E0363"/>
    <w:rsid w:val="009E0A60"/>
    <w:rsid w:val="009E0A8A"/>
    <w:rsid w:val="009E0EF7"/>
    <w:rsid w:val="009E1093"/>
    <w:rsid w:val="009E12CC"/>
    <w:rsid w:val="009E14B9"/>
    <w:rsid w:val="009E1705"/>
    <w:rsid w:val="009E1D71"/>
    <w:rsid w:val="009E1DC1"/>
    <w:rsid w:val="009E1E92"/>
    <w:rsid w:val="009E22F3"/>
    <w:rsid w:val="009E2419"/>
    <w:rsid w:val="009E2687"/>
    <w:rsid w:val="009E2A58"/>
    <w:rsid w:val="009E2CFF"/>
    <w:rsid w:val="009E2F39"/>
    <w:rsid w:val="009E2F4B"/>
    <w:rsid w:val="009E3102"/>
    <w:rsid w:val="009E31FF"/>
    <w:rsid w:val="009E3432"/>
    <w:rsid w:val="009E346E"/>
    <w:rsid w:val="009E3686"/>
    <w:rsid w:val="009E3791"/>
    <w:rsid w:val="009E3A10"/>
    <w:rsid w:val="009E3B22"/>
    <w:rsid w:val="009E3C04"/>
    <w:rsid w:val="009E41C5"/>
    <w:rsid w:val="009E43E1"/>
    <w:rsid w:val="009E47A6"/>
    <w:rsid w:val="009E498F"/>
    <w:rsid w:val="009E4DF0"/>
    <w:rsid w:val="009E4F38"/>
    <w:rsid w:val="009E5192"/>
    <w:rsid w:val="009E558C"/>
    <w:rsid w:val="009E5847"/>
    <w:rsid w:val="009E5DD0"/>
    <w:rsid w:val="009E5F9E"/>
    <w:rsid w:val="009E633B"/>
    <w:rsid w:val="009E6647"/>
    <w:rsid w:val="009E6E89"/>
    <w:rsid w:val="009E6EF0"/>
    <w:rsid w:val="009E708D"/>
    <w:rsid w:val="009E7379"/>
    <w:rsid w:val="009E7506"/>
    <w:rsid w:val="009E791D"/>
    <w:rsid w:val="009E7B37"/>
    <w:rsid w:val="009F01A0"/>
    <w:rsid w:val="009F06EB"/>
    <w:rsid w:val="009F0969"/>
    <w:rsid w:val="009F0F64"/>
    <w:rsid w:val="009F12B5"/>
    <w:rsid w:val="009F1795"/>
    <w:rsid w:val="009F1CEB"/>
    <w:rsid w:val="009F1DAC"/>
    <w:rsid w:val="009F21DF"/>
    <w:rsid w:val="009F2691"/>
    <w:rsid w:val="009F2B06"/>
    <w:rsid w:val="009F2C41"/>
    <w:rsid w:val="009F2D60"/>
    <w:rsid w:val="009F2F6C"/>
    <w:rsid w:val="009F31E9"/>
    <w:rsid w:val="009F371B"/>
    <w:rsid w:val="009F37A2"/>
    <w:rsid w:val="009F3946"/>
    <w:rsid w:val="009F394C"/>
    <w:rsid w:val="009F3F5F"/>
    <w:rsid w:val="009F4052"/>
    <w:rsid w:val="009F41DF"/>
    <w:rsid w:val="009F4F57"/>
    <w:rsid w:val="009F52DF"/>
    <w:rsid w:val="009F585D"/>
    <w:rsid w:val="009F5B1D"/>
    <w:rsid w:val="009F5C62"/>
    <w:rsid w:val="009F5D20"/>
    <w:rsid w:val="009F607F"/>
    <w:rsid w:val="009F61B7"/>
    <w:rsid w:val="009F6411"/>
    <w:rsid w:val="009F6792"/>
    <w:rsid w:val="009F7201"/>
    <w:rsid w:val="009F7405"/>
    <w:rsid w:val="009F7675"/>
    <w:rsid w:val="009F79FE"/>
    <w:rsid w:val="009F7BA1"/>
    <w:rsid w:val="009F7E06"/>
    <w:rsid w:val="00A0005E"/>
    <w:rsid w:val="00A00335"/>
    <w:rsid w:val="00A004EC"/>
    <w:rsid w:val="00A006C6"/>
    <w:rsid w:val="00A008AF"/>
    <w:rsid w:val="00A010FD"/>
    <w:rsid w:val="00A012D4"/>
    <w:rsid w:val="00A01373"/>
    <w:rsid w:val="00A01669"/>
    <w:rsid w:val="00A01A94"/>
    <w:rsid w:val="00A01DB8"/>
    <w:rsid w:val="00A01E84"/>
    <w:rsid w:val="00A01F1A"/>
    <w:rsid w:val="00A020FF"/>
    <w:rsid w:val="00A02141"/>
    <w:rsid w:val="00A027BE"/>
    <w:rsid w:val="00A02857"/>
    <w:rsid w:val="00A029B2"/>
    <w:rsid w:val="00A029CF"/>
    <w:rsid w:val="00A02AD3"/>
    <w:rsid w:val="00A02ADA"/>
    <w:rsid w:val="00A03343"/>
    <w:rsid w:val="00A03AD3"/>
    <w:rsid w:val="00A03E01"/>
    <w:rsid w:val="00A041FE"/>
    <w:rsid w:val="00A04256"/>
    <w:rsid w:val="00A042D7"/>
    <w:rsid w:val="00A0458C"/>
    <w:rsid w:val="00A04848"/>
    <w:rsid w:val="00A04B32"/>
    <w:rsid w:val="00A04FDD"/>
    <w:rsid w:val="00A04FE5"/>
    <w:rsid w:val="00A05152"/>
    <w:rsid w:val="00A0525E"/>
    <w:rsid w:val="00A0555C"/>
    <w:rsid w:val="00A05A6E"/>
    <w:rsid w:val="00A05ADA"/>
    <w:rsid w:val="00A05DB5"/>
    <w:rsid w:val="00A061F7"/>
    <w:rsid w:val="00A0639A"/>
    <w:rsid w:val="00A06462"/>
    <w:rsid w:val="00A06622"/>
    <w:rsid w:val="00A06AEF"/>
    <w:rsid w:val="00A06F3F"/>
    <w:rsid w:val="00A06F46"/>
    <w:rsid w:val="00A06F5A"/>
    <w:rsid w:val="00A0716D"/>
    <w:rsid w:val="00A0732B"/>
    <w:rsid w:val="00A07562"/>
    <w:rsid w:val="00A077AC"/>
    <w:rsid w:val="00A07AB7"/>
    <w:rsid w:val="00A1037E"/>
    <w:rsid w:val="00A10411"/>
    <w:rsid w:val="00A1064E"/>
    <w:rsid w:val="00A10685"/>
    <w:rsid w:val="00A10922"/>
    <w:rsid w:val="00A10C0A"/>
    <w:rsid w:val="00A10E90"/>
    <w:rsid w:val="00A11014"/>
    <w:rsid w:val="00A111F1"/>
    <w:rsid w:val="00A1147D"/>
    <w:rsid w:val="00A115EC"/>
    <w:rsid w:val="00A11686"/>
    <w:rsid w:val="00A11714"/>
    <w:rsid w:val="00A11C44"/>
    <w:rsid w:val="00A12019"/>
    <w:rsid w:val="00A12345"/>
    <w:rsid w:val="00A124E1"/>
    <w:rsid w:val="00A13677"/>
    <w:rsid w:val="00A137B6"/>
    <w:rsid w:val="00A1418E"/>
    <w:rsid w:val="00A1468A"/>
    <w:rsid w:val="00A146EB"/>
    <w:rsid w:val="00A14723"/>
    <w:rsid w:val="00A14A36"/>
    <w:rsid w:val="00A14CEA"/>
    <w:rsid w:val="00A14E18"/>
    <w:rsid w:val="00A15367"/>
    <w:rsid w:val="00A1576F"/>
    <w:rsid w:val="00A1583A"/>
    <w:rsid w:val="00A15A2E"/>
    <w:rsid w:val="00A15D8E"/>
    <w:rsid w:val="00A16001"/>
    <w:rsid w:val="00A16060"/>
    <w:rsid w:val="00A16357"/>
    <w:rsid w:val="00A163A3"/>
    <w:rsid w:val="00A16AF3"/>
    <w:rsid w:val="00A16E6B"/>
    <w:rsid w:val="00A1703F"/>
    <w:rsid w:val="00A17F60"/>
    <w:rsid w:val="00A17F98"/>
    <w:rsid w:val="00A204C8"/>
    <w:rsid w:val="00A20667"/>
    <w:rsid w:val="00A20E58"/>
    <w:rsid w:val="00A21C76"/>
    <w:rsid w:val="00A21EBF"/>
    <w:rsid w:val="00A2232C"/>
    <w:rsid w:val="00A229B1"/>
    <w:rsid w:val="00A22D63"/>
    <w:rsid w:val="00A22EA2"/>
    <w:rsid w:val="00A22FAC"/>
    <w:rsid w:val="00A231C1"/>
    <w:rsid w:val="00A231C7"/>
    <w:rsid w:val="00A23668"/>
    <w:rsid w:val="00A23D29"/>
    <w:rsid w:val="00A2448A"/>
    <w:rsid w:val="00A249F1"/>
    <w:rsid w:val="00A24B91"/>
    <w:rsid w:val="00A24FBC"/>
    <w:rsid w:val="00A25551"/>
    <w:rsid w:val="00A258F9"/>
    <w:rsid w:val="00A26000"/>
    <w:rsid w:val="00A264BB"/>
    <w:rsid w:val="00A267AA"/>
    <w:rsid w:val="00A2682F"/>
    <w:rsid w:val="00A26834"/>
    <w:rsid w:val="00A26D89"/>
    <w:rsid w:val="00A26DB9"/>
    <w:rsid w:val="00A26F91"/>
    <w:rsid w:val="00A2716A"/>
    <w:rsid w:val="00A27360"/>
    <w:rsid w:val="00A2758D"/>
    <w:rsid w:val="00A27919"/>
    <w:rsid w:val="00A27EBA"/>
    <w:rsid w:val="00A301DE"/>
    <w:rsid w:val="00A30913"/>
    <w:rsid w:val="00A30EB0"/>
    <w:rsid w:val="00A31075"/>
    <w:rsid w:val="00A3111E"/>
    <w:rsid w:val="00A31266"/>
    <w:rsid w:val="00A31273"/>
    <w:rsid w:val="00A3165B"/>
    <w:rsid w:val="00A31AE2"/>
    <w:rsid w:val="00A325B7"/>
    <w:rsid w:val="00A32A84"/>
    <w:rsid w:val="00A32B05"/>
    <w:rsid w:val="00A32F35"/>
    <w:rsid w:val="00A33250"/>
    <w:rsid w:val="00A332B9"/>
    <w:rsid w:val="00A3357E"/>
    <w:rsid w:val="00A3391C"/>
    <w:rsid w:val="00A33A97"/>
    <w:rsid w:val="00A33D4D"/>
    <w:rsid w:val="00A34336"/>
    <w:rsid w:val="00A34889"/>
    <w:rsid w:val="00A3493B"/>
    <w:rsid w:val="00A35146"/>
    <w:rsid w:val="00A352FD"/>
    <w:rsid w:val="00A354ED"/>
    <w:rsid w:val="00A357A6"/>
    <w:rsid w:val="00A357D2"/>
    <w:rsid w:val="00A35CE7"/>
    <w:rsid w:val="00A35E8C"/>
    <w:rsid w:val="00A35FBC"/>
    <w:rsid w:val="00A36032"/>
    <w:rsid w:val="00A360AB"/>
    <w:rsid w:val="00A362B4"/>
    <w:rsid w:val="00A371CD"/>
    <w:rsid w:val="00A373AC"/>
    <w:rsid w:val="00A3776B"/>
    <w:rsid w:val="00A37ABC"/>
    <w:rsid w:val="00A37EE8"/>
    <w:rsid w:val="00A40019"/>
    <w:rsid w:val="00A40030"/>
    <w:rsid w:val="00A400C3"/>
    <w:rsid w:val="00A4041E"/>
    <w:rsid w:val="00A40430"/>
    <w:rsid w:val="00A4062E"/>
    <w:rsid w:val="00A40752"/>
    <w:rsid w:val="00A40876"/>
    <w:rsid w:val="00A40B53"/>
    <w:rsid w:val="00A419C5"/>
    <w:rsid w:val="00A41AFC"/>
    <w:rsid w:val="00A41B72"/>
    <w:rsid w:val="00A41C28"/>
    <w:rsid w:val="00A41D58"/>
    <w:rsid w:val="00A41F43"/>
    <w:rsid w:val="00A42060"/>
    <w:rsid w:val="00A420BE"/>
    <w:rsid w:val="00A42148"/>
    <w:rsid w:val="00A42183"/>
    <w:rsid w:val="00A42C01"/>
    <w:rsid w:val="00A42CEB"/>
    <w:rsid w:val="00A43038"/>
    <w:rsid w:val="00A4369E"/>
    <w:rsid w:val="00A4397C"/>
    <w:rsid w:val="00A43DC8"/>
    <w:rsid w:val="00A43F8A"/>
    <w:rsid w:val="00A43FD7"/>
    <w:rsid w:val="00A44013"/>
    <w:rsid w:val="00A44332"/>
    <w:rsid w:val="00A444C2"/>
    <w:rsid w:val="00A44584"/>
    <w:rsid w:val="00A445C7"/>
    <w:rsid w:val="00A449F0"/>
    <w:rsid w:val="00A44BB9"/>
    <w:rsid w:val="00A45396"/>
    <w:rsid w:val="00A456B1"/>
    <w:rsid w:val="00A45B42"/>
    <w:rsid w:val="00A45F60"/>
    <w:rsid w:val="00A45F94"/>
    <w:rsid w:val="00A46114"/>
    <w:rsid w:val="00A4638A"/>
    <w:rsid w:val="00A469B3"/>
    <w:rsid w:val="00A471E5"/>
    <w:rsid w:val="00A47218"/>
    <w:rsid w:val="00A4721C"/>
    <w:rsid w:val="00A4749D"/>
    <w:rsid w:val="00A47AC6"/>
    <w:rsid w:val="00A50383"/>
    <w:rsid w:val="00A50660"/>
    <w:rsid w:val="00A5066A"/>
    <w:rsid w:val="00A50A32"/>
    <w:rsid w:val="00A50D7E"/>
    <w:rsid w:val="00A50E67"/>
    <w:rsid w:val="00A51220"/>
    <w:rsid w:val="00A51A40"/>
    <w:rsid w:val="00A51D63"/>
    <w:rsid w:val="00A523A3"/>
    <w:rsid w:val="00A53447"/>
    <w:rsid w:val="00A536F4"/>
    <w:rsid w:val="00A53EC8"/>
    <w:rsid w:val="00A53FCE"/>
    <w:rsid w:val="00A54188"/>
    <w:rsid w:val="00A545B3"/>
    <w:rsid w:val="00A547C0"/>
    <w:rsid w:val="00A549E4"/>
    <w:rsid w:val="00A554FD"/>
    <w:rsid w:val="00A5554B"/>
    <w:rsid w:val="00A555BB"/>
    <w:rsid w:val="00A556D0"/>
    <w:rsid w:val="00A55843"/>
    <w:rsid w:val="00A559EF"/>
    <w:rsid w:val="00A55BBA"/>
    <w:rsid w:val="00A55D4F"/>
    <w:rsid w:val="00A563B9"/>
    <w:rsid w:val="00A56C29"/>
    <w:rsid w:val="00A575EA"/>
    <w:rsid w:val="00A5772F"/>
    <w:rsid w:val="00A57A61"/>
    <w:rsid w:val="00A57D94"/>
    <w:rsid w:val="00A6022D"/>
    <w:rsid w:val="00A60886"/>
    <w:rsid w:val="00A608F3"/>
    <w:rsid w:val="00A60C8C"/>
    <w:rsid w:val="00A611F3"/>
    <w:rsid w:val="00A6145B"/>
    <w:rsid w:val="00A6184B"/>
    <w:rsid w:val="00A61CA5"/>
    <w:rsid w:val="00A62305"/>
    <w:rsid w:val="00A623D1"/>
    <w:rsid w:val="00A625EA"/>
    <w:rsid w:val="00A62C2B"/>
    <w:rsid w:val="00A62C4D"/>
    <w:rsid w:val="00A631F3"/>
    <w:rsid w:val="00A6388F"/>
    <w:rsid w:val="00A63B9D"/>
    <w:rsid w:val="00A63FB4"/>
    <w:rsid w:val="00A645E7"/>
    <w:rsid w:val="00A648BC"/>
    <w:rsid w:val="00A64A92"/>
    <w:rsid w:val="00A65246"/>
    <w:rsid w:val="00A6543E"/>
    <w:rsid w:val="00A65444"/>
    <w:rsid w:val="00A65AB6"/>
    <w:rsid w:val="00A65DBD"/>
    <w:rsid w:val="00A65E68"/>
    <w:rsid w:val="00A6692E"/>
    <w:rsid w:val="00A66A7A"/>
    <w:rsid w:val="00A67224"/>
    <w:rsid w:val="00A6754F"/>
    <w:rsid w:val="00A67F84"/>
    <w:rsid w:val="00A67FA2"/>
    <w:rsid w:val="00A702CE"/>
    <w:rsid w:val="00A702F4"/>
    <w:rsid w:val="00A70720"/>
    <w:rsid w:val="00A7075F"/>
    <w:rsid w:val="00A70958"/>
    <w:rsid w:val="00A70F3B"/>
    <w:rsid w:val="00A717A0"/>
    <w:rsid w:val="00A719EB"/>
    <w:rsid w:val="00A71A66"/>
    <w:rsid w:val="00A7205F"/>
    <w:rsid w:val="00A7218F"/>
    <w:rsid w:val="00A724F4"/>
    <w:rsid w:val="00A726CC"/>
    <w:rsid w:val="00A727AB"/>
    <w:rsid w:val="00A727D5"/>
    <w:rsid w:val="00A731CE"/>
    <w:rsid w:val="00A7379D"/>
    <w:rsid w:val="00A73AED"/>
    <w:rsid w:val="00A73F6E"/>
    <w:rsid w:val="00A740F4"/>
    <w:rsid w:val="00A74395"/>
    <w:rsid w:val="00A7456B"/>
    <w:rsid w:val="00A74685"/>
    <w:rsid w:val="00A7492E"/>
    <w:rsid w:val="00A74DA5"/>
    <w:rsid w:val="00A7537B"/>
    <w:rsid w:val="00A759A0"/>
    <w:rsid w:val="00A75F76"/>
    <w:rsid w:val="00A76306"/>
    <w:rsid w:val="00A7677B"/>
    <w:rsid w:val="00A76808"/>
    <w:rsid w:val="00A76C67"/>
    <w:rsid w:val="00A776C7"/>
    <w:rsid w:val="00A778CF"/>
    <w:rsid w:val="00A77A23"/>
    <w:rsid w:val="00A77F3A"/>
    <w:rsid w:val="00A800BC"/>
    <w:rsid w:val="00A80185"/>
    <w:rsid w:val="00A80687"/>
    <w:rsid w:val="00A80786"/>
    <w:rsid w:val="00A80AB3"/>
    <w:rsid w:val="00A80EC6"/>
    <w:rsid w:val="00A81536"/>
    <w:rsid w:val="00A8174B"/>
    <w:rsid w:val="00A818CA"/>
    <w:rsid w:val="00A81D54"/>
    <w:rsid w:val="00A81E80"/>
    <w:rsid w:val="00A8238F"/>
    <w:rsid w:val="00A823F5"/>
    <w:rsid w:val="00A825AF"/>
    <w:rsid w:val="00A82AE1"/>
    <w:rsid w:val="00A833DE"/>
    <w:rsid w:val="00A83A46"/>
    <w:rsid w:val="00A83F19"/>
    <w:rsid w:val="00A847DB"/>
    <w:rsid w:val="00A84B4A"/>
    <w:rsid w:val="00A84DE4"/>
    <w:rsid w:val="00A8542C"/>
    <w:rsid w:val="00A85659"/>
    <w:rsid w:val="00A85856"/>
    <w:rsid w:val="00A858D3"/>
    <w:rsid w:val="00A85E6C"/>
    <w:rsid w:val="00A85EB6"/>
    <w:rsid w:val="00A86469"/>
    <w:rsid w:val="00A8676F"/>
    <w:rsid w:val="00A868CA"/>
    <w:rsid w:val="00A868F0"/>
    <w:rsid w:val="00A86A5C"/>
    <w:rsid w:val="00A86AC4"/>
    <w:rsid w:val="00A86D20"/>
    <w:rsid w:val="00A87ADB"/>
    <w:rsid w:val="00A87C92"/>
    <w:rsid w:val="00A87D34"/>
    <w:rsid w:val="00A87D77"/>
    <w:rsid w:val="00A87D81"/>
    <w:rsid w:val="00A9001F"/>
    <w:rsid w:val="00A90515"/>
    <w:rsid w:val="00A90536"/>
    <w:rsid w:val="00A905E2"/>
    <w:rsid w:val="00A905F6"/>
    <w:rsid w:val="00A9075E"/>
    <w:rsid w:val="00A910BE"/>
    <w:rsid w:val="00A91477"/>
    <w:rsid w:val="00A91B0B"/>
    <w:rsid w:val="00A9208B"/>
    <w:rsid w:val="00A92920"/>
    <w:rsid w:val="00A931C7"/>
    <w:rsid w:val="00A93E1F"/>
    <w:rsid w:val="00A93F7D"/>
    <w:rsid w:val="00A9412C"/>
    <w:rsid w:val="00A94963"/>
    <w:rsid w:val="00A9518D"/>
    <w:rsid w:val="00A9572E"/>
    <w:rsid w:val="00A964E3"/>
    <w:rsid w:val="00A965EA"/>
    <w:rsid w:val="00A967F7"/>
    <w:rsid w:val="00A968E2"/>
    <w:rsid w:val="00A96903"/>
    <w:rsid w:val="00A96A53"/>
    <w:rsid w:val="00A96AB3"/>
    <w:rsid w:val="00A96C89"/>
    <w:rsid w:val="00A96F51"/>
    <w:rsid w:val="00A9732E"/>
    <w:rsid w:val="00A973C5"/>
    <w:rsid w:val="00A97560"/>
    <w:rsid w:val="00A97914"/>
    <w:rsid w:val="00A97D8C"/>
    <w:rsid w:val="00AA01A4"/>
    <w:rsid w:val="00AA052E"/>
    <w:rsid w:val="00AA05E0"/>
    <w:rsid w:val="00AA0881"/>
    <w:rsid w:val="00AA14E7"/>
    <w:rsid w:val="00AA190E"/>
    <w:rsid w:val="00AA195C"/>
    <w:rsid w:val="00AA19E4"/>
    <w:rsid w:val="00AA1C99"/>
    <w:rsid w:val="00AA1CCF"/>
    <w:rsid w:val="00AA22DD"/>
    <w:rsid w:val="00AA22EE"/>
    <w:rsid w:val="00AA265A"/>
    <w:rsid w:val="00AA268B"/>
    <w:rsid w:val="00AA2790"/>
    <w:rsid w:val="00AA27C0"/>
    <w:rsid w:val="00AA2E1D"/>
    <w:rsid w:val="00AA2F23"/>
    <w:rsid w:val="00AA2FDE"/>
    <w:rsid w:val="00AA3483"/>
    <w:rsid w:val="00AA36B5"/>
    <w:rsid w:val="00AA37F8"/>
    <w:rsid w:val="00AA3828"/>
    <w:rsid w:val="00AA3F59"/>
    <w:rsid w:val="00AA4078"/>
    <w:rsid w:val="00AA42CC"/>
    <w:rsid w:val="00AA4371"/>
    <w:rsid w:val="00AA441B"/>
    <w:rsid w:val="00AA4595"/>
    <w:rsid w:val="00AA4E73"/>
    <w:rsid w:val="00AA527D"/>
    <w:rsid w:val="00AA55BE"/>
    <w:rsid w:val="00AA563B"/>
    <w:rsid w:val="00AA6D3C"/>
    <w:rsid w:val="00AA71EC"/>
    <w:rsid w:val="00AA7297"/>
    <w:rsid w:val="00AA737B"/>
    <w:rsid w:val="00AA7634"/>
    <w:rsid w:val="00AA7D13"/>
    <w:rsid w:val="00AA7F90"/>
    <w:rsid w:val="00AB01D1"/>
    <w:rsid w:val="00AB07AA"/>
    <w:rsid w:val="00AB08A0"/>
    <w:rsid w:val="00AB0BB3"/>
    <w:rsid w:val="00AB0E45"/>
    <w:rsid w:val="00AB12A1"/>
    <w:rsid w:val="00AB2418"/>
    <w:rsid w:val="00AB2467"/>
    <w:rsid w:val="00AB25B3"/>
    <w:rsid w:val="00AB2622"/>
    <w:rsid w:val="00AB2829"/>
    <w:rsid w:val="00AB2893"/>
    <w:rsid w:val="00AB28BC"/>
    <w:rsid w:val="00AB301E"/>
    <w:rsid w:val="00AB3498"/>
    <w:rsid w:val="00AB3610"/>
    <w:rsid w:val="00AB3871"/>
    <w:rsid w:val="00AB3D3C"/>
    <w:rsid w:val="00AB44A2"/>
    <w:rsid w:val="00AB44C0"/>
    <w:rsid w:val="00AB4702"/>
    <w:rsid w:val="00AB48C7"/>
    <w:rsid w:val="00AB4A10"/>
    <w:rsid w:val="00AB4B32"/>
    <w:rsid w:val="00AB4B98"/>
    <w:rsid w:val="00AB4C24"/>
    <w:rsid w:val="00AB4FE7"/>
    <w:rsid w:val="00AB50F9"/>
    <w:rsid w:val="00AB5343"/>
    <w:rsid w:val="00AB5461"/>
    <w:rsid w:val="00AB564B"/>
    <w:rsid w:val="00AB5A25"/>
    <w:rsid w:val="00AB5A3C"/>
    <w:rsid w:val="00AB5BE3"/>
    <w:rsid w:val="00AB5CAE"/>
    <w:rsid w:val="00AB61E5"/>
    <w:rsid w:val="00AB66B1"/>
    <w:rsid w:val="00AB6B6A"/>
    <w:rsid w:val="00AB7438"/>
    <w:rsid w:val="00AB7ABF"/>
    <w:rsid w:val="00AB7D0E"/>
    <w:rsid w:val="00AB7FE0"/>
    <w:rsid w:val="00AC0018"/>
    <w:rsid w:val="00AC008F"/>
    <w:rsid w:val="00AC024C"/>
    <w:rsid w:val="00AC0520"/>
    <w:rsid w:val="00AC0655"/>
    <w:rsid w:val="00AC07A9"/>
    <w:rsid w:val="00AC0877"/>
    <w:rsid w:val="00AC105B"/>
    <w:rsid w:val="00AC10EA"/>
    <w:rsid w:val="00AC12DB"/>
    <w:rsid w:val="00AC1777"/>
    <w:rsid w:val="00AC1C06"/>
    <w:rsid w:val="00AC1CBC"/>
    <w:rsid w:val="00AC1F2B"/>
    <w:rsid w:val="00AC25A8"/>
    <w:rsid w:val="00AC25F5"/>
    <w:rsid w:val="00AC3274"/>
    <w:rsid w:val="00AC337C"/>
    <w:rsid w:val="00AC3728"/>
    <w:rsid w:val="00AC3AC3"/>
    <w:rsid w:val="00AC3C25"/>
    <w:rsid w:val="00AC4039"/>
    <w:rsid w:val="00AC4142"/>
    <w:rsid w:val="00AC436B"/>
    <w:rsid w:val="00AC463C"/>
    <w:rsid w:val="00AC46A3"/>
    <w:rsid w:val="00AC4A74"/>
    <w:rsid w:val="00AC4CA8"/>
    <w:rsid w:val="00AC503B"/>
    <w:rsid w:val="00AC5491"/>
    <w:rsid w:val="00AC5EE3"/>
    <w:rsid w:val="00AC5FDA"/>
    <w:rsid w:val="00AC6B93"/>
    <w:rsid w:val="00AC6F02"/>
    <w:rsid w:val="00AC70A7"/>
    <w:rsid w:val="00AC741E"/>
    <w:rsid w:val="00AC77C4"/>
    <w:rsid w:val="00AC77FC"/>
    <w:rsid w:val="00AC784B"/>
    <w:rsid w:val="00AC79CF"/>
    <w:rsid w:val="00AC7E5E"/>
    <w:rsid w:val="00AC7F84"/>
    <w:rsid w:val="00AC7F9B"/>
    <w:rsid w:val="00AD025E"/>
    <w:rsid w:val="00AD02AA"/>
    <w:rsid w:val="00AD03E3"/>
    <w:rsid w:val="00AD04BA"/>
    <w:rsid w:val="00AD05EA"/>
    <w:rsid w:val="00AD071A"/>
    <w:rsid w:val="00AD093C"/>
    <w:rsid w:val="00AD0E52"/>
    <w:rsid w:val="00AD1162"/>
    <w:rsid w:val="00AD11B9"/>
    <w:rsid w:val="00AD142B"/>
    <w:rsid w:val="00AD16C0"/>
    <w:rsid w:val="00AD175A"/>
    <w:rsid w:val="00AD1B1E"/>
    <w:rsid w:val="00AD1BEA"/>
    <w:rsid w:val="00AD22DD"/>
    <w:rsid w:val="00AD2C9E"/>
    <w:rsid w:val="00AD2DC9"/>
    <w:rsid w:val="00AD2E00"/>
    <w:rsid w:val="00AD3130"/>
    <w:rsid w:val="00AD32F8"/>
    <w:rsid w:val="00AD3501"/>
    <w:rsid w:val="00AD36BE"/>
    <w:rsid w:val="00AD42DE"/>
    <w:rsid w:val="00AD4454"/>
    <w:rsid w:val="00AD45DA"/>
    <w:rsid w:val="00AD4696"/>
    <w:rsid w:val="00AD478F"/>
    <w:rsid w:val="00AD49FE"/>
    <w:rsid w:val="00AD4B78"/>
    <w:rsid w:val="00AD4E1D"/>
    <w:rsid w:val="00AD4F26"/>
    <w:rsid w:val="00AD508C"/>
    <w:rsid w:val="00AD520D"/>
    <w:rsid w:val="00AD5760"/>
    <w:rsid w:val="00AD5E6A"/>
    <w:rsid w:val="00AD6038"/>
    <w:rsid w:val="00AD61C5"/>
    <w:rsid w:val="00AD62D2"/>
    <w:rsid w:val="00AD68A7"/>
    <w:rsid w:val="00AD69DA"/>
    <w:rsid w:val="00AD6D49"/>
    <w:rsid w:val="00AD7459"/>
    <w:rsid w:val="00AD7581"/>
    <w:rsid w:val="00AE043E"/>
    <w:rsid w:val="00AE05AD"/>
    <w:rsid w:val="00AE0E37"/>
    <w:rsid w:val="00AE1449"/>
    <w:rsid w:val="00AE16A3"/>
    <w:rsid w:val="00AE1740"/>
    <w:rsid w:val="00AE1C4C"/>
    <w:rsid w:val="00AE2215"/>
    <w:rsid w:val="00AE234C"/>
    <w:rsid w:val="00AE242F"/>
    <w:rsid w:val="00AE2672"/>
    <w:rsid w:val="00AE2B7B"/>
    <w:rsid w:val="00AE2E53"/>
    <w:rsid w:val="00AE2E55"/>
    <w:rsid w:val="00AE2E8C"/>
    <w:rsid w:val="00AE3021"/>
    <w:rsid w:val="00AE3162"/>
    <w:rsid w:val="00AE31AF"/>
    <w:rsid w:val="00AE3E70"/>
    <w:rsid w:val="00AE3FAE"/>
    <w:rsid w:val="00AE4081"/>
    <w:rsid w:val="00AE4292"/>
    <w:rsid w:val="00AE4731"/>
    <w:rsid w:val="00AE4DC3"/>
    <w:rsid w:val="00AE4DCB"/>
    <w:rsid w:val="00AE4E12"/>
    <w:rsid w:val="00AE506E"/>
    <w:rsid w:val="00AE5160"/>
    <w:rsid w:val="00AE57A1"/>
    <w:rsid w:val="00AE5E64"/>
    <w:rsid w:val="00AE5F02"/>
    <w:rsid w:val="00AE6036"/>
    <w:rsid w:val="00AE6475"/>
    <w:rsid w:val="00AE652B"/>
    <w:rsid w:val="00AE6C10"/>
    <w:rsid w:val="00AE6C9A"/>
    <w:rsid w:val="00AE750A"/>
    <w:rsid w:val="00AE7B34"/>
    <w:rsid w:val="00AE7C19"/>
    <w:rsid w:val="00AF00F1"/>
    <w:rsid w:val="00AF0306"/>
    <w:rsid w:val="00AF086A"/>
    <w:rsid w:val="00AF187E"/>
    <w:rsid w:val="00AF1E05"/>
    <w:rsid w:val="00AF2539"/>
    <w:rsid w:val="00AF2805"/>
    <w:rsid w:val="00AF2F75"/>
    <w:rsid w:val="00AF31CF"/>
    <w:rsid w:val="00AF3A67"/>
    <w:rsid w:val="00AF3D03"/>
    <w:rsid w:val="00AF3FFF"/>
    <w:rsid w:val="00AF422F"/>
    <w:rsid w:val="00AF4371"/>
    <w:rsid w:val="00AF47CF"/>
    <w:rsid w:val="00AF47F6"/>
    <w:rsid w:val="00AF4C08"/>
    <w:rsid w:val="00AF4D0E"/>
    <w:rsid w:val="00AF56B4"/>
    <w:rsid w:val="00AF5926"/>
    <w:rsid w:val="00AF5CB9"/>
    <w:rsid w:val="00AF5CCE"/>
    <w:rsid w:val="00AF609C"/>
    <w:rsid w:val="00AF6555"/>
    <w:rsid w:val="00AF6BAE"/>
    <w:rsid w:val="00AF6E6F"/>
    <w:rsid w:val="00AF7635"/>
    <w:rsid w:val="00AF76D1"/>
    <w:rsid w:val="00AF778B"/>
    <w:rsid w:val="00AF77D2"/>
    <w:rsid w:val="00AF7A8E"/>
    <w:rsid w:val="00AF7D12"/>
    <w:rsid w:val="00AF7F75"/>
    <w:rsid w:val="00B00736"/>
    <w:rsid w:val="00B00CC7"/>
    <w:rsid w:val="00B01007"/>
    <w:rsid w:val="00B01295"/>
    <w:rsid w:val="00B01702"/>
    <w:rsid w:val="00B01BE5"/>
    <w:rsid w:val="00B025A5"/>
    <w:rsid w:val="00B025D6"/>
    <w:rsid w:val="00B02630"/>
    <w:rsid w:val="00B02B66"/>
    <w:rsid w:val="00B0337C"/>
    <w:rsid w:val="00B036D1"/>
    <w:rsid w:val="00B036DA"/>
    <w:rsid w:val="00B044A6"/>
    <w:rsid w:val="00B0487C"/>
    <w:rsid w:val="00B05BFB"/>
    <w:rsid w:val="00B062B9"/>
    <w:rsid w:val="00B06F8F"/>
    <w:rsid w:val="00B0738A"/>
    <w:rsid w:val="00B07419"/>
    <w:rsid w:val="00B076D3"/>
    <w:rsid w:val="00B0772E"/>
    <w:rsid w:val="00B0776B"/>
    <w:rsid w:val="00B078C4"/>
    <w:rsid w:val="00B10306"/>
    <w:rsid w:val="00B10501"/>
    <w:rsid w:val="00B108F4"/>
    <w:rsid w:val="00B109B9"/>
    <w:rsid w:val="00B10EE6"/>
    <w:rsid w:val="00B11075"/>
    <w:rsid w:val="00B1141D"/>
    <w:rsid w:val="00B11E65"/>
    <w:rsid w:val="00B11FE6"/>
    <w:rsid w:val="00B12409"/>
    <w:rsid w:val="00B12465"/>
    <w:rsid w:val="00B1253E"/>
    <w:rsid w:val="00B12764"/>
    <w:rsid w:val="00B12CBC"/>
    <w:rsid w:val="00B12E94"/>
    <w:rsid w:val="00B1371C"/>
    <w:rsid w:val="00B13831"/>
    <w:rsid w:val="00B13E18"/>
    <w:rsid w:val="00B141F5"/>
    <w:rsid w:val="00B14596"/>
    <w:rsid w:val="00B14717"/>
    <w:rsid w:val="00B14B0C"/>
    <w:rsid w:val="00B14C0C"/>
    <w:rsid w:val="00B14E1D"/>
    <w:rsid w:val="00B14F1B"/>
    <w:rsid w:val="00B1524A"/>
    <w:rsid w:val="00B15288"/>
    <w:rsid w:val="00B15708"/>
    <w:rsid w:val="00B1575E"/>
    <w:rsid w:val="00B162FA"/>
    <w:rsid w:val="00B16572"/>
    <w:rsid w:val="00B166E7"/>
    <w:rsid w:val="00B16812"/>
    <w:rsid w:val="00B16A51"/>
    <w:rsid w:val="00B16C44"/>
    <w:rsid w:val="00B16CFE"/>
    <w:rsid w:val="00B17C3F"/>
    <w:rsid w:val="00B20019"/>
    <w:rsid w:val="00B20064"/>
    <w:rsid w:val="00B2040F"/>
    <w:rsid w:val="00B20629"/>
    <w:rsid w:val="00B20689"/>
    <w:rsid w:val="00B20839"/>
    <w:rsid w:val="00B20E4B"/>
    <w:rsid w:val="00B20F48"/>
    <w:rsid w:val="00B212D3"/>
    <w:rsid w:val="00B212FA"/>
    <w:rsid w:val="00B2173D"/>
    <w:rsid w:val="00B218D9"/>
    <w:rsid w:val="00B21A3E"/>
    <w:rsid w:val="00B21CBA"/>
    <w:rsid w:val="00B21D0A"/>
    <w:rsid w:val="00B21F18"/>
    <w:rsid w:val="00B220A9"/>
    <w:rsid w:val="00B2236B"/>
    <w:rsid w:val="00B2238F"/>
    <w:rsid w:val="00B227D8"/>
    <w:rsid w:val="00B22909"/>
    <w:rsid w:val="00B2298D"/>
    <w:rsid w:val="00B22A64"/>
    <w:rsid w:val="00B22C16"/>
    <w:rsid w:val="00B22E22"/>
    <w:rsid w:val="00B22F87"/>
    <w:rsid w:val="00B234DE"/>
    <w:rsid w:val="00B23A06"/>
    <w:rsid w:val="00B23D93"/>
    <w:rsid w:val="00B24057"/>
    <w:rsid w:val="00B240CC"/>
    <w:rsid w:val="00B24209"/>
    <w:rsid w:val="00B24267"/>
    <w:rsid w:val="00B242E5"/>
    <w:rsid w:val="00B244E9"/>
    <w:rsid w:val="00B245D6"/>
    <w:rsid w:val="00B245DD"/>
    <w:rsid w:val="00B249E4"/>
    <w:rsid w:val="00B24ACB"/>
    <w:rsid w:val="00B25039"/>
    <w:rsid w:val="00B250E1"/>
    <w:rsid w:val="00B251A9"/>
    <w:rsid w:val="00B2528E"/>
    <w:rsid w:val="00B2529E"/>
    <w:rsid w:val="00B255E6"/>
    <w:rsid w:val="00B256BE"/>
    <w:rsid w:val="00B25A26"/>
    <w:rsid w:val="00B25E5B"/>
    <w:rsid w:val="00B26102"/>
    <w:rsid w:val="00B26453"/>
    <w:rsid w:val="00B2670E"/>
    <w:rsid w:val="00B267A1"/>
    <w:rsid w:val="00B27587"/>
    <w:rsid w:val="00B275D8"/>
    <w:rsid w:val="00B27622"/>
    <w:rsid w:val="00B277E6"/>
    <w:rsid w:val="00B27A6B"/>
    <w:rsid w:val="00B27F31"/>
    <w:rsid w:val="00B3001F"/>
    <w:rsid w:val="00B30070"/>
    <w:rsid w:val="00B303AA"/>
    <w:rsid w:val="00B30419"/>
    <w:rsid w:val="00B3061A"/>
    <w:rsid w:val="00B3066E"/>
    <w:rsid w:val="00B306ED"/>
    <w:rsid w:val="00B308B7"/>
    <w:rsid w:val="00B320E7"/>
    <w:rsid w:val="00B32719"/>
    <w:rsid w:val="00B3291C"/>
    <w:rsid w:val="00B32D11"/>
    <w:rsid w:val="00B32FED"/>
    <w:rsid w:val="00B337D8"/>
    <w:rsid w:val="00B337F3"/>
    <w:rsid w:val="00B3392D"/>
    <w:rsid w:val="00B33EB2"/>
    <w:rsid w:val="00B3440F"/>
    <w:rsid w:val="00B347AB"/>
    <w:rsid w:val="00B34A49"/>
    <w:rsid w:val="00B34D8C"/>
    <w:rsid w:val="00B3548D"/>
    <w:rsid w:val="00B35635"/>
    <w:rsid w:val="00B35C6F"/>
    <w:rsid w:val="00B3621F"/>
    <w:rsid w:val="00B365CE"/>
    <w:rsid w:val="00B36723"/>
    <w:rsid w:val="00B36C25"/>
    <w:rsid w:val="00B37018"/>
    <w:rsid w:val="00B3731E"/>
    <w:rsid w:val="00B37BBF"/>
    <w:rsid w:val="00B37E02"/>
    <w:rsid w:val="00B40361"/>
    <w:rsid w:val="00B40367"/>
    <w:rsid w:val="00B408E4"/>
    <w:rsid w:val="00B40B4C"/>
    <w:rsid w:val="00B40BB2"/>
    <w:rsid w:val="00B40BC7"/>
    <w:rsid w:val="00B4108E"/>
    <w:rsid w:val="00B4110F"/>
    <w:rsid w:val="00B41351"/>
    <w:rsid w:val="00B41551"/>
    <w:rsid w:val="00B42007"/>
    <w:rsid w:val="00B42138"/>
    <w:rsid w:val="00B4219C"/>
    <w:rsid w:val="00B4234C"/>
    <w:rsid w:val="00B42498"/>
    <w:rsid w:val="00B42859"/>
    <w:rsid w:val="00B42860"/>
    <w:rsid w:val="00B42AD4"/>
    <w:rsid w:val="00B42FEF"/>
    <w:rsid w:val="00B4303A"/>
    <w:rsid w:val="00B43067"/>
    <w:rsid w:val="00B43538"/>
    <w:rsid w:val="00B435CD"/>
    <w:rsid w:val="00B43678"/>
    <w:rsid w:val="00B43786"/>
    <w:rsid w:val="00B439EC"/>
    <w:rsid w:val="00B43E3E"/>
    <w:rsid w:val="00B43F8E"/>
    <w:rsid w:val="00B44ACF"/>
    <w:rsid w:val="00B44D44"/>
    <w:rsid w:val="00B4504A"/>
    <w:rsid w:val="00B458C5"/>
    <w:rsid w:val="00B460C5"/>
    <w:rsid w:val="00B4636B"/>
    <w:rsid w:val="00B46709"/>
    <w:rsid w:val="00B46B56"/>
    <w:rsid w:val="00B46B70"/>
    <w:rsid w:val="00B46DB4"/>
    <w:rsid w:val="00B47401"/>
    <w:rsid w:val="00B47578"/>
    <w:rsid w:val="00B501ED"/>
    <w:rsid w:val="00B5053E"/>
    <w:rsid w:val="00B50793"/>
    <w:rsid w:val="00B515B5"/>
    <w:rsid w:val="00B5165B"/>
    <w:rsid w:val="00B518F7"/>
    <w:rsid w:val="00B51FD4"/>
    <w:rsid w:val="00B52653"/>
    <w:rsid w:val="00B52DEA"/>
    <w:rsid w:val="00B5302F"/>
    <w:rsid w:val="00B53090"/>
    <w:rsid w:val="00B53E2E"/>
    <w:rsid w:val="00B547A5"/>
    <w:rsid w:val="00B5497B"/>
    <w:rsid w:val="00B54DF1"/>
    <w:rsid w:val="00B55446"/>
    <w:rsid w:val="00B560F1"/>
    <w:rsid w:val="00B56104"/>
    <w:rsid w:val="00B5650F"/>
    <w:rsid w:val="00B56630"/>
    <w:rsid w:val="00B56663"/>
    <w:rsid w:val="00B5671C"/>
    <w:rsid w:val="00B570CE"/>
    <w:rsid w:val="00B571DE"/>
    <w:rsid w:val="00B57276"/>
    <w:rsid w:val="00B573C5"/>
    <w:rsid w:val="00B57CD6"/>
    <w:rsid w:val="00B57EF6"/>
    <w:rsid w:val="00B57FA3"/>
    <w:rsid w:val="00B57FB8"/>
    <w:rsid w:val="00B6019A"/>
    <w:rsid w:val="00B609CD"/>
    <w:rsid w:val="00B61645"/>
    <w:rsid w:val="00B6178C"/>
    <w:rsid w:val="00B6179F"/>
    <w:rsid w:val="00B6214A"/>
    <w:rsid w:val="00B62675"/>
    <w:rsid w:val="00B62AAD"/>
    <w:rsid w:val="00B62D4A"/>
    <w:rsid w:val="00B63022"/>
    <w:rsid w:val="00B63490"/>
    <w:rsid w:val="00B637E0"/>
    <w:rsid w:val="00B63B30"/>
    <w:rsid w:val="00B63BF5"/>
    <w:rsid w:val="00B63C67"/>
    <w:rsid w:val="00B63CEC"/>
    <w:rsid w:val="00B64513"/>
    <w:rsid w:val="00B645E6"/>
    <w:rsid w:val="00B6473E"/>
    <w:rsid w:val="00B64989"/>
    <w:rsid w:val="00B64BE4"/>
    <w:rsid w:val="00B655A9"/>
    <w:rsid w:val="00B6560A"/>
    <w:rsid w:val="00B65ACF"/>
    <w:rsid w:val="00B65F3B"/>
    <w:rsid w:val="00B660AE"/>
    <w:rsid w:val="00B6624E"/>
    <w:rsid w:val="00B663AA"/>
    <w:rsid w:val="00B663ED"/>
    <w:rsid w:val="00B66E6C"/>
    <w:rsid w:val="00B6783C"/>
    <w:rsid w:val="00B67C67"/>
    <w:rsid w:val="00B70F63"/>
    <w:rsid w:val="00B7113B"/>
    <w:rsid w:val="00B7128D"/>
    <w:rsid w:val="00B714AC"/>
    <w:rsid w:val="00B715C1"/>
    <w:rsid w:val="00B72047"/>
    <w:rsid w:val="00B7222E"/>
    <w:rsid w:val="00B72AC3"/>
    <w:rsid w:val="00B72CF2"/>
    <w:rsid w:val="00B73064"/>
    <w:rsid w:val="00B73074"/>
    <w:rsid w:val="00B742B5"/>
    <w:rsid w:val="00B742E6"/>
    <w:rsid w:val="00B750C1"/>
    <w:rsid w:val="00B7522D"/>
    <w:rsid w:val="00B75729"/>
    <w:rsid w:val="00B75969"/>
    <w:rsid w:val="00B75AF4"/>
    <w:rsid w:val="00B75F89"/>
    <w:rsid w:val="00B7607F"/>
    <w:rsid w:val="00B760FB"/>
    <w:rsid w:val="00B762BC"/>
    <w:rsid w:val="00B76AB7"/>
    <w:rsid w:val="00B7713C"/>
    <w:rsid w:val="00B771B8"/>
    <w:rsid w:val="00B7765F"/>
    <w:rsid w:val="00B77D3F"/>
    <w:rsid w:val="00B80129"/>
    <w:rsid w:val="00B80A0C"/>
    <w:rsid w:val="00B81192"/>
    <w:rsid w:val="00B81219"/>
    <w:rsid w:val="00B814AE"/>
    <w:rsid w:val="00B81797"/>
    <w:rsid w:val="00B817E5"/>
    <w:rsid w:val="00B8181A"/>
    <w:rsid w:val="00B81AF4"/>
    <w:rsid w:val="00B81F89"/>
    <w:rsid w:val="00B82B18"/>
    <w:rsid w:val="00B830EB"/>
    <w:rsid w:val="00B833F5"/>
    <w:rsid w:val="00B835F3"/>
    <w:rsid w:val="00B8379C"/>
    <w:rsid w:val="00B83AC8"/>
    <w:rsid w:val="00B83D79"/>
    <w:rsid w:val="00B83E6A"/>
    <w:rsid w:val="00B8465F"/>
    <w:rsid w:val="00B8526D"/>
    <w:rsid w:val="00B85604"/>
    <w:rsid w:val="00B85800"/>
    <w:rsid w:val="00B85DFD"/>
    <w:rsid w:val="00B86374"/>
    <w:rsid w:val="00B863BB"/>
    <w:rsid w:val="00B86672"/>
    <w:rsid w:val="00B867FE"/>
    <w:rsid w:val="00B86E2B"/>
    <w:rsid w:val="00B871F5"/>
    <w:rsid w:val="00B8745D"/>
    <w:rsid w:val="00B8776C"/>
    <w:rsid w:val="00B87B5E"/>
    <w:rsid w:val="00B87C47"/>
    <w:rsid w:val="00B87C67"/>
    <w:rsid w:val="00B90244"/>
    <w:rsid w:val="00B9034D"/>
    <w:rsid w:val="00B906B1"/>
    <w:rsid w:val="00B908A8"/>
    <w:rsid w:val="00B90A13"/>
    <w:rsid w:val="00B90B6A"/>
    <w:rsid w:val="00B91B20"/>
    <w:rsid w:val="00B91C79"/>
    <w:rsid w:val="00B921CA"/>
    <w:rsid w:val="00B921E1"/>
    <w:rsid w:val="00B92442"/>
    <w:rsid w:val="00B9257E"/>
    <w:rsid w:val="00B92706"/>
    <w:rsid w:val="00B92997"/>
    <w:rsid w:val="00B92C3C"/>
    <w:rsid w:val="00B930AC"/>
    <w:rsid w:val="00B9324D"/>
    <w:rsid w:val="00B93467"/>
    <w:rsid w:val="00B93531"/>
    <w:rsid w:val="00B9407E"/>
    <w:rsid w:val="00B94D85"/>
    <w:rsid w:val="00B94F7C"/>
    <w:rsid w:val="00B94FC7"/>
    <w:rsid w:val="00B95011"/>
    <w:rsid w:val="00B95072"/>
    <w:rsid w:val="00B956FF"/>
    <w:rsid w:val="00B95BB0"/>
    <w:rsid w:val="00B962B4"/>
    <w:rsid w:val="00B966B4"/>
    <w:rsid w:val="00B967AF"/>
    <w:rsid w:val="00B97133"/>
    <w:rsid w:val="00B973F3"/>
    <w:rsid w:val="00B97D77"/>
    <w:rsid w:val="00B97F85"/>
    <w:rsid w:val="00BA07A4"/>
    <w:rsid w:val="00BA07E4"/>
    <w:rsid w:val="00BA087C"/>
    <w:rsid w:val="00BA0C78"/>
    <w:rsid w:val="00BA1079"/>
    <w:rsid w:val="00BA11FC"/>
    <w:rsid w:val="00BA1994"/>
    <w:rsid w:val="00BA1D21"/>
    <w:rsid w:val="00BA1E4B"/>
    <w:rsid w:val="00BA204F"/>
    <w:rsid w:val="00BA289C"/>
    <w:rsid w:val="00BA29A9"/>
    <w:rsid w:val="00BA2BAA"/>
    <w:rsid w:val="00BA2C4D"/>
    <w:rsid w:val="00BA2FB1"/>
    <w:rsid w:val="00BA31DF"/>
    <w:rsid w:val="00BA3434"/>
    <w:rsid w:val="00BA3970"/>
    <w:rsid w:val="00BA3A9E"/>
    <w:rsid w:val="00BA3ADB"/>
    <w:rsid w:val="00BA3CE4"/>
    <w:rsid w:val="00BA4DDE"/>
    <w:rsid w:val="00BA4F4A"/>
    <w:rsid w:val="00BA4F73"/>
    <w:rsid w:val="00BA5992"/>
    <w:rsid w:val="00BA5B7D"/>
    <w:rsid w:val="00BA6B40"/>
    <w:rsid w:val="00BA767D"/>
    <w:rsid w:val="00BB0B0C"/>
    <w:rsid w:val="00BB0E1F"/>
    <w:rsid w:val="00BB1197"/>
    <w:rsid w:val="00BB12DA"/>
    <w:rsid w:val="00BB160E"/>
    <w:rsid w:val="00BB192B"/>
    <w:rsid w:val="00BB1A70"/>
    <w:rsid w:val="00BB1E0E"/>
    <w:rsid w:val="00BB2418"/>
    <w:rsid w:val="00BB2484"/>
    <w:rsid w:val="00BB2A71"/>
    <w:rsid w:val="00BB3DDE"/>
    <w:rsid w:val="00BB3E2B"/>
    <w:rsid w:val="00BB4205"/>
    <w:rsid w:val="00BB4994"/>
    <w:rsid w:val="00BB4C03"/>
    <w:rsid w:val="00BB4E2C"/>
    <w:rsid w:val="00BB5B85"/>
    <w:rsid w:val="00BB5F7D"/>
    <w:rsid w:val="00BB6513"/>
    <w:rsid w:val="00BB660E"/>
    <w:rsid w:val="00BB6920"/>
    <w:rsid w:val="00BB6965"/>
    <w:rsid w:val="00BB6BC4"/>
    <w:rsid w:val="00BB6BF8"/>
    <w:rsid w:val="00BB6C5C"/>
    <w:rsid w:val="00BB70AF"/>
    <w:rsid w:val="00BB7258"/>
    <w:rsid w:val="00BB7315"/>
    <w:rsid w:val="00BB79E8"/>
    <w:rsid w:val="00BB7D86"/>
    <w:rsid w:val="00BB7EB7"/>
    <w:rsid w:val="00BC06F3"/>
    <w:rsid w:val="00BC0BD3"/>
    <w:rsid w:val="00BC0D3B"/>
    <w:rsid w:val="00BC137D"/>
    <w:rsid w:val="00BC17C4"/>
    <w:rsid w:val="00BC1DA3"/>
    <w:rsid w:val="00BC2006"/>
    <w:rsid w:val="00BC2085"/>
    <w:rsid w:val="00BC2243"/>
    <w:rsid w:val="00BC2407"/>
    <w:rsid w:val="00BC24AA"/>
    <w:rsid w:val="00BC24E2"/>
    <w:rsid w:val="00BC2A66"/>
    <w:rsid w:val="00BC2BA4"/>
    <w:rsid w:val="00BC2E5B"/>
    <w:rsid w:val="00BC2F4C"/>
    <w:rsid w:val="00BC3084"/>
    <w:rsid w:val="00BC35A8"/>
    <w:rsid w:val="00BC3773"/>
    <w:rsid w:val="00BC3835"/>
    <w:rsid w:val="00BC390F"/>
    <w:rsid w:val="00BC3E1C"/>
    <w:rsid w:val="00BC3EFE"/>
    <w:rsid w:val="00BC3F3B"/>
    <w:rsid w:val="00BC4708"/>
    <w:rsid w:val="00BC4D29"/>
    <w:rsid w:val="00BC526D"/>
    <w:rsid w:val="00BC54E6"/>
    <w:rsid w:val="00BC5782"/>
    <w:rsid w:val="00BC5911"/>
    <w:rsid w:val="00BC5FD7"/>
    <w:rsid w:val="00BC61E8"/>
    <w:rsid w:val="00BC63A3"/>
    <w:rsid w:val="00BC7235"/>
    <w:rsid w:val="00BC7AB0"/>
    <w:rsid w:val="00BC7B13"/>
    <w:rsid w:val="00BC7C3B"/>
    <w:rsid w:val="00BC7E61"/>
    <w:rsid w:val="00BD04EF"/>
    <w:rsid w:val="00BD0630"/>
    <w:rsid w:val="00BD0662"/>
    <w:rsid w:val="00BD06CF"/>
    <w:rsid w:val="00BD07EB"/>
    <w:rsid w:val="00BD0882"/>
    <w:rsid w:val="00BD0969"/>
    <w:rsid w:val="00BD11FE"/>
    <w:rsid w:val="00BD1817"/>
    <w:rsid w:val="00BD1C4C"/>
    <w:rsid w:val="00BD1F42"/>
    <w:rsid w:val="00BD2072"/>
    <w:rsid w:val="00BD2743"/>
    <w:rsid w:val="00BD314B"/>
    <w:rsid w:val="00BD3388"/>
    <w:rsid w:val="00BD34CF"/>
    <w:rsid w:val="00BD3682"/>
    <w:rsid w:val="00BD37A7"/>
    <w:rsid w:val="00BD3F95"/>
    <w:rsid w:val="00BD4157"/>
    <w:rsid w:val="00BD41F9"/>
    <w:rsid w:val="00BD474F"/>
    <w:rsid w:val="00BD4D36"/>
    <w:rsid w:val="00BD5101"/>
    <w:rsid w:val="00BD545F"/>
    <w:rsid w:val="00BD5520"/>
    <w:rsid w:val="00BD5E78"/>
    <w:rsid w:val="00BD65F4"/>
    <w:rsid w:val="00BD6995"/>
    <w:rsid w:val="00BD6B3C"/>
    <w:rsid w:val="00BD6E92"/>
    <w:rsid w:val="00BD7107"/>
    <w:rsid w:val="00BD75DD"/>
    <w:rsid w:val="00BD7939"/>
    <w:rsid w:val="00BD798A"/>
    <w:rsid w:val="00BD7FF0"/>
    <w:rsid w:val="00BE0BB4"/>
    <w:rsid w:val="00BE0DF2"/>
    <w:rsid w:val="00BE1442"/>
    <w:rsid w:val="00BE16D8"/>
    <w:rsid w:val="00BE19BD"/>
    <w:rsid w:val="00BE1D3F"/>
    <w:rsid w:val="00BE1F1B"/>
    <w:rsid w:val="00BE2713"/>
    <w:rsid w:val="00BE2739"/>
    <w:rsid w:val="00BE2B46"/>
    <w:rsid w:val="00BE3167"/>
    <w:rsid w:val="00BE3334"/>
    <w:rsid w:val="00BE3857"/>
    <w:rsid w:val="00BE3A29"/>
    <w:rsid w:val="00BE40B1"/>
    <w:rsid w:val="00BE4437"/>
    <w:rsid w:val="00BE4579"/>
    <w:rsid w:val="00BE45E3"/>
    <w:rsid w:val="00BE4A8B"/>
    <w:rsid w:val="00BE4C0A"/>
    <w:rsid w:val="00BE4CCB"/>
    <w:rsid w:val="00BE55C6"/>
    <w:rsid w:val="00BE5638"/>
    <w:rsid w:val="00BE5803"/>
    <w:rsid w:val="00BE59DE"/>
    <w:rsid w:val="00BE5D66"/>
    <w:rsid w:val="00BE5EB5"/>
    <w:rsid w:val="00BE5F90"/>
    <w:rsid w:val="00BE5FC3"/>
    <w:rsid w:val="00BE6063"/>
    <w:rsid w:val="00BE612B"/>
    <w:rsid w:val="00BE62BF"/>
    <w:rsid w:val="00BE6523"/>
    <w:rsid w:val="00BE6598"/>
    <w:rsid w:val="00BE6698"/>
    <w:rsid w:val="00BE6760"/>
    <w:rsid w:val="00BE6C7B"/>
    <w:rsid w:val="00BE738F"/>
    <w:rsid w:val="00BE783B"/>
    <w:rsid w:val="00BE7880"/>
    <w:rsid w:val="00BE799A"/>
    <w:rsid w:val="00BE79F4"/>
    <w:rsid w:val="00BE7C3E"/>
    <w:rsid w:val="00BF0253"/>
    <w:rsid w:val="00BF0276"/>
    <w:rsid w:val="00BF0838"/>
    <w:rsid w:val="00BF0C90"/>
    <w:rsid w:val="00BF1427"/>
    <w:rsid w:val="00BF14AC"/>
    <w:rsid w:val="00BF15CA"/>
    <w:rsid w:val="00BF1A0F"/>
    <w:rsid w:val="00BF1EA5"/>
    <w:rsid w:val="00BF26A8"/>
    <w:rsid w:val="00BF28EE"/>
    <w:rsid w:val="00BF2972"/>
    <w:rsid w:val="00BF29C6"/>
    <w:rsid w:val="00BF2BFB"/>
    <w:rsid w:val="00BF2C94"/>
    <w:rsid w:val="00BF31F3"/>
    <w:rsid w:val="00BF3943"/>
    <w:rsid w:val="00BF3AE5"/>
    <w:rsid w:val="00BF3BB8"/>
    <w:rsid w:val="00BF3ECC"/>
    <w:rsid w:val="00BF3FA8"/>
    <w:rsid w:val="00BF3FF4"/>
    <w:rsid w:val="00BF432D"/>
    <w:rsid w:val="00BF45A4"/>
    <w:rsid w:val="00BF4621"/>
    <w:rsid w:val="00BF4776"/>
    <w:rsid w:val="00BF49D4"/>
    <w:rsid w:val="00BF4DA2"/>
    <w:rsid w:val="00BF51AA"/>
    <w:rsid w:val="00BF5246"/>
    <w:rsid w:val="00BF52BC"/>
    <w:rsid w:val="00BF52E8"/>
    <w:rsid w:val="00BF57D6"/>
    <w:rsid w:val="00BF5902"/>
    <w:rsid w:val="00BF5A8D"/>
    <w:rsid w:val="00BF5F90"/>
    <w:rsid w:val="00BF6682"/>
    <w:rsid w:val="00BF67AA"/>
    <w:rsid w:val="00BF6842"/>
    <w:rsid w:val="00BF69EC"/>
    <w:rsid w:val="00BF6C5B"/>
    <w:rsid w:val="00BF705E"/>
    <w:rsid w:val="00BF70BF"/>
    <w:rsid w:val="00BF730F"/>
    <w:rsid w:val="00BF7C74"/>
    <w:rsid w:val="00C003A2"/>
    <w:rsid w:val="00C007A5"/>
    <w:rsid w:val="00C0098C"/>
    <w:rsid w:val="00C00C2E"/>
    <w:rsid w:val="00C00DED"/>
    <w:rsid w:val="00C0123C"/>
    <w:rsid w:val="00C0166C"/>
    <w:rsid w:val="00C0254F"/>
    <w:rsid w:val="00C0259C"/>
    <w:rsid w:val="00C0274B"/>
    <w:rsid w:val="00C02D19"/>
    <w:rsid w:val="00C02E53"/>
    <w:rsid w:val="00C03855"/>
    <w:rsid w:val="00C03E90"/>
    <w:rsid w:val="00C047C6"/>
    <w:rsid w:val="00C04944"/>
    <w:rsid w:val="00C04CE3"/>
    <w:rsid w:val="00C04EDD"/>
    <w:rsid w:val="00C05025"/>
    <w:rsid w:val="00C059B4"/>
    <w:rsid w:val="00C05A0F"/>
    <w:rsid w:val="00C05C37"/>
    <w:rsid w:val="00C05FB3"/>
    <w:rsid w:val="00C06117"/>
    <w:rsid w:val="00C06B49"/>
    <w:rsid w:val="00C06D91"/>
    <w:rsid w:val="00C072FD"/>
    <w:rsid w:val="00C07A2B"/>
    <w:rsid w:val="00C07BE8"/>
    <w:rsid w:val="00C1036C"/>
    <w:rsid w:val="00C10A75"/>
    <w:rsid w:val="00C11689"/>
    <w:rsid w:val="00C1194F"/>
    <w:rsid w:val="00C11B96"/>
    <w:rsid w:val="00C1220A"/>
    <w:rsid w:val="00C124DC"/>
    <w:rsid w:val="00C128C9"/>
    <w:rsid w:val="00C128D7"/>
    <w:rsid w:val="00C12D45"/>
    <w:rsid w:val="00C12D84"/>
    <w:rsid w:val="00C1335D"/>
    <w:rsid w:val="00C1380D"/>
    <w:rsid w:val="00C1413E"/>
    <w:rsid w:val="00C1441B"/>
    <w:rsid w:val="00C145E5"/>
    <w:rsid w:val="00C14BE0"/>
    <w:rsid w:val="00C155E4"/>
    <w:rsid w:val="00C157A1"/>
    <w:rsid w:val="00C15ABE"/>
    <w:rsid w:val="00C15B06"/>
    <w:rsid w:val="00C15EB1"/>
    <w:rsid w:val="00C1643A"/>
    <w:rsid w:val="00C16817"/>
    <w:rsid w:val="00C168BA"/>
    <w:rsid w:val="00C16A77"/>
    <w:rsid w:val="00C16EA6"/>
    <w:rsid w:val="00C170CF"/>
    <w:rsid w:val="00C1712E"/>
    <w:rsid w:val="00C172C9"/>
    <w:rsid w:val="00C173BC"/>
    <w:rsid w:val="00C17764"/>
    <w:rsid w:val="00C177CE"/>
    <w:rsid w:val="00C1781D"/>
    <w:rsid w:val="00C1796A"/>
    <w:rsid w:val="00C17CF6"/>
    <w:rsid w:val="00C2008F"/>
    <w:rsid w:val="00C201FB"/>
    <w:rsid w:val="00C2027E"/>
    <w:rsid w:val="00C202B7"/>
    <w:rsid w:val="00C20437"/>
    <w:rsid w:val="00C204F4"/>
    <w:rsid w:val="00C205E7"/>
    <w:rsid w:val="00C2066C"/>
    <w:rsid w:val="00C20EE9"/>
    <w:rsid w:val="00C2106A"/>
    <w:rsid w:val="00C210BE"/>
    <w:rsid w:val="00C2172C"/>
    <w:rsid w:val="00C2196B"/>
    <w:rsid w:val="00C21B77"/>
    <w:rsid w:val="00C21C8F"/>
    <w:rsid w:val="00C21F45"/>
    <w:rsid w:val="00C22499"/>
    <w:rsid w:val="00C2284E"/>
    <w:rsid w:val="00C22A94"/>
    <w:rsid w:val="00C22B57"/>
    <w:rsid w:val="00C22ECC"/>
    <w:rsid w:val="00C2305F"/>
    <w:rsid w:val="00C23066"/>
    <w:rsid w:val="00C23495"/>
    <w:rsid w:val="00C236CE"/>
    <w:rsid w:val="00C23894"/>
    <w:rsid w:val="00C23D9F"/>
    <w:rsid w:val="00C23F8C"/>
    <w:rsid w:val="00C24677"/>
    <w:rsid w:val="00C24791"/>
    <w:rsid w:val="00C24BEB"/>
    <w:rsid w:val="00C24D2D"/>
    <w:rsid w:val="00C25ACE"/>
    <w:rsid w:val="00C25B0E"/>
    <w:rsid w:val="00C25DE4"/>
    <w:rsid w:val="00C25FF1"/>
    <w:rsid w:val="00C260BE"/>
    <w:rsid w:val="00C26369"/>
    <w:rsid w:val="00C26B2B"/>
    <w:rsid w:val="00C26D6F"/>
    <w:rsid w:val="00C26EC7"/>
    <w:rsid w:val="00C271D2"/>
    <w:rsid w:val="00C27510"/>
    <w:rsid w:val="00C27540"/>
    <w:rsid w:val="00C275BC"/>
    <w:rsid w:val="00C27880"/>
    <w:rsid w:val="00C279FA"/>
    <w:rsid w:val="00C27B3A"/>
    <w:rsid w:val="00C3078B"/>
    <w:rsid w:val="00C308FD"/>
    <w:rsid w:val="00C30982"/>
    <w:rsid w:val="00C30AE0"/>
    <w:rsid w:val="00C30E48"/>
    <w:rsid w:val="00C3134C"/>
    <w:rsid w:val="00C31698"/>
    <w:rsid w:val="00C318AB"/>
    <w:rsid w:val="00C31A3D"/>
    <w:rsid w:val="00C31B6C"/>
    <w:rsid w:val="00C31E64"/>
    <w:rsid w:val="00C321CB"/>
    <w:rsid w:val="00C324D3"/>
    <w:rsid w:val="00C32729"/>
    <w:rsid w:val="00C3272A"/>
    <w:rsid w:val="00C32877"/>
    <w:rsid w:val="00C32BC0"/>
    <w:rsid w:val="00C32C8B"/>
    <w:rsid w:val="00C32DFE"/>
    <w:rsid w:val="00C3339D"/>
    <w:rsid w:val="00C33649"/>
    <w:rsid w:val="00C3378D"/>
    <w:rsid w:val="00C338D8"/>
    <w:rsid w:val="00C33F1C"/>
    <w:rsid w:val="00C3422B"/>
    <w:rsid w:val="00C3432E"/>
    <w:rsid w:val="00C343EF"/>
    <w:rsid w:val="00C34694"/>
    <w:rsid w:val="00C34B29"/>
    <w:rsid w:val="00C34BC9"/>
    <w:rsid w:val="00C34D6A"/>
    <w:rsid w:val="00C351A5"/>
    <w:rsid w:val="00C3549B"/>
    <w:rsid w:val="00C355A7"/>
    <w:rsid w:val="00C35C9C"/>
    <w:rsid w:val="00C3604A"/>
    <w:rsid w:val="00C3661F"/>
    <w:rsid w:val="00C369DA"/>
    <w:rsid w:val="00C3716B"/>
    <w:rsid w:val="00C376EC"/>
    <w:rsid w:val="00C377F4"/>
    <w:rsid w:val="00C37826"/>
    <w:rsid w:val="00C37F4F"/>
    <w:rsid w:val="00C40122"/>
    <w:rsid w:val="00C40667"/>
    <w:rsid w:val="00C406FC"/>
    <w:rsid w:val="00C4077D"/>
    <w:rsid w:val="00C408D2"/>
    <w:rsid w:val="00C40DED"/>
    <w:rsid w:val="00C40EF4"/>
    <w:rsid w:val="00C412AE"/>
    <w:rsid w:val="00C41499"/>
    <w:rsid w:val="00C41635"/>
    <w:rsid w:val="00C41F72"/>
    <w:rsid w:val="00C42132"/>
    <w:rsid w:val="00C422FC"/>
    <w:rsid w:val="00C42495"/>
    <w:rsid w:val="00C4256E"/>
    <w:rsid w:val="00C42576"/>
    <w:rsid w:val="00C438B0"/>
    <w:rsid w:val="00C43A0B"/>
    <w:rsid w:val="00C43EB4"/>
    <w:rsid w:val="00C43F5D"/>
    <w:rsid w:val="00C44021"/>
    <w:rsid w:val="00C44183"/>
    <w:rsid w:val="00C44187"/>
    <w:rsid w:val="00C444AE"/>
    <w:rsid w:val="00C44DE5"/>
    <w:rsid w:val="00C450E4"/>
    <w:rsid w:val="00C45286"/>
    <w:rsid w:val="00C45A3E"/>
    <w:rsid w:val="00C45CBA"/>
    <w:rsid w:val="00C45CF7"/>
    <w:rsid w:val="00C45DC1"/>
    <w:rsid w:val="00C4631B"/>
    <w:rsid w:val="00C46702"/>
    <w:rsid w:val="00C46725"/>
    <w:rsid w:val="00C4687D"/>
    <w:rsid w:val="00C46C5F"/>
    <w:rsid w:val="00C47242"/>
    <w:rsid w:val="00C47D87"/>
    <w:rsid w:val="00C500D6"/>
    <w:rsid w:val="00C5041F"/>
    <w:rsid w:val="00C50AEE"/>
    <w:rsid w:val="00C50B46"/>
    <w:rsid w:val="00C50DAA"/>
    <w:rsid w:val="00C50E30"/>
    <w:rsid w:val="00C51B07"/>
    <w:rsid w:val="00C51CF9"/>
    <w:rsid w:val="00C51EF2"/>
    <w:rsid w:val="00C5235C"/>
    <w:rsid w:val="00C52983"/>
    <w:rsid w:val="00C52A1D"/>
    <w:rsid w:val="00C52A27"/>
    <w:rsid w:val="00C5382D"/>
    <w:rsid w:val="00C53C04"/>
    <w:rsid w:val="00C5402A"/>
    <w:rsid w:val="00C54148"/>
    <w:rsid w:val="00C544E3"/>
    <w:rsid w:val="00C54942"/>
    <w:rsid w:val="00C555A4"/>
    <w:rsid w:val="00C557C8"/>
    <w:rsid w:val="00C55FCF"/>
    <w:rsid w:val="00C56467"/>
    <w:rsid w:val="00C564FC"/>
    <w:rsid w:val="00C5657B"/>
    <w:rsid w:val="00C56BB7"/>
    <w:rsid w:val="00C57011"/>
    <w:rsid w:val="00C570E3"/>
    <w:rsid w:val="00C57748"/>
    <w:rsid w:val="00C57940"/>
    <w:rsid w:val="00C57F33"/>
    <w:rsid w:val="00C57F82"/>
    <w:rsid w:val="00C606E2"/>
    <w:rsid w:val="00C60825"/>
    <w:rsid w:val="00C60DE4"/>
    <w:rsid w:val="00C6110A"/>
    <w:rsid w:val="00C6199E"/>
    <w:rsid w:val="00C61C78"/>
    <w:rsid w:val="00C62705"/>
    <w:rsid w:val="00C628A1"/>
    <w:rsid w:val="00C62B73"/>
    <w:rsid w:val="00C62BE1"/>
    <w:rsid w:val="00C62D8B"/>
    <w:rsid w:val="00C62F6F"/>
    <w:rsid w:val="00C6366B"/>
    <w:rsid w:val="00C639C7"/>
    <w:rsid w:val="00C63DE4"/>
    <w:rsid w:val="00C63E94"/>
    <w:rsid w:val="00C63F9D"/>
    <w:rsid w:val="00C641B4"/>
    <w:rsid w:val="00C64CE6"/>
    <w:rsid w:val="00C65563"/>
    <w:rsid w:val="00C65F2E"/>
    <w:rsid w:val="00C662C4"/>
    <w:rsid w:val="00C666DF"/>
    <w:rsid w:val="00C66934"/>
    <w:rsid w:val="00C66D86"/>
    <w:rsid w:val="00C66DAE"/>
    <w:rsid w:val="00C67096"/>
    <w:rsid w:val="00C67395"/>
    <w:rsid w:val="00C67484"/>
    <w:rsid w:val="00C674DA"/>
    <w:rsid w:val="00C67538"/>
    <w:rsid w:val="00C6777F"/>
    <w:rsid w:val="00C6787D"/>
    <w:rsid w:val="00C706FE"/>
    <w:rsid w:val="00C7077E"/>
    <w:rsid w:val="00C70F11"/>
    <w:rsid w:val="00C7109B"/>
    <w:rsid w:val="00C7121D"/>
    <w:rsid w:val="00C7186D"/>
    <w:rsid w:val="00C71F5B"/>
    <w:rsid w:val="00C72082"/>
    <w:rsid w:val="00C720AD"/>
    <w:rsid w:val="00C724CD"/>
    <w:rsid w:val="00C727D8"/>
    <w:rsid w:val="00C72BFC"/>
    <w:rsid w:val="00C72C02"/>
    <w:rsid w:val="00C7312A"/>
    <w:rsid w:val="00C73209"/>
    <w:rsid w:val="00C73478"/>
    <w:rsid w:val="00C734F9"/>
    <w:rsid w:val="00C736A1"/>
    <w:rsid w:val="00C736B5"/>
    <w:rsid w:val="00C736F1"/>
    <w:rsid w:val="00C73988"/>
    <w:rsid w:val="00C7434D"/>
    <w:rsid w:val="00C7447A"/>
    <w:rsid w:val="00C7483C"/>
    <w:rsid w:val="00C74DCB"/>
    <w:rsid w:val="00C74DD7"/>
    <w:rsid w:val="00C75611"/>
    <w:rsid w:val="00C756E1"/>
    <w:rsid w:val="00C75960"/>
    <w:rsid w:val="00C75B41"/>
    <w:rsid w:val="00C75FF1"/>
    <w:rsid w:val="00C76646"/>
    <w:rsid w:val="00C767C6"/>
    <w:rsid w:val="00C76C11"/>
    <w:rsid w:val="00C76F45"/>
    <w:rsid w:val="00C76F7E"/>
    <w:rsid w:val="00C7738A"/>
    <w:rsid w:val="00C77C86"/>
    <w:rsid w:val="00C77D56"/>
    <w:rsid w:val="00C77E4B"/>
    <w:rsid w:val="00C77F3D"/>
    <w:rsid w:val="00C77F68"/>
    <w:rsid w:val="00C80110"/>
    <w:rsid w:val="00C8032C"/>
    <w:rsid w:val="00C80826"/>
    <w:rsid w:val="00C8109C"/>
    <w:rsid w:val="00C81578"/>
    <w:rsid w:val="00C818AA"/>
    <w:rsid w:val="00C819E3"/>
    <w:rsid w:val="00C82055"/>
    <w:rsid w:val="00C82DBA"/>
    <w:rsid w:val="00C82E1A"/>
    <w:rsid w:val="00C83118"/>
    <w:rsid w:val="00C83776"/>
    <w:rsid w:val="00C838C0"/>
    <w:rsid w:val="00C83E47"/>
    <w:rsid w:val="00C842C6"/>
    <w:rsid w:val="00C842E8"/>
    <w:rsid w:val="00C84962"/>
    <w:rsid w:val="00C85528"/>
    <w:rsid w:val="00C85862"/>
    <w:rsid w:val="00C85970"/>
    <w:rsid w:val="00C85B97"/>
    <w:rsid w:val="00C86278"/>
    <w:rsid w:val="00C86432"/>
    <w:rsid w:val="00C866B0"/>
    <w:rsid w:val="00C86AF0"/>
    <w:rsid w:val="00C870AD"/>
    <w:rsid w:val="00C871AE"/>
    <w:rsid w:val="00C8725D"/>
    <w:rsid w:val="00C87307"/>
    <w:rsid w:val="00C87350"/>
    <w:rsid w:val="00C879FC"/>
    <w:rsid w:val="00C87A83"/>
    <w:rsid w:val="00C87E2D"/>
    <w:rsid w:val="00C9014F"/>
    <w:rsid w:val="00C901CB"/>
    <w:rsid w:val="00C90559"/>
    <w:rsid w:val="00C90D05"/>
    <w:rsid w:val="00C90E5A"/>
    <w:rsid w:val="00C91682"/>
    <w:rsid w:val="00C9186C"/>
    <w:rsid w:val="00C927A7"/>
    <w:rsid w:val="00C927EB"/>
    <w:rsid w:val="00C9381C"/>
    <w:rsid w:val="00C938B5"/>
    <w:rsid w:val="00C94482"/>
    <w:rsid w:val="00C9460A"/>
    <w:rsid w:val="00C946F3"/>
    <w:rsid w:val="00C949CA"/>
    <w:rsid w:val="00C94CF2"/>
    <w:rsid w:val="00C94E1B"/>
    <w:rsid w:val="00C950D3"/>
    <w:rsid w:val="00C95444"/>
    <w:rsid w:val="00C95531"/>
    <w:rsid w:val="00C956A1"/>
    <w:rsid w:val="00C95C32"/>
    <w:rsid w:val="00C95D3A"/>
    <w:rsid w:val="00C9606E"/>
    <w:rsid w:val="00C96294"/>
    <w:rsid w:val="00C96299"/>
    <w:rsid w:val="00C96364"/>
    <w:rsid w:val="00C96394"/>
    <w:rsid w:val="00C96541"/>
    <w:rsid w:val="00C966F8"/>
    <w:rsid w:val="00C96910"/>
    <w:rsid w:val="00C96D02"/>
    <w:rsid w:val="00C96E4F"/>
    <w:rsid w:val="00C97118"/>
    <w:rsid w:val="00C9763C"/>
    <w:rsid w:val="00C97A77"/>
    <w:rsid w:val="00C97AA4"/>
    <w:rsid w:val="00C97B90"/>
    <w:rsid w:val="00CA023A"/>
    <w:rsid w:val="00CA0375"/>
    <w:rsid w:val="00CA0543"/>
    <w:rsid w:val="00CA067C"/>
    <w:rsid w:val="00CA078B"/>
    <w:rsid w:val="00CA097C"/>
    <w:rsid w:val="00CA0A99"/>
    <w:rsid w:val="00CA0D9E"/>
    <w:rsid w:val="00CA11B9"/>
    <w:rsid w:val="00CA130C"/>
    <w:rsid w:val="00CA18CB"/>
    <w:rsid w:val="00CA19B5"/>
    <w:rsid w:val="00CA220F"/>
    <w:rsid w:val="00CA2575"/>
    <w:rsid w:val="00CA335D"/>
    <w:rsid w:val="00CA3D82"/>
    <w:rsid w:val="00CA3EE1"/>
    <w:rsid w:val="00CA4AAD"/>
    <w:rsid w:val="00CA4CD0"/>
    <w:rsid w:val="00CA527E"/>
    <w:rsid w:val="00CA52EF"/>
    <w:rsid w:val="00CA5756"/>
    <w:rsid w:val="00CA5FAD"/>
    <w:rsid w:val="00CA6056"/>
    <w:rsid w:val="00CA67E9"/>
    <w:rsid w:val="00CA708D"/>
    <w:rsid w:val="00CA72C1"/>
    <w:rsid w:val="00CA7A09"/>
    <w:rsid w:val="00CB0233"/>
    <w:rsid w:val="00CB026E"/>
    <w:rsid w:val="00CB0335"/>
    <w:rsid w:val="00CB0725"/>
    <w:rsid w:val="00CB07F0"/>
    <w:rsid w:val="00CB0D6D"/>
    <w:rsid w:val="00CB0E81"/>
    <w:rsid w:val="00CB0EB2"/>
    <w:rsid w:val="00CB18D0"/>
    <w:rsid w:val="00CB1DE3"/>
    <w:rsid w:val="00CB21F1"/>
    <w:rsid w:val="00CB255A"/>
    <w:rsid w:val="00CB2722"/>
    <w:rsid w:val="00CB29F2"/>
    <w:rsid w:val="00CB2B3B"/>
    <w:rsid w:val="00CB2CB1"/>
    <w:rsid w:val="00CB3534"/>
    <w:rsid w:val="00CB393E"/>
    <w:rsid w:val="00CB3F32"/>
    <w:rsid w:val="00CB523B"/>
    <w:rsid w:val="00CB566A"/>
    <w:rsid w:val="00CB5983"/>
    <w:rsid w:val="00CB5AB7"/>
    <w:rsid w:val="00CB6046"/>
    <w:rsid w:val="00CB6070"/>
    <w:rsid w:val="00CB64C1"/>
    <w:rsid w:val="00CB6705"/>
    <w:rsid w:val="00CB6AA5"/>
    <w:rsid w:val="00CB6B34"/>
    <w:rsid w:val="00CB6D6C"/>
    <w:rsid w:val="00CB712C"/>
    <w:rsid w:val="00CB727F"/>
    <w:rsid w:val="00CB733E"/>
    <w:rsid w:val="00CB7559"/>
    <w:rsid w:val="00CB755A"/>
    <w:rsid w:val="00CB7660"/>
    <w:rsid w:val="00CB76C0"/>
    <w:rsid w:val="00CB7C83"/>
    <w:rsid w:val="00CB7DA5"/>
    <w:rsid w:val="00CC020C"/>
    <w:rsid w:val="00CC0615"/>
    <w:rsid w:val="00CC165C"/>
    <w:rsid w:val="00CC1692"/>
    <w:rsid w:val="00CC1862"/>
    <w:rsid w:val="00CC19F6"/>
    <w:rsid w:val="00CC1C52"/>
    <w:rsid w:val="00CC20B6"/>
    <w:rsid w:val="00CC285D"/>
    <w:rsid w:val="00CC2BC1"/>
    <w:rsid w:val="00CC2C62"/>
    <w:rsid w:val="00CC2F6C"/>
    <w:rsid w:val="00CC319A"/>
    <w:rsid w:val="00CC34F4"/>
    <w:rsid w:val="00CC3618"/>
    <w:rsid w:val="00CC3A63"/>
    <w:rsid w:val="00CC3B18"/>
    <w:rsid w:val="00CC3B7C"/>
    <w:rsid w:val="00CC3B9E"/>
    <w:rsid w:val="00CC3C9F"/>
    <w:rsid w:val="00CC3EE4"/>
    <w:rsid w:val="00CC3F2A"/>
    <w:rsid w:val="00CC3FB8"/>
    <w:rsid w:val="00CC3FF3"/>
    <w:rsid w:val="00CC40D8"/>
    <w:rsid w:val="00CC4484"/>
    <w:rsid w:val="00CC4D92"/>
    <w:rsid w:val="00CC547F"/>
    <w:rsid w:val="00CC57CA"/>
    <w:rsid w:val="00CC5A4B"/>
    <w:rsid w:val="00CC5B6B"/>
    <w:rsid w:val="00CC5CD6"/>
    <w:rsid w:val="00CC5E15"/>
    <w:rsid w:val="00CC5E32"/>
    <w:rsid w:val="00CC61F6"/>
    <w:rsid w:val="00CC6772"/>
    <w:rsid w:val="00CC6DF5"/>
    <w:rsid w:val="00CC7736"/>
    <w:rsid w:val="00CC79E9"/>
    <w:rsid w:val="00CD0031"/>
    <w:rsid w:val="00CD00A1"/>
    <w:rsid w:val="00CD07A7"/>
    <w:rsid w:val="00CD093F"/>
    <w:rsid w:val="00CD0DEB"/>
    <w:rsid w:val="00CD0EBD"/>
    <w:rsid w:val="00CD116D"/>
    <w:rsid w:val="00CD11C4"/>
    <w:rsid w:val="00CD1394"/>
    <w:rsid w:val="00CD17A4"/>
    <w:rsid w:val="00CD1C52"/>
    <w:rsid w:val="00CD1CD4"/>
    <w:rsid w:val="00CD2203"/>
    <w:rsid w:val="00CD23AA"/>
    <w:rsid w:val="00CD2477"/>
    <w:rsid w:val="00CD2676"/>
    <w:rsid w:val="00CD2E6D"/>
    <w:rsid w:val="00CD2F4B"/>
    <w:rsid w:val="00CD3119"/>
    <w:rsid w:val="00CD33BF"/>
    <w:rsid w:val="00CD3E5D"/>
    <w:rsid w:val="00CD4795"/>
    <w:rsid w:val="00CD56A6"/>
    <w:rsid w:val="00CD5B20"/>
    <w:rsid w:val="00CD5CAE"/>
    <w:rsid w:val="00CD5F16"/>
    <w:rsid w:val="00CD5F3C"/>
    <w:rsid w:val="00CD6034"/>
    <w:rsid w:val="00CD61F2"/>
    <w:rsid w:val="00CD65DA"/>
    <w:rsid w:val="00CD6A48"/>
    <w:rsid w:val="00CD6C64"/>
    <w:rsid w:val="00CD6D2C"/>
    <w:rsid w:val="00CD6E89"/>
    <w:rsid w:val="00CD6E8D"/>
    <w:rsid w:val="00CD78CB"/>
    <w:rsid w:val="00CD79FD"/>
    <w:rsid w:val="00CD7B3B"/>
    <w:rsid w:val="00CE01CF"/>
    <w:rsid w:val="00CE02A8"/>
    <w:rsid w:val="00CE031E"/>
    <w:rsid w:val="00CE0368"/>
    <w:rsid w:val="00CE0445"/>
    <w:rsid w:val="00CE050F"/>
    <w:rsid w:val="00CE0E2B"/>
    <w:rsid w:val="00CE12A3"/>
    <w:rsid w:val="00CE153F"/>
    <w:rsid w:val="00CE15F3"/>
    <w:rsid w:val="00CE180E"/>
    <w:rsid w:val="00CE1B42"/>
    <w:rsid w:val="00CE20B0"/>
    <w:rsid w:val="00CE2694"/>
    <w:rsid w:val="00CE28D7"/>
    <w:rsid w:val="00CE2B52"/>
    <w:rsid w:val="00CE339D"/>
    <w:rsid w:val="00CE3817"/>
    <w:rsid w:val="00CE3BC3"/>
    <w:rsid w:val="00CE3C65"/>
    <w:rsid w:val="00CE4D2E"/>
    <w:rsid w:val="00CE4E57"/>
    <w:rsid w:val="00CE5144"/>
    <w:rsid w:val="00CE521F"/>
    <w:rsid w:val="00CE54DA"/>
    <w:rsid w:val="00CE59DF"/>
    <w:rsid w:val="00CE674F"/>
    <w:rsid w:val="00CE682F"/>
    <w:rsid w:val="00CE6A19"/>
    <w:rsid w:val="00CE6A27"/>
    <w:rsid w:val="00CE6BB8"/>
    <w:rsid w:val="00CE6F50"/>
    <w:rsid w:val="00CE7405"/>
    <w:rsid w:val="00CE763E"/>
    <w:rsid w:val="00CE78F6"/>
    <w:rsid w:val="00CE7C5D"/>
    <w:rsid w:val="00CE7D68"/>
    <w:rsid w:val="00CF0133"/>
    <w:rsid w:val="00CF08EC"/>
    <w:rsid w:val="00CF0AED"/>
    <w:rsid w:val="00CF0CA1"/>
    <w:rsid w:val="00CF0EAD"/>
    <w:rsid w:val="00CF0EED"/>
    <w:rsid w:val="00CF133C"/>
    <w:rsid w:val="00CF163E"/>
    <w:rsid w:val="00CF16F6"/>
    <w:rsid w:val="00CF1729"/>
    <w:rsid w:val="00CF1C5D"/>
    <w:rsid w:val="00CF20AF"/>
    <w:rsid w:val="00CF231E"/>
    <w:rsid w:val="00CF2801"/>
    <w:rsid w:val="00CF2921"/>
    <w:rsid w:val="00CF2D45"/>
    <w:rsid w:val="00CF2E5D"/>
    <w:rsid w:val="00CF2FF2"/>
    <w:rsid w:val="00CF3153"/>
    <w:rsid w:val="00CF3B69"/>
    <w:rsid w:val="00CF3BDE"/>
    <w:rsid w:val="00CF410D"/>
    <w:rsid w:val="00CF46DF"/>
    <w:rsid w:val="00CF4BE4"/>
    <w:rsid w:val="00CF4D00"/>
    <w:rsid w:val="00CF4FF3"/>
    <w:rsid w:val="00CF566C"/>
    <w:rsid w:val="00CF59FC"/>
    <w:rsid w:val="00CF5D3C"/>
    <w:rsid w:val="00CF5E36"/>
    <w:rsid w:val="00CF5E3D"/>
    <w:rsid w:val="00CF6499"/>
    <w:rsid w:val="00CF651B"/>
    <w:rsid w:val="00CF6885"/>
    <w:rsid w:val="00CF6D09"/>
    <w:rsid w:val="00CF6EFB"/>
    <w:rsid w:val="00CF7123"/>
    <w:rsid w:val="00CF73D6"/>
    <w:rsid w:val="00CF7495"/>
    <w:rsid w:val="00CF7FFA"/>
    <w:rsid w:val="00D00E13"/>
    <w:rsid w:val="00D00E2E"/>
    <w:rsid w:val="00D00FD2"/>
    <w:rsid w:val="00D01082"/>
    <w:rsid w:val="00D012CC"/>
    <w:rsid w:val="00D0142A"/>
    <w:rsid w:val="00D01737"/>
    <w:rsid w:val="00D01D1D"/>
    <w:rsid w:val="00D0242F"/>
    <w:rsid w:val="00D024D1"/>
    <w:rsid w:val="00D024F1"/>
    <w:rsid w:val="00D0255A"/>
    <w:rsid w:val="00D02A12"/>
    <w:rsid w:val="00D02B7E"/>
    <w:rsid w:val="00D03091"/>
    <w:rsid w:val="00D03504"/>
    <w:rsid w:val="00D036C8"/>
    <w:rsid w:val="00D0387E"/>
    <w:rsid w:val="00D03E50"/>
    <w:rsid w:val="00D042A6"/>
    <w:rsid w:val="00D046BF"/>
    <w:rsid w:val="00D04C30"/>
    <w:rsid w:val="00D05276"/>
    <w:rsid w:val="00D05347"/>
    <w:rsid w:val="00D05378"/>
    <w:rsid w:val="00D0572B"/>
    <w:rsid w:val="00D057A3"/>
    <w:rsid w:val="00D057FD"/>
    <w:rsid w:val="00D05914"/>
    <w:rsid w:val="00D05C75"/>
    <w:rsid w:val="00D06292"/>
    <w:rsid w:val="00D069DD"/>
    <w:rsid w:val="00D06B13"/>
    <w:rsid w:val="00D0717E"/>
    <w:rsid w:val="00D07B64"/>
    <w:rsid w:val="00D07C20"/>
    <w:rsid w:val="00D07DF3"/>
    <w:rsid w:val="00D07EA3"/>
    <w:rsid w:val="00D07FF2"/>
    <w:rsid w:val="00D1007F"/>
    <w:rsid w:val="00D10374"/>
    <w:rsid w:val="00D10CCA"/>
    <w:rsid w:val="00D10D8E"/>
    <w:rsid w:val="00D1127D"/>
    <w:rsid w:val="00D116D1"/>
    <w:rsid w:val="00D11A16"/>
    <w:rsid w:val="00D11A8F"/>
    <w:rsid w:val="00D11CDB"/>
    <w:rsid w:val="00D11E80"/>
    <w:rsid w:val="00D1220F"/>
    <w:rsid w:val="00D12524"/>
    <w:rsid w:val="00D12686"/>
    <w:rsid w:val="00D126E9"/>
    <w:rsid w:val="00D12A7D"/>
    <w:rsid w:val="00D12D49"/>
    <w:rsid w:val="00D12E8D"/>
    <w:rsid w:val="00D12EA9"/>
    <w:rsid w:val="00D12FFB"/>
    <w:rsid w:val="00D130D9"/>
    <w:rsid w:val="00D132F9"/>
    <w:rsid w:val="00D1344E"/>
    <w:rsid w:val="00D13B13"/>
    <w:rsid w:val="00D13F60"/>
    <w:rsid w:val="00D14552"/>
    <w:rsid w:val="00D14670"/>
    <w:rsid w:val="00D148D4"/>
    <w:rsid w:val="00D1494E"/>
    <w:rsid w:val="00D14A8B"/>
    <w:rsid w:val="00D14DB8"/>
    <w:rsid w:val="00D15349"/>
    <w:rsid w:val="00D155D3"/>
    <w:rsid w:val="00D157D0"/>
    <w:rsid w:val="00D15BC2"/>
    <w:rsid w:val="00D15C42"/>
    <w:rsid w:val="00D161A5"/>
    <w:rsid w:val="00D1663F"/>
    <w:rsid w:val="00D1707B"/>
    <w:rsid w:val="00D1772E"/>
    <w:rsid w:val="00D177C6"/>
    <w:rsid w:val="00D17919"/>
    <w:rsid w:val="00D201B6"/>
    <w:rsid w:val="00D21769"/>
    <w:rsid w:val="00D21A06"/>
    <w:rsid w:val="00D21C4D"/>
    <w:rsid w:val="00D21D2E"/>
    <w:rsid w:val="00D22171"/>
    <w:rsid w:val="00D22288"/>
    <w:rsid w:val="00D2260E"/>
    <w:rsid w:val="00D22B0A"/>
    <w:rsid w:val="00D22B31"/>
    <w:rsid w:val="00D232B5"/>
    <w:rsid w:val="00D23326"/>
    <w:rsid w:val="00D238FE"/>
    <w:rsid w:val="00D23A94"/>
    <w:rsid w:val="00D23BB9"/>
    <w:rsid w:val="00D23FFB"/>
    <w:rsid w:val="00D245A7"/>
    <w:rsid w:val="00D2476A"/>
    <w:rsid w:val="00D24BFB"/>
    <w:rsid w:val="00D24DF7"/>
    <w:rsid w:val="00D254C8"/>
    <w:rsid w:val="00D259E7"/>
    <w:rsid w:val="00D25B06"/>
    <w:rsid w:val="00D25C09"/>
    <w:rsid w:val="00D25E14"/>
    <w:rsid w:val="00D25F9C"/>
    <w:rsid w:val="00D2668E"/>
    <w:rsid w:val="00D267C4"/>
    <w:rsid w:val="00D26C19"/>
    <w:rsid w:val="00D26F81"/>
    <w:rsid w:val="00D27EB7"/>
    <w:rsid w:val="00D27F47"/>
    <w:rsid w:val="00D30072"/>
    <w:rsid w:val="00D30279"/>
    <w:rsid w:val="00D3033C"/>
    <w:rsid w:val="00D30626"/>
    <w:rsid w:val="00D3074F"/>
    <w:rsid w:val="00D308A9"/>
    <w:rsid w:val="00D3090C"/>
    <w:rsid w:val="00D30959"/>
    <w:rsid w:val="00D30A2A"/>
    <w:rsid w:val="00D30C34"/>
    <w:rsid w:val="00D30D1B"/>
    <w:rsid w:val="00D30D8F"/>
    <w:rsid w:val="00D3110F"/>
    <w:rsid w:val="00D311AC"/>
    <w:rsid w:val="00D31236"/>
    <w:rsid w:val="00D3131B"/>
    <w:rsid w:val="00D31364"/>
    <w:rsid w:val="00D3158B"/>
    <w:rsid w:val="00D31616"/>
    <w:rsid w:val="00D31A1E"/>
    <w:rsid w:val="00D31AAF"/>
    <w:rsid w:val="00D32129"/>
    <w:rsid w:val="00D3283C"/>
    <w:rsid w:val="00D32FEF"/>
    <w:rsid w:val="00D33840"/>
    <w:rsid w:val="00D33868"/>
    <w:rsid w:val="00D33A80"/>
    <w:rsid w:val="00D33E3F"/>
    <w:rsid w:val="00D3443E"/>
    <w:rsid w:val="00D34746"/>
    <w:rsid w:val="00D349F4"/>
    <w:rsid w:val="00D353FC"/>
    <w:rsid w:val="00D3543B"/>
    <w:rsid w:val="00D35462"/>
    <w:rsid w:val="00D357A9"/>
    <w:rsid w:val="00D35C2F"/>
    <w:rsid w:val="00D35D7F"/>
    <w:rsid w:val="00D35FEE"/>
    <w:rsid w:val="00D36D04"/>
    <w:rsid w:val="00D36E29"/>
    <w:rsid w:val="00D37088"/>
    <w:rsid w:val="00D3768B"/>
    <w:rsid w:val="00D37770"/>
    <w:rsid w:val="00D37BFF"/>
    <w:rsid w:val="00D37ED3"/>
    <w:rsid w:val="00D40773"/>
    <w:rsid w:val="00D4084A"/>
    <w:rsid w:val="00D40BB4"/>
    <w:rsid w:val="00D40C9C"/>
    <w:rsid w:val="00D40CA2"/>
    <w:rsid w:val="00D40CB0"/>
    <w:rsid w:val="00D41192"/>
    <w:rsid w:val="00D4123F"/>
    <w:rsid w:val="00D41607"/>
    <w:rsid w:val="00D41678"/>
    <w:rsid w:val="00D41C1F"/>
    <w:rsid w:val="00D41D46"/>
    <w:rsid w:val="00D41F4A"/>
    <w:rsid w:val="00D423B7"/>
    <w:rsid w:val="00D4244A"/>
    <w:rsid w:val="00D42C96"/>
    <w:rsid w:val="00D42D6C"/>
    <w:rsid w:val="00D43499"/>
    <w:rsid w:val="00D434EA"/>
    <w:rsid w:val="00D43550"/>
    <w:rsid w:val="00D4456B"/>
    <w:rsid w:val="00D4475F"/>
    <w:rsid w:val="00D447C1"/>
    <w:rsid w:val="00D448F9"/>
    <w:rsid w:val="00D44D67"/>
    <w:rsid w:val="00D44E17"/>
    <w:rsid w:val="00D4528B"/>
    <w:rsid w:val="00D45A3C"/>
    <w:rsid w:val="00D45FDD"/>
    <w:rsid w:val="00D45FFE"/>
    <w:rsid w:val="00D460AC"/>
    <w:rsid w:val="00D46239"/>
    <w:rsid w:val="00D4629F"/>
    <w:rsid w:val="00D46E80"/>
    <w:rsid w:val="00D473EB"/>
    <w:rsid w:val="00D4766C"/>
    <w:rsid w:val="00D4779B"/>
    <w:rsid w:val="00D479B6"/>
    <w:rsid w:val="00D50193"/>
    <w:rsid w:val="00D502F1"/>
    <w:rsid w:val="00D504C7"/>
    <w:rsid w:val="00D50775"/>
    <w:rsid w:val="00D5088C"/>
    <w:rsid w:val="00D5127E"/>
    <w:rsid w:val="00D5190E"/>
    <w:rsid w:val="00D51BAC"/>
    <w:rsid w:val="00D52447"/>
    <w:rsid w:val="00D5254D"/>
    <w:rsid w:val="00D525EA"/>
    <w:rsid w:val="00D52707"/>
    <w:rsid w:val="00D529E0"/>
    <w:rsid w:val="00D52EC5"/>
    <w:rsid w:val="00D530DE"/>
    <w:rsid w:val="00D531FB"/>
    <w:rsid w:val="00D53510"/>
    <w:rsid w:val="00D54C33"/>
    <w:rsid w:val="00D55152"/>
    <w:rsid w:val="00D55821"/>
    <w:rsid w:val="00D55DBB"/>
    <w:rsid w:val="00D5684E"/>
    <w:rsid w:val="00D56EBB"/>
    <w:rsid w:val="00D57C25"/>
    <w:rsid w:val="00D57E4F"/>
    <w:rsid w:val="00D57FB1"/>
    <w:rsid w:val="00D60C4E"/>
    <w:rsid w:val="00D60D8B"/>
    <w:rsid w:val="00D6155C"/>
    <w:rsid w:val="00D61DDC"/>
    <w:rsid w:val="00D61E60"/>
    <w:rsid w:val="00D62779"/>
    <w:rsid w:val="00D627E5"/>
    <w:rsid w:val="00D62889"/>
    <w:rsid w:val="00D62E75"/>
    <w:rsid w:val="00D63031"/>
    <w:rsid w:val="00D63113"/>
    <w:rsid w:val="00D633B2"/>
    <w:rsid w:val="00D63DF6"/>
    <w:rsid w:val="00D64C9E"/>
    <w:rsid w:val="00D64D38"/>
    <w:rsid w:val="00D655BF"/>
    <w:rsid w:val="00D659AD"/>
    <w:rsid w:val="00D65F35"/>
    <w:rsid w:val="00D66079"/>
    <w:rsid w:val="00D66747"/>
    <w:rsid w:val="00D667C2"/>
    <w:rsid w:val="00D66BB7"/>
    <w:rsid w:val="00D66EA8"/>
    <w:rsid w:val="00D66EDB"/>
    <w:rsid w:val="00D670FF"/>
    <w:rsid w:val="00D67411"/>
    <w:rsid w:val="00D675E9"/>
    <w:rsid w:val="00D70660"/>
    <w:rsid w:val="00D709F3"/>
    <w:rsid w:val="00D70E79"/>
    <w:rsid w:val="00D71D0A"/>
    <w:rsid w:val="00D71D14"/>
    <w:rsid w:val="00D72089"/>
    <w:rsid w:val="00D723BA"/>
    <w:rsid w:val="00D72451"/>
    <w:rsid w:val="00D729FA"/>
    <w:rsid w:val="00D72A4F"/>
    <w:rsid w:val="00D73143"/>
    <w:rsid w:val="00D73356"/>
    <w:rsid w:val="00D7389B"/>
    <w:rsid w:val="00D73938"/>
    <w:rsid w:val="00D7396D"/>
    <w:rsid w:val="00D73CAD"/>
    <w:rsid w:val="00D73D66"/>
    <w:rsid w:val="00D7412B"/>
    <w:rsid w:val="00D74540"/>
    <w:rsid w:val="00D74606"/>
    <w:rsid w:val="00D7467F"/>
    <w:rsid w:val="00D74904"/>
    <w:rsid w:val="00D749AD"/>
    <w:rsid w:val="00D74DF4"/>
    <w:rsid w:val="00D753C1"/>
    <w:rsid w:val="00D75413"/>
    <w:rsid w:val="00D75A76"/>
    <w:rsid w:val="00D75A98"/>
    <w:rsid w:val="00D75D72"/>
    <w:rsid w:val="00D76023"/>
    <w:rsid w:val="00D761EF"/>
    <w:rsid w:val="00D76379"/>
    <w:rsid w:val="00D764D2"/>
    <w:rsid w:val="00D76756"/>
    <w:rsid w:val="00D76BC4"/>
    <w:rsid w:val="00D76C96"/>
    <w:rsid w:val="00D76CF2"/>
    <w:rsid w:val="00D76E68"/>
    <w:rsid w:val="00D76FAA"/>
    <w:rsid w:val="00D7719F"/>
    <w:rsid w:val="00D7732E"/>
    <w:rsid w:val="00D776B6"/>
    <w:rsid w:val="00D7789C"/>
    <w:rsid w:val="00D778A9"/>
    <w:rsid w:val="00D77EA2"/>
    <w:rsid w:val="00D80187"/>
    <w:rsid w:val="00D80301"/>
    <w:rsid w:val="00D8054E"/>
    <w:rsid w:val="00D80615"/>
    <w:rsid w:val="00D80C8C"/>
    <w:rsid w:val="00D80DB9"/>
    <w:rsid w:val="00D81034"/>
    <w:rsid w:val="00D813E8"/>
    <w:rsid w:val="00D81E21"/>
    <w:rsid w:val="00D821EA"/>
    <w:rsid w:val="00D821FC"/>
    <w:rsid w:val="00D824EE"/>
    <w:rsid w:val="00D82B95"/>
    <w:rsid w:val="00D82EB9"/>
    <w:rsid w:val="00D8329E"/>
    <w:rsid w:val="00D83383"/>
    <w:rsid w:val="00D83959"/>
    <w:rsid w:val="00D8398C"/>
    <w:rsid w:val="00D8413F"/>
    <w:rsid w:val="00D84340"/>
    <w:rsid w:val="00D8495C"/>
    <w:rsid w:val="00D85338"/>
    <w:rsid w:val="00D855C5"/>
    <w:rsid w:val="00D85648"/>
    <w:rsid w:val="00D8596D"/>
    <w:rsid w:val="00D859A5"/>
    <w:rsid w:val="00D85A83"/>
    <w:rsid w:val="00D85CFB"/>
    <w:rsid w:val="00D86133"/>
    <w:rsid w:val="00D863A4"/>
    <w:rsid w:val="00D86A94"/>
    <w:rsid w:val="00D86DDF"/>
    <w:rsid w:val="00D87419"/>
    <w:rsid w:val="00D90415"/>
    <w:rsid w:val="00D90B8C"/>
    <w:rsid w:val="00D90C66"/>
    <w:rsid w:val="00D90D94"/>
    <w:rsid w:val="00D90F81"/>
    <w:rsid w:val="00D90FE4"/>
    <w:rsid w:val="00D91385"/>
    <w:rsid w:val="00D91616"/>
    <w:rsid w:val="00D919A1"/>
    <w:rsid w:val="00D92333"/>
    <w:rsid w:val="00D924E2"/>
    <w:rsid w:val="00D9260D"/>
    <w:rsid w:val="00D9273B"/>
    <w:rsid w:val="00D92B0B"/>
    <w:rsid w:val="00D92C08"/>
    <w:rsid w:val="00D92C0E"/>
    <w:rsid w:val="00D92EB3"/>
    <w:rsid w:val="00D92F36"/>
    <w:rsid w:val="00D93266"/>
    <w:rsid w:val="00D93444"/>
    <w:rsid w:val="00D93B48"/>
    <w:rsid w:val="00D93C8C"/>
    <w:rsid w:val="00D93F04"/>
    <w:rsid w:val="00D942EF"/>
    <w:rsid w:val="00D946B4"/>
    <w:rsid w:val="00D95286"/>
    <w:rsid w:val="00D95325"/>
    <w:rsid w:val="00D953BC"/>
    <w:rsid w:val="00D95A53"/>
    <w:rsid w:val="00D95D41"/>
    <w:rsid w:val="00D967C9"/>
    <w:rsid w:val="00D97160"/>
    <w:rsid w:val="00D97716"/>
    <w:rsid w:val="00D9784B"/>
    <w:rsid w:val="00D97C1E"/>
    <w:rsid w:val="00DA030F"/>
    <w:rsid w:val="00DA0B85"/>
    <w:rsid w:val="00DA1021"/>
    <w:rsid w:val="00DA1268"/>
    <w:rsid w:val="00DA126E"/>
    <w:rsid w:val="00DA13F4"/>
    <w:rsid w:val="00DA1B71"/>
    <w:rsid w:val="00DA1B8D"/>
    <w:rsid w:val="00DA1D6A"/>
    <w:rsid w:val="00DA1E9B"/>
    <w:rsid w:val="00DA2089"/>
    <w:rsid w:val="00DA21AF"/>
    <w:rsid w:val="00DA2535"/>
    <w:rsid w:val="00DA256C"/>
    <w:rsid w:val="00DA2A42"/>
    <w:rsid w:val="00DA2DA4"/>
    <w:rsid w:val="00DA2FD4"/>
    <w:rsid w:val="00DA3247"/>
    <w:rsid w:val="00DA359A"/>
    <w:rsid w:val="00DA3FEA"/>
    <w:rsid w:val="00DA4090"/>
    <w:rsid w:val="00DA42B1"/>
    <w:rsid w:val="00DA4594"/>
    <w:rsid w:val="00DA4720"/>
    <w:rsid w:val="00DA4A3C"/>
    <w:rsid w:val="00DA4C4A"/>
    <w:rsid w:val="00DA4E1A"/>
    <w:rsid w:val="00DA4E2F"/>
    <w:rsid w:val="00DA50C6"/>
    <w:rsid w:val="00DA604E"/>
    <w:rsid w:val="00DA60AE"/>
    <w:rsid w:val="00DA61F5"/>
    <w:rsid w:val="00DA637E"/>
    <w:rsid w:val="00DA6990"/>
    <w:rsid w:val="00DA6AEF"/>
    <w:rsid w:val="00DA6BAA"/>
    <w:rsid w:val="00DA751E"/>
    <w:rsid w:val="00DA7643"/>
    <w:rsid w:val="00DA79F0"/>
    <w:rsid w:val="00DA7DC8"/>
    <w:rsid w:val="00DA7E44"/>
    <w:rsid w:val="00DB0259"/>
    <w:rsid w:val="00DB0437"/>
    <w:rsid w:val="00DB04E1"/>
    <w:rsid w:val="00DB0903"/>
    <w:rsid w:val="00DB0CD6"/>
    <w:rsid w:val="00DB0FF4"/>
    <w:rsid w:val="00DB12F9"/>
    <w:rsid w:val="00DB153F"/>
    <w:rsid w:val="00DB1D56"/>
    <w:rsid w:val="00DB1DE5"/>
    <w:rsid w:val="00DB2440"/>
    <w:rsid w:val="00DB258C"/>
    <w:rsid w:val="00DB290C"/>
    <w:rsid w:val="00DB2D46"/>
    <w:rsid w:val="00DB2FF1"/>
    <w:rsid w:val="00DB3065"/>
    <w:rsid w:val="00DB3162"/>
    <w:rsid w:val="00DB371D"/>
    <w:rsid w:val="00DB38A9"/>
    <w:rsid w:val="00DB3998"/>
    <w:rsid w:val="00DB3C06"/>
    <w:rsid w:val="00DB3DA5"/>
    <w:rsid w:val="00DB4061"/>
    <w:rsid w:val="00DB412F"/>
    <w:rsid w:val="00DB41A5"/>
    <w:rsid w:val="00DB4495"/>
    <w:rsid w:val="00DB46F2"/>
    <w:rsid w:val="00DB497B"/>
    <w:rsid w:val="00DB4B8E"/>
    <w:rsid w:val="00DB4E46"/>
    <w:rsid w:val="00DB4E83"/>
    <w:rsid w:val="00DB526F"/>
    <w:rsid w:val="00DB587C"/>
    <w:rsid w:val="00DB5C41"/>
    <w:rsid w:val="00DB6143"/>
    <w:rsid w:val="00DB68BB"/>
    <w:rsid w:val="00DB6B9C"/>
    <w:rsid w:val="00DB6C19"/>
    <w:rsid w:val="00DB7040"/>
    <w:rsid w:val="00DB7265"/>
    <w:rsid w:val="00DB78DC"/>
    <w:rsid w:val="00DB7BB5"/>
    <w:rsid w:val="00DB7F89"/>
    <w:rsid w:val="00DB7FF6"/>
    <w:rsid w:val="00DC0440"/>
    <w:rsid w:val="00DC04B6"/>
    <w:rsid w:val="00DC0643"/>
    <w:rsid w:val="00DC0D33"/>
    <w:rsid w:val="00DC0FDB"/>
    <w:rsid w:val="00DC1458"/>
    <w:rsid w:val="00DC17F3"/>
    <w:rsid w:val="00DC2AB0"/>
    <w:rsid w:val="00DC30C8"/>
    <w:rsid w:val="00DC3357"/>
    <w:rsid w:val="00DC388A"/>
    <w:rsid w:val="00DC39EA"/>
    <w:rsid w:val="00DC3CF9"/>
    <w:rsid w:val="00DC416A"/>
    <w:rsid w:val="00DC4A94"/>
    <w:rsid w:val="00DC4C0C"/>
    <w:rsid w:val="00DC4DB3"/>
    <w:rsid w:val="00DC50AC"/>
    <w:rsid w:val="00DC5909"/>
    <w:rsid w:val="00DC6063"/>
    <w:rsid w:val="00DC6107"/>
    <w:rsid w:val="00DC64FA"/>
    <w:rsid w:val="00DC6AF2"/>
    <w:rsid w:val="00DC710D"/>
    <w:rsid w:val="00DC7439"/>
    <w:rsid w:val="00DC7559"/>
    <w:rsid w:val="00DC7899"/>
    <w:rsid w:val="00DD0200"/>
    <w:rsid w:val="00DD03A5"/>
    <w:rsid w:val="00DD0846"/>
    <w:rsid w:val="00DD09E4"/>
    <w:rsid w:val="00DD0A00"/>
    <w:rsid w:val="00DD12C7"/>
    <w:rsid w:val="00DD1449"/>
    <w:rsid w:val="00DD14FF"/>
    <w:rsid w:val="00DD158A"/>
    <w:rsid w:val="00DD17E9"/>
    <w:rsid w:val="00DD1A21"/>
    <w:rsid w:val="00DD1D06"/>
    <w:rsid w:val="00DD1D80"/>
    <w:rsid w:val="00DD1DDB"/>
    <w:rsid w:val="00DD2A9E"/>
    <w:rsid w:val="00DD2C60"/>
    <w:rsid w:val="00DD431E"/>
    <w:rsid w:val="00DD4480"/>
    <w:rsid w:val="00DD4484"/>
    <w:rsid w:val="00DD4489"/>
    <w:rsid w:val="00DD4572"/>
    <w:rsid w:val="00DD4804"/>
    <w:rsid w:val="00DD481B"/>
    <w:rsid w:val="00DD4A1B"/>
    <w:rsid w:val="00DD4AE7"/>
    <w:rsid w:val="00DD4CC1"/>
    <w:rsid w:val="00DD4EDE"/>
    <w:rsid w:val="00DD55C2"/>
    <w:rsid w:val="00DD5712"/>
    <w:rsid w:val="00DD5A40"/>
    <w:rsid w:val="00DD5A44"/>
    <w:rsid w:val="00DD5F63"/>
    <w:rsid w:val="00DD6643"/>
    <w:rsid w:val="00DD7108"/>
    <w:rsid w:val="00DD7CB0"/>
    <w:rsid w:val="00DD7E91"/>
    <w:rsid w:val="00DE097C"/>
    <w:rsid w:val="00DE0B64"/>
    <w:rsid w:val="00DE1231"/>
    <w:rsid w:val="00DE1AAE"/>
    <w:rsid w:val="00DE1B13"/>
    <w:rsid w:val="00DE1B9D"/>
    <w:rsid w:val="00DE2385"/>
    <w:rsid w:val="00DE28B0"/>
    <w:rsid w:val="00DE2AD2"/>
    <w:rsid w:val="00DE328B"/>
    <w:rsid w:val="00DE350B"/>
    <w:rsid w:val="00DE391F"/>
    <w:rsid w:val="00DE3A77"/>
    <w:rsid w:val="00DE3EA3"/>
    <w:rsid w:val="00DE4493"/>
    <w:rsid w:val="00DE4CCC"/>
    <w:rsid w:val="00DE5163"/>
    <w:rsid w:val="00DE5240"/>
    <w:rsid w:val="00DE5BFD"/>
    <w:rsid w:val="00DE5D2D"/>
    <w:rsid w:val="00DE66D2"/>
    <w:rsid w:val="00DE68DB"/>
    <w:rsid w:val="00DE6CA3"/>
    <w:rsid w:val="00DE6F6F"/>
    <w:rsid w:val="00DE7370"/>
    <w:rsid w:val="00DE7909"/>
    <w:rsid w:val="00DE7941"/>
    <w:rsid w:val="00DE7E0E"/>
    <w:rsid w:val="00DE7EB4"/>
    <w:rsid w:val="00DE7F41"/>
    <w:rsid w:val="00DF04B9"/>
    <w:rsid w:val="00DF0CE4"/>
    <w:rsid w:val="00DF0EDB"/>
    <w:rsid w:val="00DF0F1F"/>
    <w:rsid w:val="00DF1059"/>
    <w:rsid w:val="00DF19CE"/>
    <w:rsid w:val="00DF1BAF"/>
    <w:rsid w:val="00DF1C97"/>
    <w:rsid w:val="00DF1D64"/>
    <w:rsid w:val="00DF231E"/>
    <w:rsid w:val="00DF2569"/>
    <w:rsid w:val="00DF25BD"/>
    <w:rsid w:val="00DF2A20"/>
    <w:rsid w:val="00DF2ABB"/>
    <w:rsid w:val="00DF2DF7"/>
    <w:rsid w:val="00DF306A"/>
    <w:rsid w:val="00DF30F6"/>
    <w:rsid w:val="00DF3146"/>
    <w:rsid w:val="00DF321F"/>
    <w:rsid w:val="00DF3772"/>
    <w:rsid w:val="00DF3A5B"/>
    <w:rsid w:val="00DF3C5B"/>
    <w:rsid w:val="00DF4726"/>
    <w:rsid w:val="00DF4750"/>
    <w:rsid w:val="00DF48DA"/>
    <w:rsid w:val="00DF4A74"/>
    <w:rsid w:val="00DF4DCB"/>
    <w:rsid w:val="00DF547D"/>
    <w:rsid w:val="00DF54B1"/>
    <w:rsid w:val="00DF5F97"/>
    <w:rsid w:val="00DF60B4"/>
    <w:rsid w:val="00DF6263"/>
    <w:rsid w:val="00DF6310"/>
    <w:rsid w:val="00DF6559"/>
    <w:rsid w:val="00DF69CB"/>
    <w:rsid w:val="00DF6FE2"/>
    <w:rsid w:val="00DF7461"/>
    <w:rsid w:val="00DF76FB"/>
    <w:rsid w:val="00DF7B20"/>
    <w:rsid w:val="00DF7D83"/>
    <w:rsid w:val="00DF7DA2"/>
    <w:rsid w:val="00DF7DE6"/>
    <w:rsid w:val="00E0015C"/>
    <w:rsid w:val="00E0019B"/>
    <w:rsid w:val="00E0028D"/>
    <w:rsid w:val="00E002AF"/>
    <w:rsid w:val="00E003B5"/>
    <w:rsid w:val="00E005C2"/>
    <w:rsid w:val="00E006CF"/>
    <w:rsid w:val="00E00702"/>
    <w:rsid w:val="00E00945"/>
    <w:rsid w:val="00E009C1"/>
    <w:rsid w:val="00E00BAF"/>
    <w:rsid w:val="00E012E0"/>
    <w:rsid w:val="00E015AB"/>
    <w:rsid w:val="00E01BBD"/>
    <w:rsid w:val="00E01EFE"/>
    <w:rsid w:val="00E022DD"/>
    <w:rsid w:val="00E0277B"/>
    <w:rsid w:val="00E037B9"/>
    <w:rsid w:val="00E03D42"/>
    <w:rsid w:val="00E03F1F"/>
    <w:rsid w:val="00E0435D"/>
    <w:rsid w:val="00E044B5"/>
    <w:rsid w:val="00E0463F"/>
    <w:rsid w:val="00E04E1F"/>
    <w:rsid w:val="00E05430"/>
    <w:rsid w:val="00E0589C"/>
    <w:rsid w:val="00E05E47"/>
    <w:rsid w:val="00E0631D"/>
    <w:rsid w:val="00E06492"/>
    <w:rsid w:val="00E06710"/>
    <w:rsid w:val="00E067D8"/>
    <w:rsid w:val="00E0685E"/>
    <w:rsid w:val="00E06A99"/>
    <w:rsid w:val="00E073CE"/>
    <w:rsid w:val="00E07483"/>
    <w:rsid w:val="00E075A3"/>
    <w:rsid w:val="00E07AEE"/>
    <w:rsid w:val="00E07FA8"/>
    <w:rsid w:val="00E10253"/>
    <w:rsid w:val="00E1038A"/>
    <w:rsid w:val="00E1071C"/>
    <w:rsid w:val="00E109E9"/>
    <w:rsid w:val="00E10ABF"/>
    <w:rsid w:val="00E10DC6"/>
    <w:rsid w:val="00E11216"/>
    <w:rsid w:val="00E11695"/>
    <w:rsid w:val="00E11768"/>
    <w:rsid w:val="00E11791"/>
    <w:rsid w:val="00E11C20"/>
    <w:rsid w:val="00E12670"/>
    <w:rsid w:val="00E12B0A"/>
    <w:rsid w:val="00E12C82"/>
    <w:rsid w:val="00E12CF2"/>
    <w:rsid w:val="00E12D54"/>
    <w:rsid w:val="00E12F42"/>
    <w:rsid w:val="00E1330D"/>
    <w:rsid w:val="00E13358"/>
    <w:rsid w:val="00E13618"/>
    <w:rsid w:val="00E13622"/>
    <w:rsid w:val="00E1385E"/>
    <w:rsid w:val="00E138A3"/>
    <w:rsid w:val="00E13908"/>
    <w:rsid w:val="00E13917"/>
    <w:rsid w:val="00E1392B"/>
    <w:rsid w:val="00E13D6A"/>
    <w:rsid w:val="00E14048"/>
    <w:rsid w:val="00E140B6"/>
    <w:rsid w:val="00E14729"/>
    <w:rsid w:val="00E148D5"/>
    <w:rsid w:val="00E15300"/>
    <w:rsid w:val="00E154FD"/>
    <w:rsid w:val="00E15593"/>
    <w:rsid w:val="00E157F4"/>
    <w:rsid w:val="00E159BE"/>
    <w:rsid w:val="00E15D1B"/>
    <w:rsid w:val="00E15E27"/>
    <w:rsid w:val="00E15EEC"/>
    <w:rsid w:val="00E15FF4"/>
    <w:rsid w:val="00E1672D"/>
    <w:rsid w:val="00E17277"/>
    <w:rsid w:val="00E202CC"/>
    <w:rsid w:val="00E2077C"/>
    <w:rsid w:val="00E208C5"/>
    <w:rsid w:val="00E20939"/>
    <w:rsid w:val="00E20A41"/>
    <w:rsid w:val="00E20B0D"/>
    <w:rsid w:val="00E20EE9"/>
    <w:rsid w:val="00E21572"/>
    <w:rsid w:val="00E2178E"/>
    <w:rsid w:val="00E21AB0"/>
    <w:rsid w:val="00E21E18"/>
    <w:rsid w:val="00E22446"/>
    <w:rsid w:val="00E22970"/>
    <w:rsid w:val="00E22AD4"/>
    <w:rsid w:val="00E22C49"/>
    <w:rsid w:val="00E22E1B"/>
    <w:rsid w:val="00E234D6"/>
    <w:rsid w:val="00E236E7"/>
    <w:rsid w:val="00E238ED"/>
    <w:rsid w:val="00E23DCB"/>
    <w:rsid w:val="00E240EA"/>
    <w:rsid w:val="00E24399"/>
    <w:rsid w:val="00E246D8"/>
    <w:rsid w:val="00E24DCE"/>
    <w:rsid w:val="00E24EB6"/>
    <w:rsid w:val="00E24FCD"/>
    <w:rsid w:val="00E24FF8"/>
    <w:rsid w:val="00E253F6"/>
    <w:rsid w:val="00E25D5D"/>
    <w:rsid w:val="00E2615C"/>
    <w:rsid w:val="00E266DB"/>
    <w:rsid w:val="00E2685D"/>
    <w:rsid w:val="00E26DD2"/>
    <w:rsid w:val="00E26F0F"/>
    <w:rsid w:val="00E26F7C"/>
    <w:rsid w:val="00E272A2"/>
    <w:rsid w:val="00E27334"/>
    <w:rsid w:val="00E27CF1"/>
    <w:rsid w:val="00E30041"/>
    <w:rsid w:val="00E30073"/>
    <w:rsid w:val="00E300E5"/>
    <w:rsid w:val="00E301CE"/>
    <w:rsid w:val="00E30438"/>
    <w:rsid w:val="00E30B2D"/>
    <w:rsid w:val="00E30DE4"/>
    <w:rsid w:val="00E3179C"/>
    <w:rsid w:val="00E31A24"/>
    <w:rsid w:val="00E31D8C"/>
    <w:rsid w:val="00E31F50"/>
    <w:rsid w:val="00E32146"/>
    <w:rsid w:val="00E322B8"/>
    <w:rsid w:val="00E323A1"/>
    <w:rsid w:val="00E3249E"/>
    <w:rsid w:val="00E32E55"/>
    <w:rsid w:val="00E32E66"/>
    <w:rsid w:val="00E3331E"/>
    <w:rsid w:val="00E3336B"/>
    <w:rsid w:val="00E33593"/>
    <w:rsid w:val="00E33C5B"/>
    <w:rsid w:val="00E33D03"/>
    <w:rsid w:val="00E33D90"/>
    <w:rsid w:val="00E33FF4"/>
    <w:rsid w:val="00E342A4"/>
    <w:rsid w:val="00E34AED"/>
    <w:rsid w:val="00E34D34"/>
    <w:rsid w:val="00E34FAB"/>
    <w:rsid w:val="00E35010"/>
    <w:rsid w:val="00E3525D"/>
    <w:rsid w:val="00E35315"/>
    <w:rsid w:val="00E357C3"/>
    <w:rsid w:val="00E35975"/>
    <w:rsid w:val="00E35998"/>
    <w:rsid w:val="00E35B60"/>
    <w:rsid w:val="00E35DC9"/>
    <w:rsid w:val="00E36263"/>
    <w:rsid w:val="00E36845"/>
    <w:rsid w:val="00E36A59"/>
    <w:rsid w:val="00E36E7E"/>
    <w:rsid w:val="00E3768B"/>
    <w:rsid w:val="00E377DF"/>
    <w:rsid w:val="00E37A24"/>
    <w:rsid w:val="00E37B00"/>
    <w:rsid w:val="00E40551"/>
    <w:rsid w:val="00E405EA"/>
    <w:rsid w:val="00E405EB"/>
    <w:rsid w:val="00E40A08"/>
    <w:rsid w:val="00E40E56"/>
    <w:rsid w:val="00E40FA1"/>
    <w:rsid w:val="00E4101B"/>
    <w:rsid w:val="00E41074"/>
    <w:rsid w:val="00E4113B"/>
    <w:rsid w:val="00E42340"/>
    <w:rsid w:val="00E42AE2"/>
    <w:rsid w:val="00E42C6B"/>
    <w:rsid w:val="00E43185"/>
    <w:rsid w:val="00E43613"/>
    <w:rsid w:val="00E43C3B"/>
    <w:rsid w:val="00E447FD"/>
    <w:rsid w:val="00E44C3B"/>
    <w:rsid w:val="00E44CFD"/>
    <w:rsid w:val="00E4550B"/>
    <w:rsid w:val="00E45514"/>
    <w:rsid w:val="00E45517"/>
    <w:rsid w:val="00E457AD"/>
    <w:rsid w:val="00E45A3B"/>
    <w:rsid w:val="00E45A9A"/>
    <w:rsid w:val="00E45D0B"/>
    <w:rsid w:val="00E45D56"/>
    <w:rsid w:val="00E46087"/>
    <w:rsid w:val="00E46158"/>
    <w:rsid w:val="00E46285"/>
    <w:rsid w:val="00E4628F"/>
    <w:rsid w:val="00E464DA"/>
    <w:rsid w:val="00E46580"/>
    <w:rsid w:val="00E4690C"/>
    <w:rsid w:val="00E46CFC"/>
    <w:rsid w:val="00E46D54"/>
    <w:rsid w:val="00E46E3C"/>
    <w:rsid w:val="00E46F74"/>
    <w:rsid w:val="00E472D7"/>
    <w:rsid w:val="00E4756C"/>
    <w:rsid w:val="00E47A7D"/>
    <w:rsid w:val="00E47B09"/>
    <w:rsid w:val="00E5035B"/>
    <w:rsid w:val="00E5094E"/>
    <w:rsid w:val="00E50CEA"/>
    <w:rsid w:val="00E50EED"/>
    <w:rsid w:val="00E5102B"/>
    <w:rsid w:val="00E514B4"/>
    <w:rsid w:val="00E51D94"/>
    <w:rsid w:val="00E51EEE"/>
    <w:rsid w:val="00E526A2"/>
    <w:rsid w:val="00E527F9"/>
    <w:rsid w:val="00E527FC"/>
    <w:rsid w:val="00E5287F"/>
    <w:rsid w:val="00E5293A"/>
    <w:rsid w:val="00E52A2B"/>
    <w:rsid w:val="00E52E4A"/>
    <w:rsid w:val="00E52F04"/>
    <w:rsid w:val="00E52F42"/>
    <w:rsid w:val="00E53078"/>
    <w:rsid w:val="00E53237"/>
    <w:rsid w:val="00E5334E"/>
    <w:rsid w:val="00E53568"/>
    <w:rsid w:val="00E53996"/>
    <w:rsid w:val="00E539D9"/>
    <w:rsid w:val="00E53CA8"/>
    <w:rsid w:val="00E53EF4"/>
    <w:rsid w:val="00E543ED"/>
    <w:rsid w:val="00E54D32"/>
    <w:rsid w:val="00E54E13"/>
    <w:rsid w:val="00E5540B"/>
    <w:rsid w:val="00E554B6"/>
    <w:rsid w:val="00E554B8"/>
    <w:rsid w:val="00E55926"/>
    <w:rsid w:val="00E559D8"/>
    <w:rsid w:val="00E55BEE"/>
    <w:rsid w:val="00E55C6B"/>
    <w:rsid w:val="00E566FF"/>
    <w:rsid w:val="00E56E12"/>
    <w:rsid w:val="00E570C9"/>
    <w:rsid w:val="00E57829"/>
    <w:rsid w:val="00E57873"/>
    <w:rsid w:val="00E579A4"/>
    <w:rsid w:val="00E60643"/>
    <w:rsid w:val="00E60809"/>
    <w:rsid w:val="00E609FF"/>
    <w:rsid w:val="00E60AC2"/>
    <w:rsid w:val="00E60C7D"/>
    <w:rsid w:val="00E60EF5"/>
    <w:rsid w:val="00E614C6"/>
    <w:rsid w:val="00E6170F"/>
    <w:rsid w:val="00E6193C"/>
    <w:rsid w:val="00E61DEC"/>
    <w:rsid w:val="00E62240"/>
    <w:rsid w:val="00E62506"/>
    <w:rsid w:val="00E6280D"/>
    <w:rsid w:val="00E628F8"/>
    <w:rsid w:val="00E62B9D"/>
    <w:rsid w:val="00E62EB4"/>
    <w:rsid w:val="00E634FA"/>
    <w:rsid w:val="00E63579"/>
    <w:rsid w:val="00E6365A"/>
    <w:rsid w:val="00E639FA"/>
    <w:rsid w:val="00E63F4F"/>
    <w:rsid w:val="00E6405D"/>
    <w:rsid w:val="00E64578"/>
    <w:rsid w:val="00E6474B"/>
    <w:rsid w:val="00E64CFF"/>
    <w:rsid w:val="00E65546"/>
    <w:rsid w:val="00E659A1"/>
    <w:rsid w:val="00E65C04"/>
    <w:rsid w:val="00E66011"/>
    <w:rsid w:val="00E66380"/>
    <w:rsid w:val="00E6644A"/>
    <w:rsid w:val="00E66D83"/>
    <w:rsid w:val="00E66EF9"/>
    <w:rsid w:val="00E6703B"/>
    <w:rsid w:val="00E672D9"/>
    <w:rsid w:val="00E673D0"/>
    <w:rsid w:val="00E67718"/>
    <w:rsid w:val="00E67A74"/>
    <w:rsid w:val="00E7073E"/>
    <w:rsid w:val="00E70C55"/>
    <w:rsid w:val="00E70D43"/>
    <w:rsid w:val="00E70F1C"/>
    <w:rsid w:val="00E71138"/>
    <w:rsid w:val="00E7183D"/>
    <w:rsid w:val="00E720AD"/>
    <w:rsid w:val="00E72928"/>
    <w:rsid w:val="00E729C3"/>
    <w:rsid w:val="00E72B17"/>
    <w:rsid w:val="00E72B9D"/>
    <w:rsid w:val="00E73966"/>
    <w:rsid w:val="00E73B42"/>
    <w:rsid w:val="00E73C1E"/>
    <w:rsid w:val="00E73E13"/>
    <w:rsid w:val="00E73F11"/>
    <w:rsid w:val="00E7420F"/>
    <w:rsid w:val="00E74753"/>
    <w:rsid w:val="00E74B19"/>
    <w:rsid w:val="00E74D80"/>
    <w:rsid w:val="00E74DC8"/>
    <w:rsid w:val="00E7539F"/>
    <w:rsid w:val="00E756A1"/>
    <w:rsid w:val="00E757F7"/>
    <w:rsid w:val="00E7595B"/>
    <w:rsid w:val="00E75E2B"/>
    <w:rsid w:val="00E7651F"/>
    <w:rsid w:val="00E7659D"/>
    <w:rsid w:val="00E765B1"/>
    <w:rsid w:val="00E76622"/>
    <w:rsid w:val="00E766DF"/>
    <w:rsid w:val="00E76A0A"/>
    <w:rsid w:val="00E76BBB"/>
    <w:rsid w:val="00E76E15"/>
    <w:rsid w:val="00E77338"/>
    <w:rsid w:val="00E7745D"/>
    <w:rsid w:val="00E77497"/>
    <w:rsid w:val="00E77671"/>
    <w:rsid w:val="00E776AD"/>
    <w:rsid w:val="00E77962"/>
    <w:rsid w:val="00E779A2"/>
    <w:rsid w:val="00E77B23"/>
    <w:rsid w:val="00E80020"/>
    <w:rsid w:val="00E80047"/>
    <w:rsid w:val="00E8072B"/>
    <w:rsid w:val="00E80845"/>
    <w:rsid w:val="00E80B62"/>
    <w:rsid w:val="00E810B0"/>
    <w:rsid w:val="00E81185"/>
    <w:rsid w:val="00E8162D"/>
    <w:rsid w:val="00E81C97"/>
    <w:rsid w:val="00E8219A"/>
    <w:rsid w:val="00E828BE"/>
    <w:rsid w:val="00E82E81"/>
    <w:rsid w:val="00E83210"/>
    <w:rsid w:val="00E83733"/>
    <w:rsid w:val="00E83EA9"/>
    <w:rsid w:val="00E83EC3"/>
    <w:rsid w:val="00E8410B"/>
    <w:rsid w:val="00E843C7"/>
    <w:rsid w:val="00E8485B"/>
    <w:rsid w:val="00E850FD"/>
    <w:rsid w:val="00E85260"/>
    <w:rsid w:val="00E8528A"/>
    <w:rsid w:val="00E85617"/>
    <w:rsid w:val="00E85778"/>
    <w:rsid w:val="00E858AC"/>
    <w:rsid w:val="00E85A6F"/>
    <w:rsid w:val="00E85C89"/>
    <w:rsid w:val="00E85C95"/>
    <w:rsid w:val="00E85E45"/>
    <w:rsid w:val="00E86272"/>
    <w:rsid w:val="00E86508"/>
    <w:rsid w:val="00E8652B"/>
    <w:rsid w:val="00E869A9"/>
    <w:rsid w:val="00E86CA0"/>
    <w:rsid w:val="00E87800"/>
    <w:rsid w:val="00E87904"/>
    <w:rsid w:val="00E87B46"/>
    <w:rsid w:val="00E87BAE"/>
    <w:rsid w:val="00E900F8"/>
    <w:rsid w:val="00E908F1"/>
    <w:rsid w:val="00E90D29"/>
    <w:rsid w:val="00E91280"/>
    <w:rsid w:val="00E91396"/>
    <w:rsid w:val="00E915B9"/>
    <w:rsid w:val="00E917C1"/>
    <w:rsid w:val="00E91853"/>
    <w:rsid w:val="00E9187E"/>
    <w:rsid w:val="00E91885"/>
    <w:rsid w:val="00E91B11"/>
    <w:rsid w:val="00E9279A"/>
    <w:rsid w:val="00E92CE5"/>
    <w:rsid w:val="00E92E92"/>
    <w:rsid w:val="00E933B5"/>
    <w:rsid w:val="00E93CDA"/>
    <w:rsid w:val="00E93D15"/>
    <w:rsid w:val="00E94897"/>
    <w:rsid w:val="00E94FE8"/>
    <w:rsid w:val="00E9565A"/>
    <w:rsid w:val="00E9650E"/>
    <w:rsid w:val="00E96748"/>
    <w:rsid w:val="00E9676B"/>
    <w:rsid w:val="00E968BC"/>
    <w:rsid w:val="00E96BF5"/>
    <w:rsid w:val="00E96C27"/>
    <w:rsid w:val="00E96D0E"/>
    <w:rsid w:val="00E9730C"/>
    <w:rsid w:val="00E97ADF"/>
    <w:rsid w:val="00E97E16"/>
    <w:rsid w:val="00EA00E1"/>
    <w:rsid w:val="00EA035B"/>
    <w:rsid w:val="00EA0706"/>
    <w:rsid w:val="00EA083D"/>
    <w:rsid w:val="00EA0980"/>
    <w:rsid w:val="00EA0ADC"/>
    <w:rsid w:val="00EA0C1D"/>
    <w:rsid w:val="00EA0E6A"/>
    <w:rsid w:val="00EA1166"/>
    <w:rsid w:val="00EA130F"/>
    <w:rsid w:val="00EA154A"/>
    <w:rsid w:val="00EA178B"/>
    <w:rsid w:val="00EA1863"/>
    <w:rsid w:val="00EA1936"/>
    <w:rsid w:val="00EA2260"/>
    <w:rsid w:val="00EA2B54"/>
    <w:rsid w:val="00EA2C5A"/>
    <w:rsid w:val="00EA3177"/>
    <w:rsid w:val="00EA31BA"/>
    <w:rsid w:val="00EA336F"/>
    <w:rsid w:val="00EA35F6"/>
    <w:rsid w:val="00EA3D40"/>
    <w:rsid w:val="00EA3E3A"/>
    <w:rsid w:val="00EA4526"/>
    <w:rsid w:val="00EA45D9"/>
    <w:rsid w:val="00EA4743"/>
    <w:rsid w:val="00EA4BE1"/>
    <w:rsid w:val="00EA4EDB"/>
    <w:rsid w:val="00EA5398"/>
    <w:rsid w:val="00EA57B3"/>
    <w:rsid w:val="00EA5A9C"/>
    <w:rsid w:val="00EA5C22"/>
    <w:rsid w:val="00EA5EF4"/>
    <w:rsid w:val="00EA6571"/>
    <w:rsid w:val="00EA660C"/>
    <w:rsid w:val="00EA67DA"/>
    <w:rsid w:val="00EA6A26"/>
    <w:rsid w:val="00EA6B64"/>
    <w:rsid w:val="00EA6C31"/>
    <w:rsid w:val="00EA7026"/>
    <w:rsid w:val="00EA7050"/>
    <w:rsid w:val="00EA743F"/>
    <w:rsid w:val="00EA7C7E"/>
    <w:rsid w:val="00EA7CE1"/>
    <w:rsid w:val="00EA7FF4"/>
    <w:rsid w:val="00EB02D9"/>
    <w:rsid w:val="00EB0990"/>
    <w:rsid w:val="00EB0AA5"/>
    <w:rsid w:val="00EB1110"/>
    <w:rsid w:val="00EB1305"/>
    <w:rsid w:val="00EB21E9"/>
    <w:rsid w:val="00EB26AF"/>
    <w:rsid w:val="00EB2788"/>
    <w:rsid w:val="00EB28FA"/>
    <w:rsid w:val="00EB2E95"/>
    <w:rsid w:val="00EB386A"/>
    <w:rsid w:val="00EB3F0B"/>
    <w:rsid w:val="00EB4965"/>
    <w:rsid w:val="00EB4B9A"/>
    <w:rsid w:val="00EB4DC8"/>
    <w:rsid w:val="00EB5087"/>
    <w:rsid w:val="00EB50D2"/>
    <w:rsid w:val="00EB56DB"/>
    <w:rsid w:val="00EB5BA1"/>
    <w:rsid w:val="00EB5E17"/>
    <w:rsid w:val="00EB603C"/>
    <w:rsid w:val="00EB6DD9"/>
    <w:rsid w:val="00EB6DDA"/>
    <w:rsid w:val="00EB6FA8"/>
    <w:rsid w:val="00EB7522"/>
    <w:rsid w:val="00EB7A0F"/>
    <w:rsid w:val="00EB7AB8"/>
    <w:rsid w:val="00EB7F06"/>
    <w:rsid w:val="00EC0123"/>
    <w:rsid w:val="00EC024E"/>
    <w:rsid w:val="00EC0287"/>
    <w:rsid w:val="00EC0582"/>
    <w:rsid w:val="00EC0E4C"/>
    <w:rsid w:val="00EC0F61"/>
    <w:rsid w:val="00EC142E"/>
    <w:rsid w:val="00EC19B6"/>
    <w:rsid w:val="00EC19CC"/>
    <w:rsid w:val="00EC19D8"/>
    <w:rsid w:val="00EC1DDD"/>
    <w:rsid w:val="00EC2087"/>
    <w:rsid w:val="00EC233B"/>
    <w:rsid w:val="00EC2AAC"/>
    <w:rsid w:val="00EC2BA9"/>
    <w:rsid w:val="00EC2EE1"/>
    <w:rsid w:val="00EC2FDF"/>
    <w:rsid w:val="00EC31CD"/>
    <w:rsid w:val="00EC3318"/>
    <w:rsid w:val="00EC34FE"/>
    <w:rsid w:val="00EC3518"/>
    <w:rsid w:val="00EC3E5F"/>
    <w:rsid w:val="00EC3F28"/>
    <w:rsid w:val="00EC3F57"/>
    <w:rsid w:val="00EC41D8"/>
    <w:rsid w:val="00EC4357"/>
    <w:rsid w:val="00EC46C7"/>
    <w:rsid w:val="00EC4C2C"/>
    <w:rsid w:val="00EC50C1"/>
    <w:rsid w:val="00EC5209"/>
    <w:rsid w:val="00EC55A5"/>
    <w:rsid w:val="00EC55B0"/>
    <w:rsid w:val="00EC5756"/>
    <w:rsid w:val="00EC58C1"/>
    <w:rsid w:val="00EC5BBC"/>
    <w:rsid w:val="00EC60F7"/>
    <w:rsid w:val="00EC6716"/>
    <w:rsid w:val="00EC683D"/>
    <w:rsid w:val="00EC68B4"/>
    <w:rsid w:val="00EC6A2B"/>
    <w:rsid w:val="00EC6BC9"/>
    <w:rsid w:val="00EC7049"/>
    <w:rsid w:val="00EC75D0"/>
    <w:rsid w:val="00EC763A"/>
    <w:rsid w:val="00EC76DF"/>
    <w:rsid w:val="00EC79F1"/>
    <w:rsid w:val="00EC7CC5"/>
    <w:rsid w:val="00EC7EE8"/>
    <w:rsid w:val="00ED07C2"/>
    <w:rsid w:val="00ED0A12"/>
    <w:rsid w:val="00ED0B87"/>
    <w:rsid w:val="00ED0E60"/>
    <w:rsid w:val="00ED0FD8"/>
    <w:rsid w:val="00ED1AFD"/>
    <w:rsid w:val="00ED1B4C"/>
    <w:rsid w:val="00ED2012"/>
    <w:rsid w:val="00ED23B8"/>
    <w:rsid w:val="00ED2677"/>
    <w:rsid w:val="00ED2ADC"/>
    <w:rsid w:val="00ED2DA8"/>
    <w:rsid w:val="00ED2ED5"/>
    <w:rsid w:val="00ED2EDA"/>
    <w:rsid w:val="00ED2F29"/>
    <w:rsid w:val="00ED3225"/>
    <w:rsid w:val="00ED3501"/>
    <w:rsid w:val="00ED3E4F"/>
    <w:rsid w:val="00ED3F6B"/>
    <w:rsid w:val="00ED41C1"/>
    <w:rsid w:val="00ED49C5"/>
    <w:rsid w:val="00ED4C91"/>
    <w:rsid w:val="00ED503C"/>
    <w:rsid w:val="00ED57B9"/>
    <w:rsid w:val="00ED596B"/>
    <w:rsid w:val="00ED5AA4"/>
    <w:rsid w:val="00ED64E3"/>
    <w:rsid w:val="00ED661E"/>
    <w:rsid w:val="00ED678F"/>
    <w:rsid w:val="00ED68B2"/>
    <w:rsid w:val="00ED69CC"/>
    <w:rsid w:val="00ED7150"/>
    <w:rsid w:val="00ED7257"/>
    <w:rsid w:val="00ED728B"/>
    <w:rsid w:val="00ED72B7"/>
    <w:rsid w:val="00ED73EB"/>
    <w:rsid w:val="00ED7A16"/>
    <w:rsid w:val="00EE0428"/>
    <w:rsid w:val="00EE0662"/>
    <w:rsid w:val="00EE0857"/>
    <w:rsid w:val="00EE0D52"/>
    <w:rsid w:val="00EE0F3B"/>
    <w:rsid w:val="00EE1269"/>
    <w:rsid w:val="00EE16CE"/>
    <w:rsid w:val="00EE228C"/>
    <w:rsid w:val="00EE2485"/>
    <w:rsid w:val="00EE2512"/>
    <w:rsid w:val="00EE2515"/>
    <w:rsid w:val="00EE2647"/>
    <w:rsid w:val="00EE2849"/>
    <w:rsid w:val="00EE2966"/>
    <w:rsid w:val="00EE2A7C"/>
    <w:rsid w:val="00EE2EAA"/>
    <w:rsid w:val="00EE3168"/>
    <w:rsid w:val="00EE336D"/>
    <w:rsid w:val="00EE33F9"/>
    <w:rsid w:val="00EE346A"/>
    <w:rsid w:val="00EE3844"/>
    <w:rsid w:val="00EE4C92"/>
    <w:rsid w:val="00EE4DDC"/>
    <w:rsid w:val="00EE4FDF"/>
    <w:rsid w:val="00EE5265"/>
    <w:rsid w:val="00EE55AA"/>
    <w:rsid w:val="00EE5C2A"/>
    <w:rsid w:val="00EE5CFE"/>
    <w:rsid w:val="00EE5F46"/>
    <w:rsid w:val="00EE611B"/>
    <w:rsid w:val="00EE689F"/>
    <w:rsid w:val="00EE68E2"/>
    <w:rsid w:val="00EE6B9D"/>
    <w:rsid w:val="00EE70F1"/>
    <w:rsid w:val="00EE73B2"/>
    <w:rsid w:val="00EE74F2"/>
    <w:rsid w:val="00EF02CF"/>
    <w:rsid w:val="00EF06F0"/>
    <w:rsid w:val="00EF0814"/>
    <w:rsid w:val="00EF0F08"/>
    <w:rsid w:val="00EF10D4"/>
    <w:rsid w:val="00EF1147"/>
    <w:rsid w:val="00EF117B"/>
    <w:rsid w:val="00EF1341"/>
    <w:rsid w:val="00EF146F"/>
    <w:rsid w:val="00EF176D"/>
    <w:rsid w:val="00EF1B8D"/>
    <w:rsid w:val="00EF21BC"/>
    <w:rsid w:val="00EF249C"/>
    <w:rsid w:val="00EF24F7"/>
    <w:rsid w:val="00EF2695"/>
    <w:rsid w:val="00EF269C"/>
    <w:rsid w:val="00EF2863"/>
    <w:rsid w:val="00EF2CF3"/>
    <w:rsid w:val="00EF30C7"/>
    <w:rsid w:val="00EF36D6"/>
    <w:rsid w:val="00EF37C1"/>
    <w:rsid w:val="00EF3F51"/>
    <w:rsid w:val="00EF402F"/>
    <w:rsid w:val="00EF44B3"/>
    <w:rsid w:val="00EF4744"/>
    <w:rsid w:val="00EF5802"/>
    <w:rsid w:val="00EF5937"/>
    <w:rsid w:val="00EF5A9C"/>
    <w:rsid w:val="00EF5DED"/>
    <w:rsid w:val="00EF6090"/>
    <w:rsid w:val="00EF6615"/>
    <w:rsid w:val="00EF675E"/>
    <w:rsid w:val="00EF6919"/>
    <w:rsid w:val="00EF6982"/>
    <w:rsid w:val="00EF6C48"/>
    <w:rsid w:val="00EF6E63"/>
    <w:rsid w:val="00EF7569"/>
    <w:rsid w:val="00EF7B8D"/>
    <w:rsid w:val="00F003AE"/>
    <w:rsid w:val="00F00840"/>
    <w:rsid w:val="00F00923"/>
    <w:rsid w:val="00F00B0C"/>
    <w:rsid w:val="00F00C7F"/>
    <w:rsid w:val="00F00D45"/>
    <w:rsid w:val="00F010F4"/>
    <w:rsid w:val="00F011BC"/>
    <w:rsid w:val="00F011E7"/>
    <w:rsid w:val="00F01487"/>
    <w:rsid w:val="00F01F7A"/>
    <w:rsid w:val="00F020BF"/>
    <w:rsid w:val="00F020C7"/>
    <w:rsid w:val="00F0230A"/>
    <w:rsid w:val="00F0260E"/>
    <w:rsid w:val="00F034EF"/>
    <w:rsid w:val="00F0355C"/>
    <w:rsid w:val="00F03892"/>
    <w:rsid w:val="00F0416E"/>
    <w:rsid w:val="00F0428B"/>
    <w:rsid w:val="00F043DD"/>
    <w:rsid w:val="00F045A2"/>
    <w:rsid w:val="00F04A8B"/>
    <w:rsid w:val="00F04B59"/>
    <w:rsid w:val="00F04BCD"/>
    <w:rsid w:val="00F04CF3"/>
    <w:rsid w:val="00F04D2C"/>
    <w:rsid w:val="00F04D79"/>
    <w:rsid w:val="00F050A7"/>
    <w:rsid w:val="00F05AEC"/>
    <w:rsid w:val="00F05B78"/>
    <w:rsid w:val="00F05B8C"/>
    <w:rsid w:val="00F05B9B"/>
    <w:rsid w:val="00F060AB"/>
    <w:rsid w:val="00F0627C"/>
    <w:rsid w:val="00F06605"/>
    <w:rsid w:val="00F06778"/>
    <w:rsid w:val="00F06809"/>
    <w:rsid w:val="00F06D30"/>
    <w:rsid w:val="00F07344"/>
    <w:rsid w:val="00F07CB0"/>
    <w:rsid w:val="00F101F0"/>
    <w:rsid w:val="00F1024E"/>
    <w:rsid w:val="00F10553"/>
    <w:rsid w:val="00F10606"/>
    <w:rsid w:val="00F108D0"/>
    <w:rsid w:val="00F11083"/>
    <w:rsid w:val="00F112BF"/>
    <w:rsid w:val="00F11B9D"/>
    <w:rsid w:val="00F11C59"/>
    <w:rsid w:val="00F11FCA"/>
    <w:rsid w:val="00F1217C"/>
    <w:rsid w:val="00F1225D"/>
    <w:rsid w:val="00F1235D"/>
    <w:rsid w:val="00F126BA"/>
    <w:rsid w:val="00F1304B"/>
    <w:rsid w:val="00F137F6"/>
    <w:rsid w:val="00F1388C"/>
    <w:rsid w:val="00F138E8"/>
    <w:rsid w:val="00F13D81"/>
    <w:rsid w:val="00F13F0C"/>
    <w:rsid w:val="00F14108"/>
    <w:rsid w:val="00F144B6"/>
    <w:rsid w:val="00F1492A"/>
    <w:rsid w:val="00F149C3"/>
    <w:rsid w:val="00F149ED"/>
    <w:rsid w:val="00F14A5A"/>
    <w:rsid w:val="00F14BAE"/>
    <w:rsid w:val="00F14D6E"/>
    <w:rsid w:val="00F153FB"/>
    <w:rsid w:val="00F15ACA"/>
    <w:rsid w:val="00F170F5"/>
    <w:rsid w:val="00F17409"/>
    <w:rsid w:val="00F17428"/>
    <w:rsid w:val="00F174C4"/>
    <w:rsid w:val="00F175C9"/>
    <w:rsid w:val="00F17B4A"/>
    <w:rsid w:val="00F20427"/>
    <w:rsid w:val="00F20835"/>
    <w:rsid w:val="00F208B3"/>
    <w:rsid w:val="00F20AD4"/>
    <w:rsid w:val="00F20AD9"/>
    <w:rsid w:val="00F20D69"/>
    <w:rsid w:val="00F21399"/>
    <w:rsid w:val="00F214EB"/>
    <w:rsid w:val="00F219AE"/>
    <w:rsid w:val="00F21C83"/>
    <w:rsid w:val="00F22204"/>
    <w:rsid w:val="00F23065"/>
    <w:rsid w:val="00F23138"/>
    <w:rsid w:val="00F2436D"/>
    <w:rsid w:val="00F245B9"/>
    <w:rsid w:val="00F246B4"/>
    <w:rsid w:val="00F24840"/>
    <w:rsid w:val="00F2527D"/>
    <w:rsid w:val="00F25301"/>
    <w:rsid w:val="00F25581"/>
    <w:rsid w:val="00F2677B"/>
    <w:rsid w:val="00F268E0"/>
    <w:rsid w:val="00F26B63"/>
    <w:rsid w:val="00F26B88"/>
    <w:rsid w:val="00F26D51"/>
    <w:rsid w:val="00F26ECF"/>
    <w:rsid w:val="00F26F22"/>
    <w:rsid w:val="00F2742B"/>
    <w:rsid w:val="00F279E9"/>
    <w:rsid w:val="00F3006A"/>
    <w:rsid w:val="00F304BE"/>
    <w:rsid w:val="00F3102A"/>
    <w:rsid w:val="00F31560"/>
    <w:rsid w:val="00F31A1C"/>
    <w:rsid w:val="00F31B33"/>
    <w:rsid w:val="00F31C14"/>
    <w:rsid w:val="00F31CC8"/>
    <w:rsid w:val="00F31F80"/>
    <w:rsid w:val="00F32656"/>
    <w:rsid w:val="00F3279D"/>
    <w:rsid w:val="00F32A22"/>
    <w:rsid w:val="00F32C24"/>
    <w:rsid w:val="00F32FC9"/>
    <w:rsid w:val="00F33106"/>
    <w:rsid w:val="00F33517"/>
    <w:rsid w:val="00F335CA"/>
    <w:rsid w:val="00F341B4"/>
    <w:rsid w:val="00F346F1"/>
    <w:rsid w:val="00F35346"/>
    <w:rsid w:val="00F355FE"/>
    <w:rsid w:val="00F3581D"/>
    <w:rsid w:val="00F35A69"/>
    <w:rsid w:val="00F35B91"/>
    <w:rsid w:val="00F35C2A"/>
    <w:rsid w:val="00F35F7D"/>
    <w:rsid w:val="00F363B5"/>
    <w:rsid w:val="00F36492"/>
    <w:rsid w:val="00F366BD"/>
    <w:rsid w:val="00F36CEE"/>
    <w:rsid w:val="00F36CFC"/>
    <w:rsid w:val="00F372F9"/>
    <w:rsid w:val="00F37858"/>
    <w:rsid w:val="00F37878"/>
    <w:rsid w:val="00F40275"/>
    <w:rsid w:val="00F402B4"/>
    <w:rsid w:val="00F406AA"/>
    <w:rsid w:val="00F40783"/>
    <w:rsid w:val="00F40DA9"/>
    <w:rsid w:val="00F4125F"/>
    <w:rsid w:val="00F419E9"/>
    <w:rsid w:val="00F41EF4"/>
    <w:rsid w:val="00F41F14"/>
    <w:rsid w:val="00F423BA"/>
    <w:rsid w:val="00F425BC"/>
    <w:rsid w:val="00F431B8"/>
    <w:rsid w:val="00F43226"/>
    <w:rsid w:val="00F4339E"/>
    <w:rsid w:val="00F4379F"/>
    <w:rsid w:val="00F43846"/>
    <w:rsid w:val="00F43A69"/>
    <w:rsid w:val="00F44154"/>
    <w:rsid w:val="00F44426"/>
    <w:rsid w:val="00F446AC"/>
    <w:rsid w:val="00F447CE"/>
    <w:rsid w:val="00F449BC"/>
    <w:rsid w:val="00F44D06"/>
    <w:rsid w:val="00F44FF7"/>
    <w:rsid w:val="00F455D7"/>
    <w:rsid w:val="00F4621E"/>
    <w:rsid w:val="00F4654C"/>
    <w:rsid w:val="00F46ABA"/>
    <w:rsid w:val="00F46B6A"/>
    <w:rsid w:val="00F46D4E"/>
    <w:rsid w:val="00F46EC2"/>
    <w:rsid w:val="00F471E4"/>
    <w:rsid w:val="00F472DA"/>
    <w:rsid w:val="00F474C4"/>
    <w:rsid w:val="00F47550"/>
    <w:rsid w:val="00F47611"/>
    <w:rsid w:val="00F4761B"/>
    <w:rsid w:val="00F47B9D"/>
    <w:rsid w:val="00F505AF"/>
    <w:rsid w:val="00F50697"/>
    <w:rsid w:val="00F5072F"/>
    <w:rsid w:val="00F5193A"/>
    <w:rsid w:val="00F5195C"/>
    <w:rsid w:val="00F519D4"/>
    <w:rsid w:val="00F51C6F"/>
    <w:rsid w:val="00F51F41"/>
    <w:rsid w:val="00F524F7"/>
    <w:rsid w:val="00F526B4"/>
    <w:rsid w:val="00F533AE"/>
    <w:rsid w:val="00F533BA"/>
    <w:rsid w:val="00F533F9"/>
    <w:rsid w:val="00F53A7C"/>
    <w:rsid w:val="00F53F87"/>
    <w:rsid w:val="00F54406"/>
    <w:rsid w:val="00F55018"/>
    <w:rsid w:val="00F552B7"/>
    <w:rsid w:val="00F553CD"/>
    <w:rsid w:val="00F5564C"/>
    <w:rsid w:val="00F55665"/>
    <w:rsid w:val="00F55BF4"/>
    <w:rsid w:val="00F55C14"/>
    <w:rsid w:val="00F55C50"/>
    <w:rsid w:val="00F563D8"/>
    <w:rsid w:val="00F56761"/>
    <w:rsid w:val="00F56AA4"/>
    <w:rsid w:val="00F56D4A"/>
    <w:rsid w:val="00F5755A"/>
    <w:rsid w:val="00F57D03"/>
    <w:rsid w:val="00F57F5F"/>
    <w:rsid w:val="00F60045"/>
    <w:rsid w:val="00F60064"/>
    <w:rsid w:val="00F60285"/>
    <w:rsid w:val="00F60B40"/>
    <w:rsid w:val="00F60C0E"/>
    <w:rsid w:val="00F60EEF"/>
    <w:rsid w:val="00F60EF5"/>
    <w:rsid w:val="00F6100B"/>
    <w:rsid w:val="00F61D38"/>
    <w:rsid w:val="00F61D92"/>
    <w:rsid w:val="00F61E9B"/>
    <w:rsid w:val="00F61F0D"/>
    <w:rsid w:val="00F6210B"/>
    <w:rsid w:val="00F6297F"/>
    <w:rsid w:val="00F62C7D"/>
    <w:rsid w:val="00F62E94"/>
    <w:rsid w:val="00F6308F"/>
    <w:rsid w:val="00F63640"/>
    <w:rsid w:val="00F6365C"/>
    <w:rsid w:val="00F636FB"/>
    <w:rsid w:val="00F63C0D"/>
    <w:rsid w:val="00F63F4E"/>
    <w:rsid w:val="00F646BF"/>
    <w:rsid w:val="00F65293"/>
    <w:rsid w:val="00F6557C"/>
    <w:rsid w:val="00F65749"/>
    <w:rsid w:val="00F65EA6"/>
    <w:rsid w:val="00F66063"/>
    <w:rsid w:val="00F66865"/>
    <w:rsid w:val="00F66E01"/>
    <w:rsid w:val="00F66FEB"/>
    <w:rsid w:val="00F70238"/>
    <w:rsid w:val="00F70E61"/>
    <w:rsid w:val="00F71074"/>
    <w:rsid w:val="00F718B1"/>
    <w:rsid w:val="00F718F3"/>
    <w:rsid w:val="00F71BE5"/>
    <w:rsid w:val="00F71EBB"/>
    <w:rsid w:val="00F71F95"/>
    <w:rsid w:val="00F7257B"/>
    <w:rsid w:val="00F728F4"/>
    <w:rsid w:val="00F72BA0"/>
    <w:rsid w:val="00F72C49"/>
    <w:rsid w:val="00F73089"/>
    <w:rsid w:val="00F7374A"/>
    <w:rsid w:val="00F737E0"/>
    <w:rsid w:val="00F73A73"/>
    <w:rsid w:val="00F745AB"/>
    <w:rsid w:val="00F7468A"/>
    <w:rsid w:val="00F7482C"/>
    <w:rsid w:val="00F74B33"/>
    <w:rsid w:val="00F74B55"/>
    <w:rsid w:val="00F7514E"/>
    <w:rsid w:val="00F75284"/>
    <w:rsid w:val="00F754FC"/>
    <w:rsid w:val="00F755C8"/>
    <w:rsid w:val="00F75A77"/>
    <w:rsid w:val="00F75AA7"/>
    <w:rsid w:val="00F76158"/>
    <w:rsid w:val="00F761DE"/>
    <w:rsid w:val="00F762C1"/>
    <w:rsid w:val="00F76AB9"/>
    <w:rsid w:val="00F77B6D"/>
    <w:rsid w:val="00F77DD1"/>
    <w:rsid w:val="00F77E11"/>
    <w:rsid w:val="00F8028D"/>
    <w:rsid w:val="00F806C5"/>
    <w:rsid w:val="00F812E9"/>
    <w:rsid w:val="00F814C4"/>
    <w:rsid w:val="00F8176F"/>
    <w:rsid w:val="00F81BD2"/>
    <w:rsid w:val="00F81F93"/>
    <w:rsid w:val="00F821CD"/>
    <w:rsid w:val="00F82437"/>
    <w:rsid w:val="00F827CD"/>
    <w:rsid w:val="00F82AE6"/>
    <w:rsid w:val="00F82CBA"/>
    <w:rsid w:val="00F82F65"/>
    <w:rsid w:val="00F82FB8"/>
    <w:rsid w:val="00F832F4"/>
    <w:rsid w:val="00F83614"/>
    <w:rsid w:val="00F8388D"/>
    <w:rsid w:val="00F83D74"/>
    <w:rsid w:val="00F83F93"/>
    <w:rsid w:val="00F83FE1"/>
    <w:rsid w:val="00F843A8"/>
    <w:rsid w:val="00F8440A"/>
    <w:rsid w:val="00F849F9"/>
    <w:rsid w:val="00F84A5C"/>
    <w:rsid w:val="00F84A89"/>
    <w:rsid w:val="00F84D2B"/>
    <w:rsid w:val="00F84EB1"/>
    <w:rsid w:val="00F8527B"/>
    <w:rsid w:val="00F852C6"/>
    <w:rsid w:val="00F8577A"/>
    <w:rsid w:val="00F85960"/>
    <w:rsid w:val="00F85B77"/>
    <w:rsid w:val="00F86217"/>
    <w:rsid w:val="00F864B9"/>
    <w:rsid w:val="00F867AD"/>
    <w:rsid w:val="00F8752F"/>
    <w:rsid w:val="00F875B7"/>
    <w:rsid w:val="00F87AFD"/>
    <w:rsid w:val="00F90275"/>
    <w:rsid w:val="00F9056F"/>
    <w:rsid w:val="00F90772"/>
    <w:rsid w:val="00F909A3"/>
    <w:rsid w:val="00F90A74"/>
    <w:rsid w:val="00F90D34"/>
    <w:rsid w:val="00F90FD2"/>
    <w:rsid w:val="00F91132"/>
    <w:rsid w:val="00F91510"/>
    <w:rsid w:val="00F917A0"/>
    <w:rsid w:val="00F919B0"/>
    <w:rsid w:val="00F91A10"/>
    <w:rsid w:val="00F91E7E"/>
    <w:rsid w:val="00F92223"/>
    <w:rsid w:val="00F92298"/>
    <w:rsid w:val="00F924E4"/>
    <w:rsid w:val="00F925E4"/>
    <w:rsid w:val="00F9260A"/>
    <w:rsid w:val="00F9262E"/>
    <w:rsid w:val="00F926DA"/>
    <w:rsid w:val="00F92B0D"/>
    <w:rsid w:val="00F92FBB"/>
    <w:rsid w:val="00F9325F"/>
    <w:rsid w:val="00F937FC"/>
    <w:rsid w:val="00F938D8"/>
    <w:rsid w:val="00F940B6"/>
    <w:rsid w:val="00F94562"/>
    <w:rsid w:val="00F94576"/>
    <w:rsid w:val="00F94709"/>
    <w:rsid w:val="00F94E13"/>
    <w:rsid w:val="00F95424"/>
    <w:rsid w:val="00F9546D"/>
    <w:rsid w:val="00F95609"/>
    <w:rsid w:val="00F9560D"/>
    <w:rsid w:val="00F956B3"/>
    <w:rsid w:val="00F95914"/>
    <w:rsid w:val="00F95CC2"/>
    <w:rsid w:val="00F95CFA"/>
    <w:rsid w:val="00F95E2E"/>
    <w:rsid w:val="00F96002"/>
    <w:rsid w:val="00F9624A"/>
    <w:rsid w:val="00F9628F"/>
    <w:rsid w:val="00F96633"/>
    <w:rsid w:val="00F96B4E"/>
    <w:rsid w:val="00F96BDD"/>
    <w:rsid w:val="00F97524"/>
    <w:rsid w:val="00F975D2"/>
    <w:rsid w:val="00F975F8"/>
    <w:rsid w:val="00F97E4B"/>
    <w:rsid w:val="00FA02D5"/>
    <w:rsid w:val="00FA06B7"/>
    <w:rsid w:val="00FA0A8B"/>
    <w:rsid w:val="00FA0B52"/>
    <w:rsid w:val="00FA106A"/>
    <w:rsid w:val="00FA1211"/>
    <w:rsid w:val="00FA185D"/>
    <w:rsid w:val="00FA1916"/>
    <w:rsid w:val="00FA1BA6"/>
    <w:rsid w:val="00FA1FC7"/>
    <w:rsid w:val="00FA2588"/>
    <w:rsid w:val="00FA2755"/>
    <w:rsid w:val="00FA2B04"/>
    <w:rsid w:val="00FA31D5"/>
    <w:rsid w:val="00FA340B"/>
    <w:rsid w:val="00FA38AC"/>
    <w:rsid w:val="00FA3937"/>
    <w:rsid w:val="00FA3EA3"/>
    <w:rsid w:val="00FA44B5"/>
    <w:rsid w:val="00FA4C88"/>
    <w:rsid w:val="00FA4D91"/>
    <w:rsid w:val="00FA5247"/>
    <w:rsid w:val="00FA58DA"/>
    <w:rsid w:val="00FA5E7A"/>
    <w:rsid w:val="00FA5E8C"/>
    <w:rsid w:val="00FA6411"/>
    <w:rsid w:val="00FA6732"/>
    <w:rsid w:val="00FA6EAA"/>
    <w:rsid w:val="00FA6ED4"/>
    <w:rsid w:val="00FA72BD"/>
    <w:rsid w:val="00FA7A12"/>
    <w:rsid w:val="00FA7B9A"/>
    <w:rsid w:val="00FA7F0B"/>
    <w:rsid w:val="00FB0340"/>
    <w:rsid w:val="00FB05F0"/>
    <w:rsid w:val="00FB075B"/>
    <w:rsid w:val="00FB0FE8"/>
    <w:rsid w:val="00FB1312"/>
    <w:rsid w:val="00FB1514"/>
    <w:rsid w:val="00FB1593"/>
    <w:rsid w:val="00FB1794"/>
    <w:rsid w:val="00FB182B"/>
    <w:rsid w:val="00FB18AE"/>
    <w:rsid w:val="00FB1F5E"/>
    <w:rsid w:val="00FB20B2"/>
    <w:rsid w:val="00FB2C2E"/>
    <w:rsid w:val="00FB346D"/>
    <w:rsid w:val="00FB38A6"/>
    <w:rsid w:val="00FB3B6D"/>
    <w:rsid w:val="00FB3CA4"/>
    <w:rsid w:val="00FB4192"/>
    <w:rsid w:val="00FB4391"/>
    <w:rsid w:val="00FB445D"/>
    <w:rsid w:val="00FB4567"/>
    <w:rsid w:val="00FB4A36"/>
    <w:rsid w:val="00FB550D"/>
    <w:rsid w:val="00FB55E2"/>
    <w:rsid w:val="00FB5A33"/>
    <w:rsid w:val="00FB5F26"/>
    <w:rsid w:val="00FB66EE"/>
    <w:rsid w:val="00FB6E49"/>
    <w:rsid w:val="00FB745C"/>
    <w:rsid w:val="00FB74F8"/>
    <w:rsid w:val="00FB775D"/>
    <w:rsid w:val="00FB7AF7"/>
    <w:rsid w:val="00FB7EAD"/>
    <w:rsid w:val="00FC0A32"/>
    <w:rsid w:val="00FC1162"/>
    <w:rsid w:val="00FC13A5"/>
    <w:rsid w:val="00FC14D3"/>
    <w:rsid w:val="00FC1588"/>
    <w:rsid w:val="00FC20F1"/>
    <w:rsid w:val="00FC2165"/>
    <w:rsid w:val="00FC21A8"/>
    <w:rsid w:val="00FC2B8F"/>
    <w:rsid w:val="00FC2D39"/>
    <w:rsid w:val="00FC2E93"/>
    <w:rsid w:val="00FC31E3"/>
    <w:rsid w:val="00FC3750"/>
    <w:rsid w:val="00FC3890"/>
    <w:rsid w:val="00FC41CF"/>
    <w:rsid w:val="00FC41DD"/>
    <w:rsid w:val="00FC45C8"/>
    <w:rsid w:val="00FC4F05"/>
    <w:rsid w:val="00FC50AD"/>
    <w:rsid w:val="00FC5908"/>
    <w:rsid w:val="00FC6970"/>
    <w:rsid w:val="00FC6FFC"/>
    <w:rsid w:val="00FC76B9"/>
    <w:rsid w:val="00FC7B5F"/>
    <w:rsid w:val="00FC7E32"/>
    <w:rsid w:val="00FD004B"/>
    <w:rsid w:val="00FD0054"/>
    <w:rsid w:val="00FD037A"/>
    <w:rsid w:val="00FD0463"/>
    <w:rsid w:val="00FD1098"/>
    <w:rsid w:val="00FD1530"/>
    <w:rsid w:val="00FD159D"/>
    <w:rsid w:val="00FD15FA"/>
    <w:rsid w:val="00FD1AE6"/>
    <w:rsid w:val="00FD1BC2"/>
    <w:rsid w:val="00FD1C53"/>
    <w:rsid w:val="00FD1C9C"/>
    <w:rsid w:val="00FD2351"/>
    <w:rsid w:val="00FD2376"/>
    <w:rsid w:val="00FD23C7"/>
    <w:rsid w:val="00FD2774"/>
    <w:rsid w:val="00FD3624"/>
    <w:rsid w:val="00FD3B95"/>
    <w:rsid w:val="00FD3D01"/>
    <w:rsid w:val="00FD42FE"/>
    <w:rsid w:val="00FD46F7"/>
    <w:rsid w:val="00FD507A"/>
    <w:rsid w:val="00FD5563"/>
    <w:rsid w:val="00FD55F4"/>
    <w:rsid w:val="00FD5A02"/>
    <w:rsid w:val="00FD5FE0"/>
    <w:rsid w:val="00FD60D1"/>
    <w:rsid w:val="00FD676D"/>
    <w:rsid w:val="00FD6A82"/>
    <w:rsid w:val="00FD6B80"/>
    <w:rsid w:val="00FD6CE9"/>
    <w:rsid w:val="00FD6E1A"/>
    <w:rsid w:val="00FD7B4E"/>
    <w:rsid w:val="00FE0126"/>
    <w:rsid w:val="00FE019A"/>
    <w:rsid w:val="00FE1519"/>
    <w:rsid w:val="00FE16E6"/>
    <w:rsid w:val="00FE1E2A"/>
    <w:rsid w:val="00FE21A9"/>
    <w:rsid w:val="00FE225F"/>
    <w:rsid w:val="00FE242C"/>
    <w:rsid w:val="00FE25E5"/>
    <w:rsid w:val="00FE267F"/>
    <w:rsid w:val="00FE2D05"/>
    <w:rsid w:val="00FE3030"/>
    <w:rsid w:val="00FE305A"/>
    <w:rsid w:val="00FE36C4"/>
    <w:rsid w:val="00FE36F2"/>
    <w:rsid w:val="00FE39CE"/>
    <w:rsid w:val="00FE3AAC"/>
    <w:rsid w:val="00FE457D"/>
    <w:rsid w:val="00FE47BB"/>
    <w:rsid w:val="00FE4966"/>
    <w:rsid w:val="00FE4D1F"/>
    <w:rsid w:val="00FE4DA5"/>
    <w:rsid w:val="00FE50D5"/>
    <w:rsid w:val="00FE593B"/>
    <w:rsid w:val="00FE5A29"/>
    <w:rsid w:val="00FE5BC5"/>
    <w:rsid w:val="00FE5E9D"/>
    <w:rsid w:val="00FE695D"/>
    <w:rsid w:val="00FE6BC0"/>
    <w:rsid w:val="00FE6D67"/>
    <w:rsid w:val="00FE70CB"/>
    <w:rsid w:val="00FE72D7"/>
    <w:rsid w:val="00FE72D8"/>
    <w:rsid w:val="00FF08AB"/>
    <w:rsid w:val="00FF08FB"/>
    <w:rsid w:val="00FF097B"/>
    <w:rsid w:val="00FF0A04"/>
    <w:rsid w:val="00FF0A2D"/>
    <w:rsid w:val="00FF0C43"/>
    <w:rsid w:val="00FF0E9F"/>
    <w:rsid w:val="00FF1DC6"/>
    <w:rsid w:val="00FF1F25"/>
    <w:rsid w:val="00FF2846"/>
    <w:rsid w:val="00FF32F7"/>
    <w:rsid w:val="00FF3C77"/>
    <w:rsid w:val="00FF4324"/>
    <w:rsid w:val="00FF4B6A"/>
    <w:rsid w:val="00FF4BB7"/>
    <w:rsid w:val="00FF4D74"/>
    <w:rsid w:val="00FF50F6"/>
    <w:rsid w:val="00FF589A"/>
    <w:rsid w:val="00FF5A5D"/>
    <w:rsid w:val="00FF5E18"/>
    <w:rsid w:val="00FF5F4D"/>
    <w:rsid w:val="00FF6C22"/>
    <w:rsid w:val="00FF714C"/>
    <w:rsid w:val="00FF723E"/>
    <w:rsid w:val="00FF73A8"/>
    <w:rsid w:val="00FF741F"/>
    <w:rsid w:val="00FF7E62"/>
    <w:rsid w:val="00FF7FC2"/>
    <w:rsid w:val="0121348C"/>
    <w:rsid w:val="0122329D"/>
    <w:rsid w:val="01243AD7"/>
    <w:rsid w:val="013F0B14"/>
    <w:rsid w:val="014C3D95"/>
    <w:rsid w:val="01617225"/>
    <w:rsid w:val="017A3751"/>
    <w:rsid w:val="01863A34"/>
    <w:rsid w:val="018C4A70"/>
    <w:rsid w:val="01AE7573"/>
    <w:rsid w:val="01C2681A"/>
    <w:rsid w:val="01E8401E"/>
    <w:rsid w:val="01FD4989"/>
    <w:rsid w:val="02322BFB"/>
    <w:rsid w:val="02366F2F"/>
    <w:rsid w:val="025F3A05"/>
    <w:rsid w:val="026979AB"/>
    <w:rsid w:val="026C4FD1"/>
    <w:rsid w:val="0272559B"/>
    <w:rsid w:val="027D385F"/>
    <w:rsid w:val="02881D8F"/>
    <w:rsid w:val="02935B84"/>
    <w:rsid w:val="02BF46C3"/>
    <w:rsid w:val="02C55422"/>
    <w:rsid w:val="02D376CC"/>
    <w:rsid w:val="032B43CC"/>
    <w:rsid w:val="032B7075"/>
    <w:rsid w:val="034047F6"/>
    <w:rsid w:val="0347410F"/>
    <w:rsid w:val="036D2DAF"/>
    <w:rsid w:val="03867BF8"/>
    <w:rsid w:val="03AD1124"/>
    <w:rsid w:val="03BF4619"/>
    <w:rsid w:val="03F1578E"/>
    <w:rsid w:val="03FF322D"/>
    <w:rsid w:val="04021CD9"/>
    <w:rsid w:val="041A3630"/>
    <w:rsid w:val="043804D6"/>
    <w:rsid w:val="044A557A"/>
    <w:rsid w:val="04527606"/>
    <w:rsid w:val="04C647C2"/>
    <w:rsid w:val="04F84942"/>
    <w:rsid w:val="05233966"/>
    <w:rsid w:val="05555A4C"/>
    <w:rsid w:val="056E551D"/>
    <w:rsid w:val="057A7AB2"/>
    <w:rsid w:val="05DB24E4"/>
    <w:rsid w:val="05E1471B"/>
    <w:rsid w:val="05E82A53"/>
    <w:rsid w:val="060B6313"/>
    <w:rsid w:val="061A7159"/>
    <w:rsid w:val="06236665"/>
    <w:rsid w:val="063F78ED"/>
    <w:rsid w:val="068853E6"/>
    <w:rsid w:val="06A11552"/>
    <w:rsid w:val="06B10F96"/>
    <w:rsid w:val="06C31107"/>
    <w:rsid w:val="06D726FC"/>
    <w:rsid w:val="06D77C44"/>
    <w:rsid w:val="06E02D69"/>
    <w:rsid w:val="07030FC5"/>
    <w:rsid w:val="07110A3E"/>
    <w:rsid w:val="07220B6E"/>
    <w:rsid w:val="072F1993"/>
    <w:rsid w:val="074A61CE"/>
    <w:rsid w:val="077D2F28"/>
    <w:rsid w:val="07A215F1"/>
    <w:rsid w:val="07C56DEE"/>
    <w:rsid w:val="07CA6627"/>
    <w:rsid w:val="08091FA1"/>
    <w:rsid w:val="081372B7"/>
    <w:rsid w:val="08574AB7"/>
    <w:rsid w:val="0873764E"/>
    <w:rsid w:val="08766BD5"/>
    <w:rsid w:val="088C09E7"/>
    <w:rsid w:val="08A97C7B"/>
    <w:rsid w:val="08AD5BAB"/>
    <w:rsid w:val="08DC48CF"/>
    <w:rsid w:val="08E637F3"/>
    <w:rsid w:val="08EF08D3"/>
    <w:rsid w:val="092417E2"/>
    <w:rsid w:val="0963652C"/>
    <w:rsid w:val="09965205"/>
    <w:rsid w:val="09A41F6C"/>
    <w:rsid w:val="09B158B3"/>
    <w:rsid w:val="09C03A30"/>
    <w:rsid w:val="09D53DEE"/>
    <w:rsid w:val="0A1B59C5"/>
    <w:rsid w:val="0A1E288B"/>
    <w:rsid w:val="0A217B37"/>
    <w:rsid w:val="0A2B75EC"/>
    <w:rsid w:val="0A60470C"/>
    <w:rsid w:val="0A6977EC"/>
    <w:rsid w:val="0A6A1097"/>
    <w:rsid w:val="0A894029"/>
    <w:rsid w:val="0AAB79A5"/>
    <w:rsid w:val="0B027958"/>
    <w:rsid w:val="0B0A2FC4"/>
    <w:rsid w:val="0B6A59FD"/>
    <w:rsid w:val="0B876D6B"/>
    <w:rsid w:val="0BD05AF4"/>
    <w:rsid w:val="0BE1258C"/>
    <w:rsid w:val="0BE80852"/>
    <w:rsid w:val="0C0D5C48"/>
    <w:rsid w:val="0C862C1B"/>
    <w:rsid w:val="0C8E2B34"/>
    <w:rsid w:val="0C9A4D07"/>
    <w:rsid w:val="0C9C39A9"/>
    <w:rsid w:val="0CA77CCF"/>
    <w:rsid w:val="0CAF14C2"/>
    <w:rsid w:val="0CB55FB1"/>
    <w:rsid w:val="0CC31E8C"/>
    <w:rsid w:val="0CC52F2A"/>
    <w:rsid w:val="0CD75EFC"/>
    <w:rsid w:val="0CD95009"/>
    <w:rsid w:val="0D0C3225"/>
    <w:rsid w:val="0D1A72A4"/>
    <w:rsid w:val="0D300FD9"/>
    <w:rsid w:val="0DEA03B9"/>
    <w:rsid w:val="0E2239ED"/>
    <w:rsid w:val="0E2E0B75"/>
    <w:rsid w:val="0E557061"/>
    <w:rsid w:val="0E574916"/>
    <w:rsid w:val="0E5A051D"/>
    <w:rsid w:val="0E5C7D05"/>
    <w:rsid w:val="0E785422"/>
    <w:rsid w:val="0E8D2204"/>
    <w:rsid w:val="0EDD0E9E"/>
    <w:rsid w:val="0F023A09"/>
    <w:rsid w:val="0F4F46A7"/>
    <w:rsid w:val="0F6D4700"/>
    <w:rsid w:val="0F6D4E4C"/>
    <w:rsid w:val="0F706100"/>
    <w:rsid w:val="0F74774C"/>
    <w:rsid w:val="0F844550"/>
    <w:rsid w:val="0FA202DD"/>
    <w:rsid w:val="0FC71CC4"/>
    <w:rsid w:val="0FCE7767"/>
    <w:rsid w:val="0FD8504E"/>
    <w:rsid w:val="10044534"/>
    <w:rsid w:val="100C64BD"/>
    <w:rsid w:val="100E3003"/>
    <w:rsid w:val="101B6C18"/>
    <w:rsid w:val="10533DB7"/>
    <w:rsid w:val="10F06052"/>
    <w:rsid w:val="115451B3"/>
    <w:rsid w:val="11831669"/>
    <w:rsid w:val="119041EE"/>
    <w:rsid w:val="11BB07C8"/>
    <w:rsid w:val="11C12AEF"/>
    <w:rsid w:val="11C70F00"/>
    <w:rsid w:val="11C75E07"/>
    <w:rsid w:val="11CE6CFA"/>
    <w:rsid w:val="11D64737"/>
    <w:rsid w:val="1208527C"/>
    <w:rsid w:val="12422527"/>
    <w:rsid w:val="129E36BA"/>
    <w:rsid w:val="129E481D"/>
    <w:rsid w:val="12B22FB6"/>
    <w:rsid w:val="1308092A"/>
    <w:rsid w:val="130C29C0"/>
    <w:rsid w:val="13580A0F"/>
    <w:rsid w:val="137D7B96"/>
    <w:rsid w:val="138D519A"/>
    <w:rsid w:val="139241FF"/>
    <w:rsid w:val="13C2409F"/>
    <w:rsid w:val="13C56B2B"/>
    <w:rsid w:val="144163DD"/>
    <w:rsid w:val="145347F7"/>
    <w:rsid w:val="14711AED"/>
    <w:rsid w:val="147A2932"/>
    <w:rsid w:val="14B174C1"/>
    <w:rsid w:val="14C7576F"/>
    <w:rsid w:val="14D06AFE"/>
    <w:rsid w:val="14D239E2"/>
    <w:rsid w:val="14D43773"/>
    <w:rsid w:val="14EF3B3C"/>
    <w:rsid w:val="14F27D4C"/>
    <w:rsid w:val="15205404"/>
    <w:rsid w:val="153D4CD7"/>
    <w:rsid w:val="15434F48"/>
    <w:rsid w:val="156E655E"/>
    <w:rsid w:val="158161F7"/>
    <w:rsid w:val="15A72E4A"/>
    <w:rsid w:val="15A953E1"/>
    <w:rsid w:val="15B86D31"/>
    <w:rsid w:val="15DA62E0"/>
    <w:rsid w:val="15F921C1"/>
    <w:rsid w:val="15FD13D7"/>
    <w:rsid w:val="16235DD6"/>
    <w:rsid w:val="16587627"/>
    <w:rsid w:val="167E6717"/>
    <w:rsid w:val="16CB3E62"/>
    <w:rsid w:val="16EA6E07"/>
    <w:rsid w:val="16ED1534"/>
    <w:rsid w:val="16FE3979"/>
    <w:rsid w:val="170C7AEA"/>
    <w:rsid w:val="171A4BA4"/>
    <w:rsid w:val="17214184"/>
    <w:rsid w:val="1743536E"/>
    <w:rsid w:val="174B434D"/>
    <w:rsid w:val="174C752D"/>
    <w:rsid w:val="175B4FB2"/>
    <w:rsid w:val="1764384A"/>
    <w:rsid w:val="177C16AD"/>
    <w:rsid w:val="17A74E6D"/>
    <w:rsid w:val="17AC4937"/>
    <w:rsid w:val="17C63608"/>
    <w:rsid w:val="17C92982"/>
    <w:rsid w:val="17D411F6"/>
    <w:rsid w:val="17E4643B"/>
    <w:rsid w:val="17E91C0C"/>
    <w:rsid w:val="1806181B"/>
    <w:rsid w:val="18062FE4"/>
    <w:rsid w:val="180741E2"/>
    <w:rsid w:val="182D6F9B"/>
    <w:rsid w:val="183701B2"/>
    <w:rsid w:val="183C11ED"/>
    <w:rsid w:val="185308EF"/>
    <w:rsid w:val="18571BAF"/>
    <w:rsid w:val="189F0E95"/>
    <w:rsid w:val="18BB23C6"/>
    <w:rsid w:val="18C12560"/>
    <w:rsid w:val="18C84E83"/>
    <w:rsid w:val="18D80655"/>
    <w:rsid w:val="18FB6F60"/>
    <w:rsid w:val="19015359"/>
    <w:rsid w:val="19335D13"/>
    <w:rsid w:val="194C5C89"/>
    <w:rsid w:val="196E4AC6"/>
    <w:rsid w:val="19B24D2F"/>
    <w:rsid w:val="19DB412B"/>
    <w:rsid w:val="1A2145FE"/>
    <w:rsid w:val="1A2252E5"/>
    <w:rsid w:val="1A453CB5"/>
    <w:rsid w:val="1A557226"/>
    <w:rsid w:val="1A884B1F"/>
    <w:rsid w:val="1A8B4F2C"/>
    <w:rsid w:val="1A911813"/>
    <w:rsid w:val="1AC00613"/>
    <w:rsid w:val="1ADE7EA9"/>
    <w:rsid w:val="1B1A5F27"/>
    <w:rsid w:val="1B495A57"/>
    <w:rsid w:val="1B754D32"/>
    <w:rsid w:val="1BA31B9E"/>
    <w:rsid w:val="1BC43FCC"/>
    <w:rsid w:val="1BCB625E"/>
    <w:rsid w:val="1C1221FA"/>
    <w:rsid w:val="1C310323"/>
    <w:rsid w:val="1C5816E9"/>
    <w:rsid w:val="1C74144A"/>
    <w:rsid w:val="1C750414"/>
    <w:rsid w:val="1C7973EC"/>
    <w:rsid w:val="1C9E2443"/>
    <w:rsid w:val="1CA52119"/>
    <w:rsid w:val="1CA53161"/>
    <w:rsid w:val="1CC25DE9"/>
    <w:rsid w:val="1CD434DB"/>
    <w:rsid w:val="1CE976C2"/>
    <w:rsid w:val="1D141136"/>
    <w:rsid w:val="1D1F6443"/>
    <w:rsid w:val="1D34399C"/>
    <w:rsid w:val="1D3E5144"/>
    <w:rsid w:val="1D78591E"/>
    <w:rsid w:val="1DA531EC"/>
    <w:rsid w:val="1DBA4F63"/>
    <w:rsid w:val="1DC61C9B"/>
    <w:rsid w:val="1DCF1493"/>
    <w:rsid w:val="1DE8049A"/>
    <w:rsid w:val="1E0468FA"/>
    <w:rsid w:val="1E195F03"/>
    <w:rsid w:val="1E305DA9"/>
    <w:rsid w:val="1E7E33C3"/>
    <w:rsid w:val="1E7F0CC8"/>
    <w:rsid w:val="1E9933B9"/>
    <w:rsid w:val="1EAC0A91"/>
    <w:rsid w:val="1EB76968"/>
    <w:rsid w:val="1EC014F7"/>
    <w:rsid w:val="1EC7652D"/>
    <w:rsid w:val="1EEE79A9"/>
    <w:rsid w:val="1F022482"/>
    <w:rsid w:val="1F361D52"/>
    <w:rsid w:val="1F4666F1"/>
    <w:rsid w:val="1F70325D"/>
    <w:rsid w:val="1F722DA1"/>
    <w:rsid w:val="1F7273FC"/>
    <w:rsid w:val="1F796FDF"/>
    <w:rsid w:val="1F8C55B9"/>
    <w:rsid w:val="1FA26D35"/>
    <w:rsid w:val="1FA94F35"/>
    <w:rsid w:val="1FBD6971"/>
    <w:rsid w:val="1FFA145D"/>
    <w:rsid w:val="1FFB3B83"/>
    <w:rsid w:val="2045058F"/>
    <w:rsid w:val="20680620"/>
    <w:rsid w:val="207C17A8"/>
    <w:rsid w:val="20A11FC3"/>
    <w:rsid w:val="20AD6D50"/>
    <w:rsid w:val="20D34741"/>
    <w:rsid w:val="20DD7EC9"/>
    <w:rsid w:val="20F02011"/>
    <w:rsid w:val="210E15A9"/>
    <w:rsid w:val="212604D2"/>
    <w:rsid w:val="2179155C"/>
    <w:rsid w:val="217D668D"/>
    <w:rsid w:val="21902068"/>
    <w:rsid w:val="21B977B7"/>
    <w:rsid w:val="21CE1454"/>
    <w:rsid w:val="21D20744"/>
    <w:rsid w:val="220D3C83"/>
    <w:rsid w:val="22163F83"/>
    <w:rsid w:val="222C0A3F"/>
    <w:rsid w:val="222F3620"/>
    <w:rsid w:val="223B4C82"/>
    <w:rsid w:val="228529D3"/>
    <w:rsid w:val="22874AC5"/>
    <w:rsid w:val="22957AED"/>
    <w:rsid w:val="22A972AC"/>
    <w:rsid w:val="22B10ECE"/>
    <w:rsid w:val="22B3081E"/>
    <w:rsid w:val="22B32189"/>
    <w:rsid w:val="22B759A5"/>
    <w:rsid w:val="22C76340"/>
    <w:rsid w:val="239D5648"/>
    <w:rsid w:val="23A92212"/>
    <w:rsid w:val="23FA7979"/>
    <w:rsid w:val="24664778"/>
    <w:rsid w:val="246F5877"/>
    <w:rsid w:val="24765B0F"/>
    <w:rsid w:val="24865358"/>
    <w:rsid w:val="24FC496E"/>
    <w:rsid w:val="251E526E"/>
    <w:rsid w:val="251F6CF5"/>
    <w:rsid w:val="2525781B"/>
    <w:rsid w:val="256F0BE5"/>
    <w:rsid w:val="2582733F"/>
    <w:rsid w:val="2592635A"/>
    <w:rsid w:val="25A25610"/>
    <w:rsid w:val="25A87CF6"/>
    <w:rsid w:val="25BA5A8C"/>
    <w:rsid w:val="25F65A77"/>
    <w:rsid w:val="261D3C41"/>
    <w:rsid w:val="266443BD"/>
    <w:rsid w:val="26660330"/>
    <w:rsid w:val="267E5D65"/>
    <w:rsid w:val="26C10C22"/>
    <w:rsid w:val="26E41113"/>
    <w:rsid w:val="27241AA3"/>
    <w:rsid w:val="274D5D89"/>
    <w:rsid w:val="2760762A"/>
    <w:rsid w:val="27743C7B"/>
    <w:rsid w:val="27A26066"/>
    <w:rsid w:val="27AA7B24"/>
    <w:rsid w:val="281233C7"/>
    <w:rsid w:val="28157BB9"/>
    <w:rsid w:val="28176501"/>
    <w:rsid w:val="28443D02"/>
    <w:rsid w:val="289A49E6"/>
    <w:rsid w:val="28CD1A9D"/>
    <w:rsid w:val="28CE4693"/>
    <w:rsid w:val="28D30B50"/>
    <w:rsid w:val="28FE5DD3"/>
    <w:rsid w:val="29124FDD"/>
    <w:rsid w:val="29492338"/>
    <w:rsid w:val="29546BA7"/>
    <w:rsid w:val="2962611E"/>
    <w:rsid w:val="298937AF"/>
    <w:rsid w:val="299A1F67"/>
    <w:rsid w:val="29A475D9"/>
    <w:rsid w:val="29A83BF4"/>
    <w:rsid w:val="29C507B9"/>
    <w:rsid w:val="29F80577"/>
    <w:rsid w:val="29FE437D"/>
    <w:rsid w:val="2A075B2B"/>
    <w:rsid w:val="2A261AC0"/>
    <w:rsid w:val="2A955EC2"/>
    <w:rsid w:val="2A990CB7"/>
    <w:rsid w:val="2AB208AF"/>
    <w:rsid w:val="2ABD76B1"/>
    <w:rsid w:val="2AEB5BDC"/>
    <w:rsid w:val="2B0408D4"/>
    <w:rsid w:val="2B166647"/>
    <w:rsid w:val="2B292233"/>
    <w:rsid w:val="2B3A782E"/>
    <w:rsid w:val="2B4F7FC5"/>
    <w:rsid w:val="2B7401EB"/>
    <w:rsid w:val="2B7C5A6C"/>
    <w:rsid w:val="2B91198F"/>
    <w:rsid w:val="2BDB4F8F"/>
    <w:rsid w:val="2BFE1A4E"/>
    <w:rsid w:val="2C321998"/>
    <w:rsid w:val="2C41798D"/>
    <w:rsid w:val="2C443DD3"/>
    <w:rsid w:val="2C7D079C"/>
    <w:rsid w:val="2C8D07F0"/>
    <w:rsid w:val="2C996F20"/>
    <w:rsid w:val="2C9F13D2"/>
    <w:rsid w:val="2CD82201"/>
    <w:rsid w:val="2CE167AC"/>
    <w:rsid w:val="2CF92F1F"/>
    <w:rsid w:val="2D295EC2"/>
    <w:rsid w:val="2D335C6C"/>
    <w:rsid w:val="2D34175F"/>
    <w:rsid w:val="2D364EBA"/>
    <w:rsid w:val="2DD222C2"/>
    <w:rsid w:val="2E0F6558"/>
    <w:rsid w:val="2E127251"/>
    <w:rsid w:val="2E3939B1"/>
    <w:rsid w:val="2E406F47"/>
    <w:rsid w:val="2E9C4D46"/>
    <w:rsid w:val="2EAA1613"/>
    <w:rsid w:val="2EAB27A2"/>
    <w:rsid w:val="2EAB3FA5"/>
    <w:rsid w:val="2EAD7CB6"/>
    <w:rsid w:val="2EED081C"/>
    <w:rsid w:val="2F2707AE"/>
    <w:rsid w:val="2F394F1B"/>
    <w:rsid w:val="2F57478F"/>
    <w:rsid w:val="2F654596"/>
    <w:rsid w:val="2F7C2C9A"/>
    <w:rsid w:val="2F8B3FF1"/>
    <w:rsid w:val="2F9634F0"/>
    <w:rsid w:val="2FAB2168"/>
    <w:rsid w:val="2FCE275E"/>
    <w:rsid w:val="2FEE007F"/>
    <w:rsid w:val="30136032"/>
    <w:rsid w:val="301B6032"/>
    <w:rsid w:val="30230E0E"/>
    <w:rsid w:val="3041389E"/>
    <w:rsid w:val="3042576F"/>
    <w:rsid w:val="304C1C1A"/>
    <w:rsid w:val="306B5056"/>
    <w:rsid w:val="308A753B"/>
    <w:rsid w:val="30D478FE"/>
    <w:rsid w:val="30EC70D6"/>
    <w:rsid w:val="30F24EEA"/>
    <w:rsid w:val="311C2782"/>
    <w:rsid w:val="313C40F2"/>
    <w:rsid w:val="31763C7E"/>
    <w:rsid w:val="319D3419"/>
    <w:rsid w:val="31B4001C"/>
    <w:rsid w:val="31BA3437"/>
    <w:rsid w:val="31C44DB1"/>
    <w:rsid w:val="31E83B6B"/>
    <w:rsid w:val="31EA5447"/>
    <w:rsid w:val="31EC16FB"/>
    <w:rsid w:val="31EC6F8E"/>
    <w:rsid w:val="31F2414B"/>
    <w:rsid w:val="32121E25"/>
    <w:rsid w:val="32500475"/>
    <w:rsid w:val="32A970B0"/>
    <w:rsid w:val="32C0452A"/>
    <w:rsid w:val="32C405A8"/>
    <w:rsid w:val="33056223"/>
    <w:rsid w:val="331A05BC"/>
    <w:rsid w:val="33593094"/>
    <w:rsid w:val="33902FF9"/>
    <w:rsid w:val="33C51C25"/>
    <w:rsid w:val="33D17846"/>
    <w:rsid w:val="33D87540"/>
    <w:rsid w:val="33DA5DAD"/>
    <w:rsid w:val="33DF5A22"/>
    <w:rsid w:val="33F449DE"/>
    <w:rsid w:val="33FE4476"/>
    <w:rsid w:val="341122BD"/>
    <w:rsid w:val="34221C7F"/>
    <w:rsid w:val="34232E92"/>
    <w:rsid w:val="34726116"/>
    <w:rsid w:val="348A4CBF"/>
    <w:rsid w:val="348A6B21"/>
    <w:rsid w:val="34903229"/>
    <w:rsid w:val="349D590C"/>
    <w:rsid w:val="349E7D71"/>
    <w:rsid w:val="34A45819"/>
    <w:rsid w:val="350115BE"/>
    <w:rsid w:val="3522123F"/>
    <w:rsid w:val="353C72A5"/>
    <w:rsid w:val="35416A76"/>
    <w:rsid w:val="355B1AE1"/>
    <w:rsid w:val="35BC6BC6"/>
    <w:rsid w:val="35C55310"/>
    <w:rsid w:val="35D115F2"/>
    <w:rsid w:val="35E7721B"/>
    <w:rsid w:val="35F90AE1"/>
    <w:rsid w:val="36025B26"/>
    <w:rsid w:val="36451803"/>
    <w:rsid w:val="3661023B"/>
    <w:rsid w:val="367A4A69"/>
    <w:rsid w:val="368E221C"/>
    <w:rsid w:val="36AD1692"/>
    <w:rsid w:val="36AD7864"/>
    <w:rsid w:val="36AE3AA6"/>
    <w:rsid w:val="36E46D56"/>
    <w:rsid w:val="36E61B47"/>
    <w:rsid w:val="373B4520"/>
    <w:rsid w:val="373C6630"/>
    <w:rsid w:val="37543F7E"/>
    <w:rsid w:val="378974B0"/>
    <w:rsid w:val="37B80C3D"/>
    <w:rsid w:val="37C67A53"/>
    <w:rsid w:val="37D84ED7"/>
    <w:rsid w:val="37EF5514"/>
    <w:rsid w:val="37FA39AC"/>
    <w:rsid w:val="38151F39"/>
    <w:rsid w:val="381C412A"/>
    <w:rsid w:val="38274E20"/>
    <w:rsid w:val="3835350C"/>
    <w:rsid w:val="384226E8"/>
    <w:rsid w:val="38576B94"/>
    <w:rsid w:val="385D14DC"/>
    <w:rsid w:val="386E010B"/>
    <w:rsid w:val="388D354F"/>
    <w:rsid w:val="388D4010"/>
    <w:rsid w:val="38F1186D"/>
    <w:rsid w:val="38FD7EAE"/>
    <w:rsid w:val="39026E30"/>
    <w:rsid w:val="392429BF"/>
    <w:rsid w:val="392C6D9B"/>
    <w:rsid w:val="39442A2C"/>
    <w:rsid w:val="39476C8A"/>
    <w:rsid w:val="394E5073"/>
    <w:rsid w:val="39641568"/>
    <w:rsid w:val="39702E4A"/>
    <w:rsid w:val="397A7A47"/>
    <w:rsid w:val="397F7C45"/>
    <w:rsid w:val="399466D8"/>
    <w:rsid w:val="39AF66A4"/>
    <w:rsid w:val="39BD2E06"/>
    <w:rsid w:val="39CB5B8B"/>
    <w:rsid w:val="39E16812"/>
    <w:rsid w:val="39EF3FF4"/>
    <w:rsid w:val="39F200C8"/>
    <w:rsid w:val="3A105062"/>
    <w:rsid w:val="3A2C2973"/>
    <w:rsid w:val="3A5D377A"/>
    <w:rsid w:val="3A6400FD"/>
    <w:rsid w:val="3A6A10F3"/>
    <w:rsid w:val="3A8B51CF"/>
    <w:rsid w:val="3AC818D1"/>
    <w:rsid w:val="3ACE1CB1"/>
    <w:rsid w:val="3AE23BF9"/>
    <w:rsid w:val="3AFB10D2"/>
    <w:rsid w:val="3B0C3C1B"/>
    <w:rsid w:val="3B174A76"/>
    <w:rsid w:val="3B195E97"/>
    <w:rsid w:val="3B4C053F"/>
    <w:rsid w:val="3B647EA6"/>
    <w:rsid w:val="3BEC2EA2"/>
    <w:rsid w:val="3BEF787D"/>
    <w:rsid w:val="3BF67737"/>
    <w:rsid w:val="3C11520A"/>
    <w:rsid w:val="3C6904C9"/>
    <w:rsid w:val="3C7040FC"/>
    <w:rsid w:val="3C7151D4"/>
    <w:rsid w:val="3CEB6014"/>
    <w:rsid w:val="3CFC2B3D"/>
    <w:rsid w:val="3D072617"/>
    <w:rsid w:val="3D1236E7"/>
    <w:rsid w:val="3D126629"/>
    <w:rsid w:val="3D2D47E5"/>
    <w:rsid w:val="3D3013A7"/>
    <w:rsid w:val="3D430DA7"/>
    <w:rsid w:val="3D4D07B2"/>
    <w:rsid w:val="3D705FF3"/>
    <w:rsid w:val="3D853F10"/>
    <w:rsid w:val="3D8941D1"/>
    <w:rsid w:val="3D9B1CEB"/>
    <w:rsid w:val="3DD947BF"/>
    <w:rsid w:val="3DDB4FBA"/>
    <w:rsid w:val="3E074F08"/>
    <w:rsid w:val="3E3C34CE"/>
    <w:rsid w:val="3E565B28"/>
    <w:rsid w:val="3E5F7FDB"/>
    <w:rsid w:val="3E70282F"/>
    <w:rsid w:val="3E751CA9"/>
    <w:rsid w:val="3EA01EE1"/>
    <w:rsid w:val="3EB05025"/>
    <w:rsid w:val="3EB72B54"/>
    <w:rsid w:val="3EC14714"/>
    <w:rsid w:val="3EDB073B"/>
    <w:rsid w:val="3F013AA6"/>
    <w:rsid w:val="3F0802A6"/>
    <w:rsid w:val="3F156A86"/>
    <w:rsid w:val="3F224371"/>
    <w:rsid w:val="3F2C4DC7"/>
    <w:rsid w:val="3F307FF0"/>
    <w:rsid w:val="3F486F89"/>
    <w:rsid w:val="3F5B2A64"/>
    <w:rsid w:val="3F6102A3"/>
    <w:rsid w:val="3F6C294C"/>
    <w:rsid w:val="3FC35C62"/>
    <w:rsid w:val="3FCA3764"/>
    <w:rsid w:val="3FCC2B86"/>
    <w:rsid w:val="3FCC4422"/>
    <w:rsid w:val="3FD159E8"/>
    <w:rsid w:val="3FD640F0"/>
    <w:rsid w:val="3FE61A5F"/>
    <w:rsid w:val="40103430"/>
    <w:rsid w:val="401A300E"/>
    <w:rsid w:val="40555E06"/>
    <w:rsid w:val="405A0F39"/>
    <w:rsid w:val="406545A5"/>
    <w:rsid w:val="406A75A9"/>
    <w:rsid w:val="407348D3"/>
    <w:rsid w:val="40753EF2"/>
    <w:rsid w:val="40A9253E"/>
    <w:rsid w:val="40B94274"/>
    <w:rsid w:val="40E060C3"/>
    <w:rsid w:val="40F45E38"/>
    <w:rsid w:val="4101072D"/>
    <w:rsid w:val="41156B2E"/>
    <w:rsid w:val="41262E56"/>
    <w:rsid w:val="412A42C4"/>
    <w:rsid w:val="413F1E43"/>
    <w:rsid w:val="415043EC"/>
    <w:rsid w:val="415B2B0E"/>
    <w:rsid w:val="41A21B66"/>
    <w:rsid w:val="41C8391A"/>
    <w:rsid w:val="41DB1522"/>
    <w:rsid w:val="41E67E28"/>
    <w:rsid w:val="42254279"/>
    <w:rsid w:val="423807C0"/>
    <w:rsid w:val="425B2F08"/>
    <w:rsid w:val="427A5080"/>
    <w:rsid w:val="428B6E55"/>
    <w:rsid w:val="42C838E2"/>
    <w:rsid w:val="42CF2640"/>
    <w:rsid w:val="42ED0B91"/>
    <w:rsid w:val="42F03F90"/>
    <w:rsid w:val="42FE1F4C"/>
    <w:rsid w:val="430C47D7"/>
    <w:rsid w:val="432A0947"/>
    <w:rsid w:val="433C530D"/>
    <w:rsid w:val="43421DB6"/>
    <w:rsid w:val="43C3239A"/>
    <w:rsid w:val="43D557F7"/>
    <w:rsid w:val="43F65DA5"/>
    <w:rsid w:val="440346EF"/>
    <w:rsid w:val="446E27F7"/>
    <w:rsid w:val="44A829E4"/>
    <w:rsid w:val="44AC61A4"/>
    <w:rsid w:val="44F210CB"/>
    <w:rsid w:val="44F86330"/>
    <w:rsid w:val="45116D47"/>
    <w:rsid w:val="4526655F"/>
    <w:rsid w:val="45886296"/>
    <w:rsid w:val="45A77C75"/>
    <w:rsid w:val="45B11BAC"/>
    <w:rsid w:val="45C05CD7"/>
    <w:rsid w:val="45CF1E24"/>
    <w:rsid w:val="45DA6C70"/>
    <w:rsid w:val="45DE4E3F"/>
    <w:rsid w:val="463D3FDE"/>
    <w:rsid w:val="46566880"/>
    <w:rsid w:val="465D072C"/>
    <w:rsid w:val="465D137B"/>
    <w:rsid w:val="46632517"/>
    <w:rsid w:val="46661758"/>
    <w:rsid w:val="467F7D38"/>
    <w:rsid w:val="469151C8"/>
    <w:rsid w:val="46A14706"/>
    <w:rsid w:val="46B24EB6"/>
    <w:rsid w:val="46DB0113"/>
    <w:rsid w:val="4727019D"/>
    <w:rsid w:val="47351F9C"/>
    <w:rsid w:val="476065E2"/>
    <w:rsid w:val="477D454F"/>
    <w:rsid w:val="477F6ADC"/>
    <w:rsid w:val="47DC15FF"/>
    <w:rsid w:val="47E45AAD"/>
    <w:rsid w:val="48392A53"/>
    <w:rsid w:val="48693DC2"/>
    <w:rsid w:val="488C516A"/>
    <w:rsid w:val="48B31FB1"/>
    <w:rsid w:val="48BB59AA"/>
    <w:rsid w:val="48C10846"/>
    <w:rsid w:val="48C316EB"/>
    <w:rsid w:val="48D736F8"/>
    <w:rsid w:val="48E9497B"/>
    <w:rsid w:val="490D6193"/>
    <w:rsid w:val="49221129"/>
    <w:rsid w:val="49254D0C"/>
    <w:rsid w:val="493755D0"/>
    <w:rsid w:val="49607E26"/>
    <w:rsid w:val="496F377F"/>
    <w:rsid w:val="49796FC1"/>
    <w:rsid w:val="49EE6FB2"/>
    <w:rsid w:val="49F006C1"/>
    <w:rsid w:val="4A463079"/>
    <w:rsid w:val="4A5509F7"/>
    <w:rsid w:val="4A6418EB"/>
    <w:rsid w:val="4A8E4E07"/>
    <w:rsid w:val="4AB4766B"/>
    <w:rsid w:val="4ABE127F"/>
    <w:rsid w:val="4AE6327B"/>
    <w:rsid w:val="4B2F1E98"/>
    <w:rsid w:val="4B715A6D"/>
    <w:rsid w:val="4B8974B5"/>
    <w:rsid w:val="4BEE7117"/>
    <w:rsid w:val="4C016864"/>
    <w:rsid w:val="4C03657E"/>
    <w:rsid w:val="4C4707A3"/>
    <w:rsid w:val="4C572470"/>
    <w:rsid w:val="4C5F1BA4"/>
    <w:rsid w:val="4CC30F18"/>
    <w:rsid w:val="4CCA6573"/>
    <w:rsid w:val="4CCC34DF"/>
    <w:rsid w:val="4CEA0E05"/>
    <w:rsid w:val="4CEF0086"/>
    <w:rsid w:val="4D0F069E"/>
    <w:rsid w:val="4D1E7210"/>
    <w:rsid w:val="4D2828F4"/>
    <w:rsid w:val="4D2D4183"/>
    <w:rsid w:val="4D3C41C0"/>
    <w:rsid w:val="4D467E52"/>
    <w:rsid w:val="4D8D1FC1"/>
    <w:rsid w:val="4D9F3869"/>
    <w:rsid w:val="4DA94293"/>
    <w:rsid w:val="4DB269CC"/>
    <w:rsid w:val="4DB3583D"/>
    <w:rsid w:val="4DB72D05"/>
    <w:rsid w:val="4DD36782"/>
    <w:rsid w:val="4DDE21E3"/>
    <w:rsid w:val="4DEC5E57"/>
    <w:rsid w:val="4DEE796A"/>
    <w:rsid w:val="4DFD1158"/>
    <w:rsid w:val="4E1F772D"/>
    <w:rsid w:val="4E2A52D0"/>
    <w:rsid w:val="4E3056DE"/>
    <w:rsid w:val="4E4749F0"/>
    <w:rsid w:val="4E486A38"/>
    <w:rsid w:val="4E5C7D5E"/>
    <w:rsid w:val="4E5D1C02"/>
    <w:rsid w:val="4E6A453A"/>
    <w:rsid w:val="4E7D3D52"/>
    <w:rsid w:val="4E8116CE"/>
    <w:rsid w:val="4E9B3DB5"/>
    <w:rsid w:val="4E9E7329"/>
    <w:rsid w:val="4EBD16B1"/>
    <w:rsid w:val="4EC14CF7"/>
    <w:rsid w:val="4F024B72"/>
    <w:rsid w:val="4F3E582D"/>
    <w:rsid w:val="4F4036C8"/>
    <w:rsid w:val="4F5B7852"/>
    <w:rsid w:val="4F6831B9"/>
    <w:rsid w:val="4F825FF0"/>
    <w:rsid w:val="4F8A5247"/>
    <w:rsid w:val="4F9F6FC3"/>
    <w:rsid w:val="4FB119C0"/>
    <w:rsid w:val="4FC226ED"/>
    <w:rsid w:val="4FED5C87"/>
    <w:rsid w:val="4FF959DB"/>
    <w:rsid w:val="5018244E"/>
    <w:rsid w:val="504D29EA"/>
    <w:rsid w:val="504D50C7"/>
    <w:rsid w:val="5073323D"/>
    <w:rsid w:val="507557F0"/>
    <w:rsid w:val="50975961"/>
    <w:rsid w:val="509A1420"/>
    <w:rsid w:val="50B2106F"/>
    <w:rsid w:val="50BE1D33"/>
    <w:rsid w:val="50BF425B"/>
    <w:rsid w:val="50D416A0"/>
    <w:rsid w:val="50D66709"/>
    <w:rsid w:val="50EA2EEB"/>
    <w:rsid w:val="50FE5C86"/>
    <w:rsid w:val="5106598C"/>
    <w:rsid w:val="5170453F"/>
    <w:rsid w:val="51A10445"/>
    <w:rsid w:val="51A43270"/>
    <w:rsid w:val="51D053CA"/>
    <w:rsid w:val="51D94856"/>
    <w:rsid w:val="51DD7B0E"/>
    <w:rsid w:val="51E53994"/>
    <w:rsid w:val="522129E7"/>
    <w:rsid w:val="5256410D"/>
    <w:rsid w:val="526B6BFA"/>
    <w:rsid w:val="527D2E8E"/>
    <w:rsid w:val="529F0722"/>
    <w:rsid w:val="52B03451"/>
    <w:rsid w:val="52D96900"/>
    <w:rsid w:val="52FB22E6"/>
    <w:rsid w:val="530C2400"/>
    <w:rsid w:val="530E52B8"/>
    <w:rsid w:val="535968FA"/>
    <w:rsid w:val="53946AE1"/>
    <w:rsid w:val="53B07371"/>
    <w:rsid w:val="53CB548F"/>
    <w:rsid w:val="53D00DC8"/>
    <w:rsid w:val="53F87350"/>
    <w:rsid w:val="540376A9"/>
    <w:rsid w:val="54866BC2"/>
    <w:rsid w:val="553170D1"/>
    <w:rsid w:val="554120A0"/>
    <w:rsid w:val="555A190D"/>
    <w:rsid w:val="555C0178"/>
    <w:rsid w:val="556B01B0"/>
    <w:rsid w:val="557B1B81"/>
    <w:rsid w:val="559F11DA"/>
    <w:rsid w:val="55A41C2D"/>
    <w:rsid w:val="55AD6082"/>
    <w:rsid w:val="55D50B34"/>
    <w:rsid w:val="55F84ABF"/>
    <w:rsid w:val="563171D1"/>
    <w:rsid w:val="56417668"/>
    <w:rsid w:val="5642473E"/>
    <w:rsid w:val="56724DF9"/>
    <w:rsid w:val="56741BED"/>
    <w:rsid w:val="56763A22"/>
    <w:rsid w:val="567A435D"/>
    <w:rsid w:val="56947AD9"/>
    <w:rsid w:val="56980BA9"/>
    <w:rsid w:val="56BD3862"/>
    <w:rsid w:val="56BD4F2E"/>
    <w:rsid w:val="56DD2148"/>
    <w:rsid w:val="573054EE"/>
    <w:rsid w:val="57512921"/>
    <w:rsid w:val="575879AE"/>
    <w:rsid w:val="57636A5A"/>
    <w:rsid w:val="577005F7"/>
    <w:rsid w:val="577F1EAA"/>
    <w:rsid w:val="579A3EE7"/>
    <w:rsid w:val="57C561D3"/>
    <w:rsid w:val="57C77580"/>
    <w:rsid w:val="57CA62A1"/>
    <w:rsid w:val="57E92E12"/>
    <w:rsid w:val="58103FF7"/>
    <w:rsid w:val="582970E2"/>
    <w:rsid w:val="582F3D97"/>
    <w:rsid w:val="5857241B"/>
    <w:rsid w:val="58581CD0"/>
    <w:rsid w:val="58664829"/>
    <w:rsid w:val="586B10DC"/>
    <w:rsid w:val="586F3D5F"/>
    <w:rsid w:val="5890253C"/>
    <w:rsid w:val="58997B1B"/>
    <w:rsid w:val="58A02B54"/>
    <w:rsid w:val="58B358E1"/>
    <w:rsid w:val="58CD594E"/>
    <w:rsid w:val="58D425B3"/>
    <w:rsid w:val="5923271F"/>
    <w:rsid w:val="597A63DC"/>
    <w:rsid w:val="59802875"/>
    <w:rsid w:val="59913C80"/>
    <w:rsid w:val="599B3A27"/>
    <w:rsid w:val="59F142A3"/>
    <w:rsid w:val="59FB7853"/>
    <w:rsid w:val="5A313EB7"/>
    <w:rsid w:val="5A4F04A9"/>
    <w:rsid w:val="5A5855B2"/>
    <w:rsid w:val="5A5F6122"/>
    <w:rsid w:val="5A6D1F4A"/>
    <w:rsid w:val="5A6E45B7"/>
    <w:rsid w:val="5A750359"/>
    <w:rsid w:val="5A7D47D8"/>
    <w:rsid w:val="5A855B08"/>
    <w:rsid w:val="5A9A3DDA"/>
    <w:rsid w:val="5AAA390F"/>
    <w:rsid w:val="5B18423B"/>
    <w:rsid w:val="5B277FE0"/>
    <w:rsid w:val="5B2B61B6"/>
    <w:rsid w:val="5B5A0257"/>
    <w:rsid w:val="5B612915"/>
    <w:rsid w:val="5B962AFF"/>
    <w:rsid w:val="5B9968BD"/>
    <w:rsid w:val="5B9E77BD"/>
    <w:rsid w:val="5BD909AC"/>
    <w:rsid w:val="5BE54C79"/>
    <w:rsid w:val="5BF93160"/>
    <w:rsid w:val="5C0D6989"/>
    <w:rsid w:val="5C3019AB"/>
    <w:rsid w:val="5C3A33C8"/>
    <w:rsid w:val="5C62426E"/>
    <w:rsid w:val="5C720C12"/>
    <w:rsid w:val="5C9A7559"/>
    <w:rsid w:val="5CA50878"/>
    <w:rsid w:val="5CCA1D61"/>
    <w:rsid w:val="5D010C72"/>
    <w:rsid w:val="5D4D0332"/>
    <w:rsid w:val="5D536120"/>
    <w:rsid w:val="5D597272"/>
    <w:rsid w:val="5D7F4347"/>
    <w:rsid w:val="5D8D3526"/>
    <w:rsid w:val="5DA17B7D"/>
    <w:rsid w:val="5DB14B5B"/>
    <w:rsid w:val="5DBA5929"/>
    <w:rsid w:val="5DBF7392"/>
    <w:rsid w:val="5DC83180"/>
    <w:rsid w:val="5DD73650"/>
    <w:rsid w:val="5DEE38EF"/>
    <w:rsid w:val="5DFC3B29"/>
    <w:rsid w:val="5E01237E"/>
    <w:rsid w:val="5E255694"/>
    <w:rsid w:val="5E543AC4"/>
    <w:rsid w:val="5E6B6062"/>
    <w:rsid w:val="5E6F2F65"/>
    <w:rsid w:val="5E841F45"/>
    <w:rsid w:val="5E8F539D"/>
    <w:rsid w:val="5E9B0C8C"/>
    <w:rsid w:val="5EB13CF7"/>
    <w:rsid w:val="5EC51286"/>
    <w:rsid w:val="5EE041D4"/>
    <w:rsid w:val="5EF31DC7"/>
    <w:rsid w:val="5F0122FA"/>
    <w:rsid w:val="5F450B47"/>
    <w:rsid w:val="5F69586F"/>
    <w:rsid w:val="5F8B71FA"/>
    <w:rsid w:val="5FA0274B"/>
    <w:rsid w:val="600B3977"/>
    <w:rsid w:val="60163D91"/>
    <w:rsid w:val="60373BC0"/>
    <w:rsid w:val="603F0D93"/>
    <w:rsid w:val="605304A5"/>
    <w:rsid w:val="609A2733"/>
    <w:rsid w:val="60C34FD6"/>
    <w:rsid w:val="60D30FC8"/>
    <w:rsid w:val="60E76E71"/>
    <w:rsid w:val="60F7612E"/>
    <w:rsid w:val="61005E19"/>
    <w:rsid w:val="61090ECF"/>
    <w:rsid w:val="610F53E2"/>
    <w:rsid w:val="61136C02"/>
    <w:rsid w:val="61782EAB"/>
    <w:rsid w:val="618C479E"/>
    <w:rsid w:val="61E92F35"/>
    <w:rsid w:val="62AE3BDF"/>
    <w:rsid w:val="62B74E9B"/>
    <w:rsid w:val="62C156B7"/>
    <w:rsid w:val="631657EC"/>
    <w:rsid w:val="631C1BC6"/>
    <w:rsid w:val="633A3A57"/>
    <w:rsid w:val="63423DC1"/>
    <w:rsid w:val="6343197D"/>
    <w:rsid w:val="6344056F"/>
    <w:rsid w:val="636407FE"/>
    <w:rsid w:val="636A3F6A"/>
    <w:rsid w:val="638B352D"/>
    <w:rsid w:val="639D311A"/>
    <w:rsid w:val="639F2DED"/>
    <w:rsid w:val="63A3228B"/>
    <w:rsid w:val="63AB74B4"/>
    <w:rsid w:val="63F10E18"/>
    <w:rsid w:val="640B39CB"/>
    <w:rsid w:val="643C40B5"/>
    <w:rsid w:val="64457373"/>
    <w:rsid w:val="645D6FC2"/>
    <w:rsid w:val="646F5E81"/>
    <w:rsid w:val="64AB1D91"/>
    <w:rsid w:val="64D9060F"/>
    <w:rsid w:val="64EF6D15"/>
    <w:rsid w:val="64F812A9"/>
    <w:rsid w:val="65255A27"/>
    <w:rsid w:val="653D6355"/>
    <w:rsid w:val="65655107"/>
    <w:rsid w:val="65665C5D"/>
    <w:rsid w:val="65847B05"/>
    <w:rsid w:val="658729D1"/>
    <w:rsid w:val="65896FD2"/>
    <w:rsid w:val="658E501B"/>
    <w:rsid w:val="65951936"/>
    <w:rsid w:val="6596088D"/>
    <w:rsid w:val="659D1E3D"/>
    <w:rsid w:val="65D605D0"/>
    <w:rsid w:val="65F43624"/>
    <w:rsid w:val="6633159D"/>
    <w:rsid w:val="6641743B"/>
    <w:rsid w:val="667A147B"/>
    <w:rsid w:val="667A1C4E"/>
    <w:rsid w:val="6684754B"/>
    <w:rsid w:val="668F4C34"/>
    <w:rsid w:val="66A66008"/>
    <w:rsid w:val="66AE7473"/>
    <w:rsid w:val="66B24331"/>
    <w:rsid w:val="66CA7BC8"/>
    <w:rsid w:val="66EA017D"/>
    <w:rsid w:val="6728185A"/>
    <w:rsid w:val="6761378A"/>
    <w:rsid w:val="676B2FE5"/>
    <w:rsid w:val="67974262"/>
    <w:rsid w:val="679E640A"/>
    <w:rsid w:val="67A27AE4"/>
    <w:rsid w:val="67AF04B5"/>
    <w:rsid w:val="67EA4335"/>
    <w:rsid w:val="68955C1D"/>
    <w:rsid w:val="68C53F3C"/>
    <w:rsid w:val="68E775E6"/>
    <w:rsid w:val="68E87B49"/>
    <w:rsid w:val="68ED49A2"/>
    <w:rsid w:val="69030905"/>
    <w:rsid w:val="690B4CA8"/>
    <w:rsid w:val="6939180B"/>
    <w:rsid w:val="698B3465"/>
    <w:rsid w:val="69BD452F"/>
    <w:rsid w:val="69C6555F"/>
    <w:rsid w:val="69D24F04"/>
    <w:rsid w:val="69F44459"/>
    <w:rsid w:val="69FF59C2"/>
    <w:rsid w:val="6A0C1420"/>
    <w:rsid w:val="6A0D15D6"/>
    <w:rsid w:val="6A115E80"/>
    <w:rsid w:val="6A190FBD"/>
    <w:rsid w:val="6A5860ED"/>
    <w:rsid w:val="6A8219B9"/>
    <w:rsid w:val="6AAE77C6"/>
    <w:rsid w:val="6ACD4F3A"/>
    <w:rsid w:val="6ACD5A4E"/>
    <w:rsid w:val="6ACE0724"/>
    <w:rsid w:val="6B110B8B"/>
    <w:rsid w:val="6B24015B"/>
    <w:rsid w:val="6B4F4CB1"/>
    <w:rsid w:val="6B626D82"/>
    <w:rsid w:val="6B8723D4"/>
    <w:rsid w:val="6BA856A6"/>
    <w:rsid w:val="6BA87BD6"/>
    <w:rsid w:val="6BD1333B"/>
    <w:rsid w:val="6C01627F"/>
    <w:rsid w:val="6C3936F9"/>
    <w:rsid w:val="6C537AB1"/>
    <w:rsid w:val="6C8B22FE"/>
    <w:rsid w:val="6CC93C35"/>
    <w:rsid w:val="6CDB0C51"/>
    <w:rsid w:val="6D25378A"/>
    <w:rsid w:val="6D4F37C6"/>
    <w:rsid w:val="6D67290C"/>
    <w:rsid w:val="6DBF5B56"/>
    <w:rsid w:val="6DD90FBE"/>
    <w:rsid w:val="6DE92B6B"/>
    <w:rsid w:val="6DF46973"/>
    <w:rsid w:val="6DF72288"/>
    <w:rsid w:val="6E2704DA"/>
    <w:rsid w:val="6E2C73C6"/>
    <w:rsid w:val="6E507CF0"/>
    <w:rsid w:val="6E5D0E1E"/>
    <w:rsid w:val="6E67532D"/>
    <w:rsid w:val="6E804874"/>
    <w:rsid w:val="6EA3135C"/>
    <w:rsid w:val="6EA9110F"/>
    <w:rsid w:val="6EB54D3F"/>
    <w:rsid w:val="6F0044BA"/>
    <w:rsid w:val="6F3B5986"/>
    <w:rsid w:val="6F4A626E"/>
    <w:rsid w:val="6F842EBB"/>
    <w:rsid w:val="6F9D704A"/>
    <w:rsid w:val="6FA46A9B"/>
    <w:rsid w:val="6FB24B70"/>
    <w:rsid w:val="6FFA4C74"/>
    <w:rsid w:val="6FFB7F31"/>
    <w:rsid w:val="7007646E"/>
    <w:rsid w:val="700B62B9"/>
    <w:rsid w:val="702A1AA8"/>
    <w:rsid w:val="705B1642"/>
    <w:rsid w:val="706755F3"/>
    <w:rsid w:val="70737676"/>
    <w:rsid w:val="707A4190"/>
    <w:rsid w:val="708E1AD1"/>
    <w:rsid w:val="70B40C45"/>
    <w:rsid w:val="70C51256"/>
    <w:rsid w:val="70D94682"/>
    <w:rsid w:val="70EC16A9"/>
    <w:rsid w:val="712244BF"/>
    <w:rsid w:val="714D44AE"/>
    <w:rsid w:val="714F7281"/>
    <w:rsid w:val="715810C1"/>
    <w:rsid w:val="71745734"/>
    <w:rsid w:val="71745A3C"/>
    <w:rsid w:val="719A3D70"/>
    <w:rsid w:val="71A37536"/>
    <w:rsid w:val="71D236A8"/>
    <w:rsid w:val="71D27EA1"/>
    <w:rsid w:val="7217321F"/>
    <w:rsid w:val="721D1487"/>
    <w:rsid w:val="72343F61"/>
    <w:rsid w:val="72572996"/>
    <w:rsid w:val="726D6C38"/>
    <w:rsid w:val="72854DDB"/>
    <w:rsid w:val="72A94569"/>
    <w:rsid w:val="72B24AB2"/>
    <w:rsid w:val="72DC207B"/>
    <w:rsid w:val="72EB4EFF"/>
    <w:rsid w:val="7330413F"/>
    <w:rsid w:val="7398312B"/>
    <w:rsid w:val="739C6004"/>
    <w:rsid w:val="743B747F"/>
    <w:rsid w:val="74471F80"/>
    <w:rsid w:val="74684D2B"/>
    <w:rsid w:val="74737394"/>
    <w:rsid w:val="747603FD"/>
    <w:rsid w:val="748E2732"/>
    <w:rsid w:val="74A40755"/>
    <w:rsid w:val="74A63561"/>
    <w:rsid w:val="74DD4046"/>
    <w:rsid w:val="74EB7506"/>
    <w:rsid w:val="74F01F80"/>
    <w:rsid w:val="7521030D"/>
    <w:rsid w:val="752F783D"/>
    <w:rsid w:val="75603D21"/>
    <w:rsid w:val="758D218C"/>
    <w:rsid w:val="75C4732A"/>
    <w:rsid w:val="75CF3984"/>
    <w:rsid w:val="75D11C40"/>
    <w:rsid w:val="75E5431E"/>
    <w:rsid w:val="760156A6"/>
    <w:rsid w:val="760C18DA"/>
    <w:rsid w:val="762F3B97"/>
    <w:rsid w:val="7639125E"/>
    <w:rsid w:val="76696C48"/>
    <w:rsid w:val="76B940EA"/>
    <w:rsid w:val="76E7555D"/>
    <w:rsid w:val="76E82C28"/>
    <w:rsid w:val="76EA77B7"/>
    <w:rsid w:val="76EB5A3C"/>
    <w:rsid w:val="772B3A06"/>
    <w:rsid w:val="77301B4C"/>
    <w:rsid w:val="77381424"/>
    <w:rsid w:val="77532778"/>
    <w:rsid w:val="77F02A19"/>
    <w:rsid w:val="77F3780F"/>
    <w:rsid w:val="78005131"/>
    <w:rsid w:val="780D2063"/>
    <w:rsid w:val="78204A22"/>
    <w:rsid w:val="78246C6B"/>
    <w:rsid w:val="784B5667"/>
    <w:rsid w:val="785907FD"/>
    <w:rsid w:val="78646BB0"/>
    <w:rsid w:val="78646C81"/>
    <w:rsid w:val="78654138"/>
    <w:rsid w:val="78720FC8"/>
    <w:rsid w:val="78DC7396"/>
    <w:rsid w:val="791B364E"/>
    <w:rsid w:val="79427B02"/>
    <w:rsid w:val="79454C34"/>
    <w:rsid w:val="796D4703"/>
    <w:rsid w:val="796F4420"/>
    <w:rsid w:val="79A35196"/>
    <w:rsid w:val="79D6137F"/>
    <w:rsid w:val="79DE37A5"/>
    <w:rsid w:val="79F32151"/>
    <w:rsid w:val="79FC49A4"/>
    <w:rsid w:val="7A1F7D2E"/>
    <w:rsid w:val="7A2D2FB1"/>
    <w:rsid w:val="7A444E9F"/>
    <w:rsid w:val="7A512269"/>
    <w:rsid w:val="7A8D0374"/>
    <w:rsid w:val="7AB43AF0"/>
    <w:rsid w:val="7ABE2599"/>
    <w:rsid w:val="7ADE1777"/>
    <w:rsid w:val="7AF02EDF"/>
    <w:rsid w:val="7B0326BC"/>
    <w:rsid w:val="7B2039C8"/>
    <w:rsid w:val="7B330D87"/>
    <w:rsid w:val="7B460E70"/>
    <w:rsid w:val="7B6002FF"/>
    <w:rsid w:val="7B6E4FF9"/>
    <w:rsid w:val="7BC76608"/>
    <w:rsid w:val="7BED160B"/>
    <w:rsid w:val="7C300543"/>
    <w:rsid w:val="7C5032A9"/>
    <w:rsid w:val="7C5B0FF2"/>
    <w:rsid w:val="7C8F73D7"/>
    <w:rsid w:val="7CCB3B2D"/>
    <w:rsid w:val="7CED7166"/>
    <w:rsid w:val="7D070F0C"/>
    <w:rsid w:val="7D4D7AF8"/>
    <w:rsid w:val="7D791A9E"/>
    <w:rsid w:val="7D8466D4"/>
    <w:rsid w:val="7DAF6E1D"/>
    <w:rsid w:val="7DB45AEC"/>
    <w:rsid w:val="7DBE5CF6"/>
    <w:rsid w:val="7DF22C7D"/>
    <w:rsid w:val="7E5069B5"/>
    <w:rsid w:val="7E5E2D6B"/>
    <w:rsid w:val="7E755665"/>
    <w:rsid w:val="7E8765B2"/>
    <w:rsid w:val="7E9163D9"/>
    <w:rsid w:val="7EAA60D4"/>
    <w:rsid w:val="7F002A27"/>
    <w:rsid w:val="7F144F23"/>
    <w:rsid w:val="7F185AB8"/>
    <w:rsid w:val="7F2B6BE6"/>
    <w:rsid w:val="7F3D4381"/>
    <w:rsid w:val="7F4A11DE"/>
    <w:rsid w:val="7F911B43"/>
    <w:rsid w:val="7FC929D3"/>
    <w:rsid w:val="7FCC032D"/>
    <w:rsid w:val="7FF9740E"/>
    <w:rsid w:val="7FFC3D50"/>
    <w:rsid w:val="7FFD5A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34"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jc w:val="both"/>
    </w:pPr>
    <w:rPr>
      <w:rFonts w:ascii="仿宋_GB2312" w:hAnsi="宋体" w:eastAsia="仿宋_GB2312" w:cs="宋体"/>
      <w:kern w:val="2"/>
      <w:sz w:val="28"/>
      <w:szCs w:val="28"/>
      <w:lang w:val="en-US" w:eastAsia="zh-CN" w:bidi="ar-SA"/>
    </w:rPr>
  </w:style>
  <w:style w:type="paragraph" w:styleId="3">
    <w:name w:val="heading 1"/>
    <w:basedOn w:val="1"/>
    <w:next w:val="1"/>
    <w:link w:val="46"/>
    <w:autoRedefine/>
    <w:qFormat/>
    <w:uiPriority w:val="9"/>
    <w:pPr>
      <w:keepNext/>
      <w:keepLines/>
      <w:spacing w:beforeLines="200" w:afterLines="200"/>
      <w:ind w:firstLine="200" w:firstLineChars="200"/>
      <w:jc w:val="center"/>
      <w:outlineLvl w:val="0"/>
    </w:pPr>
    <w:rPr>
      <w:rFonts w:ascii="Times New Roman" w:hAnsi="Times New Roman" w:cs="Times New Roman" w:eastAsiaTheme="minorEastAsia"/>
      <w:b/>
      <w:bCs/>
      <w:kern w:val="44"/>
      <w:sz w:val="32"/>
      <w:szCs w:val="44"/>
    </w:rPr>
  </w:style>
  <w:style w:type="paragraph" w:styleId="4">
    <w:name w:val="heading 2"/>
    <w:basedOn w:val="1"/>
    <w:next w:val="1"/>
    <w:link w:val="47"/>
    <w:autoRedefine/>
    <w:qFormat/>
    <w:uiPriority w:val="9"/>
    <w:pPr>
      <w:keepNext/>
      <w:keepLines/>
      <w:spacing w:before="100" w:beforeAutospacing="1" w:after="100" w:afterAutospacing="1"/>
      <w:jc w:val="left"/>
      <w:outlineLvl w:val="1"/>
    </w:pPr>
    <w:rPr>
      <w:rFonts w:ascii="Times New Roman" w:hAnsi="Times New Roman" w:cs="Times New Roman" w:eastAsiaTheme="minorEastAsia"/>
      <w:b/>
      <w:bCs/>
      <w:szCs w:val="32"/>
    </w:rPr>
  </w:style>
  <w:style w:type="paragraph" w:styleId="2">
    <w:name w:val="heading 3"/>
    <w:basedOn w:val="1"/>
    <w:next w:val="1"/>
    <w:link w:val="48"/>
    <w:autoRedefine/>
    <w:qFormat/>
    <w:uiPriority w:val="0"/>
    <w:pPr>
      <w:keepNext/>
      <w:keepLines/>
      <w:ind w:firstLine="200" w:firstLineChars="200"/>
      <w:jc w:val="left"/>
      <w:outlineLvl w:val="2"/>
    </w:pPr>
    <w:rPr>
      <w:rFonts w:ascii="Times New Roman" w:hAnsi="Times New Roman" w:cs="Times New Roman" w:eastAsiaTheme="minorEastAsia"/>
      <w:b/>
      <w:bCs/>
      <w:szCs w:val="32"/>
    </w:rPr>
  </w:style>
  <w:style w:type="paragraph" w:styleId="5">
    <w:name w:val="heading 4"/>
    <w:basedOn w:val="1"/>
    <w:next w:val="1"/>
    <w:link w:val="49"/>
    <w:autoRedefine/>
    <w:qFormat/>
    <w:uiPriority w:val="0"/>
    <w:pPr>
      <w:keepNext/>
      <w:keepLines/>
      <w:spacing w:before="280" w:after="290" w:line="376" w:lineRule="auto"/>
      <w:ind w:firstLine="200" w:firstLineChars="200"/>
      <w:jc w:val="left"/>
      <w:outlineLvl w:val="3"/>
    </w:pPr>
    <w:rPr>
      <w:rFonts w:ascii="Cambria" w:hAnsi="Cambria" w:cs="Times New Roman" w:eastAsiaTheme="minorEastAsia"/>
      <w:b/>
      <w:bCs/>
    </w:rPr>
  </w:style>
  <w:style w:type="character" w:default="1" w:styleId="37">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2520" w:leftChars="1200" w:firstLine="200" w:firstLineChars="200"/>
      <w:jc w:val="left"/>
    </w:pPr>
    <w:rPr>
      <w:rFonts w:ascii="Times New Roman" w:hAnsi="Times New Roman" w:cs="Times New Roman" w:eastAsiaTheme="minorEastAsia"/>
      <w:szCs w:val="22"/>
    </w:rPr>
  </w:style>
  <w:style w:type="paragraph" w:styleId="7">
    <w:name w:val="Normal Indent"/>
    <w:basedOn w:val="1"/>
    <w:link w:val="50"/>
    <w:autoRedefine/>
    <w:qFormat/>
    <w:uiPriority w:val="0"/>
    <w:pPr>
      <w:ind w:firstLine="420" w:firstLineChars="200"/>
      <w:jc w:val="left"/>
    </w:pPr>
    <w:rPr>
      <w:rFonts w:ascii="Times New Roman" w:hAnsi="Times New Roman" w:cs="Times New Roman" w:eastAsiaTheme="minorEastAsia"/>
      <w:szCs w:val="22"/>
    </w:rPr>
  </w:style>
  <w:style w:type="paragraph" w:styleId="8">
    <w:name w:val="caption"/>
    <w:basedOn w:val="1"/>
    <w:next w:val="1"/>
    <w:autoRedefine/>
    <w:qFormat/>
    <w:uiPriority w:val="35"/>
    <w:pPr>
      <w:ind w:firstLine="200" w:firstLineChars="200"/>
      <w:jc w:val="left"/>
    </w:pPr>
    <w:rPr>
      <w:rFonts w:ascii="Cambria" w:hAnsi="Cambria" w:eastAsia="黑体" w:cs="Times New Roman"/>
      <w:sz w:val="20"/>
      <w:szCs w:val="20"/>
    </w:rPr>
  </w:style>
  <w:style w:type="paragraph" w:styleId="9">
    <w:name w:val="List Bullet"/>
    <w:basedOn w:val="1"/>
    <w:autoRedefine/>
    <w:qFormat/>
    <w:uiPriority w:val="0"/>
    <w:pPr>
      <w:numPr>
        <w:ilvl w:val="0"/>
        <w:numId w:val="1"/>
      </w:numPr>
      <w:contextualSpacing/>
      <w:jc w:val="left"/>
    </w:pPr>
    <w:rPr>
      <w:rFonts w:ascii="Times New Roman" w:hAnsi="Times New Roman" w:cs="Times New Roman" w:eastAsiaTheme="minorEastAsia"/>
      <w:szCs w:val="22"/>
    </w:rPr>
  </w:style>
  <w:style w:type="paragraph" w:styleId="10">
    <w:name w:val="Document Map"/>
    <w:basedOn w:val="1"/>
    <w:link w:val="51"/>
    <w:autoRedefine/>
    <w:qFormat/>
    <w:uiPriority w:val="0"/>
    <w:pPr>
      <w:ind w:firstLine="200" w:firstLineChars="200"/>
      <w:jc w:val="left"/>
    </w:pPr>
    <w:rPr>
      <w:rFonts w:ascii="宋体" w:hAnsi="Times New Roman" w:cs="Times New Roman" w:eastAsiaTheme="minorEastAsia"/>
      <w:sz w:val="18"/>
      <w:szCs w:val="18"/>
    </w:rPr>
  </w:style>
  <w:style w:type="paragraph" w:styleId="11">
    <w:name w:val="annotation text"/>
    <w:basedOn w:val="1"/>
    <w:link w:val="52"/>
    <w:autoRedefine/>
    <w:qFormat/>
    <w:uiPriority w:val="99"/>
    <w:pPr>
      <w:ind w:firstLine="200" w:firstLineChars="200"/>
      <w:jc w:val="left"/>
    </w:pPr>
    <w:rPr>
      <w:rFonts w:ascii="Times New Roman" w:hAnsi="Times New Roman" w:cs="Times New Roman" w:eastAsiaTheme="minorEastAsia"/>
      <w:szCs w:val="22"/>
    </w:rPr>
  </w:style>
  <w:style w:type="paragraph" w:styleId="12">
    <w:name w:val="Body Text 3"/>
    <w:basedOn w:val="1"/>
    <w:link w:val="53"/>
    <w:autoRedefine/>
    <w:qFormat/>
    <w:uiPriority w:val="0"/>
    <w:pPr>
      <w:adjustRightInd/>
      <w:snapToGrid/>
      <w:spacing w:after="120"/>
    </w:pPr>
    <w:rPr>
      <w:rFonts w:ascii="Times New Roman" w:hAnsi="Times New Roman" w:cs="Times New Roman" w:eastAsiaTheme="minorEastAsia"/>
      <w:sz w:val="16"/>
      <w:szCs w:val="16"/>
    </w:rPr>
  </w:style>
  <w:style w:type="paragraph" w:styleId="13">
    <w:name w:val="Body Text"/>
    <w:basedOn w:val="1"/>
    <w:link w:val="54"/>
    <w:autoRedefine/>
    <w:qFormat/>
    <w:uiPriority w:val="99"/>
    <w:pPr>
      <w:spacing w:after="120"/>
      <w:ind w:firstLine="200" w:firstLineChars="200"/>
      <w:jc w:val="left"/>
    </w:pPr>
    <w:rPr>
      <w:rFonts w:ascii="Times New Roman" w:hAnsi="Times New Roman" w:cs="Times New Roman" w:eastAsiaTheme="minorEastAsia"/>
      <w:szCs w:val="22"/>
    </w:rPr>
  </w:style>
  <w:style w:type="paragraph" w:styleId="14">
    <w:name w:val="toc 5"/>
    <w:basedOn w:val="1"/>
    <w:next w:val="1"/>
    <w:autoRedefine/>
    <w:unhideWhenUsed/>
    <w:qFormat/>
    <w:uiPriority w:val="39"/>
    <w:pPr>
      <w:ind w:left="1680" w:leftChars="800" w:firstLine="200" w:firstLineChars="200"/>
      <w:jc w:val="left"/>
    </w:pPr>
    <w:rPr>
      <w:rFonts w:ascii="Times New Roman" w:hAnsi="Times New Roman" w:cs="Times New Roman" w:eastAsiaTheme="minorEastAsia"/>
      <w:szCs w:val="22"/>
    </w:rPr>
  </w:style>
  <w:style w:type="paragraph" w:styleId="15">
    <w:name w:val="toc 3"/>
    <w:basedOn w:val="1"/>
    <w:next w:val="1"/>
    <w:autoRedefine/>
    <w:unhideWhenUsed/>
    <w:qFormat/>
    <w:uiPriority w:val="39"/>
    <w:pPr>
      <w:widowControl/>
      <w:tabs>
        <w:tab w:val="right" w:leader="dot" w:pos="8296"/>
      </w:tabs>
      <w:ind w:firstLine="960" w:firstLineChars="400"/>
      <w:jc w:val="left"/>
    </w:pPr>
    <w:rPr>
      <w:rFonts w:ascii="楷体_GB2312" w:eastAsia="楷体_GB2312" w:cs="Times New Roman"/>
      <w:kern w:val="0"/>
      <w:sz w:val="22"/>
      <w:szCs w:val="22"/>
    </w:rPr>
  </w:style>
  <w:style w:type="paragraph" w:styleId="16">
    <w:name w:val="Plain Text"/>
    <w:basedOn w:val="1"/>
    <w:link w:val="55"/>
    <w:autoRedefine/>
    <w:qFormat/>
    <w:uiPriority w:val="0"/>
    <w:pPr>
      <w:jc w:val="left"/>
    </w:pPr>
    <w:rPr>
      <w:rFonts w:ascii="宋体" w:hAnsi="Courier New" w:eastAsia="宋体" w:cs="Times New Roman"/>
      <w:sz w:val="21"/>
      <w:szCs w:val="21"/>
    </w:rPr>
  </w:style>
  <w:style w:type="paragraph" w:styleId="17">
    <w:name w:val="toc 8"/>
    <w:basedOn w:val="1"/>
    <w:next w:val="1"/>
    <w:autoRedefine/>
    <w:unhideWhenUsed/>
    <w:qFormat/>
    <w:uiPriority w:val="39"/>
    <w:pPr>
      <w:ind w:left="2940" w:leftChars="1400" w:firstLine="200" w:firstLineChars="200"/>
      <w:jc w:val="left"/>
    </w:pPr>
    <w:rPr>
      <w:rFonts w:ascii="Times New Roman" w:hAnsi="Times New Roman" w:cs="Times New Roman" w:eastAsiaTheme="minorEastAsia"/>
      <w:szCs w:val="22"/>
    </w:rPr>
  </w:style>
  <w:style w:type="paragraph" w:styleId="18">
    <w:name w:val="Date"/>
    <w:basedOn w:val="1"/>
    <w:next w:val="1"/>
    <w:autoRedefine/>
    <w:qFormat/>
    <w:uiPriority w:val="0"/>
    <w:pPr>
      <w:ind w:left="100" w:leftChars="2500" w:firstLine="200" w:firstLineChars="200"/>
      <w:jc w:val="left"/>
    </w:pPr>
    <w:rPr>
      <w:rFonts w:ascii="Times New Roman" w:hAnsi="Times New Roman" w:cs="Times New Roman" w:eastAsiaTheme="minorEastAsia"/>
      <w:szCs w:val="22"/>
    </w:rPr>
  </w:style>
  <w:style w:type="paragraph" w:styleId="19">
    <w:name w:val="Body Text Indent 2"/>
    <w:basedOn w:val="1"/>
    <w:link w:val="56"/>
    <w:autoRedefine/>
    <w:qFormat/>
    <w:uiPriority w:val="0"/>
    <w:pPr>
      <w:spacing w:after="120" w:line="480" w:lineRule="auto"/>
      <w:ind w:left="420" w:leftChars="200" w:firstLine="200" w:firstLineChars="200"/>
      <w:jc w:val="left"/>
    </w:pPr>
    <w:rPr>
      <w:rFonts w:ascii="Times New Roman" w:hAnsi="Times New Roman" w:cs="Times New Roman" w:eastAsiaTheme="minorEastAsia"/>
      <w:szCs w:val="22"/>
    </w:rPr>
  </w:style>
  <w:style w:type="paragraph" w:styleId="20">
    <w:name w:val="Balloon Text"/>
    <w:basedOn w:val="1"/>
    <w:link w:val="57"/>
    <w:autoRedefine/>
    <w:qFormat/>
    <w:uiPriority w:val="99"/>
    <w:pPr>
      <w:ind w:firstLine="200" w:firstLineChars="200"/>
      <w:jc w:val="left"/>
    </w:pPr>
    <w:rPr>
      <w:rFonts w:ascii="Times New Roman" w:hAnsi="Times New Roman" w:cs="Times New Roman" w:eastAsiaTheme="minorEastAsia"/>
      <w:sz w:val="18"/>
      <w:szCs w:val="18"/>
    </w:rPr>
  </w:style>
  <w:style w:type="paragraph" w:styleId="21">
    <w:name w:val="footer"/>
    <w:basedOn w:val="1"/>
    <w:link w:val="58"/>
    <w:autoRedefine/>
    <w:qFormat/>
    <w:uiPriority w:val="99"/>
    <w:pPr>
      <w:tabs>
        <w:tab w:val="center" w:pos="4153"/>
        <w:tab w:val="right" w:pos="8306"/>
      </w:tabs>
      <w:ind w:firstLine="200" w:firstLineChars="200"/>
      <w:jc w:val="left"/>
    </w:pPr>
    <w:rPr>
      <w:rFonts w:ascii="Times New Roman" w:hAnsi="Times New Roman" w:cs="Times New Roman" w:eastAsiaTheme="minorEastAsia"/>
      <w:sz w:val="18"/>
      <w:szCs w:val="18"/>
    </w:rPr>
  </w:style>
  <w:style w:type="paragraph" w:styleId="22">
    <w:name w:val="header"/>
    <w:basedOn w:val="1"/>
    <w:link w:val="59"/>
    <w:autoRedefine/>
    <w:qFormat/>
    <w:uiPriority w:val="0"/>
    <w:pPr>
      <w:pBdr>
        <w:bottom w:val="single" w:color="auto" w:sz="6" w:space="1"/>
      </w:pBdr>
      <w:tabs>
        <w:tab w:val="center" w:pos="4153"/>
        <w:tab w:val="right" w:pos="8306"/>
      </w:tabs>
      <w:ind w:firstLine="200" w:firstLineChars="200"/>
      <w:jc w:val="center"/>
    </w:pPr>
    <w:rPr>
      <w:rFonts w:ascii="Times New Roman" w:hAnsi="Times New Roman" w:cs="Times New Roman" w:eastAsiaTheme="minorEastAsia"/>
      <w:sz w:val="18"/>
      <w:szCs w:val="18"/>
    </w:rPr>
  </w:style>
  <w:style w:type="paragraph" w:styleId="23">
    <w:name w:val="toc 1"/>
    <w:basedOn w:val="1"/>
    <w:next w:val="1"/>
    <w:autoRedefine/>
    <w:unhideWhenUsed/>
    <w:qFormat/>
    <w:uiPriority w:val="39"/>
    <w:pPr>
      <w:widowControl/>
      <w:tabs>
        <w:tab w:val="right" w:leader="dot" w:pos="8296"/>
      </w:tabs>
      <w:jc w:val="left"/>
    </w:pPr>
    <w:rPr>
      <w:rFonts w:cs="Times New Roman" w:eastAsiaTheme="minorEastAsia"/>
      <w:b/>
      <w:kern w:val="0"/>
    </w:rPr>
  </w:style>
  <w:style w:type="paragraph" w:styleId="24">
    <w:name w:val="toc 4"/>
    <w:basedOn w:val="1"/>
    <w:next w:val="1"/>
    <w:autoRedefine/>
    <w:qFormat/>
    <w:uiPriority w:val="39"/>
    <w:pPr>
      <w:tabs>
        <w:tab w:val="right" w:leader="dot" w:pos="8296"/>
      </w:tabs>
      <w:ind w:firstLine="1200" w:firstLineChars="500"/>
      <w:jc w:val="left"/>
    </w:pPr>
    <w:rPr>
      <w:rFonts w:hAnsi="Times New Roman" w:cs="Times New Roman" w:eastAsiaTheme="minorEastAsia"/>
      <w:sz w:val="24"/>
      <w:szCs w:val="22"/>
      <w:lang w:val="zh-CN"/>
    </w:rPr>
  </w:style>
  <w:style w:type="paragraph" w:styleId="25">
    <w:name w:val="List"/>
    <w:basedOn w:val="1"/>
    <w:link w:val="60"/>
    <w:autoRedefine/>
    <w:qFormat/>
    <w:uiPriority w:val="99"/>
    <w:pPr>
      <w:adjustRightInd/>
      <w:snapToGrid/>
      <w:ind w:left="200" w:hanging="200" w:hangingChars="200"/>
    </w:pPr>
    <w:rPr>
      <w:rFonts w:ascii="Times New Roman" w:hAnsi="Times New Roman" w:cs="Times New Roman"/>
      <w:sz w:val="24"/>
      <w:szCs w:val="24"/>
    </w:rPr>
  </w:style>
  <w:style w:type="paragraph" w:styleId="26">
    <w:name w:val="toc 6"/>
    <w:basedOn w:val="1"/>
    <w:next w:val="1"/>
    <w:autoRedefine/>
    <w:unhideWhenUsed/>
    <w:qFormat/>
    <w:uiPriority w:val="39"/>
    <w:pPr>
      <w:ind w:left="2100" w:leftChars="1000" w:firstLine="200" w:firstLineChars="200"/>
      <w:jc w:val="left"/>
    </w:pPr>
    <w:rPr>
      <w:rFonts w:ascii="Times New Roman" w:hAnsi="Times New Roman" w:cs="Times New Roman" w:eastAsiaTheme="minorEastAsia"/>
      <w:szCs w:val="22"/>
    </w:rPr>
  </w:style>
  <w:style w:type="paragraph" w:styleId="27">
    <w:name w:val="Body Text Indent 3"/>
    <w:basedOn w:val="1"/>
    <w:link w:val="61"/>
    <w:autoRedefine/>
    <w:unhideWhenUsed/>
    <w:qFormat/>
    <w:uiPriority w:val="0"/>
    <w:pPr>
      <w:spacing w:line="400" w:lineRule="exact"/>
      <w:ind w:firstLine="480" w:firstLineChars="200"/>
      <w:jc w:val="left"/>
    </w:pPr>
    <w:rPr>
      <w:rFonts w:ascii="宋体" w:cs="Times New Roman" w:eastAsiaTheme="minorEastAsia"/>
      <w:sz w:val="24"/>
      <w:szCs w:val="22"/>
    </w:rPr>
  </w:style>
  <w:style w:type="paragraph" w:styleId="28">
    <w:name w:val="toc 2"/>
    <w:basedOn w:val="1"/>
    <w:next w:val="1"/>
    <w:autoRedefine/>
    <w:unhideWhenUsed/>
    <w:qFormat/>
    <w:uiPriority w:val="39"/>
    <w:pPr>
      <w:widowControl/>
      <w:tabs>
        <w:tab w:val="right" w:leader="dot" w:pos="8296"/>
      </w:tabs>
      <w:spacing w:after="100"/>
      <w:ind w:firstLine="480" w:firstLineChars="200"/>
      <w:jc w:val="left"/>
    </w:pPr>
    <w:rPr>
      <w:rFonts w:ascii="Times New Roman" w:hAnsi="Times New Roman" w:cs="Times New Roman" w:eastAsiaTheme="minorEastAsia"/>
      <w:kern w:val="0"/>
      <w:sz w:val="22"/>
      <w:szCs w:val="22"/>
    </w:rPr>
  </w:style>
  <w:style w:type="paragraph" w:styleId="29">
    <w:name w:val="toc 9"/>
    <w:basedOn w:val="1"/>
    <w:next w:val="1"/>
    <w:autoRedefine/>
    <w:unhideWhenUsed/>
    <w:qFormat/>
    <w:uiPriority w:val="39"/>
    <w:pPr>
      <w:ind w:left="3360" w:leftChars="1600" w:firstLine="200" w:firstLineChars="200"/>
      <w:jc w:val="left"/>
    </w:pPr>
    <w:rPr>
      <w:rFonts w:ascii="Times New Roman" w:hAnsi="Times New Roman" w:cs="Times New Roman" w:eastAsiaTheme="minorEastAsia"/>
      <w:szCs w:val="22"/>
    </w:rPr>
  </w:style>
  <w:style w:type="paragraph" w:styleId="30">
    <w:name w:val="Normal (Web)"/>
    <w:basedOn w:val="1"/>
    <w:link w:val="62"/>
    <w:autoRedefine/>
    <w:qFormat/>
    <w:uiPriority w:val="34"/>
    <w:pPr>
      <w:ind w:firstLine="200" w:firstLineChars="200"/>
      <w:jc w:val="left"/>
    </w:pPr>
    <w:rPr>
      <w:rFonts w:ascii="Times New Roman" w:hAnsi="Times New Roman" w:eastAsia="宋体" w:cs="Times New Roman"/>
      <w:sz w:val="24"/>
      <w:szCs w:val="22"/>
    </w:rPr>
  </w:style>
  <w:style w:type="paragraph" w:styleId="31">
    <w:name w:val="Title"/>
    <w:basedOn w:val="1"/>
    <w:next w:val="1"/>
    <w:link w:val="63"/>
    <w:autoRedefine/>
    <w:qFormat/>
    <w:uiPriority w:val="10"/>
    <w:pPr>
      <w:spacing w:before="240" w:after="60"/>
      <w:ind w:firstLine="200" w:firstLineChars="200"/>
      <w:jc w:val="center"/>
      <w:outlineLvl w:val="0"/>
    </w:pPr>
    <w:rPr>
      <w:rFonts w:ascii="Cambria" w:hAnsi="Cambria" w:cs="Times New Roman" w:eastAsiaTheme="minorEastAsia"/>
      <w:b/>
      <w:bCs/>
      <w:sz w:val="32"/>
      <w:szCs w:val="32"/>
    </w:rPr>
  </w:style>
  <w:style w:type="paragraph" w:styleId="32">
    <w:name w:val="annotation subject"/>
    <w:basedOn w:val="11"/>
    <w:next w:val="11"/>
    <w:link w:val="64"/>
    <w:autoRedefine/>
    <w:qFormat/>
    <w:uiPriority w:val="0"/>
    <w:rPr>
      <w:b/>
      <w:bCs/>
    </w:rPr>
  </w:style>
  <w:style w:type="paragraph" w:styleId="33">
    <w:name w:val="Body Text First Indent"/>
    <w:basedOn w:val="13"/>
    <w:link w:val="65"/>
    <w:autoRedefine/>
    <w:qFormat/>
    <w:uiPriority w:val="0"/>
    <w:pPr>
      <w:ind w:firstLine="420" w:firstLineChars="100"/>
    </w:pPr>
    <w:rPr>
      <w:szCs w:val="20"/>
    </w:rPr>
  </w:style>
  <w:style w:type="table" w:styleId="35">
    <w:name w:val="Table Grid"/>
    <w:basedOn w:val="3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6">
    <w:name w:val="Table Grid 5"/>
    <w:basedOn w:val="3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38">
    <w:name w:val="Strong"/>
    <w:basedOn w:val="37"/>
    <w:autoRedefine/>
    <w:qFormat/>
    <w:uiPriority w:val="22"/>
    <w:rPr>
      <w:b/>
      <w:bCs/>
    </w:rPr>
  </w:style>
  <w:style w:type="character" w:styleId="39">
    <w:name w:val="page number"/>
    <w:basedOn w:val="37"/>
    <w:autoRedefine/>
    <w:qFormat/>
    <w:uiPriority w:val="0"/>
  </w:style>
  <w:style w:type="character" w:styleId="40">
    <w:name w:val="FollowedHyperlink"/>
    <w:basedOn w:val="37"/>
    <w:autoRedefine/>
    <w:qFormat/>
    <w:uiPriority w:val="0"/>
    <w:rPr>
      <w:color w:val="800080"/>
      <w:u w:val="single"/>
    </w:rPr>
  </w:style>
  <w:style w:type="character" w:styleId="41">
    <w:name w:val="Emphasis"/>
    <w:basedOn w:val="37"/>
    <w:autoRedefine/>
    <w:qFormat/>
    <w:uiPriority w:val="20"/>
    <w:rPr>
      <w:i/>
      <w:iCs/>
    </w:rPr>
  </w:style>
  <w:style w:type="character" w:styleId="42">
    <w:name w:val="Hyperlink"/>
    <w:basedOn w:val="37"/>
    <w:autoRedefine/>
    <w:unhideWhenUsed/>
    <w:qFormat/>
    <w:uiPriority w:val="99"/>
    <w:rPr>
      <w:color w:val="0000FF"/>
      <w:u w:val="single"/>
    </w:rPr>
  </w:style>
  <w:style w:type="character" w:styleId="43">
    <w:name w:val="annotation reference"/>
    <w:basedOn w:val="37"/>
    <w:autoRedefine/>
    <w:qFormat/>
    <w:uiPriority w:val="99"/>
    <w:rPr>
      <w:sz w:val="21"/>
      <w:szCs w:val="21"/>
    </w:rPr>
  </w:style>
  <w:style w:type="paragraph" w:customStyle="1" w:styleId="44">
    <w:name w:val="Default"/>
    <w:autoRedefine/>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 w:type="paragraph" w:customStyle="1" w:styleId="45">
    <w:name w:val="样式2"/>
    <w:basedOn w:val="3"/>
    <w:autoRedefine/>
    <w:qFormat/>
    <w:uiPriority w:val="0"/>
  </w:style>
  <w:style w:type="character" w:customStyle="1" w:styleId="46">
    <w:name w:val="标题 1 字符"/>
    <w:basedOn w:val="37"/>
    <w:link w:val="3"/>
    <w:autoRedefine/>
    <w:qFormat/>
    <w:uiPriority w:val="9"/>
    <w:rPr>
      <w:rFonts w:ascii="Times New Roman" w:hAnsi="Times New Roman" w:eastAsia="仿宋_GB2312"/>
      <w:b/>
      <w:bCs/>
      <w:kern w:val="44"/>
      <w:sz w:val="32"/>
      <w:szCs w:val="44"/>
    </w:rPr>
  </w:style>
  <w:style w:type="character" w:customStyle="1" w:styleId="47">
    <w:name w:val="标题 2 字符"/>
    <w:basedOn w:val="37"/>
    <w:link w:val="4"/>
    <w:autoRedefine/>
    <w:qFormat/>
    <w:uiPriority w:val="9"/>
    <w:rPr>
      <w:rFonts w:ascii="Times New Roman" w:hAnsi="Times New Roman" w:eastAsia="仿宋_GB2312"/>
      <w:b/>
      <w:bCs/>
      <w:kern w:val="2"/>
      <w:sz w:val="28"/>
      <w:szCs w:val="32"/>
    </w:rPr>
  </w:style>
  <w:style w:type="character" w:customStyle="1" w:styleId="48">
    <w:name w:val="标题 3 字符"/>
    <w:basedOn w:val="37"/>
    <w:link w:val="2"/>
    <w:autoRedefine/>
    <w:qFormat/>
    <w:uiPriority w:val="0"/>
    <w:rPr>
      <w:rFonts w:ascii="Times New Roman" w:hAnsi="Times New Roman" w:eastAsia="仿宋_GB2312"/>
      <w:b/>
      <w:bCs/>
      <w:kern w:val="2"/>
      <w:sz w:val="28"/>
      <w:szCs w:val="32"/>
    </w:rPr>
  </w:style>
  <w:style w:type="character" w:customStyle="1" w:styleId="49">
    <w:name w:val="标题 4 字符"/>
    <w:basedOn w:val="37"/>
    <w:link w:val="5"/>
    <w:autoRedefine/>
    <w:qFormat/>
    <w:uiPriority w:val="0"/>
    <w:rPr>
      <w:rFonts w:ascii="Cambria" w:hAnsi="Cambria" w:eastAsia="宋体" w:cs="Times New Roman"/>
      <w:b/>
      <w:bCs/>
      <w:sz w:val="28"/>
      <w:szCs w:val="28"/>
    </w:rPr>
  </w:style>
  <w:style w:type="character" w:customStyle="1" w:styleId="50">
    <w:name w:val="正文缩进 字符"/>
    <w:basedOn w:val="37"/>
    <w:link w:val="7"/>
    <w:autoRedefine/>
    <w:qFormat/>
    <w:uiPriority w:val="0"/>
    <w:rPr>
      <w:kern w:val="2"/>
      <w:sz w:val="21"/>
      <w:szCs w:val="24"/>
    </w:rPr>
  </w:style>
  <w:style w:type="character" w:customStyle="1" w:styleId="51">
    <w:name w:val="文档结构图 字符"/>
    <w:basedOn w:val="37"/>
    <w:link w:val="10"/>
    <w:autoRedefine/>
    <w:qFormat/>
    <w:uiPriority w:val="0"/>
    <w:rPr>
      <w:rFonts w:ascii="宋体"/>
      <w:kern w:val="2"/>
      <w:sz w:val="18"/>
      <w:szCs w:val="18"/>
    </w:rPr>
  </w:style>
  <w:style w:type="character" w:customStyle="1" w:styleId="52">
    <w:name w:val="批注文字 字符"/>
    <w:basedOn w:val="37"/>
    <w:link w:val="11"/>
    <w:autoRedefine/>
    <w:qFormat/>
    <w:uiPriority w:val="99"/>
    <w:rPr>
      <w:kern w:val="2"/>
      <w:sz w:val="21"/>
      <w:szCs w:val="24"/>
    </w:rPr>
  </w:style>
  <w:style w:type="character" w:customStyle="1" w:styleId="53">
    <w:name w:val="正文文本 3 字符"/>
    <w:basedOn w:val="37"/>
    <w:link w:val="12"/>
    <w:autoRedefine/>
    <w:semiHidden/>
    <w:qFormat/>
    <w:uiPriority w:val="0"/>
    <w:rPr>
      <w:kern w:val="2"/>
      <w:sz w:val="16"/>
      <w:szCs w:val="16"/>
    </w:rPr>
  </w:style>
  <w:style w:type="character" w:customStyle="1" w:styleId="54">
    <w:name w:val="正文文本 字符"/>
    <w:basedOn w:val="37"/>
    <w:link w:val="13"/>
    <w:autoRedefine/>
    <w:qFormat/>
    <w:uiPriority w:val="0"/>
    <w:rPr>
      <w:kern w:val="2"/>
      <w:sz w:val="21"/>
      <w:szCs w:val="24"/>
    </w:rPr>
  </w:style>
  <w:style w:type="character" w:customStyle="1" w:styleId="55">
    <w:name w:val="纯文本 字符"/>
    <w:link w:val="16"/>
    <w:autoRedefine/>
    <w:qFormat/>
    <w:uiPriority w:val="0"/>
    <w:rPr>
      <w:rFonts w:ascii="宋体" w:hAnsi="Courier New" w:eastAsia="宋体" w:cs="Courier New"/>
      <w:kern w:val="2"/>
      <w:sz w:val="21"/>
      <w:szCs w:val="21"/>
    </w:rPr>
  </w:style>
  <w:style w:type="character" w:customStyle="1" w:styleId="56">
    <w:name w:val="正文文本缩进 2 字符"/>
    <w:basedOn w:val="37"/>
    <w:link w:val="19"/>
    <w:autoRedefine/>
    <w:qFormat/>
    <w:uiPriority w:val="0"/>
    <w:rPr>
      <w:kern w:val="2"/>
      <w:sz w:val="21"/>
      <w:szCs w:val="24"/>
    </w:rPr>
  </w:style>
  <w:style w:type="character" w:customStyle="1" w:styleId="57">
    <w:name w:val="批注框文本 字符"/>
    <w:basedOn w:val="37"/>
    <w:link w:val="20"/>
    <w:autoRedefine/>
    <w:qFormat/>
    <w:uiPriority w:val="99"/>
    <w:rPr>
      <w:kern w:val="2"/>
      <w:sz w:val="18"/>
      <w:szCs w:val="18"/>
    </w:rPr>
  </w:style>
  <w:style w:type="character" w:customStyle="1" w:styleId="58">
    <w:name w:val="页脚 字符"/>
    <w:basedOn w:val="37"/>
    <w:link w:val="21"/>
    <w:autoRedefine/>
    <w:qFormat/>
    <w:uiPriority w:val="99"/>
    <w:rPr>
      <w:kern w:val="2"/>
      <w:sz w:val="18"/>
      <w:szCs w:val="18"/>
    </w:rPr>
  </w:style>
  <w:style w:type="character" w:customStyle="1" w:styleId="59">
    <w:name w:val="页眉 字符"/>
    <w:basedOn w:val="37"/>
    <w:link w:val="22"/>
    <w:autoRedefine/>
    <w:qFormat/>
    <w:uiPriority w:val="0"/>
    <w:rPr>
      <w:kern w:val="2"/>
      <w:sz w:val="18"/>
      <w:szCs w:val="18"/>
    </w:rPr>
  </w:style>
  <w:style w:type="character" w:customStyle="1" w:styleId="60">
    <w:name w:val="列表 字符"/>
    <w:link w:val="25"/>
    <w:autoRedefine/>
    <w:qFormat/>
    <w:uiPriority w:val="99"/>
    <w:rPr>
      <w:rFonts w:eastAsia="仿宋_GB2312"/>
      <w:kern w:val="2"/>
      <w:sz w:val="24"/>
      <w:szCs w:val="24"/>
    </w:rPr>
  </w:style>
  <w:style w:type="character" w:customStyle="1" w:styleId="61">
    <w:name w:val="正文文本缩进 3 字符"/>
    <w:basedOn w:val="37"/>
    <w:link w:val="27"/>
    <w:autoRedefine/>
    <w:qFormat/>
    <w:uiPriority w:val="0"/>
    <w:rPr>
      <w:rFonts w:ascii="宋体" w:hAnsi="宋体"/>
      <w:kern w:val="2"/>
      <w:sz w:val="24"/>
      <w:szCs w:val="24"/>
    </w:rPr>
  </w:style>
  <w:style w:type="character" w:customStyle="1" w:styleId="62">
    <w:name w:val="普通(网站) 字符"/>
    <w:basedOn w:val="37"/>
    <w:link w:val="30"/>
    <w:autoRedefine/>
    <w:qFormat/>
    <w:locked/>
    <w:uiPriority w:val="34"/>
    <w:rPr>
      <w:kern w:val="2"/>
      <w:sz w:val="24"/>
      <w:szCs w:val="22"/>
    </w:rPr>
  </w:style>
  <w:style w:type="character" w:customStyle="1" w:styleId="63">
    <w:name w:val="标题 字符"/>
    <w:basedOn w:val="37"/>
    <w:link w:val="31"/>
    <w:autoRedefine/>
    <w:qFormat/>
    <w:uiPriority w:val="10"/>
    <w:rPr>
      <w:rFonts w:ascii="Cambria" w:hAnsi="Cambria" w:eastAsia="宋体" w:cs="Times New Roman"/>
      <w:b/>
      <w:bCs/>
      <w:sz w:val="32"/>
      <w:szCs w:val="32"/>
    </w:rPr>
  </w:style>
  <w:style w:type="character" w:customStyle="1" w:styleId="64">
    <w:name w:val="批注主题 字符"/>
    <w:basedOn w:val="52"/>
    <w:link w:val="32"/>
    <w:autoRedefine/>
    <w:qFormat/>
    <w:uiPriority w:val="0"/>
    <w:rPr>
      <w:b/>
      <w:bCs/>
      <w:kern w:val="2"/>
      <w:sz w:val="21"/>
      <w:szCs w:val="22"/>
    </w:rPr>
  </w:style>
  <w:style w:type="character" w:customStyle="1" w:styleId="65">
    <w:name w:val="正文文本首行缩进 字符"/>
    <w:basedOn w:val="54"/>
    <w:link w:val="33"/>
    <w:autoRedefine/>
    <w:qFormat/>
    <w:uiPriority w:val="0"/>
    <w:rPr>
      <w:kern w:val="2"/>
      <w:sz w:val="28"/>
      <w:szCs w:val="24"/>
    </w:rPr>
  </w:style>
  <w:style w:type="paragraph" w:customStyle="1" w:styleId="66">
    <w:name w:val="列出段落1"/>
    <w:basedOn w:val="1"/>
    <w:autoRedefine/>
    <w:qFormat/>
    <w:uiPriority w:val="34"/>
    <w:pPr>
      <w:ind w:firstLine="420" w:firstLineChars="200"/>
      <w:jc w:val="left"/>
    </w:pPr>
    <w:rPr>
      <w:rFonts w:ascii="Times New Roman" w:hAnsi="Times New Roman" w:cs="Times New Roman" w:eastAsiaTheme="minorEastAsia"/>
      <w:szCs w:val="22"/>
    </w:rPr>
  </w:style>
  <w:style w:type="paragraph" w:customStyle="1" w:styleId="67">
    <w:name w:val="样式 首行缩进 + 四号 首行缩进:  2 字符"/>
    <w:basedOn w:val="1"/>
    <w:autoRedefine/>
    <w:qFormat/>
    <w:uiPriority w:val="0"/>
    <w:pPr>
      <w:spacing w:line="360" w:lineRule="auto"/>
      <w:ind w:firstLine="560" w:firstLineChars="200"/>
      <w:jc w:val="left"/>
    </w:pPr>
    <w:rPr>
      <w:rFonts w:ascii="Times New Roman" w:hAnsi="Times New Roman" w:eastAsiaTheme="minorEastAsia"/>
      <w:lang w:val="en-GB"/>
    </w:rPr>
  </w:style>
  <w:style w:type="paragraph" w:customStyle="1" w:styleId="68">
    <w:name w:val="表格文字"/>
    <w:basedOn w:val="1"/>
    <w:link w:val="69"/>
    <w:autoRedefine/>
    <w:qFormat/>
    <w:uiPriority w:val="0"/>
    <w:pPr>
      <w:ind w:firstLine="200" w:firstLineChars="200"/>
      <w:jc w:val="center"/>
    </w:pPr>
    <w:rPr>
      <w:rFonts w:hAnsi="Arial Black" w:cs="Times New Roman" w:eastAsiaTheme="minorEastAsia"/>
      <w:kern w:val="44"/>
      <w:sz w:val="24"/>
      <w:szCs w:val="20"/>
    </w:rPr>
  </w:style>
  <w:style w:type="character" w:customStyle="1" w:styleId="69">
    <w:name w:val="表格文字 Char"/>
    <w:basedOn w:val="37"/>
    <w:link w:val="68"/>
    <w:autoRedefine/>
    <w:qFormat/>
    <w:locked/>
    <w:uiPriority w:val="0"/>
    <w:rPr>
      <w:rFonts w:ascii="仿宋_GB2312" w:hAnsi="Arial Black"/>
      <w:kern w:val="44"/>
      <w:sz w:val="24"/>
    </w:rPr>
  </w:style>
  <w:style w:type="paragraph" w:customStyle="1" w:styleId="70">
    <w:name w:val="xl43"/>
    <w:basedOn w:val="1"/>
    <w:autoRedefine/>
    <w:qFormat/>
    <w:uiPriority w:val="0"/>
    <w:pPr>
      <w:widowControl/>
      <w:pBdr>
        <w:bottom w:val="single" w:color="auto" w:sz="4" w:space="0"/>
        <w:right w:val="single" w:color="auto" w:sz="4" w:space="0"/>
      </w:pBdr>
      <w:spacing w:before="100" w:beforeAutospacing="1" w:after="100" w:afterAutospacing="1"/>
      <w:ind w:firstLine="200" w:firstLineChars="200"/>
      <w:jc w:val="center"/>
    </w:pPr>
    <w:rPr>
      <w:rFonts w:ascii="Times New Roman" w:hAnsi="Times New Roman" w:eastAsia="Arial Unicode MS" w:cs="Times New Roman"/>
      <w:kern w:val="0"/>
      <w:szCs w:val="21"/>
    </w:rPr>
  </w:style>
  <w:style w:type="paragraph" w:customStyle="1" w:styleId="71">
    <w:name w:val="xl25"/>
    <w:basedOn w:val="1"/>
    <w:autoRedefine/>
    <w:qFormat/>
    <w:uiPriority w:val="0"/>
    <w:pPr>
      <w:widowControl/>
      <w:pBdr>
        <w:bottom w:val="single" w:color="auto" w:sz="4" w:space="0"/>
        <w:right w:val="single" w:color="auto" w:sz="4" w:space="0"/>
      </w:pBdr>
      <w:spacing w:before="100" w:beforeAutospacing="1" w:after="100" w:afterAutospacing="1"/>
      <w:ind w:firstLine="200" w:firstLineChars="200"/>
      <w:jc w:val="center"/>
    </w:pPr>
    <w:rPr>
      <w:rFonts w:ascii="Times New Roman" w:hAnsi="Times New Roman" w:eastAsia="Arial Unicode MS" w:cs="Times New Roman"/>
      <w:color w:val="000000"/>
      <w:kern w:val="0"/>
      <w:sz w:val="24"/>
      <w:szCs w:val="22"/>
    </w:rPr>
  </w:style>
  <w:style w:type="paragraph" w:customStyle="1" w:styleId="72">
    <w:name w:val="xl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ind w:firstLine="200" w:firstLineChars="200"/>
      <w:jc w:val="center"/>
      <w:textAlignment w:val="top"/>
    </w:pPr>
    <w:rPr>
      <w:rFonts w:ascii="宋体" w:cs="Times New Roman" w:eastAsiaTheme="minorEastAsia"/>
      <w:kern w:val="0"/>
      <w:sz w:val="24"/>
      <w:szCs w:val="22"/>
    </w:rPr>
  </w:style>
  <w:style w:type="paragraph" w:customStyle="1" w:styleId="73">
    <w:name w:val="样式 标题 3标题 3 Char标题 3 Char Char Char Char Char Char Char Char C...4"/>
    <w:basedOn w:val="2"/>
    <w:autoRedefine/>
    <w:qFormat/>
    <w:uiPriority w:val="0"/>
    <w:pPr>
      <w:tabs>
        <w:tab w:val="left" w:pos="720"/>
      </w:tabs>
      <w:spacing w:line="360" w:lineRule="auto"/>
      <w:ind w:left="720" w:hanging="720"/>
    </w:pPr>
    <w:rPr>
      <w:rFonts w:ascii="宋体" w:hAnsi="宋体"/>
      <w:b w:val="0"/>
      <w:bCs w:val="0"/>
      <w:kern w:val="0"/>
      <w:sz w:val="24"/>
    </w:rPr>
  </w:style>
  <w:style w:type="paragraph" w:customStyle="1" w:styleId="74">
    <w:name w:val="小四表文左齐"/>
    <w:basedOn w:val="1"/>
    <w:autoRedefine/>
    <w:qFormat/>
    <w:uiPriority w:val="0"/>
    <w:pPr>
      <w:ind w:firstLine="200" w:firstLineChars="200"/>
      <w:jc w:val="center"/>
    </w:pPr>
    <w:rPr>
      <w:rFonts w:cs="Times New Roman" w:eastAsiaTheme="minorEastAsia"/>
      <w:szCs w:val="22"/>
    </w:rPr>
  </w:style>
  <w:style w:type="paragraph" w:customStyle="1" w:styleId="75">
    <w:name w:val="图表文字"/>
    <w:basedOn w:val="1"/>
    <w:autoRedefine/>
    <w:qFormat/>
    <w:uiPriority w:val="0"/>
    <w:pPr>
      <w:spacing w:line="300" w:lineRule="exact"/>
      <w:ind w:firstLine="200" w:firstLineChars="200"/>
      <w:jc w:val="center"/>
    </w:pPr>
    <w:rPr>
      <w:rFonts w:ascii="Times New Roman" w:hAnsi="Times New Roman" w:cs="Times New Roman" w:eastAsiaTheme="minorEastAsia"/>
      <w:bCs/>
      <w:szCs w:val="20"/>
    </w:rPr>
  </w:style>
  <w:style w:type="paragraph" w:customStyle="1" w:styleId="76">
    <w:name w:val="首行缩进"/>
    <w:basedOn w:val="1"/>
    <w:autoRedefine/>
    <w:qFormat/>
    <w:uiPriority w:val="0"/>
    <w:pPr>
      <w:spacing w:line="360" w:lineRule="auto"/>
      <w:ind w:firstLine="480" w:firstLineChars="200"/>
      <w:jc w:val="left"/>
    </w:pPr>
    <w:rPr>
      <w:rFonts w:ascii="Times New Roman" w:hAnsi="Times New Roman" w:cs="Times New Roman" w:eastAsiaTheme="minorEastAsia"/>
      <w:sz w:val="24"/>
      <w:szCs w:val="22"/>
    </w:rPr>
  </w:style>
  <w:style w:type="paragraph" w:customStyle="1" w:styleId="77">
    <w:name w:val="TOC 标题1"/>
    <w:basedOn w:val="3"/>
    <w:next w:val="1"/>
    <w:autoRedefine/>
    <w:qFormat/>
    <w:uiPriority w:val="39"/>
    <w:pPr>
      <w:outlineLvl w:val="9"/>
    </w:pPr>
  </w:style>
  <w:style w:type="paragraph" w:customStyle="1" w:styleId="78">
    <w:name w:val="样式1"/>
    <w:basedOn w:val="1"/>
    <w:autoRedefine/>
    <w:qFormat/>
    <w:uiPriority w:val="0"/>
    <w:pPr>
      <w:ind w:firstLine="200" w:firstLineChars="200"/>
      <w:jc w:val="left"/>
    </w:pPr>
    <w:rPr>
      <w:rFonts w:ascii="宋体" w:eastAsiaTheme="minorEastAsia"/>
      <w:kern w:val="0"/>
      <w:szCs w:val="22"/>
    </w:rPr>
  </w:style>
  <w:style w:type="paragraph" w:customStyle="1" w:styleId="79">
    <w:name w:val="样式3"/>
    <w:basedOn w:val="4"/>
    <w:autoRedefine/>
    <w:qFormat/>
    <w:uiPriority w:val="0"/>
  </w:style>
  <w:style w:type="paragraph" w:customStyle="1" w:styleId="80">
    <w:name w:val="样式4"/>
    <w:basedOn w:val="2"/>
    <w:autoRedefine/>
    <w:qFormat/>
    <w:uiPriority w:val="0"/>
  </w:style>
  <w:style w:type="paragraph" w:customStyle="1" w:styleId="81">
    <w:name w:val="样式5"/>
    <w:basedOn w:val="5"/>
    <w:autoRedefine/>
    <w:qFormat/>
    <w:uiPriority w:val="0"/>
  </w:style>
  <w:style w:type="paragraph" w:customStyle="1" w:styleId="82">
    <w:name w:val="样式6"/>
    <w:basedOn w:val="2"/>
    <w:autoRedefine/>
    <w:qFormat/>
    <w:uiPriority w:val="0"/>
    <w:rPr>
      <w:szCs w:val="28"/>
    </w:rPr>
  </w:style>
  <w:style w:type="paragraph" w:customStyle="1" w:styleId="83">
    <w:name w:val="样式7"/>
    <w:basedOn w:val="2"/>
    <w:autoRedefine/>
    <w:qFormat/>
    <w:uiPriority w:val="0"/>
  </w:style>
  <w:style w:type="paragraph" w:customStyle="1" w:styleId="84">
    <w:name w:val="图框"/>
    <w:basedOn w:val="1"/>
    <w:autoRedefine/>
    <w:qFormat/>
    <w:uiPriority w:val="0"/>
    <w:pPr>
      <w:spacing w:line="240" w:lineRule="atLeast"/>
      <w:ind w:firstLine="200" w:firstLineChars="200"/>
      <w:jc w:val="center"/>
    </w:pPr>
    <w:rPr>
      <w:rFonts w:ascii="Times New Roman" w:hAnsi="Times New Roman" w:cs="Times New Roman" w:eastAsiaTheme="minorEastAsia"/>
      <w:bCs/>
      <w:szCs w:val="22"/>
    </w:rPr>
  </w:style>
  <w:style w:type="character" w:customStyle="1" w:styleId="85">
    <w:name w:val="apple-style-span"/>
    <w:basedOn w:val="37"/>
    <w:autoRedefine/>
    <w:qFormat/>
    <w:uiPriority w:val="0"/>
  </w:style>
  <w:style w:type="paragraph" w:customStyle="1" w:styleId="86">
    <w:name w:val="正  文"/>
    <w:basedOn w:val="1"/>
    <w:link w:val="87"/>
    <w:autoRedefine/>
    <w:qFormat/>
    <w:uiPriority w:val="0"/>
    <w:pPr>
      <w:widowControl/>
      <w:spacing w:beforeLines="200" w:afterLines="200"/>
      <w:jc w:val="center"/>
      <w:outlineLvl w:val="0"/>
    </w:pPr>
    <w:rPr>
      <w:rFonts w:ascii="Times New Roman" w:hAnsi="Times New Roman" w:cs="Times New Roman" w:eastAsiaTheme="minorEastAsia"/>
      <w:b/>
      <w:color w:val="000000"/>
      <w:kern w:val="0"/>
      <w:sz w:val="32"/>
      <w:szCs w:val="32"/>
    </w:rPr>
  </w:style>
  <w:style w:type="character" w:customStyle="1" w:styleId="87">
    <w:name w:val="正  文 Char"/>
    <w:link w:val="86"/>
    <w:autoRedefine/>
    <w:qFormat/>
    <w:uiPriority w:val="0"/>
    <w:rPr>
      <w:rFonts w:ascii="Times New Roman"/>
      <w:b/>
      <w:color w:val="000000"/>
      <w:sz w:val="32"/>
      <w:szCs w:val="32"/>
    </w:rPr>
  </w:style>
  <w:style w:type="paragraph" w:customStyle="1" w:styleId="88">
    <w:name w:val="标题1，"/>
    <w:basedOn w:val="2"/>
    <w:autoRedefine/>
    <w:qFormat/>
    <w:uiPriority w:val="0"/>
    <w:pPr>
      <w:spacing w:before="100" w:beforeAutospacing="1" w:after="100" w:afterAutospacing="1"/>
      <w:ind w:firstLine="0" w:firstLineChars="0"/>
      <w:outlineLvl w:val="0"/>
    </w:pPr>
  </w:style>
  <w:style w:type="paragraph" w:customStyle="1" w:styleId="89">
    <w:name w:val="标题 2，"/>
    <w:basedOn w:val="4"/>
    <w:autoRedefine/>
    <w:qFormat/>
    <w:uiPriority w:val="0"/>
    <w:pPr>
      <w:spacing w:beforeLines="50" w:beforeAutospacing="0" w:afterLines="50" w:afterAutospacing="0"/>
    </w:pPr>
  </w:style>
  <w:style w:type="paragraph" w:customStyle="1" w:styleId="90">
    <w:name w:val="标题 3，"/>
    <w:basedOn w:val="2"/>
    <w:autoRedefine/>
    <w:qFormat/>
    <w:uiPriority w:val="0"/>
  </w:style>
  <w:style w:type="paragraph" w:customStyle="1" w:styleId="91">
    <w:name w:val="表格内文字"/>
    <w:basedOn w:val="1"/>
    <w:next w:val="1"/>
    <w:link w:val="92"/>
    <w:autoRedefine/>
    <w:qFormat/>
    <w:uiPriority w:val="0"/>
    <w:pPr>
      <w:tabs>
        <w:tab w:val="left" w:pos="0"/>
      </w:tabs>
      <w:jc w:val="center"/>
    </w:pPr>
    <w:rPr>
      <w:rFonts w:ascii="Times New Roman" w:hAnsi="Times New Roman" w:cs="Times New Roman" w:eastAsiaTheme="minorEastAsia"/>
      <w:sz w:val="24"/>
      <w:szCs w:val="24"/>
    </w:rPr>
  </w:style>
  <w:style w:type="character" w:customStyle="1" w:styleId="92">
    <w:name w:val="表格内文字 Char"/>
    <w:basedOn w:val="37"/>
    <w:link w:val="91"/>
    <w:autoRedefine/>
    <w:qFormat/>
    <w:uiPriority w:val="0"/>
    <w:rPr>
      <w:rFonts w:eastAsia="仿宋_GB2312"/>
      <w:kern w:val="2"/>
      <w:sz w:val="24"/>
      <w:szCs w:val="24"/>
      <w:lang w:val="en-US" w:eastAsia="zh-CN" w:bidi="ar-SA"/>
    </w:rPr>
  </w:style>
  <w:style w:type="character" w:customStyle="1" w:styleId="93">
    <w:name w:val="infodetail1"/>
    <w:basedOn w:val="37"/>
    <w:autoRedefine/>
    <w:qFormat/>
    <w:uiPriority w:val="0"/>
    <w:rPr>
      <w:rFonts w:hint="default" w:ascii="ˎ̥" w:hAnsi="ˎ̥"/>
      <w:color w:val="000000"/>
      <w:sz w:val="24"/>
      <w:szCs w:val="24"/>
      <w:u w:val="none"/>
    </w:rPr>
  </w:style>
  <w:style w:type="paragraph" w:customStyle="1" w:styleId="94">
    <w:name w:val="正文1"/>
    <w:basedOn w:val="1"/>
    <w:autoRedefine/>
    <w:qFormat/>
    <w:uiPriority w:val="0"/>
    <w:pPr>
      <w:widowControl/>
      <w:spacing w:before="100" w:beforeAutospacing="1" w:after="100" w:afterAutospacing="1" w:line="432" w:lineRule="auto"/>
      <w:jc w:val="left"/>
    </w:pPr>
    <w:rPr>
      <w:rFonts w:ascii="ˎ̥" w:hAnsi="ˎ̥" w:eastAsia="宋体"/>
      <w:color w:val="000000"/>
      <w:kern w:val="0"/>
      <w:sz w:val="24"/>
      <w:szCs w:val="24"/>
    </w:rPr>
  </w:style>
  <w:style w:type="paragraph" w:customStyle="1" w:styleId="95">
    <w:name w:val="样式 正文 首行缩进:  2 字符 + 首行缩进:  2 字符"/>
    <w:basedOn w:val="1"/>
    <w:autoRedefine/>
    <w:qFormat/>
    <w:uiPriority w:val="0"/>
    <w:pPr>
      <w:ind w:firstLine="562" w:firstLineChars="200"/>
      <w:jc w:val="center"/>
    </w:pPr>
    <w:rPr>
      <w:rFonts w:hAnsi="Times New Roman" w:cs="Times New Roman" w:eastAsiaTheme="minorEastAsia"/>
      <w:b/>
      <w:color w:val="000000"/>
    </w:rPr>
  </w:style>
  <w:style w:type="paragraph" w:customStyle="1" w:styleId="96">
    <w:name w:val="表  格"/>
    <w:basedOn w:val="1"/>
    <w:link w:val="97"/>
    <w:autoRedefine/>
    <w:qFormat/>
    <w:uiPriority w:val="0"/>
    <w:pPr>
      <w:jc w:val="center"/>
    </w:pPr>
    <w:rPr>
      <w:rFonts w:ascii="宋体" w:eastAsia="宋体" w:cs="Times New Roman"/>
      <w:color w:val="000000"/>
      <w:kern w:val="0"/>
      <w:sz w:val="24"/>
      <w:szCs w:val="24"/>
    </w:rPr>
  </w:style>
  <w:style w:type="character" w:customStyle="1" w:styleId="97">
    <w:name w:val="表  格 Char"/>
    <w:link w:val="96"/>
    <w:autoRedefine/>
    <w:qFormat/>
    <w:uiPriority w:val="0"/>
    <w:rPr>
      <w:rFonts w:ascii="宋体" w:hAnsi="宋体" w:eastAsia="宋体"/>
      <w:color w:val="000000"/>
      <w:sz w:val="24"/>
      <w:szCs w:val="24"/>
    </w:rPr>
  </w:style>
  <w:style w:type="paragraph" w:customStyle="1" w:styleId="98">
    <w:name w:val="表  头"/>
    <w:basedOn w:val="1"/>
    <w:link w:val="99"/>
    <w:autoRedefine/>
    <w:qFormat/>
    <w:uiPriority w:val="0"/>
    <w:pPr>
      <w:widowControl/>
      <w:spacing w:line="360" w:lineRule="auto"/>
      <w:jc w:val="center"/>
    </w:pPr>
    <w:rPr>
      <w:rFonts w:ascii="黑体" w:eastAsia="黑体"/>
      <w:b/>
      <w:color w:val="000000"/>
      <w:kern w:val="0"/>
      <w:sz w:val="24"/>
      <w:szCs w:val="20"/>
    </w:rPr>
  </w:style>
  <w:style w:type="character" w:customStyle="1" w:styleId="99">
    <w:name w:val="表  头 Char"/>
    <w:basedOn w:val="37"/>
    <w:link w:val="98"/>
    <w:autoRedefine/>
    <w:qFormat/>
    <w:uiPriority w:val="0"/>
    <w:rPr>
      <w:rFonts w:ascii="黑体" w:hAnsi="宋体" w:eastAsia="黑体" w:cs="宋体"/>
      <w:b/>
      <w:color w:val="000000"/>
      <w:sz w:val="24"/>
    </w:rPr>
  </w:style>
  <w:style w:type="character" w:customStyle="1" w:styleId="100">
    <w:name w:val="c-gap-right2"/>
    <w:basedOn w:val="37"/>
    <w:autoRedefine/>
    <w:qFormat/>
    <w:uiPriority w:val="0"/>
  </w:style>
  <w:style w:type="character" w:customStyle="1" w:styleId="101">
    <w:name w:val="apple-converted-space"/>
    <w:basedOn w:val="37"/>
    <w:autoRedefine/>
    <w:qFormat/>
    <w:uiPriority w:val="0"/>
  </w:style>
  <w:style w:type="character" w:customStyle="1" w:styleId="102">
    <w:name w:val="m_21"/>
    <w:basedOn w:val="37"/>
    <w:autoRedefine/>
    <w:qFormat/>
    <w:uiPriority w:val="0"/>
  </w:style>
  <w:style w:type="character" w:customStyle="1" w:styleId="103">
    <w:name w:val="m_25"/>
    <w:basedOn w:val="37"/>
    <w:autoRedefine/>
    <w:qFormat/>
    <w:uiPriority w:val="0"/>
  </w:style>
  <w:style w:type="character" w:customStyle="1" w:styleId="104">
    <w:name w:val="m_18"/>
    <w:basedOn w:val="37"/>
    <w:autoRedefine/>
    <w:qFormat/>
    <w:uiPriority w:val="0"/>
  </w:style>
  <w:style w:type="character" w:customStyle="1" w:styleId="105">
    <w:name w:val="m_20"/>
    <w:basedOn w:val="37"/>
    <w:autoRedefine/>
    <w:qFormat/>
    <w:uiPriority w:val="0"/>
  </w:style>
  <w:style w:type="character" w:customStyle="1" w:styleId="106">
    <w:name w:val="m_17"/>
    <w:basedOn w:val="37"/>
    <w:autoRedefine/>
    <w:qFormat/>
    <w:uiPriority w:val="0"/>
  </w:style>
  <w:style w:type="character" w:customStyle="1" w:styleId="107">
    <w:name w:val="m_27"/>
    <w:basedOn w:val="37"/>
    <w:autoRedefine/>
    <w:qFormat/>
    <w:uiPriority w:val="0"/>
  </w:style>
  <w:style w:type="character" w:customStyle="1" w:styleId="108">
    <w:name w:val="m_4"/>
    <w:basedOn w:val="37"/>
    <w:autoRedefine/>
    <w:qFormat/>
    <w:uiPriority w:val="0"/>
  </w:style>
  <w:style w:type="character" w:customStyle="1" w:styleId="109">
    <w:name w:val="m_47"/>
    <w:basedOn w:val="37"/>
    <w:autoRedefine/>
    <w:qFormat/>
    <w:uiPriority w:val="0"/>
  </w:style>
  <w:style w:type="character" w:customStyle="1" w:styleId="110">
    <w:name w:val="m_12"/>
    <w:basedOn w:val="37"/>
    <w:autoRedefine/>
    <w:qFormat/>
    <w:uiPriority w:val="0"/>
  </w:style>
  <w:style w:type="character" w:customStyle="1" w:styleId="111">
    <w:name w:val="m_43"/>
    <w:basedOn w:val="37"/>
    <w:autoRedefine/>
    <w:qFormat/>
    <w:uiPriority w:val="0"/>
  </w:style>
  <w:style w:type="character" w:customStyle="1" w:styleId="112">
    <w:name w:val="m_15"/>
    <w:basedOn w:val="37"/>
    <w:autoRedefine/>
    <w:qFormat/>
    <w:uiPriority w:val="0"/>
  </w:style>
  <w:style w:type="character" w:customStyle="1" w:styleId="113">
    <w:name w:val="m_40"/>
    <w:basedOn w:val="37"/>
    <w:autoRedefine/>
    <w:qFormat/>
    <w:uiPriority w:val="0"/>
  </w:style>
  <w:style w:type="character" w:customStyle="1" w:styleId="114">
    <w:name w:val="m_37"/>
    <w:basedOn w:val="37"/>
    <w:autoRedefine/>
    <w:qFormat/>
    <w:uiPriority w:val="0"/>
  </w:style>
  <w:style w:type="character" w:customStyle="1" w:styleId="115">
    <w:name w:val="纯文本 Char"/>
    <w:basedOn w:val="37"/>
    <w:autoRedefine/>
    <w:qFormat/>
    <w:uiPriority w:val="0"/>
    <w:rPr>
      <w:rFonts w:ascii="宋体" w:hAnsi="Courier New" w:eastAsia="宋体" w:cs="Courier New"/>
      <w:kern w:val="2"/>
      <w:sz w:val="21"/>
      <w:szCs w:val="21"/>
    </w:rPr>
  </w:style>
  <w:style w:type="paragraph" w:customStyle="1" w:styleId="116">
    <w:name w:val="报告书表格"/>
    <w:basedOn w:val="1"/>
    <w:link w:val="117"/>
    <w:autoRedefine/>
    <w:qFormat/>
    <w:uiPriority w:val="0"/>
    <w:pPr>
      <w:spacing w:line="400" w:lineRule="exact"/>
      <w:jc w:val="center"/>
      <w:textAlignment w:val="baseline"/>
    </w:pPr>
    <w:rPr>
      <w:rFonts w:ascii="Times New Roman" w:hAnsi="Times New Roman" w:cs="Times New Roman" w:eastAsiaTheme="minorEastAsia"/>
      <w:kern w:val="0"/>
      <w:sz w:val="24"/>
      <w:szCs w:val="20"/>
    </w:rPr>
  </w:style>
  <w:style w:type="character" w:customStyle="1" w:styleId="117">
    <w:name w:val="报告书表格 Char"/>
    <w:link w:val="116"/>
    <w:autoRedefine/>
    <w:qFormat/>
    <w:uiPriority w:val="0"/>
    <w:rPr>
      <w:sz w:val="24"/>
    </w:rPr>
  </w:style>
  <w:style w:type="character" w:customStyle="1" w:styleId="118">
    <w:name w:val="标题 2 Char8"/>
    <w:autoRedefine/>
    <w:qFormat/>
    <w:uiPriority w:val="0"/>
    <w:rPr>
      <w:rFonts w:ascii="Arial" w:hAnsi="Arial" w:eastAsia="黑体"/>
      <w:b/>
      <w:bCs/>
      <w:kern w:val="2"/>
      <w:sz w:val="32"/>
      <w:szCs w:val="32"/>
      <w:lang w:val="en-US" w:eastAsia="zh-CN" w:bidi="ar-SA"/>
    </w:rPr>
  </w:style>
  <w:style w:type="paragraph" w:customStyle="1" w:styleId="119">
    <w:name w:val="图文框"/>
    <w:basedOn w:val="1"/>
    <w:autoRedefine/>
    <w:qFormat/>
    <w:uiPriority w:val="0"/>
    <w:pPr>
      <w:jc w:val="center"/>
    </w:pPr>
    <w:rPr>
      <w:rFonts w:ascii="Times New Roman" w:hAnsi="Times New Roman" w:cs="Times New Roman" w:eastAsiaTheme="minorEastAsia"/>
      <w:sz w:val="24"/>
      <w:szCs w:val="21"/>
    </w:rPr>
  </w:style>
  <w:style w:type="paragraph" w:customStyle="1" w:styleId="120">
    <w:name w:val="xl28"/>
    <w:basedOn w:val="1"/>
    <w:autoRedefine/>
    <w:qFormat/>
    <w:uiPriority w:val="0"/>
    <w:pPr>
      <w:widowControl/>
      <w:pBdr>
        <w:left w:val="single" w:color="auto" w:sz="4" w:space="0"/>
        <w:right w:val="single" w:color="auto" w:sz="4" w:space="0"/>
      </w:pBdr>
      <w:spacing w:before="100" w:beforeAutospacing="1" w:after="100" w:afterAutospacing="1" w:line="500" w:lineRule="exact"/>
      <w:jc w:val="center"/>
      <w:textAlignment w:val="center"/>
    </w:pPr>
    <w:rPr>
      <w:rFonts w:ascii="宋体" w:eastAsia="宋体" w:cs="Times New Roman"/>
      <w:kern w:val="0"/>
      <w:sz w:val="24"/>
      <w:szCs w:val="24"/>
    </w:rPr>
  </w:style>
  <w:style w:type="paragraph" w:customStyle="1" w:styleId="121">
    <w:name w:val="reader-word-layer"/>
    <w:basedOn w:val="1"/>
    <w:autoRedefine/>
    <w:qFormat/>
    <w:uiPriority w:val="0"/>
    <w:pPr>
      <w:widowControl/>
      <w:adjustRightInd/>
      <w:snapToGrid/>
      <w:spacing w:before="100" w:beforeAutospacing="1" w:after="100" w:afterAutospacing="1"/>
      <w:jc w:val="left"/>
    </w:pPr>
    <w:rPr>
      <w:rFonts w:ascii="宋体" w:eastAsia="宋体"/>
      <w:kern w:val="0"/>
      <w:sz w:val="24"/>
      <w:szCs w:val="24"/>
    </w:rPr>
  </w:style>
  <w:style w:type="paragraph" w:customStyle="1" w:styleId="122">
    <w:name w:val="小表格"/>
    <w:basedOn w:val="1"/>
    <w:autoRedefine/>
    <w:qFormat/>
    <w:uiPriority w:val="0"/>
    <w:pPr>
      <w:widowControl/>
      <w:autoSpaceDE w:val="0"/>
      <w:autoSpaceDN w:val="0"/>
      <w:spacing w:after="200"/>
      <w:jc w:val="center"/>
    </w:pPr>
    <w:rPr>
      <w:rFonts w:hint="eastAsia" w:ascii="Tahoma" w:hAnsi="Tahoma" w:eastAsia="微软雅黑" w:cs="Times New Roman"/>
      <w:kern w:val="0"/>
      <w:sz w:val="22"/>
      <w:szCs w:val="20"/>
    </w:rPr>
  </w:style>
  <w:style w:type="paragraph" w:customStyle="1" w:styleId="123">
    <w:name w:val="正文5"/>
    <w:basedOn w:val="1"/>
    <w:link w:val="124"/>
    <w:autoRedefine/>
    <w:qFormat/>
    <w:uiPriority w:val="0"/>
    <w:pPr>
      <w:widowControl/>
      <w:spacing w:after="200"/>
      <w:jc w:val="left"/>
    </w:pPr>
    <w:rPr>
      <w:rFonts w:ascii="Times New Roman" w:hAnsi="Times New Roman" w:eastAsia="宋体" w:cs="Times New Roman"/>
      <w:kern w:val="0"/>
      <w:sz w:val="22"/>
      <w:szCs w:val="22"/>
    </w:rPr>
  </w:style>
  <w:style w:type="character" w:customStyle="1" w:styleId="124">
    <w:name w:val="正文5 Char"/>
    <w:basedOn w:val="37"/>
    <w:link w:val="123"/>
    <w:autoRedefine/>
    <w:qFormat/>
    <w:uiPriority w:val="0"/>
    <w:rPr>
      <w:rFonts w:eastAsia="宋体"/>
      <w:sz w:val="22"/>
      <w:szCs w:val="22"/>
    </w:rPr>
  </w:style>
  <w:style w:type="paragraph" w:customStyle="1" w:styleId="125">
    <w:name w:val="样式 标题 3 + 四号"/>
    <w:basedOn w:val="2"/>
    <w:autoRedefine/>
    <w:qFormat/>
    <w:uiPriority w:val="0"/>
    <w:pPr>
      <w:keepNext w:val="0"/>
      <w:keepLines w:val="0"/>
      <w:widowControl/>
      <w:tabs>
        <w:tab w:val="left" w:pos="5415"/>
      </w:tabs>
      <w:autoSpaceDE w:val="0"/>
      <w:autoSpaceDN w:val="0"/>
      <w:spacing w:after="200"/>
      <w:ind w:firstLine="0" w:firstLineChars="0"/>
      <w:outlineLvl w:val="9"/>
    </w:pPr>
    <w:rPr>
      <w:rFonts w:eastAsia="宋体"/>
      <w:b w:val="0"/>
      <w:kern w:val="0"/>
      <w:sz w:val="21"/>
      <w:szCs w:val="21"/>
    </w:rPr>
  </w:style>
  <w:style w:type="paragraph" w:customStyle="1" w:styleId="126">
    <w:name w:val="表格"/>
    <w:basedOn w:val="1"/>
    <w:autoRedefine/>
    <w:qFormat/>
    <w:uiPriority w:val="0"/>
    <w:pPr>
      <w:widowControl/>
      <w:autoSpaceDE w:val="0"/>
      <w:autoSpaceDN w:val="0"/>
      <w:spacing w:after="200"/>
      <w:jc w:val="center"/>
    </w:pPr>
    <w:rPr>
      <w:rFonts w:ascii="Tahoma" w:hAnsi="Times New Roman" w:eastAsia="微软雅黑" w:cs="Times New Roman"/>
      <w:kern w:val="0"/>
      <w:sz w:val="24"/>
      <w:szCs w:val="20"/>
    </w:rPr>
  </w:style>
  <w:style w:type="paragraph" w:customStyle="1" w:styleId="127">
    <w:name w:val="xl42"/>
    <w:basedOn w:val="1"/>
    <w:autoRedefine/>
    <w:qFormat/>
    <w:uiPriority w:val="0"/>
    <w:pPr>
      <w:widowControl/>
      <w:pBdr>
        <w:bottom w:val="dotted" w:color="auto" w:sz="4" w:space="0"/>
        <w:right w:val="dotted" w:color="auto" w:sz="4" w:space="0"/>
      </w:pBdr>
      <w:adjustRightInd/>
      <w:snapToGrid/>
      <w:spacing w:before="100" w:beforeAutospacing="1" w:after="100" w:afterAutospacing="1"/>
      <w:jc w:val="center"/>
    </w:pPr>
    <w:rPr>
      <w:rFonts w:ascii="Times New Roman" w:hAnsi="Times New Roman" w:eastAsia="宋体" w:cs="Times New Roman"/>
      <w:kern w:val="0"/>
      <w:sz w:val="21"/>
      <w:szCs w:val="21"/>
    </w:rPr>
  </w:style>
  <w:style w:type="character" w:customStyle="1" w:styleId="128">
    <w:name w:val="f241"/>
    <w:basedOn w:val="37"/>
    <w:autoRedefine/>
    <w:qFormat/>
    <w:uiPriority w:val="0"/>
    <w:rPr>
      <w:spacing w:val="288"/>
      <w:sz w:val="29"/>
      <w:szCs w:val="29"/>
    </w:rPr>
  </w:style>
  <w:style w:type="paragraph" w:customStyle="1" w:styleId="129">
    <w:name w:val="默认段落字体 Para Char Char Char Char"/>
    <w:basedOn w:val="1"/>
    <w:autoRedefine/>
    <w:qFormat/>
    <w:uiPriority w:val="0"/>
    <w:pPr>
      <w:adjustRightInd/>
      <w:snapToGrid/>
    </w:pPr>
    <w:rPr>
      <w:rFonts w:ascii="Times New Roman" w:hAnsi="Times New Roman" w:eastAsia="宋体" w:cs="Times New Roman"/>
      <w:sz w:val="21"/>
      <w:szCs w:val="20"/>
    </w:rPr>
  </w:style>
  <w:style w:type="character" w:customStyle="1" w:styleId="130">
    <w:name w:val="正文 小五 Char"/>
    <w:basedOn w:val="37"/>
    <w:link w:val="131"/>
    <w:autoRedefine/>
    <w:qFormat/>
    <w:uiPriority w:val="0"/>
    <w:rPr>
      <w:rFonts w:ascii="宋体" w:hAnsi="宋体" w:eastAsia="宋体"/>
      <w:spacing w:val="-6"/>
      <w:kern w:val="2"/>
      <w:sz w:val="18"/>
      <w:szCs w:val="18"/>
    </w:rPr>
  </w:style>
  <w:style w:type="paragraph" w:customStyle="1" w:styleId="131">
    <w:name w:val="正文 小五"/>
    <w:basedOn w:val="1"/>
    <w:link w:val="130"/>
    <w:autoRedefine/>
    <w:qFormat/>
    <w:uiPriority w:val="0"/>
    <w:pPr>
      <w:adjustRightInd/>
      <w:snapToGrid/>
      <w:spacing w:line="270" w:lineRule="exact"/>
      <w:jc w:val="left"/>
    </w:pPr>
    <w:rPr>
      <w:rFonts w:ascii="宋体" w:eastAsia="宋体" w:cs="Times New Roman"/>
      <w:spacing w:val="-6"/>
      <w:sz w:val="18"/>
      <w:szCs w:val="18"/>
    </w:rPr>
  </w:style>
  <w:style w:type="paragraph" w:customStyle="1" w:styleId="132">
    <w:name w:val="正文 New"/>
    <w:autoRedefine/>
    <w:qFormat/>
    <w:uiPriority w:val="34"/>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p0"/>
    <w:basedOn w:val="1"/>
    <w:autoRedefine/>
    <w:qFormat/>
    <w:uiPriority w:val="0"/>
    <w:pPr>
      <w:widowControl/>
      <w:adjustRightInd/>
      <w:snapToGrid/>
      <w:jc w:val="left"/>
    </w:pPr>
    <w:rPr>
      <w:rFonts w:ascii="宋体" w:eastAsia="宋体"/>
      <w:kern w:val="0"/>
      <w:sz w:val="24"/>
      <w:szCs w:val="24"/>
    </w:rPr>
  </w:style>
  <w:style w:type="character" w:customStyle="1" w:styleId="134">
    <w:name w:val="占位符文本1"/>
    <w:basedOn w:val="37"/>
    <w:autoRedefine/>
    <w:unhideWhenUsed/>
    <w:qFormat/>
    <w:uiPriority w:val="99"/>
    <w:rPr>
      <w:color w:val="808080"/>
    </w:rPr>
  </w:style>
  <w:style w:type="character" w:styleId="135">
    <w:name w:val="Placeholder Text"/>
    <w:basedOn w:val="37"/>
    <w:autoRedefine/>
    <w:unhideWhenUsed/>
    <w:qFormat/>
    <w:uiPriority w:val="99"/>
    <w:rPr>
      <w:color w:val="808080"/>
    </w:rPr>
  </w:style>
  <w:style w:type="paragraph" w:customStyle="1" w:styleId="136">
    <w:name w:val="样式 题注 + 首行缩进:  2 字符"/>
    <w:basedOn w:val="8"/>
    <w:autoRedefine/>
    <w:qFormat/>
    <w:uiPriority w:val="0"/>
    <w:pPr>
      <w:adjustRightInd/>
      <w:snapToGrid/>
      <w:spacing w:line="520" w:lineRule="exact"/>
      <w:ind w:firstLine="0" w:firstLineChars="0"/>
      <w:jc w:val="center"/>
    </w:pPr>
    <w:rPr>
      <w:rFonts w:ascii="Arial" w:hAnsi="Arial"/>
      <w:sz w:val="24"/>
    </w:rPr>
  </w:style>
  <w:style w:type="paragraph" w:customStyle="1" w:styleId="137">
    <w:name w:val="1正文"/>
    <w:basedOn w:val="16"/>
    <w:link w:val="138"/>
    <w:autoRedefine/>
    <w:qFormat/>
    <w:uiPriority w:val="0"/>
    <w:pPr>
      <w:adjustRightInd/>
      <w:snapToGrid/>
      <w:spacing w:line="560" w:lineRule="exact"/>
      <w:ind w:firstLine="480" w:firstLineChars="200"/>
      <w:jc w:val="both"/>
    </w:pPr>
    <w:rPr>
      <w:rFonts w:ascii="Times New Roman" w:hAnsi="Times New Roman"/>
      <w:sz w:val="24"/>
      <w:szCs w:val="20"/>
    </w:rPr>
  </w:style>
  <w:style w:type="character" w:customStyle="1" w:styleId="138">
    <w:name w:val="1正文 Char"/>
    <w:link w:val="137"/>
    <w:autoRedefine/>
    <w:qFormat/>
    <w:uiPriority w:val="0"/>
    <w:rPr>
      <w:rFonts w:eastAsia="宋体"/>
      <w:kern w:val="2"/>
      <w:sz w:val="24"/>
    </w:rPr>
  </w:style>
  <w:style w:type="paragraph" w:customStyle="1" w:styleId="139">
    <w:name w:val="文字"/>
    <w:basedOn w:val="1"/>
    <w:link w:val="140"/>
    <w:autoRedefine/>
    <w:qFormat/>
    <w:uiPriority w:val="0"/>
    <w:pPr>
      <w:adjustRightInd/>
      <w:snapToGrid/>
      <w:spacing w:line="360" w:lineRule="auto"/>
      <w:ind w:firstLine="200" w:firstLineChars="200"/>
    </w:pPr>
    <w:rPr>
      <w:rFonts w:ascii="Times New Roman" w:hAnsi="Times New Roman" w:cs="Times New Roman"/>
      <w:sz w:val="24"/>
      <w:szCs w:val="24"/>
    </w:rPr>
  </w:style>
  <w:style w:type="character" w:customStyle="1" w:styleId="140">
    <w:name w:val="文字 Char"/>
    <w:basedOn w:val="37"/>
    <w:link w:val="139"/>
    <w:autoRedefine/>
    <w:qFormat/>
    <w:uiPriority w:val="0"/>
    <w:rPr>
      <w:rFonts w:eastAsia="仿宋_GB2312"/>
      <w:kern w:val="2"/>
      <w:sz w:val="24"/>
      <w:szCs w:val="24"/>
    </w:rPr>
  </w:style>
  <w:style w:type="paragraph" w:styleId="141">
    <w:name w:val="List Paragraph"/>
    <w:basedOn w:val="1"/>
    <w:autoRedefine/>
    <w:unhideWhenUsed/>
    <w:qFormat/>
    <w:uiPriority w:val="1"/>
    <w:pPr>
      <w:ind w:firstLine="420" w:firstLineChars="200"/>
      <w:jc w:val="left"/>
    </w:pPr>
    <w:rPr>
      <w:rFonts w:ascii="Times New Roman" w:hAnsi="Times New Roman" w:cs="Times New Roman" w:eastAsiaTheme="minorEastAsia"/>
      <w:szCs w:val="22"/>
    </w:rPr>
  </w:style>
  <w:style w:type="character" w:customStyle="1" w:styleId="142">
    <w:name w:val="表格内容 Char"/>
    <w:link w:val="143"/>
    <w:autoRedefine/>
    <w:qFormat/>
    <w:uiPriority w:val="0"/>
    <w:rPr>
      <w:rFonts w:ascii="宋体" w:hAnsi="宋体"/>
      <w:color w:val="000000"/>
      <w:szCs w:val="21"/>
    </w:rPr>
  </w:style>
  <w:style w:type="paragraph" w:customStyle="1" w:styleId="143">
    <w:name w:val="表格内容"/>
    <w:basedOn w:val="1"/>
    <w:link w:val="142"/>
    <w:autoRedefine/>
    <w:qFormat/>
    <w:uiPriority w:val="0"/>
    <w:pPr>
      <w:adjustRightInd/>
      <w:snapToGrid/>
      <w:spacing w:line="280" w:lineRule="exact"/>
      <w:jc w:val="center"/>
    </w:pPr>
    <w:rPr>
      <w:rFonts w:ascii="宋体" w:cs="Times New Roman" w:eastAsiaTheme="minorEastAsia"/>
      <w:color w:val="000000"/>
      <w:kern w:val="0"/>
      <w:sz w:val="20"/>
      <w:szCs w:val="21"/>
    </w:rPr>
  </w:style>
  <w:style w:type="paragraph" w:customStyle="1" w:styleId="144">
    <w:name w:val="二级无标题条"/>
    <w:basedOn w:val="1"/>
    <w:autoRedefine/>
    <w:qFormat/>
    <w:uiPriority w:val="0"/>
    <w:pPr>
      <w:adjustRightInd/>
      <w:snapToGrid/>
    </w:pPr>
    <w:rPr>
      <w:rFonts w:ascii="Times New Roman" w:hAnsi="Times New Roman" w:cs="Times New Roman"/>
      <w:sz w:val="24"/>
      <w:szCs w:val="24"/>
    </w:rPr>
  </w:style>
  <w:style w:type="character" w:customStyle="1" w:styleId="145">
    <w:name w:val="样式 正文 Char"/>
    <w:link w:val="146"/>
    <w:autoRedefine/>
    <w:qFormat/>
    <w:uiPriority w:val="0"/>
    <w:rPr>
      <w:rFonts w:eastAsia="宋体"/>
      <w:sz w:val="28"/>
    </w:rPr>
  </w:style>
  <w:style w:type="paragraph" w:customStyle="1" w:styleId="146">
    <w:name w:val="样式 正文"/>
    <w:basedOn w:val="1"/>
    <w:link w:val="145"/>
    <w:autoRedefine/>
    <w:qFormat/>
    <w:uiPriority w:val="0"/>
    <w:pPr>
      <w:adjustRightInd/>
      <w:snapToGrid/>
      <w:spacing w:line="520" w:lineRule="exact"/>
      <w:ind w:firstLine="560"/>
    </w:pPr>
    <w:rPr>
      <w:rFonts w:ascii="Times New Roman" w:hAnsi="Times New Roman" w:eastAsia="宋体" w:cs="Times New Roman"/>
      <w:kern w:val="0"/>
      <w:szCs w:val="20"/>
    </w:rPr>
  </w:style>
  <w:style w:type="paragraph" w:customStyle="1" w:styleId="147">
    <w:name w:val="标题 31"/>
    <w:basedOn w:val="1"/>
    <w:next w:val="1"/>
    <w:autoRedefine/>
    <w:qFormat/>
    <w:uiPriority w:val="0"/>
    <w:pPr>
      <w:keepNext/>
      <w:keepLines/>
      <w:spacing w:before="260" w:after="260" w:line="416" w:lineRule="atLeast"/>
      <w:textAlignment w:val="baseline"/>
      <w:outlineLvl w:val="2"/>
    </w:pPr>
    <w:rPr>
      <w:rFonts w:ascii="Times New Roman" w:hAnsi="Times New Roman" w:cs="Times New Roman"/>
      <w:b/>
      <w:bCs/>
      <w:kern w:val="0"/>
      <w:sz w:val="32"/>
      <w:szCs w:val="32"/>
    </w:rPr>
  </w:style>
  <w:style w:type="character" w:customStyle="1" w:styleId="148">
    <w:name w:val="正文(首行缩进) Char"/>
    <w:link w:val="149"/>
    <w:autoRedefine/>
    <w:qFormat/>
    <w:locked/>
    <w:uiPriority w:val="0"/>
    <w:rPr>
      <w:rFonts w:ascii="宋体" w:eastAsia="宋体"/>
      <w:snapToGrid w:val="0"/>
      <w:kern w:val="2"/>
      <w:sz w:val="24"/>
    </w:rPr>
  </w:style>
  <w:style w:type="paragraph" w:customStyle="1" w:styleId="149">
    <w:name w:val="正文(首行缩进)"/>
    <w:basedOn w:val="1"/>
    <w:link w:val="148"/>
    <w:autoRedefine/>
    <w:qFormat/>
    <w:uiPriority w:val="0"/>
    <w:pPr>
      <w:spacing w:line="360" w:lineRule="auto"/>
      <w:ind w:firstLine="200" w:firstLineChars="200"/>
    </w:pPr>
    <w:rPr>
      <w:rFonts w:ascii="宋体" w:hAnsi="Times New Roman" w:eastAsia="宋体" w:cs="Times New Roman"/>
      <w:snapToGrid w:val="0"/>
      <w:sz w:val="24"/>
      <w:szCs w:val="20"/>
    </w:rPr>
  </w:style>
  <w:style w:type="paragraph" w:customStyle="1" w:styleId="150">
    <w:name w:val="Char Char1 Char Char Char Char"/>
    <w:basedOn w:val="1"/>
    <w:autoRedefine/>
    <w:qFormat/>
    <w:uiPriority w:val="0"/>
    <w:pPr>
      <w:adjustRightInd/>
      <w:snapToGrid/>
    </w:pPr>
    <w:rPr>
      <w:rFonts w:ascii="Times New Roman" w:hAnsi="Times New Roman" w:eastAsia="宋体" w:cs="Times New Roman"/>
      <w:sz w:val="21"/>
      <w:szCs w:val="20"/>
    </w:rPr>
  </w:style>
  <w:style w:type="character" w:customStyle="1" w:styleId="151">
    <w:name w:val="正文文本 3 Char"/>
    <w:autoRedefine/>
    <w:qFormat/>
    <w:uiPriority w:val="0"/>
    <w:rPr>
      <w:kern w:val="2"/>
      <w:sz w:val="16"/>
      <w:szCs w:val="16"/>
    </w:rPr>
  </w:style>
  <w:style w:type="paragraph" w:customStyle="1" w:styleId="152">
    <w:name w:val="表图1"/>
    <w:basedOn w:val="1"/>
    <w:autoRedefine/>
    <w:qFormat/>
    <w:uiPriority w:val="0"/>
    <w:pPr>
      <w:adjustRightInd/>
      <w:snapToGrid/>
      <w:spacing w:line="360" w:lineRule="exact"/>
      <w:jc w:val="center"/>
    </w:pPr>
    <w:rPr>
      <w:rFonts w:ascii="Times New Roman" w:hAnsi="Times New Roman" w:cs="Times New Roman"/>
      <w:sz w:val="21"/>
      <w:szCs w:val="24"/>
    </w:rPr>
  </w:style>
  <w:style w:type="paragraph" w:customStyle="1" w:styleId="153">
    <w:name w:val="msolistparagraph"/>
    <w:basedOn w:val="1"/>
    <w:autoRedefine/>
    <w:qFormat/>
    <w:uiPriority w:val="0"/>
    <w:pPr>
      <w:adjustRightInd/>
      <w:snapToGrid/>
      <w:ind w:firstLine="420" w:firstLineChars="200"/>
    </w:pPr>
    <w:rPr>
      <w:rFonts w:ascii="Calibri" w:hAnsi="Calibri" w:eastAsia="宋体" w:cs="Times New Roman"/>
      <w:sz w:val="21"/>
      <w:szCs w:val="22"/>
    </w:rPr>
  </w:style>
  <w:style w:type="character" w:customStyle="1" w:styleId="154">
    <w:name w:val="font01"/>
    <w:basedOn w:val="37"/>
    <w:autoRedefine/>
    <w:qFormat/>
    <w:uiPriority w:val="0"/>
    <w:rPr>
      <w:rFonts w:hint="eastAsia" w:ascii="宋体" w:hAnsi="宋体" w:eastAsia="宋体"/>
      <w:color w:val="000000"/>
      <w:sz w:val="24"/>
      <w:szCs w:val="24"/>
      <w:u w:val="none"/>
    </w:rPr>
  </w:style>
  <w:style w:type="character" w:customStyle="1" w:styleId="155">
    <w:name w:val="font11"/>
    <w:basedOn w:val="37"/>
    <w:autoRedefine/>
    <w:qFormat/>
    <w:uiPriority w:val="0"/>
    <w:rPr>
      <w:rFonts w:hint="default" w:ascii="Times New Roman" w:hAnsi="Times New Roman" w:cs="Times New Roman"/>
      <w:color w:val="000000"/>
      <w:sz w:val="24"/>
      <w:szCs w:val="24"/>
      <w:u w:val="none"/>
    </w:rPr>
  </w:style>
  <w:style w:type="paragraph" w:customStyle="1" w:styleId="156">
    <w:name w:val="标题 21"/>
    <w:basedOn w:val="1"/>
    <w:next w:val="1"/>
    <w:autoRedefine/>
    <w:qFormat/>
    <w:uiPriority w:val="0"/>
    <w:pPr>
      <w:keepNext/>
      <w:keepLines/>
      <w:adjustRightInd/>
      <w:snapToGrid/>
      <w:spacing w:before="260" w:after="260" w:line="410" w:lineRule="auto"/>
      <w:outlineLvl w:val="1"/>
    </w:pPr>
    <w:rPr>
      <w:rFonts w:ascii="Arial" w:hAnsi="Arial" w:eastAsia="黑体" w:cs="Times New Roman"/>
      <w:b/>
      <w:bCs/>
      <w:sz w:val="32"/>
      <w:szCs w:val="32"/>
    </w:rPr>
  </w:style>
  <w:style w:type="character" w:customStyle="1" w:styleId="157">
    <w:name w:val="10"/>
    <w:basedOn w:val="37"/>
    <w:autoRedefine/>
    <w:qFormat/>
    <w:uiPriority w:val="0"/>
    <w:rPr>
      <w:rFonts w:hint="default" w:ascii="Calibri" w:hAnsi="Calibri" w:cs="Calibri"/>
    </w:rPr>
  </w:style>
  <w:style w:type="paragraph" w:customStyle="1" w:styleId="158">
    <w:name w:val="xl67"/>
    <w:basedOn w:val="1"/>
    <w:autoRedefine/>
    <w:qFormat/>
    <w:uiPriority w:val="0"/>
    <w:pPr>
      <w:widowControl/>
      <w:pBdr>
        <w:left w:val="single" w:color="auto" w:sz="4" w:space="0"/>
      </w:pBdr>
      <w:adjustRightInd/>
      <w:snapToGrid/>
      <w:spacing w:before="100" w:beforeAutospacing="1" w:after="100" w:afterAutospacing="1"/>
      <w:jc w:val="center"/>
    </w:pPr>
    <w:rPr>
      <w:rFonts w:hint="eastAsia" w:cs="Times New Roman"/>
      <w:kern w:val="0"/>
      <w:sz w:val="24"/>
      <w:szCs w:val="24"/>
    </w:rPr>
  </w:style>
  <w:style w:type="paragraph" w:customStyle="1" w:styleId="159">
    <w:name w:val="Table Paragraph"/>
    <w:basedOn w:val="1"/>
    <w:autoRedefine/>
    <w:qFormat/>
    <w:uiPriority w:val="1"/>
    <w:pPr>
      <w:autoSpaceDE w:val="0"/>
      <w:autoSpaceDN w:val="0"/>
      <w:adjustRightInd/>
      <w:snapToGrid/>
      <w:jc w:val="center"/>
    </w:pPr>
    <w:rPr>
      <w:rFonts w:ascii="仿宋" w:hAnsi="仿宋" w:eastAsia="仿宋" w:cs="仿宋"/>
      <w:kern w:val="0"/>
      <w:sz w:val="22"/>
      <w:szCs w:val="22"/>
      <w:lang w:val="zh-CN" w:bidi="zh-CN"/>
    </w:rPr>
  </w:style>
  <w:style w:type="character" w:customStyle="1" w:styleId="160">
    <w:name w:val="正文缩进 Char"/>
    <w:basedOn w:val="37"/>
    <w:autoRedefine/>
    <w:qFormat/>
    <w:uiPriority w:val="0"/>
    <w:rPr>
      <w:rFonts w:ascii="Times New Roman" w:hAnsi="Times New Roman" w:eastAsia="宋体" w:cs="Times New Roman"/>
      <w:szCs w:val="20"/>
    </w:rPr>
  </w:style>
  <w:style w:type="character" w:customStyle="1" w:styleId="161">
    <w:name w:val="未处理的提及1"/>
    <w:basedOn w:val="37"/>
    <w:autoRedefine/>
    <w:semiHidden/>
    <w:unhideWhenUsed/>
    <w:qFormat/>
    <w:uiPriority w:val="99"/>
    <w:rPr>
      <w:color w:val="605E5C"/>
      <w:shd w:val="clear" w:color="auto" w:fill="E1DFDD"/>
    </w:rPr>
  </w:style>
  <w:style w:type="table" w:customStyle="1" w:styleId="162">
    <w:name w:val="Table Normal"/>
    <w:autoRedefine/>
    <w:semiHidden/>
    <w:qFormat/>
    <w:uiPriority w:val="2"/>
    <w:pPr>
      <w:widowControl w:val="0"/>
      <w:autoSpaceDE w:val="0"/>
      <w:autoSpaceDN w:val="0"/>
    </w:pPr>
    <w:rPr>
      <w:rFonts w:eastAsia="Times New Roman"/>
      <w:sz w:val="22"/>
      <w:lang w:eastAsia="en-US"/>
    </w:rPr>
    <w:tblPr>
      <w:tblCellMar>
        <w:top w:w="0" w:type="dxa"/>
        <w:left w:w="0" w:type="dxa"/>
        <w:bottom w:w="0" w:type="dxa"/>
        <w:right w:w="0" w:type="dxa"/>
      </w:tblCellMar>
    </w:tblPr>
  </w:style>
  <w:style w:type="paragraph" w:customStyle="1" w:styleId="163">
    <w:name w:val="_Style 1"/>
    <w:basedOn w:val="1"/>
    <w:autoRedefine/>
    <w:qFormat/>
    <w:uiPriority w:val="34"/>
    <w:pPr>
      <w:adjustRightInd/>
      <w:snapToGrid/>
      <w:spacing w:before="100" w:beforeAutospacing="1"/>
      <w:ind w:firstLine="420" w:firstLineChars="200"/>
    </w:pPr>
    <w:rPr>
      <w:rFonts w:ascii="Times New Roman" w:hAnsi="Times New Roman" w:cs="Times New Roman"/>
    </w:rPr>
  </w:style>
  <w:style w:type="paragraph" w:customStyle="1" w:styleId="164">
    <w:name w:val="表文字"/>
    <w:basedOn w:val="1"/>
    <w:autoRedefine/>
    <w:qFormat/>
    <w:uiPriority w:val="0"/>
    <w:pPr>
      <w:widowControl/>
      <w:adjustRightInd/>
      <w:snapToGrid/>
      <w:jc w:val="center"/>
    </w:pPr>
    <w:rPr>
      <w:rFonts w:ascii="Mangal" w:hAnsi="Mangal" w:eastAsia="仿宋体" w:cs="Mangal"/>
      <w:kern w:val="0"/>
      <w:sz w:val="21"/>
      <w:szCs w:val="21"/>
    </w:rPr>
  </w:style>
  <w:style w:type="paragraph" w:customStyle="1" w:styleId="165">
    <w:name w:val="列出段落2"/>
    <w:basedOn w:val="1"/>
    <w:autoRedefine/>
    <w:unhideWhenUsed/>
    <w:qFormat/>
    <w:uiPriority w:val="99"/>
    <w:pPr>
      <w:adjustRightInd/>
      <w:snapToGrid/>
      <w:ind w:firstLine="420" w:firstLineChars="200"/>
    </w:pPr>
    <w:rPr>
      <w:rFonts w:ascii="Times New Roman" w:hAnsi="Times New Roman" w:cs="Times New Roman"/>
      <w:sz w:val="24"/>
      <w:szCs w:val="24"/>
    </w:rPr>
  </w:style>
  <w:style w:type="paragraph" w:customStyle="1" w:styleId="166">
    <w:name w:val="Body text|1"/>
    <w:basedOn w:val="1"/>
    <w:autoRedefine/>
    <w:qFormat/>
    <w:uiPriority w:val="0"/>
    <w:pPr>
      <w:widowControl w:val="0"/>
      <w:shd w:val="clear" w:color="auto" w:fill="auto"/>
      <w:spacing w:after="140" w:line="382"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1A97E4-F323-4213-A483-0D575569DEF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92</Pages>
  <Words>8733</Words>
  <Characters>10498</Characters>
  <Lines>515</Lines>
  <Paragraphs>145</Paragraphs>
  <TotalTime>7</TotalTime>
  <ScaleCrop>false</ScaleCrop>
  <LinksUpToDate>false</LinksUpToDate>
  <CharactersWithSpaces>15420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2019-04-10T06:13:00Z</dcterms:created>
  <dc:creator>User</dc:creator>
  <cp:lastModifiedBy>WPS_1725414627</cp:lastModifiedBy>
  <cp:lastPrinted>2023-03-27T06:30:00Z</cp:lastPrinted>
  <dcterms:modified xsi:type="dcterms:W3CDTF">2025-04-18T08:27:18Z</dcterms:modified>
  <dc:title>1 总则</dc:title>
  <cp:revision>1232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F62C0BD831E64F6FA0CEC5BD72F086F4</vt:lpwstr>
  </property>
  <property fmtid="{D5CDD505-2E9C-101B-9397-08002B2CF9AE}" pid="4" name="KSOTemplateDocerSaveRecord">
    <vt:lpwstr>eyJoZGlkIjoiNGYxMDNkYzFkNDNlZDg1MDI3NzM3OTU5MzA3YjIxOWIiLCJ1c2VySWQiOiIxNjI5NDE2NjU3In0=</vt:lpwstr>
  </property>
</Properties>
</file>