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9FDBE">
      <w:pPr>
        <w:adjustRightInd w:val="0"/>
        <w:snapToGrid w:val="0"/>
        <w:spacing w:line="500" w:lineRule="exact"/>
        <w:jc w:val="right"/>
        <w:rPr>
          <w:rFonts w:eastAsia="宋体"/>
          <w:b/>
          <w:sz w:val="28"/>
          <w:szCs w:val="28"/>
        </w:rPr>
      </w:pPr>
      <w:r>
        <w:rPr>
          <w:rFonts w:eastAsia="宋体"/>
          <w:b/>
          <w:sz w:val="28"/>
          <w:szCs w:val="28"/>
        </w:rPr>
        <w:t>风险评估编号：</w:t>
      </w:r>
      <w:r>
        <w:rPr>
          <w:rFonts w:hint="eastAsia" w:eastAsia="宋体"/>
          <w:b/>
          <w:sz w:val="28"/>
          <w:szCs w:val="28"/>
          <w:lang w:val="en-US" w:eastAsia="zh-CN"/>
        </w:rPr>
        <w:t>FNT</w:t>
      </w:r>
      <w:r>
        <w:rPr>
          <w:rFonts w:eastAsia="宋体"/>
          <w:b/>
          <w:sz w:val="28"/>
          <w:szCs w:val="28"/>
        </w:rPr>
        <w:t>-FXPG</w:t>
      </w:r>
    </w:p>
    <w:p w14:paraId="31893CDE">
      <w:pPr>
        <w:adjustRightInd w:val="0"/>
        <w:snapToGrid w:val="0"/>
        <w:spacing w:line="500" w:lineRule="exact"/>
        <w:jc w:val="right"/>
        <w:rPr>
          <w:rFonts w:hint="eastAsia" w:eastAsia="宋体"/>
          <w:sz w:val="28"/>
          <w:szCs w:val="28"/>
          <w:lang w:eastAsia="zh-CN"/>
        </w:rPr>
      </w:pPr>
      <w:r>
        <w:rPr>
          <w:rFonts w:eastAsia="宋体"/>
          <w:b/>
          <w:sz w:val="28"/>
          <w:szCs w:val="28"/>
        </w:rPr>
        <w:t>风险评估版本号：</w:t>
      </w:r>
      <w:r>
        <w:rPr>
          <w:rFonts w:hint="eastAsia" w:eastAsia="宋体"/>
          <w:b/>
          <w:sz w:val="28"/>
          <w:szCs w:val="28"/>
          <w:lang w:eastAsia="zh-CN"/>
        </w:rPr>
        <w:t>2025</w:t>
      </w:r>
      <w:r>
        <w:rPr>
          <w:rFonts w:eastAsia="宋体"/>
          <w:b/>
          <w:sz w:val="28"/>
          <w:szCs w:val="28"/>
        </w:rPr>
        <w:t>年</w:t>
      </w:r>
    </w:p>
    <w:p w14:paraId="1E5F5ED1">
      <w:pPr>
        <w:adjustRightInd w:val="0"/>
        <w:snapToGrid w:val="0"/>
        <w:spacing w:before="100" w:beforeAutospacing="1" w:after="100" w:afterAutospacing="1" w:line="360" w:lineRule="auto"/>
        <w:ind w:firstLine="480"/>
        <w:jc w:val="center"/>
        <w:rPr>
          <w:rFonts w:eastAsia="仿宋"/>
        </w:rPr>
      </w:pPr>
    </w:p>
    <w:p w14:paraId="20CB02CA">
      <w:pPr>
        <w:adjustRightInd w:val="0"/>
        <w:snapToGrid w:val="0"/>
        <w:spacing w:before="100" w:beforeAutospacing="1" w:after="100" w:afterAutospacing="1" w:line="360" w:lineRule="auto"/>
        <w:ind w:firstLine="480"/>
        <w:jc w:val="center"/>
        <w:rPr>
          <w:rFonts w:eastAsia="仿宋"/>
        </w:rPr>
      </w:pPr>
    </w:p>
    <w:p w14:paraId="6CD25D18">
      <w:pPr>
        <w:adjustRightInd w:val="0"/>
        <w:snapToGrid w:val="0"/>
        <w:spacing w:before="100" w:beforeAutospacing="1" w:after="100" w:afterAutospacing="1" w:line="360" w:lineRule="auto"/>
        <w:ind w:firstLine="480"/>
        <w:jc w:val="center"/>
        <w:rPr>
          <w:rFonts w:eastAsia="仿宋"/>
        </w:rPr>
      </w:pPr>
    </w:p>
    <w:p w14:paraId="7AD2A2EB">
      <w:pPr>
        <w:adjustRightInd w:val="0"/>
        <w:snapToGrid w:val="0"/>
        <w:spacing w:line="360" w:lineRule="auto"/>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江苏福内特家居有限公司</w:t>
      </w:r>
    </w:p>
    <w:p w14:paraId="41AD2822">
      <w:pPr>
        <w:adjustRightInd w:val="0"/>
        <w:snapToGrid w:val="0"/>
        <w:spacing w:line="360" w:lineRule="auto"/>
        <w:jc w:val="center"/>
        <w:rPr>
          <w:rFonts w:ascii="宋体" w:hAnsi="宋体" w:eastAsia="宋体" w:cs="宋体"/>
          <w:sz w:val="44"/>
          <w:szCs w:val="44"/>
        </w:rPr>
      </w:pPr>
      <w:r>
        <w:rPr>
          <w:rFonts w:hint="eastAsia" w:ascii="宋体" w:hAnsi="宋体" w:eastAsia="宋体" w:cs="宋体"/>
          <w:b/>
          <w:sz w:val="52"/>
          <w:szCs w:val="52"/>
        </w:rPr>
        <w:t>突发环境事件风险评估报告</w:t>
      </w:r>
    </w:p>
    <w:p w14:paraId="10ED1F9F">
      <w:pPr>
        <w:adjustRightInd w:val="0"/>
        <w:snapToGrid w:val="0"/>
        <w:spacing w:before="100" w:beforeAutospacing="1" w:after="100" w:afterAutospacing="1" w:line="360" w:lineRule="auto"/>
        <w:ind w:firstLine="480"/>
        <w:jc w:val="center"/>
        <w:rPr>
          <w:rFonts w:eastAsia="仿宋"/>
        </w:rPr>
      </w:pPr>
    </w:p>
    <w:p w14:paraId="0980ACE0">
      <w:pPr>
        <w:adjustRightInd w:val="0"/>
        <w:snapToGrid w:val="0"/>
        <w:spacing w:before="100" w:beforeAutospacing="1" w:after="100" w:afterAutospacing="1" w:line="360" w:lineRule="auto"/>
        <w:ind w:firstLine="480"/>
        <w:jc w:val="center"/>
        <w:rPr>
          <w:rFonts w:eastAsia="仿宋"/>
        </w:rPr>
      </w:pPr>
    </w:p>
    <w:p w14:paraId="3F84632B">
      <w:pPr>
        <w:adjustRightInd w:val="0"/>
        <w:snapToGrid w:val="0"/>
        <w:spacing w:before="100" w:beforeAutospacing="1" w:after="100" w:afterAutospacing="1" w:line="360" w:lineRule="auto"/>
        <w:ind w:firstLine="480"/>
        <w:jc w:val="center"/>
        <w:rPr>
          <w:rFonts w:eastAsia="仿宋"/>
        </w:rPr>
      </w:pPr>
    </w:p>
    <w:p w14:paraId="52D667C0">
      <w:pPr>
        <w:adjustRightInd w:val="0"/>
        <w:snapToGrid w:val="0"/>
        <w:spacing w:before="100" w:beforeAutospacing="1" w:after="100" w:afterAutospacing="1" w:line="360" w:lineRule="auto"/>
        <w:ind w:firstLine="480"/>
        <w:jc w:val="center"/>
        <w:rPr>
          <w:rFonts w:eastAsia="仿宋"/>
        </w:rPr>
      </w:pPr>
    </w:p>
    <w:p w14:paraId="1A81057F">
      <w:pPr>
        <w:adjustRightInd w:val="0"/>
        <w:snapToGrid w:val="0"/>
        <w:spacing w:before="100" w:beforeAutospacing="1" w:after="100" w:afterAutospacing="1" w:line="360" w:lineRule="auto"/>
        <w:ind w:firstLine="480"/>
        <w:jc w:val="center"/>
        <w:rPr>
          <w:rFonts w:eastAsia="仿宋"/>
        </w:rPr>
      </w:pPr>
    </w:p>
    <w:p w14:paraId="311D77FD">
      <w:pPr>
        <w:adjustRightInd w:val="0"/>
        <w:snapToGrid w:val="0"/>
        <w:spacing w:before="100" w:beforeAutospacing="1" w:after="100" w:afterAutospacing="1" w:line="360" w:lineRule="auto"/>
        <w:ind w:firstLine="480"/>
        <w:jc w:val="center"/>
        <w:rPr>
          <w:rFonts w:eastAsia="仿宋"/>
        </w:rPr>
      </w:pPr>
    </w:p>
    <w:p w14:paraId="26753F89">
      <w:pPr>
        <w:pStyle w:val="13"/>
      </w:pPr>
    </w:p>
    <w:p w14:paraId="35BB8374">
      <w:pPr>
        <w:pStyle w:val="13"/>
        <w:rPr>
          <w:rFonts w:eastAsia="仿宋"/>
          <w:b/>
          <w:sz w:val="28"/>
        </w:rPr>
      </w:pPr>
    </w:p>
    <w:p w14:paraId="54E3A3D0">
      <w:pPr>
        <w:pStyle w:val="13"/>
        <w:rPr>
          <w:rFonts w:eastAsia="仿宋"/>
          <w:b/>
          <w:sz w:val="28"/>
        </w:rPr>
      </w:pPr>
    </w:p>
    <w:p w14:paraId="030F031F">
      <w:pPr>
        <w:autoSpaceDE w:val="0"/>
        <w:autoSpaceDN w:val="0"/>
        <w:spacing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rPr>
        <w:t>编制单位：</w:t>
      </w:r>
      <w:r>
        <w:rPr>
          <w:rFonts w:hint="eastAsia" w:ascii="宋体" w:hAnsi="宋体" w:eastAsia="宋体" w:cs="宋体"/>
          <w:b/>
          <w:bCs/>
          <w:sz w:val="32"/>
          <w:szCs w:val="32"/>
          <w:lang w:eastAsia="zh-CN"/>
        </w:rPr>
        <w:t>江苏福内特家居有限公司</w:t>
      </w:r>
    </w:p>
    <w:p w14:paraId="5AEDBE4B">
      <w:pPr>
        <w:pStyle w:val="13"/>
        <w:autoSpaceDE w:val="0"/>
        <w:autoSpaceDN w:val="0"/>
        <w:spacing w:before="11" w:line="360" w:lineRule="auto"/>
        <w:jc w:val="center"/>
        <w:rPr>
          <w:rFonts w:ascii="宋体" w:hAnsi="宋体" w:eastAsia="宋体" w:cs="宋体"/>
          <w:b/>
          <w:bCs/>
          <w:sz w:val="32"/>
          <w:szCs w:val="32"/>
          <w:lang w:bidi="zh-CN"/>
        </w:rPr>
      </w:pPr>
      <w:r>
        <w:rPr>
          <w:rFonts w:hint="eastAsia" w:ascii="宋体" w:hAnsi="宋体" w:eastAsia="宋体" w:cs="宋体"/>
          <w:b/>
          <w:bCs/>
          <w:sz w:val="32"/>
          <w:szCs w:val="32"/>
          <w:lang w:bidi="zh-CN"/>
        </w:rPr>
        <w:t>技术协助单位：南通久蓝环保科技有限公司</w:t>
      </w:r>
    </w:p>
    <w:p w14:paraId="26987A4E">
      <w:pPr>
        <w:ind w:left="835" w:right="995"/>
        <w:jc w:val="center"/>
        <w:rPr>
          <w:rFonts w:eastAsia="宋体"/>
          <w:b/>
          <w:bCs/>
          <w:sz w:val="32"/>
          <w:szCs w:val="32"/>
        </w:rPr>
      </w:pPr>
      <w:r>
        <w:rPr>
          <w:rFonts w:hint="eastAsia" w:eastAsia="宋体"/>
          <w:b/>
          <w:bCs/>
          <w:sz w:val="32"/>
          <w:szCs w:val="32"/>
          <w:lang w:val="zh-CN" w:bidi="zh-CN"/>
        </w:rPr>
        <w:t>2025</w:t>
      </w:r>
      <w:r>
        <w:rPr>
          <w:rFonts w:eastAsia="宋体"/>
          <w:b/>
          <w:bCs/>
          <w:sz w:val="32"/>
          <w:szCs w:val="32"/>
          <w:lang w:val="zh-CN" w:bidi="zh-CN"/>
        </w:rPr>
        <w:t>年</w:t>
      </w:r>
      <w:r>
        <w:rPr>
          <w:rFonts w:hint="eastAsia" w:eastAsia="宋体"/>
          <w:b/>
          <w:bCs/>
          <w:sz w:val="32"/>
          <w:szCs w:val="32"/>
          <w:lang w:val="en-US" w:bidi="zh-CN"/>
        </w:rPr>
        <w:t>5月</w:t>
      </w:r>
    </w:p>
    <w:p w14:paraId="42E9D04E"/>
    <w:p w14:paraId="4D296230"/>
    <w:p w14:paraId="6535FEA6">
      <w:pPr>
        <w:adjustRightInd w:val="0"/>
        <w:snapToGrid w:val="0"/>
        <w:spacing w:before="120" w:beforeLines="50" w:after="120" w:afterLines="50" w:line="360" w:lineRule="auto"/>
        <w:ind w:firstLine="482"/>
        <w:jc w:val="center"/>
        <w:rPr>
          <w:rFonts w:eastAsia="仿宋"/>
          <w:b/>
        </w:rPr>
      </w:pPr>
    </w:p>
    <w:p w14:paraId="5969242A">
      <w:pPr>
        <w:pStyle w:val="13"/>
        <w:sectPr>
          <w:headerReference r:id="rId5" w:type="first"/>
          <w:headerReference r:id="rId3" w:type="default"/>
          <w:headerReference r:id="rId4" w:type="even"/>
          <w:footerReference r:id="rId6" w:type="even"/>
          <w:pgSz w:w="11906" w:h="16838"/>
          <w:pgMar w:top="1440" w:right="1440" w:bottom="1440" w:left="1440" w:header="851" w:footer="992" w:gutter="0"/>
          <w:pgBorders>
            <w:top w:val="none" w:sz="0" w:space="0"/>
            <w:left w:val="none" w:sz="0" w:space="0"/>
            <w:bottom w:val="none" w:sz="0" w:space="0"/>
            <w:right w:val="none" w:sz="0" w:space="0"/>
          </w:pgBorders>
          <w:pgNumType w:start="1"/>
          <w:cols w:space="720" w:num="1"/>
          <w:titlePg/>
          <w:docGrid w:linePitch="312" w:charSpace="0"/>
        </w:sectPr>
      </w:pPr>
    </w:p>
    <w:p w14:paraId="61D3D00D">
      <w:pPr>
        <w:adjustRightInd w:val="0"/>
        <w:snapToGrid w:val="0"/>
        <w:spacing w:line="360" w:lineRule="auto"/>
        <w:jc w:val="center"/>
        <w:rPr>
          <w:rFonts w:ascii="宋体" w:hAnsi="宋体" w:eastAsia="宋体" w:cs="宋体"/>
          <w:sz w:val="44"/>
          <w:szCs w:val="44"/>
        </w:rPr>
      </w:pPr>
      <w:r>
        <w:rPr>
          <w:rFonts w:hint="eastAsia" w:ascii="宋体" w:hAnsi="宋体" w:eastAsia="宋体" w:cs="宋体"/>
          <w:b/>
          <w:sz w:val="44"/>
          <w:szCs w:val="44"/>
        </w:rPr>
        <w:t>目录</w:t>
      </w:r>
    </w:p>
    <w:p w14:paraId="567141C3">
      <w:pPr>
        <w:pStyle w:val="25"/>
        <w:tabs>
          <w:tab w:val="right" w:leader="dot" w:pos="9026"/>
        </w:tabs>
        <w:spacing w:line="360" w:lineRule="exact"/>
        <w:rPr>
          <w:rFonts w:hint="default" w:ascii="Times New Roman" w:hAnsi="Times New Roman" w:eastAsia="宋体" w:cs="Times New Roman"/>
          <w:i w:val="0"/>
          <w:iCs w:val="0"/>
          <w:sz w:val="24"/>
          <w:szCs w:val="24"/>
        </w:rPr>
      </w:pPr>
      <w:bookmarkStart w:id="0" w:name="_Toc264884287"/>
      <w:bookmarkStart w:id="1" w:name="_Toc142238908"/>
      <w:bookmarkStart w:id="2" w:name="_Toc162428693"/>
      <w:r>
        <w:rPr>
          <w:rFonts w:hint="default" w:ascii="Times New Roman" w:hAnsi="Times New Roman" w:eastAsia="宋体" w:cs="Times New Roman"/>
          <w:b w:val="0"/>
          <w:i w:val="0"/>
          <w:iCs w:val="0"/>
          <w:sz w:val="24"/>
          <w:szCs w:val="24"/>
        </w:rPr>
        <w:fldChar w:fldCharType="begin"/>
      </w:r>
      <w:r>
        <w:rPr>
          <w:rFonts w:hint="default" w:ascii="Times New Roman" w:hAnsi="Times New Roman" w:eastAsia="宋体" w:cs="Times New Roman"/>
          <w:b w:val="0"/>
          <w:i w:val="0"/>
          <w:iCs w:val="0"/>
          <w:sz w:val="24"/>
          <w:szCs w:val="24"/>
        </w:rPr>
        <w:instrText xml:space="preserve"> TOC \o "1-3" \h \z \u </w:instrText>
      </w:r>
      <w:r>
        <w:rPr>
          <w:rFonts w:hint="default" w:ascii="Times New Roman" w:hAnsi="Times New Roman" w:eastAsia="宋体" w:cs="Times New Roman"/>
          <w:b w:val="0"/>
          <w:i w:val="0"/>
          <w:iCs w:val="0"/>
          <w:sz w:val="24"/>
          <w:szCs w:val="24"/>
        </w:rPr>
        <w:fldChar w:fldCharType="separate"/>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_Toc14114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1前言</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_Toc14114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936462E">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_Toc6172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2总则</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_Toc6172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1F414D2">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_Toc10364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2.1编制原则</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_Toc10364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908B7F2">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_Toc24168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2.2编制依据</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_Toc24168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1D885E2">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_Toc17579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2.2.1政策法规</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_Toc17579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F42B45A">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_Toc573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2.2.2标准规范</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_Toc573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FA9D103">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_Toc7977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2.2.3其他文件</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_Toc7977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BC1435C">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_Toc4975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2.3评估范围</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_Toc4975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AB49C27">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_Toc12721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2.4环境风险评估程序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_Toc12721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E516C7F">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_Toc4383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2.5环境风险评估的一般要求</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_Toc4383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595F7F7">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_Toc489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2.6术语与定义</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_Toc489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DCE3EB0">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_Toc2364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3资料准备与环境风险识别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_Toc2364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D9BE9E9">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_Toc4446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3.1企业基本信息</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_Toc4446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2271FE7">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_Toc23827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3.1.1企业概况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_Toc23827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50E163E">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_Toc21080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3.1.2自然环境</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_Toc21080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8F9C7B5">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_Toc6990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3.1.3环境功能区划及环境质量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_Toc6990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64DE284">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_Toc28750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3.2企业周边环境风险受体情况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_Toc28750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FFE6541">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_Toc8985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3.2.1大气环境风险受体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_Toc8985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9CB0D03">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_Toc28932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3.2.2水环境风险受体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_Toc28932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63463E3">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_Toc8521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3.2.3生态环境保护目标</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_Toc8521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A7308ED">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_Toc7070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3.2.4土壤环境敏感度</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_Toc7070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8E20417">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_Toc16295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3.3风险物质识别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_Toc16295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C63A453">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_Toc15650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3.3.1物质性质</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end"/>
      </w:r>
    </w:p>
    <w:p w14:paraId="43408195">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_Toc24544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3.4环境风险单元识别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_Toc24544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1B12986">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_Toc24134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3.5生产工艺情况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_Toc24134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2E72DCB">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_Toc18085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3.5.1生产工艺简介</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_Toc18085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E043F19">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_Toc23680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3.5.2生产设备</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_Toc23680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C2AD459">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3.5.3生产工艺过程含有风险工艺和设备情况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6131008">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_Toc10409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3.5.4公用辅助工程情况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_Toc10409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097FD61">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_Toc23740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3.5.5“三废”排放及处理情况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_Toc23740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E9EFB11">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_Toc16315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3.6重大环境风险事故发生情况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_Toc16315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6E44376">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_Toc22281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3.7安全生产管理</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_Toc22281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888FF3A">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_Toc22123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3.8现有环境风险防控与应急措施情况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_Toc22123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40F8A9C">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_Toc13776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3.8.1现有环境风险防控措施情况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_Toc13776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AB1B836">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_Toc14002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3.8.2应急物资及装备情况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_Toc14002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2E67581">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_Toc28616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3.8.3应急监测能力</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_Toc28616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B2466BE">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_Toc1667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3.8.4内部应急队伍</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_Toc1667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4F00B36">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_Toc23755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3.8.5外部应急救援力量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_Toc23755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DE0C339">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_Toc10554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4突发环境事件及其后果分析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_Toc10554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E9928B7">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_Toc14852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4.1突发环境事件情景分析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_Toc14852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9AEF85B">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_Toc14737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4.2突发环境事件情景源强分析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_Toc14737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EF40A89">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_Toc10397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_Toc10397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F3498C1">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_Toc18452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4.2.2事件情景3、6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_Toc18452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2DBA226">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_Toc17102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4.2.3事件情景4、5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_Toc17102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1A4A641">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_Toc10865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4.3释放环境风险物质的扩散途径、涉及环境风险防控与应急措施、应急资源情况分析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_Toc10865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C62EB93">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_Toc641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_Toc641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8C0CAEB">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_Toc18972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4.3.2事件情景3、6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_Toc18972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3C44222">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_Toc19933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4.3.3事件情景4、5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_Toc19933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4089809">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_Toc5392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4.4突发环境事件危害后果分析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_Toc5392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6A755EC">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_Toc24961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_Toc24961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3B83306">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_Toc2498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4.4.2事件情景3、6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_Toc2498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8D45E90">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_Toc19761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4.4.3事件情景4、5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_Toc19761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328CB8B">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_Toc24446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5现有环境风险防控和应急措施差距分析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_Toc24446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192ECC0">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_Toc7996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5.1环境风险管理制度</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_Toc7996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E6244B1">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_Toc5822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5.2环境风险防控与应急措施</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_Toc5822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2839B15">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_Toc31733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5.3环境应急资源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_Toc31733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8463B53">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_Toc22853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5.4历史经验教训总结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_Toc22853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0EB212E">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_Toc2535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5.5需要整改的短期、中期和长期项目内容</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_Toc2535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2855704">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_Toc4096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6完善环境风险防控和应急措施的实施计划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_Toc4096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E73A746">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_Toc8362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6.1短期整改内容及实施计划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_Toc8362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C1DF8D1">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_Toc1274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6.2中、长期整改内容及实施计划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_Toc1274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65DC72C">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_Toc22418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7企业突发环境事件风险等级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_Toc22418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DFBAE92">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_Toc23014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7.1企业突发大气环境事件风险等级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_Toc23014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16FD1EA">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_Toc14978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7.1.1涉气风险物质数量与临界值比值（Q）</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_Toc14978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7B6E28B">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_Toc8209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7.1.2生产工艺过程与大气环境风险控制水平（M）评估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_Toc8209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46A04FC">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_Toc24236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7.1.3大气环境风险受体敏感程度（E）评估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_Toc24236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CE47022">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7.1.4突发大气环境事件风险等级确定</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_Toc1202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ABC8597">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_Toc7690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7.1.5突发大气环境事件风险等级表征</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_Toc7690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76F02F9">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_Toc23797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7.2企业突发水环境事件风险等级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_Toc23797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EF43359">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_Toc14282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7.2.1涉水风险物质数量与临界值比值（Q）</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_Toc14282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BF17FC2">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_Toc30523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7.2.2生产工艺过程与水环境风险控制水平（M）评估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_Toc30523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A15B0D0">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_Toc17676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7.2.3水环境风险受体敏感程度（E）评估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_Toc17676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23BBB49">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_Toc857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7.2.4突发水环境事件风险等级确定</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_Toc857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C0FD453">
      <w:pPr>
        <w:pStyle w:val="17"/>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_Toc11428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7.2.5突发水环境事件风险等级表征</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_Toc11428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0AC9F85">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_Toc12771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7.3风险等级调整</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_Toc12771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D2E9850">
      <w:pPr>
        <w:pStyle w:val="25"/>
        <w:tabs>
          <w:tab w:val="left" w:pos="420"/>
          <w:tab w:val="right" w:pos="9120"/>
        </w:tabs>
        <w:adjustRightInd w:val="0"/>
        <w:snapToGrid w:val="0"/>
        <w:spacing w:before="0" w:after="0" w:line="360" w:lineRule="exact"/>
        <w:rPr>
          <w:rFonts w:hint="default" w:ascii="Times New Roman" w:hAnsi="Times New Roman" w:eastAsia="宋体" w:cs="Times New Roman"/>
          <w:i w:val="0"/>
          <w:iCs w:val="0"/>
          <w:sz w:val="24"/>
          <w:szCs w:val="24"/>
        </w:rPr>
        <w:sectPr>
          <w:head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upperRoman" w:start="1"/>
          <w:cols w:space="720" w:num="1"/>
          <w:docGrid w:linePitch="312" w:charSpace="0"/>
        </w:sectPr>
      </w:pPr>
      <w:r>
        <w:rPr>
          <w:rFonts w:hint="default" w:ascii="Times New Roman" w:hAnsi="Times New Roman" w:eastAsia="宋体" w:cs="Times New Roman"/>
          <w:i w:val="0"/>
          <w:iCs w:val="0"/>
          <w:sz w:val="24"/>
          <w:szCs w:val="24"/>
        </w:rPr>
        <w:fldChar w:fldCharType="end"/>
      </w:r>
    </w:p>
    <w:p w14:paraId="2FB66A85">
      <w:pPr>
        <w:pStyle w:val="2"/>
        <w:adjustRightInd w:val="0"/>
        <w:snapToGrid w:val="0"/>
        <w:spacing w:line="500" w:lineRule="exact"/>
        <w:rPr>
          <w:rFonts w:ascii="宋体" w:hAnsi="宋体" w:eastAsia="宋体" w:cs="宋体"/>
          <w:sz w:val="24"/>
          <w:szCs w:val="24"/>
        </w:rPr>
      </w:pPr>
      <w:bookmarkStart w:id="3" w:name="_Toc14114"/>
      <w:bookmarkStart w:id="4" w:name="_Toc21200"/>
      <w:bookmarkStart w:id="5" w:name="_Toc26756"/>
      <w:bookmarkStart w:id="6" w:name="_Toc7714"/>
      <w:r>
        <w:rPr>
          <w:rFonts w:hint="eastAsia" w:ascii="宋体" w:hAnsi="宋体" w:eastAsia="宋体" w:cs="宋体"/>
          <w:sz w:val="24"/>
          <w:szCs w:val="24"/>
        </w:rPr>
        <w:t>1前言</w:t>
      </w:r>
      <w:bookmarkEnd w:id="0"/>
      <w:bookmarkEnd w:id="3"/>
      <w:bookmarkEnd w:id="4"/>
      <w:bookmarkEnd w:id="5"/>
      <w:bookmarkEnd w:id="6"/>
    </w:p>
    <w:p w14:paraId="182EC856">
      <w:pPr>
        <w:widowControl/>
        <w:snapToGrid w:val="0"/>
        <w:spacing w:line="500" w:lineRule="exact"/>
        <w:ind w:firstLine="480" w:firstLineChars="200"/>
        <w:jc w:val="left"/>
        <w:rPr>
          <w:rFonts w:ascii="宋体" w:hAnsi="宋体" w:eastAsia="宋体" w:cs="宋体"/>
          <w:bCs/>
        </w:rPr>
      </w:pPr>
      <w:r>
        <w:rPr>
          <w:rFonts w:hint="eastAsia" w:ascii="宋体" w:hAnsi="宋体" w:eastAsia="宋体" w:cs="宋体"/>
          <w:bCs/>
        </w:rPr>
        <w:t>环境风险是指由人类活动引起或由人类活动与自然界的运动过程共同作用造成的，通过环境介质传播的，能对人类社会及其生存、发展的基础——环境产生破坏、损失乃至毁灭性作用等不利后果的事件的发生概率。</w:t>
      </w:r>
    </w:p>
    <w:p w14:paraId="33A9390B">
      <w:pPr>
        <w:widowControl/>
        <w:snapToGrid w:val="0"/>
        <w:spacing w:line="500" w:lineRule="exact"/>
        <w:ind w:firstLine="480" w:firstLineChars="200"/>
        <w:jc w:val="left"/>
        <w:rPr>
          <w:rFonts w:ascii="宋体" w:hAnsi="宋体" w:eastAsia="宋体" w:cs="宋体"/>
          <w:bCs/>
        </w:rPr>
      </w:pPr>
      <w:r>
        <w:rPr>
          <w:rFonts w:hint="eastAsia" w:ascii="宋体" w:hAnsi="宋体" w:eastAsia="宋体" w:cs="宋体"/>
          <w:bCs/>
        </w:rPr>
        <w:t>环境风险达到一定程度会很容易造成突发性的环境事件，致使环境受到污染，生态系统受到干扰，人体健康受到危害，社会财富受到损失，并造成不良社会影响。</w:t>
      </w:r>
    </w:p>
    <w:p w14:paraId="1783D073">
      <w:pPr>
        <w:widowControl/>
        <w:snapToGrid w:val="0"/>
        <w:spacing w:line="500" w:lineRule="exact"/>
        <w:ind w:firstLine="480" w:firstLineChars="200"/>
        <w:jc w:val="left"/>
        <w:rPr>
          <w:rFonts w:ascii="宋体" w:hAnsi="宋体" w:eastAsia="宋体" w:cs="宋体"/>
          <w:kern w:val="0"/>
          <w:szCs w:val="28"/>
        </w:rPr>
      </w:pPr>
      <w:r>
        <w:rPr>
          <w:rFonts w:hint="eastAsia" w:ascii="宋体" w:hAnsi="宋体" w:eastAsia="宋体" w:cs="宋体"/>
          <w:bCs/>
        </w:rPr>
        <w:t>企业存贮使用化学物质、生产工艺落后、生产设备陈旧、生产管理上的不科学性、不合理性以及化学物质未能规范安全储运等都会增加企业的环境风险概率，从而导致环境事故的发生。</w:t>
      </w:r>
    </w:p>
    <w:p w14:paraId="73871868">
      <w:pPr>
        <w:widowControl/>
        <w:spacing w:line="500" w:lineRule="exact"/>
        <w:ind w:firstLine="560"/>
        <w:rPr>
          <w:rFonts w:ascii="Times New Roman" w:hAnsi="Times New Roman" w:cs="Times New Roman" w:eastAsiaTheme="minorEastAsia"/>
          <w:kern w:val="0"/>
          <w:sz w:val="24"/>
          <w:szCs w:val="24"/>
        </w:rPr>
      </w:pPr>
      <w:r>
        <w:rPr>
          <w:rFonts w:hint="eastAsia" w:ascii="宋体" w:hAnsi="宋体" w:eastAsia="宋体" w:cs="宋体"/>
          <w:kern w:val="0"/>
          <w:szCs w:val="28"/>
          <w:lang w:eastAsia="zh-CN"/>
        </w:rPr>
        <w:t>江苏福内特家居有限公司</w:t>
      </w:r>
      <w:r>
        <w:rPr>
          <w:rFonts w:hint="eastAsia" w:ascii="宋体" w:hAnsi="宋体" w:eastAsia="宋体" w:cs="宋体"/>
          <w:kern w:val="0"/>
          <w:szCs w:val="28"/>
        </w:rPr>
        <w:t>（以下简称“</w:t>
      </w:r>
      <w:r>
        <w:rPr>
          <w:rFonts w:hint="eastAsia" w:ascii="宋体" w:hAnsi="宋体" w:eastAsia="宋体" w:cs="宋体"/>
          <w:kern w:val="0"/>
          <w:szCs w:val="28"/>
          <w:lang w:eastAsia="zh-CN"/>
        </w:rPr>
        <w:t>福内特家具</w:t>
      </w:r>
      <w:r>
        <w:rPr>
          <w:rFonts w:hint="eastAsia" w:ascii="宋体" w:hAnsi="宋体" w:eastAsia="宋体" w:cs="宋体"/>
          <w:kern w:val="0"/>
          <w:szCs w:val="28"/>
        </w:rPr>
        <w:t>”）</w:t>
      </w:r>
      <w:r>
        <w:rPr>
          <w:rFonts w:ascii="Times New Roman" w:hAnsi="Times New Roman" w:cs="Times New Roman" w:eastAsiaTheme="minorEastAsia"/>
          <w:kern w:val="0"/>
          <w:sz w:val="24"/>
          <w:szCs w:val="24"/>
        </w:rPr>
        <w:t>20</w:t>
      </w:r>
      <w:r>
        <w:rPr>
          <w:rFonts w:hint="eastAsia" w:cs="Times New Roman" w:eastAsiaTheme="minorEastAsia"/>
          <w:kern w:val="0"/>
          <w:sz w:val="24"/>
          <w:szCs w:val="24"/>
          <w:lang w:val="en-US" w:eastAsia="zh-CN"/>
        </w:rPr>
        <w:t>23</w:t>
      </w:r>
      <w:r>
        <w:rPr>
          <w:rFonts w:ascii="Times New Roman" w:hAnsi="Times New Roman" w:cs="Times New Roman" w:eastAsiaTheme="minorEastAsia"/>
          <w:kern w:val="0"/>
          <w:sz w:val="24"/>
          <w:szCs w:val="24"/>
        </w:rPr>
        <w:t>年</w:t>
      </w:r>
      <w:r>
        <w:rPr>
          <w:rFonts w:hint="eastAsia" w:cs="Times New Roman" w:eastAsiaTheme="minorEastAsia"/>
          <w:kern w:val="0"/>
          <w:sz w:val="24"/>
          <w:szCs w:val="24"/>
          <w:lang w:val="en-US" w:eastAsia="zh-CN"/>
        </w:rPr>
        <w:t>11</w:t>
      </w:r>
      <w:r>
        <w:rPr>
          <w:rFonts w:ascii="Times New Roman" w:hAnsi="Times New Roman" w:cs="Times New Roman" w:eastAsiaTheme="minorEastAsia"/>
          <w:kern w:val="0"/>
          <w:sz w:val="24"/>
          <w:szCs w:val="24"/>
        </w:rPr>
        <w:t>月，</w:t>
      </w:r>
      <w:r>
        <w:rPr>
          <w:rFonts w:hint="eastAsia" w:ascii="Times New Roman" w:hAnsi="Times New Roman" w:cs="Times New Roman" w:eastAsiaTheme="minorEastAsia"/>
          <w:kern w:val="0"/>
          <w:sz w:val="24"/>
          <w:szCs w:val="24"/>
        </w:rPr>
        <w:t>总投资</w:t>
      </w:r>
      <w:r>
        <w:rPr>
          <w:rFonts w:hint="eastAsia" w:cs="Times New Roman" w:eastAsiaTheme="minorEastAsia"/>
          <w:kern w:val="0"/>
          <w:sz w:val="24"/>
          <w:szCs w:val="24"/>
          <w:lang w:val="en-US" w:eastAsia="zh-CN"/>
        </w:rPr>
        <w:t>500</w:t>
      </w:r>
      <w:r>
        <w:rPr>
          <w:rFonts w:ascii="Times New Roman" w:hAnsi="Times New Roman" w:cs="Times New Roman" w:eastAsiaTheme="minorEastAsia"/>
          <w:kern w:val="0"/>
          <w:sz w:val="24"/>
          <w:szCs w:val="24"/>
        </w:rPr>
        <w:t>万元，位于</w:t>
      </w:r>
      <w:r>
        <w:rPr>
          <w:rFonts w:hint="eastAsia" w:cs="Times New Roman" w:eastAsiaTheme="minorEastAsia"/>
          <w:kern w:val="0"/>
          <w:sz w:val="24"/>
          <w:szCs w:val="24"/>
          <w:lang w:eastAsia="zh-CN"/>
        </w:rPr>
        <w:t>海安市老坝港滨海新区金港大道68号</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占地</w:t>
      </w:r>
      <w:r>
        <w:rPr>
          <w:rFonts w:ascii="Times New Roman" w:hAnsi="Times New Roman" w:cs="Times New Roman" w:eastAsiaTheme="minorEastAsia"/>
          <w:kern w:val="0"/>
          <w:sz w:val="24"/>
          <w:szCs w:val="24"/>
        </w:rPr>
        <w:t>面积</w:t>
      </w:r>
      <w:r>
        <w:rPr>
          <w:rFonts w:hint="eastAsia" w:cs="Times New Roman" w:eastAsiaTheme="minorEastAsia"/>
          <w:kern w:val="0"/>
          <w:sz w:val="24"/>
          <w:szCs w:val="24"/>
          <w:lang w:val="en-US" w:eastAsia="zh-CN"/>
        </w:rPr>
        <w:t>1500</w:t>
      </w:r>
      <w:r>
        <w:rPr>
          <w:rFonts w:ascii="Times New Roman" w:hAnsi="Times New Roman" w:cs="Times New Roman" w:eastAsiaTheme="minorEastAsia"/>
          <w:kern w:val="0"/>
          <w:sz w:val="24"/>
          <w:szCs w:val="24"/>
          <w:highlight w:val="none"/>
        </w:rPr>
        <w:t>平方米</w:t>
      </w:r>
      <w:r>
        <w:rPr>
          <w:rFonts w:hint="eastAsia" w:ascii="Times New Roman" w:hAnsi="Times New Roman" w:cs="Times New Roman" w:eastAsiaTheme="minorEastAsia"/>
          <w:kern w:val="0"/>
          <w:sz w:val="24"/>
          <w:szCs w:val="24"/>
          <w:highlight w:val="none"/>
        </w:rPr>
        <w:t>，</w:t>
      </w:r>
      <w:r>
        <w:rPr>
          <w:rFonts w:hint="eastAsia" w:ascii="Times New Roman" w:hAnsi="Times New Roman" w:cs="Times New Roman" w:eastAsiaTheme="minorEastAsia"/>
          <w:kern w:val="0"/>
          <w:sz w:val="24"/>
          <w:szCs w:val="24"/>
        </w:rPr>
        <w:t>从事</w:t>
      </w:r>
      <w:r>
        <w:rPr>
          <w:rFonts w:hint="eastAsia" w:cs="Times New Roman" w:eastAsiaTheme="minorEastAsia"/>
          <w:kern w:val="0"/>
          <w:sz w:val="24"/>
          <w:szCs w:val="24"/>
          <w:lang w:val="en-US" w:eastAsia="zh-CN"/>
        </w:rPr>
        <w:t>办公</w:t>
      </w:r>
      <w:r>
        <w:rPr>
          <w:rFonts w:hint="eastAsia" w:ascii="Times New Roman" w:hAnsi="Times New Roman" w:cs="Times New Roman" w:eastAsiaTheme="minorEastAsia"/>
          <w:kern w:val="0"/>
          <w:sz w:val="24"/>
          <w:szCs w:val="24"/>
          <w:lang w:val="en-US" w:eastAsia="zh-CN"/>
        </w:rPr>
        <w:t>家具</w:t>
      </w:r>
      <w:r>
        <w:rPr>
          <w:rFonts w:hint="eastAsia" w:cs="Times New Roman" w:eastAsiaTheme="minorEastAsia"/>
          <w:kern w:val="0"/>
          <w:sz w:val="24"/>
          <w:szCs w:val="24"/>
          <w:lang w:val="en-US" w:eastAsia="zh-CN"/>
        </w:rPr>
        <w:t>生产</w:t>
      </w:r>
      <w:r>
        <w:rPr>
          <w:rFonts w:hint="eastAsia" w:ascii="Times New Roman" w:hAnsi="Times New Roman" w:cs="Times New Roman" w:eastAsiaTheme="minorEastAsia"/>
          <w:kern w:val="0"/>
          <w:sz w:val="24"/>
          <w:szCs w:val="24"/>
        </w:rPr>
        <w:t>。</w:t>
      </w:r>
      <w:bookmarkStart w:id="7" w:name="_Hlk51407346"/>
      <w:r>
        <w:rPr>
          <w:rFonts w:hint="eastAsia" w:cs="Times New Roman" w:eastAsiaTheme="minorEastAsia"/>
          <w:kern w:val="0"/>
          <w:sz w:val="24"/>
          <w:szCs w:val="24"/>
          <w:lang w:eastAsia="zh-CN"/>
        </w:rPr>
        <w:t>江苏福内特家居有限公司</w:t>
      </w:r>
      <w:r>
        <w:rPr>
          <w:rFonts w:ascii="Times New Roman" w:hAnsi="Times New Roman" w:cs="Times New Roman" w:eastAsiaTheme="minorEastAsia"/>
          <w:kern w:val="0"/>
          <w:sz w:val="24"/>
          <w:szCs w:val="24"/>
        </w:rPr>
        <w:t>于</w:t>
      </w:r>
      <w:r>
        <w:rPr>
          <w:rFonts w:hint="default" w:ascii="Times New Roman" w:hAnsi="Times New Roman" w:cs="Times New Roman" w:eastAsiaTheme="minorEastAsia"/>
          <w:kern w:val="0"/>
          <w:sz w:val="24"/>
          <w:szCs w:val="24"/>
          <w:lang w:val="en-US" w:eastAsia="zh-CN"/>
        </w:rPr>
        <w:t>20</w:t>
      </w:r>
      <w:r>
        <w:rPr>
          <w:rFonts w:hint="eastAsia" w:cs="Times New Roman" w:eastAsiaTheme="minorEastAsia"/>
          <w:kern w:val="0"/>
          <w:sz w:val="24"/>
          <w:szCs w:val="24"/>
          <w:lang w:val="en-US" w:eastAsia="zh-CN"/>
        </w:rPr>
        <w:t>23</w:t>
      </w:r>
      <w:r>
        <w:rPr>
          <w:rFonts w:hint="eastAsia" w:ascii="Times New Roman" w:hAnsi="Times New Roman" w:cs="Times New Roman" w:eastAsiaTheme="minorEastAsia"/>
          <w:kern w:val="0"/>
          <w:sz w:val="24"/>
          <w:szCs w:val="24"/>
          <w:lang w:val="en-US" w:eastAsia="zh-CN"/>
        </w:rPr>
        <w:t>年</w:t>
      </w:r>
      <w:r>
        <w:rPr>
          <w:rFonts w:hint="eastAsia" w:cs="Times New Roman" w:eastAsiaTheme="minorEastAsia"/>
          <w:kern w:val="0"/>
          <w:sz w:val="24"/>
          <w:szCs w:val="24"/>
          <w:lang w:val="en-US" w:eastAsia="zh-CN"/>
        </w:rPr>
        <w:t>11</w:t>
      </w:r>
      <w:r>
        <w:rPr>
          <w:rFonts w:hint="eastAsia" w:ascii="Times New Roman" w:hAnsi="Times New Roman" w:cs="Times New Roman" w:eastAsiaTheme="minorEastAsia"/>
          <w:kern w:val="0"/>
          <w:sz w:val="24"/>
          <w:szCs w:val="24"/>
          <w:lang w:val="en-US" w:eastAsia="zh-CN"/>
        </w:rPr>
        <w:t>月编制《</w:t>
      </w:r>
      <w:r>
        <w:rPr>
          <w:rFonts w:hint="eastAsia" w:cs="Times New Roman" w:eastAsiaTheme="minorEastAsia"/>
          <w:kern w:val="0"/>
          <w:sz w:val="24"/>
          <w:szCs w:val="24"/>
          <w:lang w:val="en-US" w:eastAsia="zh-CN"/>
        </w:rPr>
        <w:t>江苏福内特家居有限公司</w:t>
      </w:r>
      <w:r>
        <w:rPr>
          <w:rFonts w:hint="eastAsia" w:ascii="Times New Roman" w:hAnsi="Times New Roman" w:eastAsia="宋体" w:cs="Times New Roman"/>
          <w:color w:val="auto"/>
          <w:sz w:val="24"/>
          <w:szCs w:val="24"/>
          <w:lang w:eastAsia="zh-CN"/>
        </w:rPr>
        <w:t>家具制造</w:t>
      </w: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环境影响报告表</w:t>
      </w:r>
      <w:r>
        <w:rPr>
          <w:rFonts w:hint="eastAsia" w:ascii="Times New Roman" w:hAnsi="Times New Roman" w:cs="Times New Roman" w:eastAsiaTheme="minorEastAsia"/>
          <w:kern w:val="0"/>
          <w:sz w:val="24"/>
          <w:szCs w:val="24"/>
          <w:lang w:val="en-US" w:eastAsia="zh-CN"/>
        </w:rPr>
        <w:t>》，并于</w:t>
      </w:r>
      <w:r>
        <w:rPr>
          <w:rFonts w:hint="default" w:ascii="Times New Roman" w:hAnsi="Times New Roman" w:cs="Times New Roman" w:eastAsiaTheme="minorEastAsia"/>
          <w:kern w:val="0"/>
          <w:sz w:val="24"/>
          <w:szCs w:val="24"/>
          <w:lang w:val="en-US" w:eastAsia="zh-CN"/>
        </w:rPr>
        <w:t>20</w:t>
      </w:r>
      <w:r>
        <w:rPr>
          <w:rFonts w:hint="eastAsia" w:cs="Times New Roman" w:eastAsiaTheme="minorEastAsia"/>
          <w:kern w:val="0"/>
          <w:sz w:val="24"/>
          <w:szCs w:val="24"/>
          <w:lang w:val="en-US" w:eastAsia="zh-CN"/>
        </w:rPr>
        <w:t>23</w:t>
      </w:r>
      <w:r>
        <w:rPr>
          <w:rFonts w:hint="eastAsia" w:ascii="Times New Roman" w:hAnsi="Times New Roman" w:cs="Times New Roman" w:eastAsiaTheme="minorEastAsia"/>
          <w:kern w:val="0"/>
          <w:sz w:val="24"/>
          <w:szCs w:val="24"/>
          <w:lang w:val="en-US" w:eastAsia="zh-CN"/>
        </w:rPr>
        <w:t>年</w:t>
      </w:r>
      <w:r>
        <w:rPr>
          <w:rFonts w:hint="eastAsia" w:cs="Times New Roman" w:eastAsiaTheme="minorEastAsia"/>
          <w:kern w:val="0"/>
          <w:sz w:val="24"/>
          <w:szCs w:val="24"/>
          <w:lang w:val="en-US" w:eastAsia="zh-CN"/>
        </w:rPr>
        <w:t>11</w:t>
      </w:r>
      <w:r>
        <w:rPr>
          <w:rFonts w:hint="eastAsia" w:ascii="Times New Roman" w:hAnsi="Times New Roman" w:cs="Times New Roman" w:eastAsiaTheme="minorEastAsia"/>
          <w:kern w:val="0"/>
          <w:sz w:val="24"/>
          <w:szCs w:val="24"/>
          <w:lang w:val="en-US" w:eastAsia="zh-CN"/>
        </w:rPr>
        <w:t>月</w:t>
      </w:r>
      <w:r>
        <w:rPr>
          <w:rFonts w:hint="eastAsia" w:cs="Times New Roman" w:eastAsiaTheme="minorEastAsia"/>
          <w:kern w:val="0"/>
          <w:sz w:val="24"/>
          <w:szCs w:val="24"/>
          <w:lang w:val="en-US" w:eastAsia="zh-CN"/>
        </w:rPr>
        <w:t>30</w:t>
      </w:r>
      <w:r>
        <w:rPr>
          <w:rFonts w:hint="eastAsia" w:ascii="Times New Roman" w:hAnsi="Times New Roman" w:cs="Times New Roman" w:eastAsiaTheme="minorEastAsia"/>
          <w:kern w:val="0"/>
          <w:sz w:val="24"/>
          <w:szCs w:val="24"/>
          <w:lang w:val="en-US" w:eastAsia="zh-CN"/>
        </w:rPr>
        <w:t>日通过海安市行政审批局审批（海行审</w:t>
      </w:r>
      <w:r>
        <w:rPr>
          <w:rFonts w:hint="default" w:ascii="Times New Roman" w:hAnsi="Times New Roman" w:cs="Times New Roman" w:eastAsiaTheme="minorEastAsia"/>
          <w:kern w:val="0"/>
          <w:sz w:val="24"/>
          <w:szCs w:val="24"/>
          <w:lang w:val="en-US" w:eastAsia="zh-CN"/>
        </w:rPr>
        <w:t>[20</w:t>
      </w:r>
      <w:r>
        <w:rPr>
          <w:rFonts w:hint="eastAsia" w:cs="Times New Roman" w:eastAsiaTheme="minorEastAsia"/>
          <w:kern w:val="0"/>
          <w:sz w:val="24"/>
          <w:szCs w:val="24"/>
          <w:lang w:val="en-US" w:eastAsia="zh-CN"/>
        </w:rPr>
        <w:t>23</w:t>
      </w:r>
      <w:r>
        <w:rPr>
          <w:rFonts w:hint="default" w:ascii="Times New Roman" w:hAnsi="Times New Roman" w:cs="Times New Roman" w:eastAsiaTheme="minorEastAsia"/>
          <w:kern w:val="0"/>
          <w:sz w:val="24"/>
          <w:szCs w:val="24"/>
          <w:lang w:val="en-US" w:eastAsia="zh-CN"/>
        </w:rPr>
        <w:t>]</w:t>
      </w:r>
      <w:r>
        <w:rPr>
          <w:rFonts w:hint="eastAsia" w:cs="Times New Roman" w:eastAsiaTheme="minorEastAsia"/>
          <w:kern w:val="0"/>
          <w:sz w:val="24"/>
          <w:szCs w:val="24"/>
          <w:lang w:val="en-US" w:eastAsia="zh-CN"/>
        </w:rPr>
        <w:t>133</w:t>
      </w:r>
      <w:r>
        <w:rPr>
          <w:rFonts w:hint="eastAsia" w:ascii="Times New Roman" w:hAnsi="Times New Roman" w:cs="Times New Roman" w:eastAsiaTheme="minorEastAsia"/>
          <w:kern w:val="0"/>
          <w:sz w:val="24"/>
          <w:szCs w:val="24"/>
          <w:lang w:val="en-US" w:eastAsia="zh-CN"/>
        </w:rPr>
        <w:t>号）</w:t>
      </w:r>
      <w:r>
        <w:rPr>
          <w:rFonts w:ascii="Times New Roman" w:hAnsi="Times New Roman" w:cs="Times New Roman" w:eastAsiaTheme="minorEastAsia"/>
          <w:kern w:val="0"/>
          <w:sz w:val="24"/>
          <w:szCs w:val="24"/>
        </w:rPr>
        <w:t>。</w:t>
      </w:r>
    </w:p>
    <w:p w14:paraId="615B0C23">
      <w:pPr>
        <w:widowControl/>
        <w:adjustRightInd w:val="0"/>
        <w:snapToGrid w:val="0"/>
        <w:spacing w:line="500" w:lineRule="exact"/>
        <w:ind w:firstLine="480" w:firstLineChars="200"/>
        <w:rPr>
          <w:rFonts w:eastAsia="宋体"/>
        </w:rPr>
      </w:pPr>
      <w:r>
        <w:rPr>
          <w:rFonts w:hint="eastAsia" w:eastAsiaTheme="minorEastAsia"/>
          <w:kern w:val="0"/>
          <w:lang w:eastAsia="zh-CN"/>
        </w:rPr>
        <w:t>福内特家具</w:t>
      </w:r>
      <w:r>
        <w:rPr>
          <w:rFonts w:hint="eastAsia" w:eastAsiaTheme="minorEastAsia"/>
          <w:kern w:val="0"/>
        </w:rPr>
        <w:t>现年产</w:t>
      </w:r>
      <w:r>
        <w:rPr>
          <w:rFonts w:hint="eastAsia" w:eastAsiaTheme="minorEastAsia"/>
          <w:kern w:val="0"/>
          <w:lang w:val="en-US" w:eastAsia="zh-CN"/>
        </w:rPr>
        <w:t>0.5万件家具</w:t>
      </w:r>
      <w:r>
        <w:rPr>
          <w:rFonts w:hint="eastAsia" w:eastAsiaTheme="minorEastAsia"/>
          <w:kern w:val="0"/>
        </w:rPr>
        <w:t>。</w:t>
      </w:r>
      <w:r>
        <w:rPr>
          <w:rFonts w:eastAsiaTheme="minorEastAsia"/>
          <w:kern w:val="0"/>
        </w:rPr>
        <w:t>公司目前</w:t>
      </w:r>
      <w:r>
        <w:rPr>
          <w:rFonts w:hint="eastAsia" w:eastAsiaTheme="minorEastAsia"/>
          <w:kern w:val="0"/>
        </w:rPr>
        <w:t>劳动定</w:t>
      </w:r>
      <w:r>
        <w:rPr>
          <w:rFonts w:hint="eastAsia" w:eastAsiaTheme="minorEastAsia"/>
          <w:kern w:val="0"/>
          <w:lang w:val="en-US" w:eastAsia="zh-CN"/>
        </w:rPr>
        <w:t>60</w:t>
      </w:r>
      <w:r>
        <w:rPr>
          <w:rFonts w:eastAsiaTheme="minorEastAsia"/>
          <w:kern w:val="0"/>
        </w:rPr>
        <w:t>人，全年运行</w:t>
      </w:r>
      <w:r>
        <w:rPr>
          <w:rFonts w:hint="eastAsia" w:eastAsiaTheme="minorEastAsia"/>
          <w:kern w:val="0"/>
          <w:lang w:val="en-US" w:eastAsia="zh-CN"/>
        </w:rPr>
        <w:t>300</w:t>
      </w:r>
      <w:r>
        <w:rPr>
          <w:rFonts w:eastAsiaTheme="minorEastAsia"/>
          <w:kern w:val="0"/>
        </w:rPr>
        <w:t>天</w:t>
      </w:r>
      <w:r>
        <w:rPr>
          <w:rFonts w:hint="eastAsia" w:eastAsiaTheme="minorEastAsia"/>
          <w:kern w:val="0"/>
        </w:rPr>
        <w:t>，每班工作</w:t>
      </w:r>
      <w:r>
        <w:rPr>
          <w:rFonts w:hint="eastAsia" w:eastAsiaTheme="minorEastAsia"/>
          <w:kern w:val="0"/>
          <w:lang w:val="en-US" w:eastAsia="zh-CN"/>
        </w:rPr>
        <w:t>8</w:t>
      </w:r>
      <w:r>
        <w:rPr>
          <w:rFonts w:hint="eastAsia" w:eastAsiaTheme="minorEastAsia"/>
          <w:kern w:val="0"/>
        </w:rPr>
        <w:t>小时，年产时数</w:t>
      </w:r>
      <w:r>
        <w:rPr>
          <w:rFonts w:hint="eastAsia" w:eastAsiaTheme="minorEastAsia"/>
          <w:kern w:val="0"/>
          <w:lang w:val="en-US" w:eastAsia="zh-CN"/>
        </w:rPr>
        <w:t>2400</w:t>
      </w:r>
      <w:r>
        <w:rPr>
          <w:rFonts w:hint="eastAsia" w:eastAsiaTheme="minorEastAsia"/>
          <w:kern w:val="0"/>
        </w:rPr>
        <w:t>h/a</w:t>
      </w:r>
      <w:r>
        <w:rPr>
          <w:rFonts w:eastAsiaTheme="minorEastAsia"/>
          <w:kern w:val="0"/>
        </w:rPr>
        <w:t>。</w:t>
      </w:r>
      <w:r>
        <w:rPr>
          <w:rFonts w:hint="eastAsia" w:eastAsiaTheme="minorEastAsia"/>
          <w:kern w:val="0"/>
        </w:rPr>
        <w:t>根据《企事业单位突发环境事件应急预案备案管理办法（试行）》要求至少每三年对环境应急预案进行一次回顾性评估，本次应急预案为</w:t>
      </w:r>
      <w:r>
        <w:rPr>
          <w:rFonts w:hint="eastAsia" w:eastAsiaTheme="minorEastAsia"/>
          <w:kern w:val="0"/>
          <w:lang w:val="en-US" w:eastAsia="zh-CN"/>
        </w:rPr>
        <w:t>首次编写</w:t>
      </w:r>
      <w:r>
        <w:rPr>
          <w:rFonts w:hint="eastAsia" w:eastAsiaTheme="minorEastAsia"/>
          <w:kern w:val="0"/>
        </w:rPr>
        <w:t>。</w:t>
      </w:r>
    </w:p>
    <w:bookmarkEnd w:id="7"/>
    <w:p w14:paraId="42C189BA">
      <w:pPr>
        <w:adjustRightInd w:val="0"/>
        <w:snapToGrid w:val="0"/>
        <w:spacing w:line="500" w:lineRule="exact"/>
        <w:ind w:firstLine="480" w:firstLineChars="200"/>
        <w:rPr>
          <w:rFonts w:eastAsia="宋体"/>
        </w:rPr>
      </w:pPr>
      <w:r>
        <w:rPr>
          <w:rFonts w:eastAsia="宋体"/>
        </w:rPr>
        <w:t>根据《关于印发&lt;企业事业单位突发环境事件应急预案备案管理办法（试行）&gt;的通知》（环发[2015]4号）、《突发环境事件应急管理办法》（环保部令第34号）、《关于印发&lt;南通市企业事业单位突发环境事件应急预案备案管理制度&gt;的通知》（通环办[2016]16号）等文件的精神，对可能发生突发环境事件的企业进行环境风险评估，工作内容包括识别环境风险、分析可能发生突发环境事件及其后果、分析现有环境风险防控和环境应急管理差距、制定完善环境风险防控和应急措施的实施计划、划定突发环境事件风险等级等，开展企业环境风险评估是编制企业突发环境事件应急预案的重要前提。</w:t>
      </w:r>
    </w:p>
    <w:p w14:paraId="29ABC610">
      <w:pPr>
        <w:adjustRightInd w:val="0"/>
        <w:snapToGrid w:val="0"/>
        <w:spacing w:line="500" w:lineRule="exact"/>
        <w:ind w:firstLine="480" w:firstLineChars="200"/>
        <w:rPr>
          <w:rFonts w:ascii="宋体" w:hAnsi="宋体" w:eastAsia="宋体" w:cs="宋体"/>
        </w:rPr>
      </w:pPr>
      <w:r>
        <w:rPr>
          <w:rFonts w:eastAsia="宋体"/>
        </w:rPr>
        <w:t>公司专门成立了工作组，在对</w:t>
      </w:r>
      <w:r>
        <w:rPr>
          <w:rFonts w:hint="eastAsia" w:eastAsia="宋体"/>
        </w:rPr>
        <w:t>公司</w:t>
      </w:r>
      <w:r>
        <w:rPr>
          <w:rFonts w:eastAsia="宋体"/>
        </w:rPr>
        <w:t>生产项目进行现场勘查及相关资料收集、整理和研究的基础上，根据《企业突发环境事件风险评估指南（试行）》、《企业突发环境事件风险分级方法》（HJ941-2018）的要求，编制</w:t>
      </w:r>
      <w:r>
        <w:rPr>
          <w:rFonts w:hint="eastAsia" w:ascii="宋体" w:hAnsi="宋体" w:eastAsia="宋体" w:cs="宋体"/>
        </w:rPr>
        <w:t>完成了本风险评估报告。</w:t>
      </w:r>
    </w:p>
    <w:p w14:paraId="6B29D26A">
      <w:pPr>
        <w:pStyle w:val="2"/>
        <w:adjustRightInd w:val="0"/>
        <w:snapToGrid w:val="0"/>
        <w:spacing w:line="500" w:lineRule="exact"/>
        <w:rPr>
          <w:rFonts w:eastAsia="宋体"/>
          <w:sz w:val="24"/>
          <w:szCs w:val="24"/>
        </w:rPr>
      </w:pPr>
      <w:bookmarkStart w:id="8" w:name="_Toc19219"/>
      <w:bookmarkStart w:id="9" w:name="_Toc8177"/>
      <w:bookmarkStart w:id="10" w:name="_Toc18595"/>
      <w:bookmarkStart w:id="11" w:name="_Toc6172"/>
      <w:r>
        <w:rPr>
          <w:rFonts w:eastAsia="宋体"/>
          <w:sz w:val="24"/>
          <w:szCs w:val="24"/>
        </w:rPr>
        <w:t>2总则</w:t>
      </w:r>
      <w:bookmarkEnd w:id="8"/>
      <w:bookmarkEnd w:id="9"/>
      <w:bookmarkEnd w:id="10"/>
      <w:bookmarkEnd w:id="11"/>
    </w:p>
    <w:p w14:paraId="5E50415B">
      <w:pPr>
        <w:pStyle w:val="3"/>
        <w:adjustRightInd w:val="0"/>
        <w:snapToGrid w:val="0"/>
        <w:spacing w:line="500" w:lineRule="exact"/>
        <w:rPr>
          <w:rFonts w:eastAsia="宋体"/>
          <w:sz w:val="24"/>
          <w:szCs w:val="24"/>
        </w:rPr>
      </w:pPr>
      <w:bookmarkStart w:id="12" w:name="_Toc31464"/>
      <w:bookmarkStart w:id="13" w:name="_Toc20253"/>
      <w:bookmarkStart w:id="14" w:name="_Toc10364"/>
      <w:bookmarkStart w:id="15" w:name="_Toc19570"/>
      <w:r>
        <w:rPr>
          <w:rFonts w:eastAsia="宋体"/>
          <w:sz w:val="24"/>
          <w:szCs w:val="24"/>
        </w:rPr>
        <w:t>2.1编制原则</w:t>
      </w:r>
      <w:bookmarkEnd w:id="12"/>
      <w:bookmarkEnd w:id="13"/>
      <w:bookmarkEnd w:id="14"/>
      <w:bookmarkEnd w:id="15"/>
    </w:p>
    <w:p w14:paraId="1AB2F2D5">
      <w:pPr>
        <w:adjustRightInd w:val="0"/>
        <w:snapToGrid w:val="0"/>
        <w:spacing w:line="500" w:lineRule="exact"/>
        <w:ind w:firstLine="480" w:firstLineChars="200"/>
        <w:rPr>
          <w:rFonts w:eastAsia="宋体"/>
        </w:rPr>
      </w:pPr>
      <w:r>
        <w:rPr>
          <w:rFonts w:eastAsia="宋体"/>
        </w:rPr>
        <w:t>本评估报告的编制遵循以下几点原则：</w:t>
      </w:r>
    </w:p>
    <w:p w14:paraId="7FF38839">
      <w:pPr>
        <w:adjustRightInd w:val="0"/>
        <w:snapToGrid w:val="0"/>
        <w:spacing w:line="500" w:lineRule="exact"/>
        <w:ind w:firstLine="480" w:firstLineChars="200"/>
        <w:rPr>
          <w:rFonts w:eastAsia="宋体"/>
        </w:rPr>
      </w:pPr>
      <w:r>
        <w:rPr>
          <w:rFonts w:eastAsia="宋体"/>
        </w:rPr>
        <w:t>（1）全面、细致地进行现状调查。</w:t>
      </w:r>
    </w:p>
    <w:p w14:paraId="1C1E60A3">
      <w:pPr>
        <w:adjustRightInd w:val="0"/>
        <w:snapToGrid w:val="0"/>
        <w:spacing w:line="500" w:lineRule="exact"/>
        <w:ind w:firstLine="480" w:firstLineChars="200"/>
        <w:rPr>
          <w:rFonts w:eastAsia="宋体"/>
        </w:rPr>
      </w:pPr>
      <w:r>
        <w:rPr>
          <w:rFonts w:eastAsia="宋体"/>
        </w:rPr>
        <w:t>（2）科学、客观地进行评估，如实反映企业的环境风险水平。</w:t>
      </w:r>
    </w:p>
    <w:p w14:paraId="0526EAD7">
      <w:pPr>
        <w:adjustRightInd w:val="0"/>
        <w:snapToGrid w:val="0"/>
        <w:spacing w:line="500" w:lineRule="exact"/>
        <w:ind w:firstLine="480" w:firstLineChars="200"/>
        <w:rPr>
          <w:rFonts w:eastAsia="宋体"/>
        </w:rPr>
      </w:pPr>
      <w:r>
        <w:rPr>
          <w:rFonts w:eastAsia="宋体"/>
        </w:rPr>
        <w:t>（3）对照</w:t>
      </w:r>
      <w:r>
        <w:rPr>
          <w:rFonts w:hint="eastAsia" w:eastAsia="宋体"/>
        </w:rPr>
        <w:t>《企业突发环境事件风险评估指南（试行）》、</w:t>
      </w:r>
      <w:r>
        <w:rPr>
          <w:rFonts w:eastAsia="宋体"/>
        </w:rPr>
        <w:t>《企业突发环境事件风险分级方法》（HJ941-2018）中企业环境风险防控与应急措施实行标准对照表，</w:t>
      </w:r>
      <w:r>
        <w:rPr>
          <w:rFonts w:eastAsia="宋体"/>
          <w:kern w:val="0"/>
        </w:rPr>
        <w:t>分析现有环境风险防控和环境应急管理差距，制定完善环境风险防控和应急措施的实施计划</w:t>
      </w:r>
      <w:r>
        <w:rPr>
          <w:rFonts w:eastAsia="宋体"/>
        </w:rPr>
        <w:t>。</w:t>
      </w:r>
    </w:p>
    <w:p w14:paraId="2CE3FC99">
      <w:pPr>
        <w:adjustRightInd w:val="0"/>
        <w:snapToGrid w:val="0"/>
        <w:spacing w:line="500" w:lineRule="exact"/>
        <w:ind w:firstLine="480" w:firstLineChars="200"/>
        <w:rPr>
          <w:rFonts w:eastAsia="宋体"/>
          <w:b/>
        </w:rPr>
      </w:pPr>
      <w:r>
        <w:rPr>
          <w:rFonts w:eastAsia="宋体"/>
        </w:rPr>
        <w:t>（4）评估报告的内容和格式必须符合规范要求。</w:t>
      </w:r>
    </w:p>
    <w:p w14:paraId="6DA22ED0">
      <w:pPr>
        <w:pStyle w:val="3"/>
        <w:adjustRightInd w:val="0"/>
        <w:snapToGrid w:val="0"/>
        <w:spacing w:line="500" w:lineRule="exact"/>
        <w:rPr>
          <w:rFonts w:eastAsia="宋体"/>
          <w:sz w:val="24"/>
          <w:szCs w:val="24"/>
        </w:rPr>
      </w:pPr>
      <w:bookmarkStart w:id="16" w:name="_Toc1839"/>
      <w:bookmarkStart w:id="17" w:name="_Toc21056"/>
      <w:bookmarkStart w:id="18" w:name="_Toc24168"/>
      <w:bookmarkStart w:id="19" w:name="_Toc27964"/>
      <w:r>
        <w:rPr>
          <w:rFonts w:eastAsia="宋体"/>
          <w:sz w:val="24"/>
          <w:szCs w:val="24"/>
        </w:rPr>
        <w:t>2.2编制依据</w:t>
      </w:r>
      <w:bookmarkEnd w:id="16"/>
      <w:bookmarkEnd w:id="17"/>
      <w:bookmarkEnd w:id="18"/>
      <w:bookmarkEnd w:id="19"/>
    </w:p>
    <w:p w14:paraId="4F4367B4">
      <w:pPr>
        <w:pStyle w:val="4"/>
        <w:adjustRightInd w:val="0"/>
        <w:snapToGrid w:val="0"/>
        <w:spacing w:line="500" w:lineRule="exact"/>
        <w:rPr>
          <w:rFonts w:eastAsia="宋体"/>
          <w:szCs w:val="24"/>
        </w:rPr>
      </w:pPr>
      <w:bookmarkStart w:id="20" w:name="_Toc11371"/>
      <w:bookmarkStart w:id="21" w:name="_Toc28089"/>
      <w:bookmarkStart w:id="22" w:name="_Toc19349"/>
      <w:bookmarkStart w:id="23" w:name="_Toc17579"/>
      <w:r>
        <w:rPr>
          <w:rFonts w:eastAsia="宋体"/>
          <w:szCs w:val="24"/>
        </w:rPr>
        <w:t>2.2.1政策法规</w:t>
      </w:r>
      <w:bookmarkEnd w:id="20"/>
      <w:bookmarkEnd w:id="21"/>
      <w:bookmarkEnd w:id="22"/>
      <w:bookmarkEnd w:id="23"/>
    </w:p>
    <w:p w14:paraId="2D0E6604">
      <w:pPr>
        <w:adjustRightInd w:val="0"/>
        <w:snapToGrid w:val="0"/>
        <w:spacing w:line="500" w:lineRule="exact"/>
        <w:ind w:firstLine="480" w:firstLineChars="200"/>
        <w:rPr>
          <w:rFonts w:eastAsia="宋体"/>
        </w:rPr>
      </w:pPr>
      <w:bookmarkStart w:id="24" w:name="_Toc499034377"/>
      <w:r>
        <w:rPr>
          <w:rFonts w:eastAsia="宋体"/>
        </w:rPr>
        <w:t>（1）《中华人民共和国环境保护法》（中华人民共和国第十二届全国人民代表大会常务委员会第八次会议于2014年4月24日修订通过，自2015年</w:t>
      </w:r>
      <w:r>
        <w:rPr>
          <w:rFonts w:hint="eastAsia" w:eastAsia="宋体"/>
          <w:lang w:eastAsia="zh-CN"/>
        </w:rPr>
        <w:t>10月</w:t>
      </w:r>
      <w:r>
        <w:rPr>
          <w:rFonts w:eastAsia="宋体"/>
        </w:rPr>
        <w:t>1日起施行）；</w:t>
      </w:r>
    </w:p>
    <w:p w14:paraId="7692B330">
      <w:pPr>
        <w:adjustRightInd w:val="0"/>
        <w:snapToGrid w:val="0"/>
        <w:spacing w:line="500" w:lineRule="exact"/>
        <w:ind w:firstLine="480" w:firstLineChars="200"/>
        <w:rPr>
          <w:rFonts w:eastAsia="宋体"/>
        </w:rPr>
      </w:pPr>
      <w:r>
        <w:rPr>
          <w:rFonts w:eastAsia="宋体"/>
        </w:rPr>
        <w:t>（2）《中华人民共和国突发事件应对法》（国家主席令第69号，2007年8月30日通过，2007年</w:t>
      </w:r>
      <w:r>
        <w:rPr>
          <w:rFonts w:hint="eastAsia" w:eastAsia="宋体"/>
          <w:lang w:eastAsia="zh-CN"/>
        </w:rPr>
        <w:t>10月</w:t>
      </w:r>
      <w:r>
        <w:rPr>
          <w:rFonts w:eastAsia="宋体"/>
        </w:rPr>
        <w:t>1日起施行）；</w:t>
      </w:r>
    </w:p>
    <w:p w14:paraId="54DBCBF5">
      <w:pPr>
        <w:adjustRightInd w:val="0"/>
        <w:snapToGrid w:val="0"/>
        <w:spacing w:line="500" w:lineRule="exact"/>
        <w:ind w:firstLine="480" w:firstLineChars="200"/>
        <w:rPr>
          <w:rFonts w:eastAsia="宋体"/>
        </w:rPr>
      </w:pPr>
      <w:r>
        <w:rPr>
          <w:rFonts w:eastAsia="宋体"/>
        </w:rPr>
        <w:t>（3）《中华人民共和国安全生产法》（中华人民共和国第十</w:t>
      </w:r>
      <w:r>
        <w:rPr>
          <w:rFonts w:hint="eastAsia" w:eastAsia="宋体"/>
        </w:rPr>
        <w:t>三</w:t>
      </w:r>
      <w:r>
        <w:rPr>
          <w:rFonts w:eastAsia="宋体"/>
        </w:rPr>
        <w:t>届全国人民代表大会常务委员会第</w:t>
      </w:r>
      <w:r>
        <w:rPr>
          <w:rFonts w:hint="eastAsia" w:eastAsia="宋体"/>
        </w:rPr>
        <w:t>二十九</w:t>
      </w:r>
      <w:r>
        <w:rPr>
          <w:rFonts w:eastAsia="宋体"/>
        </w:rPr>
        <w:t>次会议于20</w:t>
      </w:r>
      <w:r>
        <w:rPr>
          <w:rFonts w:hint="eastAsia" w:eastAsia="宋体"/>
        </w:rPr>
        <w:t>21</w:t>
      </w:r>
      <w:r>
        <w:rPr>
          <w:rFonts w:eastAsia="宋体"/>
        </w:rPr>
        <w:t>年</w:t>
      </w:r>
      <w:r>
        <w:rPr>
          <w:rFonts w:hint="eastAsia" w:eastAsia="宋体"/>
        </w:rPr>
        <w:t>6</w:t>
      </w:r>
      <w:r>
        <w:rPr>
          <w:rFonts w:eastAsia="宋体"/>
        </w:rPr>
        <w:t>月</w:t>
      </w:r>
      <w:r>
        <w:rPr>
          <w:rFonts w:hint="eastAsia" w:eastAsia="宋体"/>
        </w:rPr>
        <w:t>10</w:t>
      </w:r>
      <w:r>
        <w:rPr>
          <w:rFonts w:eastAsia="宋体"/>
        </w:rPr>
        <w:t>日修订通过，自20</w:t>
      </w:r>
      <w:r>
        <w:rPr>
          <w:rFonts w:hint="eastAsia" w:eastAsia="宋体"/>
        </w:rPr>
        <w:t>21</w:t>
      </w:r>
      <w:r>
        <w:rPr>
          <w:rFonts w:eastAsia="宋体"/>
        </w:rPr>
        <w:t>年</w:t>
      </w:r>
      <w:r>
        <w:rPr>
          <w:rFonts w:hint="eastAsia" w:eastAsia="宋体"/>
        </w:rPr>
        <w:t>9</w:t>
      </w:r>
      <w:r>
        <w:rPr>
          <w:rFonts w:eastAsia="宋体"/>
        </w:rPr>
        <w:t>月1日起施行）；</w:t>
      </w:r>
    </w:p>
    <w:p w14:paraId="4370BDFF">
      <w:pPr>
        <w:adjustRightInd w:val="0"/>
        <w:snapToGrid w:val="0"/>
        <w:spacing w:line="500" w:lineRule="exact"/>
        <w:ind w:firstLine="480" w:firstLineChars="200"/>
        <w:rPr>
          <w:rFonts w:eastAsia="宋体"/>
        </w:rPr>
      </w:pPr>
      <w:r>
        <w:rPr>
          <w:rFonts w:eastAsia="宋体"/>
        </w:rPr>
        <w:t>（4）《中华人民共和国消防法》（国家主席令第6号，2009年5月1日起施行，</w:t>
      </w:r>
      <w:bookmarkStart w:id="25" w:name="_Hlk25619302"/>
      <w:r>
        <w:rPr>
          <w:rFonts w:eastAsia="宋体"/>
        </w:rPr>
        <w:t>20</w:t>
      </w:r>
      <w:r>
        <w:rPr>
          <w:rFonts w:hint="eastAsia" w:eastAsia="宋体"/>
        </w:rPr>
        <w:t>21年4月29日</w:t>
      </w:r>
      <w:bookmarkEnd w:id="25"/>
      <w:r>
        <w:rPr>
          <w:rFonts w:hint="eastAsia" w:eastAsia="宋体"/>
        </w:rPr>
        <w:t>第三次修正</w:t>
      </w:r>
      <w:r>
        <w:rPr>
          <w:rFonts w:eastAsia="宋体"/>
        </w:rPr>
        <w:t>）；</w:t>
      </w:r>
    </w:p>
    <w:p w14:paraId="6AA838F7">
      <w:pPr>
        <w:adjustRightInd w:val="0"/>
        <w:snapToGrid w:val="0"/>
        <w:spacing w:line="500" w:lineRule="exact"/>
        <w:ind w:firstLine="480" w:firstLineChars="200"/>
        <w:rPr>
          <w:rFonts w:eastAsia="宋体"/>
        </w:rPr>
      </w:pPr>
      <w:r>
        <w:rPr>
          <w:rFonts w:eastAsia="宋体"/>
        </w:rPr>
        <w:t>（5）《</w:t>
      </w:r>
      <w:r>
        <w:rPr>
          <w:rFonts w:hint="eastAsia" w:eastAsia="宋体"/>
        </w:rPr>
        <w:t>化学物质</w:t>
      </w:r>
      <w:r>
        <w:rPr>
          <w:rFonts w:eastAsia="宋体"/>
        </w:rPr>
        <w:t>安全管理条例》（</w:t>
      </w:r>
      <w:r>
        <w:rPr>
          <w:rFonts w:eastAsia="宋体"/>
          <w:kern w:val="0"/>
          <w:szCs w:val="28"/>
        </w:rPr>
        <w:t>国务院令第645号，2013年12月4日修订，2013年12月7日起施行</w:t>
      </w:r>
      <w:r>
        <w:rPr>
          <w:rFonts w:eastAsia="宋体"/>
        </w:rPr>
        <w:t>）；</w:t>
      </w:r>
    </w:p>
    <w:p w14:paraId="227D51CD">
      <w:pPr>
        <w:adjustRightInd w:val="0"/>
        <w:snapToGrid w:val="0"/>
        <w:spacing w:line="500" w:lineRule="exact"/>
        <w:ind w:firstLine="480" w:firstLineChars="200"/>
        <w:rPr>
          <w:rFonts w:eastAsia="宋体"/>
        </w:rPr>
      </w:pPr>
      <w:r>
        <w:rPr>
          <w:rFonts w:eastAsia="宋体"/>
        </w:rPr>
        <w:t>（6）《中华人民共和国水污染防治法》（2017年6月27日修订，2018年</w:t>
      </w:r>
      <w:r>
        <w:rPr>
          <w:rFonts w:hint="eastAsia" w:eastAsia="宋体"/>
          <w:lang w:eastAsia="zh-CN"/>
        </w:rPr>
        <w:t>10月</w:t>
      </w:r>
      <w:r>
        <w:rPr>
          <w:rFonts w:eastAsia="宋体"/>
        </w:rPr>
        <w:t>1日起施行）；</w:t>
      </w:r>
    </w:p>
    <w:p w14:paraId="603390EC">
      <w:pPr>
        <w:adjustRightInd w:val="0"/>
        <w:snapToGrid w:val="0"/>
        <w:spacing w:line="500" w:lineRule="exact"/>
        <w:ind w:firstLine="480" w:firstLineChars="200"/>
        <w:rPr>
          <w:rFonts w:eastAsia="宋体"/>
        </w:rPr>
      </w:pPr>
      <w:r>
        <w:rPr>
          <w:rFonts w:eastAsia="宋体"/>
        </w:rPr>
        <w:t>（7）《中华人民共和国噪声污染防治法》（</w:t>
      </w:r>
      <w:r>
        <w:rPr>
          <w:rFonts w:eastAsiaTheme="minorEastAsia"/>
          <w:kern w:val="0"/>
        </w:rPr>
        <w:t>国家主席令</w:t>
      </w:r>
      <w:r>
        <w:rPr>
          <w:rFonts w:hint="eastAsia" w:eastAsiaTheme="minorEastAsia"/>
          <w:kern w:val="0"/>
        </w:rPr>
        <w:t>104</w:t>
      </w:r>
      <w:r>
        <w:rPr>
          <w:rFonts w:eastAsiaTheme="minorEastAsia"/>
          <w:kern w:val="0"/>
        </w:rPr>
        <w:t>号，</w:t>
      </w:r>
      <w:r>
        <w:rPr>
          <w:rFonts w:hint="eastAsia" w:eastAsiaTheme="minorEastAsia"/>
          <w:kern w:val="0"/>
        </w:rPr>
        <w:t>2021年12月24日通过修改，</w:t>
      </w:r>
      <w:r>
        <w:rPr>
          <w:rFonts w:hint="eastAsia" w:eastAsiaTheme="minorEastAsia"/>
          <w:kern w:val="0"/>
          <w:lang w:eastAsia="zh-CN"/>
        </w:rPr>
        <w:t>20</w:t>
      </w:r>
      <w:r>
        <w:rPr>
          <w:rFonts w:hint="eastAsia" w:eastAsiaTheme="minorEastAsia"/>
          <w:kern w:val="0"/>
          <w:lang w:val="en-US" w:eastAsia="zh-CN"/>
        </w:rPr>
        <w:t>22</w:t>
      </w:r>
      <w:r>
        <w:rPr>
          <w:rFonts w:hint="eastAsia" w:eastAsiaTheme="minorEastAsia"/>
          <w:kern w:val="0"/>
        </w:rPr>
        <w:t>年6月5日起实施</w:t>
      </w:r>
      <w:r>
        <w:rPr>
          <w:rFonts w:eastAsia="宋体"/>
        </w:rPr>
        <w:t>）；</w:t>
      </w:r>
    </w:p>
    <w:p w14:paraId="5D1E7B6B">
      <w:pPr>
        <w:adjustRightInd w:val="0"/>
        <w:snapToGrid w:val="0"/>
        <w:spacing w:line="500" w:lineRule="exact"/>
        <w:ind w:firstLine="480" w:firstLineChars="200"/>
        <w:rPr>
          <w:rFonts w:eastAsia="宋体"/>
        </w:rPr>
      </w:pPr>
      <w:r>
        <w:rPr>
          <w:rFonts w:eastAsia="宋体"/>
        </w:rPr>
        <w:t>（8）《中华人民共和国固体废物污染环境防治法》（</w:t>
      </w:r>
      <w:r>
        <w:rPr>
          <w:rFonts w:eastAsia="宋体"/>
          <w:kern w:val="0"/>
          <w:szCs w:val="28"/>
        </w:rPr>
        <w:t>2020年9月1日施行</w:t>
      </w:r>
      <w:r>
        <w:rPr>
          <w:rFonts w:eastAsia="宋体"/>
        </w:rPr>
        <w:t>）；</w:t>
      </w:r>
    </w:p>
    <w:p w14:paraId="58254CD6">
      <w:pPr>
        <w:adjustRightInd w:val="0"/>
        <w:snapToGrid w:val="0"/>
        <w:spacing w:line="500" w:lineRule="exact"/>
        <w:ind w:firstLine="480" w:firstLineChars="200"/>
        <w:rPr>
          <w:rFonts w:eastAsia="宋体"/>
        </w:rPr>
      </w:pPr>
      <w:r>
        <w:rPr>
          <w:rFonts w:eastAsia="宋体"/>
        </w:rPr>
        <w:t>（9）《</w:t>
      </w:r>
      <w:r>
        <w:rPr>
          <w:rFonts w:eastAsia="宋体"/>
          <w:kern w:val="0"/>
          <w:szCs w:val="28"/>
        </w:rPr>
        <w:t>中华人民共和国大气污染防治法》（国主席令十六号，2018年10月26日施行）；</w:t>
      </w:r>
    </w:p>
    <w:p w14:paraId="0673E60B">
      <w:pPr>
        <w:adjustRightInd w:val="0"/>
        <w:snapToGrid w:val="0"/>
        <w:spacing w:line="500" w:lineRule="exact"/>
        <w:ind w:firstLine="480" w:firstLineChars="200"/>
        <w:rPr>
          <w:rFonts w:eastAsia="宋体"/>
        </w:rPr>
      </w:pPr>
      <w:r>
        <w:rPr>
          <w:rFonts w:eastAsia="宋体"/>
        </w:rPr>
        <w:t>（10）《国务院关于加强环境保护重点工作的意见》（国发〔2011〕35号）；</w:t>
      </w:r>
    </w:p>
    <w:p w14:paraId="1EE1C204">
      <w:pPr>
        <w:adjustRightInd w:val="0"/>
        <w:snapToGrid w:val="0"/>
        <w:spacing w:line="500" w:lineRule="exact"/>
        <w:ind w:firstLine="480" w:firstLineChars="200"/>
        <w:rPr>
          <w:rFonts w:hint="eastAsia" w:eastAsia="宋体"/>
          <w:lang w:eastAsia="zh-CN"/>
        </w:rPr>
      </w:pPr>
      <w:r>
        <w:rPr>
          <w:rFonts w:eastAsia="宋体"/>
        </w:rPr>
        <w:t>（11）《</w:t>
      </w:r>
      <w:r>
        <w:rPr>
          <w:rFonts w:eastAsia="宋体"/>
          <w:kern w:val="0"/>
          <w:szCs w:val="28"/>
        </w:rPr>
        <w:t>生产安全事故应急预</w:t>
      </w:r>
      <w:r>
        <w:rPr>
          <w:rFonts w:eastAsia="宋体"/>
        </w:rPr>
        <w:t>案管理办法》（国家安全生产监督管理总局令第88号，2016年7月1日施行）；</w:t>
      </w:r>
    </w:p>
    <w:p w14:paraId="37F49175">
      <w:pPr>
        <w:adjustRightInd w:val="0"/>
        <w:snapToGrid w:val="0"/>
        <w:spacing w:line="500" w:lineRule="exact"/>
        <w:ind w:firstLine="480" w:firstLineChars="200"/>
        <w:rPr>
          <w:rFonts w:eastAsia="宋体"/>
        </w:rPr>
      </w:pPr>
      <w:r>
        <w:rPr>
          <w:rFonts w:eastAsia="宋体"/>
        </w:rPr>
        <w:t>（12）《突发环境事件信息报告办法》（环境保护部令第17号，2011年5月1日起施行）；</w:t>
      </w:r>
    </w:p>
    <w:p w14:paraId="2AA4AF37">
      <w:pPr>
        <w:adjustRightInd w:val="0"/>
        <w:snapToGrid w:val="0"/>
        <w:spacing w:line="500" w:lineRule="exact"/>
        <w:ind w:firstLine="480" w:firstLineChars="200"/>
        <w:rPr>
          <w:rFonts w:eastAsia="宋体"/>
        </w:rPr>
      </w:pPr>
      <w:r>
        <w:rPr>
          <w:rFonts w:eastAsia="宋体"/>
        </w:rPr>
        <w:t>（13）《突发环境事件应急管理办法》（环保部令第34号，2015年6月5日起施行）；</w:t>
      </w:r>
    </w:p>
    <w:p w14:paraId="093A8E4F">
      <w:pPr>
        <w:adjustRightInd w:val="0"/>
        <w:snapToGrid w:val="0"/>
        <w:spacing w:line="500" w:lineRule="exact"/>
        <w:ind w:firstLine="480" w:firstLineChars="200"/>
        <w:rPr>
          <w:rFonts w:eastAsia="宋体"/>
        </w:rPr>
      </w:pPr>
      <w:r>
        <w:rPr>
          <w:rFonts w:eastAsia="宋体"/>
        </w:rPr>
        <w:t>（14）《</w:t>
      </w:r>
      <w:r>
        <w:rPr>
          <w:rFonts w:hint="eastAsia" w:eastAsia="宋体"/>
        </w:rPr>
        <w:t>危险化学品名录</w:t>
      </w:r>
      <w:r>
        <w:rPr>
          <w:rFonts w:eastAsia="宋体"/>
        </w:rPr>
        <w:t>》（201</w:t>
      </w:r>
      <w:r>
        <w:rPr>
          <w:rFonts w:hint="eastAsia" w:eastAsia="宋体"/>
        </w:rPr>
        <w:t>5</w:t>
      </w:r>
      <w:r>
        <w:rPr>
          <w:rFonts w:eastAsia="宋体"/>
        </w:rPr>
        <w:t>版）；</w:t>
      </w:r>
    </w:p>
    <w:p w14:paraId="5698A558">
      <w:pPr>
        <w:adjustRightInd w:val="0"/>
        <w:snapToGrid w:val="0"/>
        <w:spacing w:line="500" w:lineRule="exact"/>
        <w:ind w:firstLine="480" w:firstLineChars="200"/>
        <w:rPr>
          <w:rFonts w:eastAsia="宋体"/>
        </w:rPr>
      </w:pPr>
      <w:r>
        <w:rPr>
          <w:rFonts w:eastAsia="宋体"/>
        </w:rPr>
        <w:t>（15）《国家危险废物名录(2021年版)》（</w:t>
      </w:r>
      <w:r>
        <w:rPr>
          <w:rFonts w:hint="eastAsia" w:eastAsia="宋体"/>
        </w:rPr>
        <w:t>自</w:t>
      </w:r>
      <w:r>
        <w:rPr>
          <w:rFonts w:eastAsia="宋体"/>
        </w:rPr>
        <w:t>2021年</w:t>
      </w:r>
      <w:r>
        <w:rPr>
          <w:rFonts w:hint="eastAsia" w:eastAsia="宋体"/>
          <w:lang w:eastAsia="zh-CN"/>
        </w:rPr>
        <w:t>10月</w:t>
      </w:r>
      <w:r>
        <w:rPr>
          <w:rFonts w:eastAsia="宋体"/>
        </w:rPr>
        <w:t>1日起施行）；</w:t>
      </w:r>
    </w:p>
    <w:p w14:paraId="23F861AA">
      <w:pPr>
        <w:adjustRightInd w:val="0"/>
        <w:snapToGrid w:val="0"/>
        <w:spacing w:line="500" w:lineRule="exact"/>
        <w:ind w:firstLine="480" w:firstLineChars="200"/>
        <w:rPr>
          <w:rFonts w:eastAsia="宋体"/>
        </w:rPr>
      </w:pPr>
      <w:r>
        <w:rPr>
          <w:rFonts w:eastAsia="宋体"/>
        </w:rPr>
        <w:t>（16）《重点监管的</w:t>
      </w:r>
      <w:r>
        <w:rPr>
          <w:rFonts w:hint="eastAsia" w:eastAsia="宋体"/>
        </w:rPr>
        <w:t>化学物质</w:t>
      </w:r>
      <w:r>
        <w:rPr>
          <w:rFonts w:eastAsia="宋体"/>
        </w:rPr>
        <w:t>名录》（2013年完整版）；</w:t>
      </w:r>
    </w:p>
    <w:p w14:paraId="398F409B">
      <w:pPr>
        <w:adjustRightInd w:val="0"/>
        <w:snapToGrid w:val="0"/>
        <w:spacing w:line="500" w:lineRule="exact"/>
        <w:ind w:firstLine="480" w:firstLineChars="200"/>
        <w:rPr>
          <w:rFonts w:eastAsia="宋体"/>
        </w:rPr>
      </w:pPr>
      <w:r>
        <w:rPr>
          <w:rFonts w:eastAsia="宋体"/>
        </w:rPr>
        <w:t>（17）《关于进一步加强环境影响评价管理防范环境风险的通知》(国家环保总局，环发〔2012〕77号)；</w:t>
      </w:r>
    </w:p>
    <w:p w14:paraId="491C740C">
      <w:pPr>
        <w:adjustRightInd w:val="0"/>
        <w:snapToGrid w:val="0"/>
        <w:spacing w:line="500" w:lineRule="exact"/>
        <w:ind w:firstLine="480" w:firstLineChars="200"/>
        <w:rPr>
          <w:rFonts w:eastAsia="宋体"/>
        </w:rPr>
      </w:pPr>
      <w:r>
        <w:rPr>
          <w:rFonts w:eastAsia="宋体"/>
        </w:rPr>
        <w:t>（18）《</w:t>
      </w:r>
      <w:r>
        <w:rPr>
          <w:rFonts w:hint="eastAsia" w:eastAsia="宋体"/>
          <w:lang w:eastAsia="zh-CN"/>
        </w:rPr>
        <w:t>危险化学品事故应急救援指挥导则</w:t>
      </w:r>
      <w:r>
        <w:rPr>
          <w:rFonts w:eastAsia="宋体"/>
        </w:rPr>
        <w:t>》（AQ/T3052-2015）；</w:t>
      </w:r>
    </w:p>
    <w:p w14:paraId="2CB4CF1A">
      <w:pPr>
        <w:adjustRightInd w:val="0"/>
        <w:snapToGrid w:val="0"/>
        <w:spacing w:line="500" w:lineRule="exact"/>
        <w:ind w:firstLine="480" w:firstLineChars="200"/>
        <w:rPr>
          <w:rFonts w:eastAsia="宋体"/>
        </w:rPr>
      </w:pPr>
      <w:r>
        <w:rPr>
          <w:rFonts w:eastAsia="宋体"/>
        </w:rPr>
        <w:t>（19）</w:t>
      </w:r>
      <w:r>
        <w:rPr>
          <w:rFonts w:eastAsiaTheme="minorEastAsia"/>
          <w:kern w:val="0"/>
        </w:rPr>
        <w:t>《企事业单位和工业园区突发环境事件应急预案编制导则》（DB32/T3795-2020）</w:t>
      </w:r>
      <w:r>
        <w:rPr>
          <w:rFonts w:eastAsia="宋体"/>
        </w:rPr>
        <w:t>；</w:t>
      </w:r>
    </w:p>
    <w:p w14:paraId="2A498151">
      <w:pPr>
        <w:adjustRightInd w:val="0"/>
        <w:snapToGrid w:val="0"/>
        <w:spacing w:line="500" w:lineRule="exact"/>
        <w:ind w:firstLine="480" w:firstLineChars="200"/>
        <w:rPr>
          <w:rFonts w:eastAsia="宋体"/>
        </w:rPr>
      </w:pPr>
      <w:r>
        <w:rPr>
          <w:rFonts w:eastAsia="宋体"/>
        </w:rPr>
        <w:t>（20）《江苏省突发环境事件应急预案管理办法》(</w:t>
      </w:r>
      <w:r>
        <w:rPr>
          <w:rFonts w:hint="eastAsia" w:eastAsia="宋体"/>
        </w:rPr>
        <w:t>苏环规〔2014〕2号</w:t>
      </w:r>
      <w:r>
        <w:rPr>
          <w:rFonts w:eastAsia="宋体"/>
        </w:rPr>
        <w:t>)；</w:t>
      </w:r>
    </w:p>
    <w:p w14:paraId="57BF7AC3">
      <w:pPr>
        <w:adjustRightInd w:val="0"/>
        <w:snapToGrid w:val="0"/>
        <w:spacing w:line="500" w:lineRule="exact"/>
        <w:ind w:firstLine="480" w:firstLineChars="200"/>
        <w:rPr>
          <w:rFonts w:eastAsia="宋体"/>
        </w:rPr>
      </w:pPr>
      <w:r>
        <w:rPr>
          <w:rFonts w:eastAsia="宋体"/>
        </w:rPr>
        <w:t>（21）《关于开展江苏省重点环境风险企业环境安全达标建设工作的通知》（苏环办〔2013〕321号）；</w:t>
      </w:r>
    </w:p>
    <w:p w14:paraId="36D40E18">
      <w:pPr>
        <w:adjustRightInd w:val="0"/>
        <w:snapToGrid w:val="0"/>
        <w:spacing w:line="500" w:lineRule="exact"/>
        <w:ind w:firstLine="480" w:firstLineChars="200"/>
        <w:rPr>
          <w:rFonts w:eastAsia="宋体"/>
        </w:rPr>
      </w:pPr>
      <w:r>
        <w:rPr>
          <w:rFonts w:eastAsia="宋体"/>
        </w:rPr>
        <w:t>（22）《江苏省固体废物污染环境防治条例(修改)》（省十三届人大第二次会议，2018年</w:t>
      </w:r>
      <w:r>
        <w:rPr>
          <w:rFonts w:hint="eastAsia" w:eastAsia="宋体"/>
          <w:lang w:eastAsia="zh-CN"/>
        </w:rPr>
        <w:t>10月</w:t>
      </w:r>
      <w:r>
        <w:rPr>
          <w:rFonts w:eastAsia="宋体"/>
        </w:rPr>
        <w:t>28日）；</w:t>
      </w:r>
    </w:p>
    <w:p w14:paraId="589FBDDD">
      <w:pPr>
        <w:adjustRightInd w:val="0"/>
        <w:snapToGrid w:val="0"/>
        <w:spacing w:line="500" w:lineRule="exact"/>
        <w:ind w:firstLine="480" w:firstLineChars="200"/>
        <w:rPr>
          <w:rFonts w:eastAsia="宋体"/>
        </w:rPr>
      </w:pPr>
      <w:r>
        <w:rPr>
          <w:rFonts w:eastAsia="宋体"/>
        </w:rPr>
        <w:t>（23）《关于印发江苏省重点环境风险企业整治与防控方案的通知》（苏环委办〔2013〕9号）；</w:t>
      </w:r>
    </w:p>
    <w:p w14:paraId="102DEB37">
      <w:pPr>
        <w:adjustRightInd w:val="0"/>
        <w:snapToGrid w:val="0"/>
        <w:spacing w:line="500" w:lineRule="exact"/>
        <w:ind w:firstLine="480" w:firstLineChars="200"/>
        <w:rPr>
          <w:rFonts w:eastAsia="宋体"/>
        </w:rPr>
      </w:pPr>
      <w:r>
        <w:rPr>
          <w:rFonts w:eastAsia="宋体"/>
        </w:rPr>
        <w:t>（24）《关于进一步做好全省重点环境风险企业环境安全达标建设工作的通知》（苏环办〔2014〕152号）；</w:t>
      </w:r>
    </w:p>
    <w:p w14:paraId="791DA506">
      <w:pPr>
        <w:adjustRightInd w:val="0"/>
        <w:snapToGrid w:val="0"/>
        <w:spacing w:line="500" w:lineRule="exact"/>
        <w:ind w:firstLine="480" w:firstLineChars="200"/>
        <w:rPr>
          <w:rFonts w:eastAsia="宋体"/>
        </w:rPr>
      </w:pPr>
      <w:r>
        <w:rPr>
          <w:rFonts w:eastAsia="宋体"/>
        </w:rPr>
        <w:t>（25）《江苏省国家级生态保护红线规划》；</w:t>
      </w:r>
    </w:p>
    <w:p w14:paraId="47F6A964">
      <w:pPr>
        <w:adjustRightInd w:val="0"/>
        <w:snapToGrid w:val="0"/>
        <w:spacing w:line="500" w:lineRule="exact"/>
        <w:ind w:firstLine="480" w:firstLineChars="200"/>
        <w:rPr>
          <w:rFonts w:eastAsia="宋体"/>
        </w:rPr>
      </w:pPr>
      <w:r>
        <w:rPr>
          <w:rFonts w:eastAsia="宋体"/>
        </w:rPr>
        <w:t>（26）《省政府关于印发江苏省生态空间管控区域规划的通知》（苏政发[2020]1号）；</w:t>
      </w:r>
    </w:p>
    <w:p w14:paraId="1191B3C1">
      <w:pPr>
        <w:adjustRightInd w:val="0"/>
        <w:snapToGrid w:val="0"/>
        <w:spacing w:line="500" w:lineRule="exact"/>
        <w:ind w:firstLine="480" w:firstLineChars="200"/>
        <w:rPr>
          <w:rFonts w:eastAsia="宋体"/>
        </w:rPr>
      </w:pPr>
      <w:r>
        <w:rPr>
          <w:rFonts w:eastAsia="宋体"/>
        </w:rPr>
        <w:t>（27）《省政府关于印发江苏省“三线一单”生态环境分区管控方案的通知》（苏政发〔2020〕49号）。</w:t>
      </w:r>
    </w:p>
    <w:p w14:paraId="423F94F8">
      <w:pPr>
        <w:pStyle w:val="4"/>
        <w:adjustRightInd w:val="0"/>
        <w:snapToGrid w:val="0"/>
        <w:spacing w:line="500" w:lineRule="exact"/>
        <w:rPr>
          <w:rFonts w:eastAsia="宋体"/>
        </w:rPr>
      </w:pPr>
      <w:bookmarkStart w:id="26" w:name="_Toc573"/>
      <w:bookmarkStart w:id="27" w:name="_Toc3846"/>
      <w:bookmarkStart w:id="28" w:name="_Toc1162"/>
      <w:bookmarkStart w:id="29" w:name="_Toc512608511"/>
      <w:bookmarkStart w:id="30" w:name="_Toc31049"/>
      <w:r>
        <w:rPr>
          <w:rFonts w:eastAsia="宋体"/>
        </w:rPr>
        <w:t>2.2.2标准规范</w:t>
      </w:r>
      <w:bookmarkEnd w:id="24"/>
      <w:bookmarkEnd w:id="26"/>
      <w:bookmarkEnd w:id="27"/>
      <w:bookmarkEnd w:id="28"/>
      <w:bookmarkEnd w:id="29"/>
      <w:bookmarkEnd w:id="30"/>
    </w:p>
    <w:p w14:paraId="61622054">
      <w:pPr>
        <w:adjustRightInd w:val="0"/>
        <w:snapToGrid w:val="0"/>
        <w:spacing w:line="500" w:lineRule="exact"/>
        <w:ind w:firstLine="480" w:firstLineChars="200"/>
        <w:rPr>
          <w:rFonts w:eastAsia="宋体"/>
        </w:rPr>
      </w:pPr>
      <w:r>
        <w:rPr>
          <w:rFonts w:eastAsia="宋体"/>
        </w:rPr>
        <w:t>（1）《</w:t>
      </w:r>
      <w:r>
        <w:rPr>
          <w:rFonts w:hint="eastAsia" w:eastAsia="宋体"/>
          <w:lang w:eastAsia="zh-CN"/>
        </w:rPr>
        <w:t>危险化学品重大危险源辨识</w:t>
      </w:r>
      <w:r>
        <w:rPr>
          <w:rFonts w:eastAsia="宋体"/>
        </w:rPr>
        <w:t>》（GB18218-2018）；</w:t>
      </w:r>
    </w:p>
    <w:p w14:paraId="4B9794A8">
      <w:pPr>
        <w:adjustRightInd w:val="0"/>
        <w:snapToGrid w:val="0"/>
        <w:spacing w:line="500" w:lineRule="exact"/>
        <w:ind w:firstLine="480" w:firstLineChars="200"/>
        <w:rPr>
          <w:rFonts w:eastAsia="宋体"/>
        </w:rPr>
      </w:pPr>
      <w:r>
        <w:rPr>
          <w:rFonts w:eastAsia="宋体"/>
        </w:rPr>
        <w:t>（2）《化工建设项目环境保护</w:t>
      </w:r>
      <w:r>
        <w:rPr>
          <w:rFonts w:hint="eastAsia" w:eastAsia="宋体"/>
        </w:rPr>
        <w:t>工程</w:t>
      </w:r>
      <w:r>
        <w:rPr>
          <w:rFonts w:eastAsia="宋体"/>
        </w:rPr>
        <w:t>设计</w:t>
      </w:r>
      <w:r>
        <w:rPr>
          <w:rFonts w:hint="eastAsia" w:eastAsia="宋体"/>
        </w:rPr>
        <w:t>标准</w:t>
      </w:r>
      <w:r>
        <w:rPr>
          <w:rFonts w:eastAsia="宋体"/>
        </w:rPr>
        <w:t>》（</w:t>
      </w:r>
      <w:r>
        <w:rPr>
          <w:rFonts w:hint="eastAsia" w:eastAsia="宋体"/>
          <w:lang w:eastAsia="zh-CN"/>
        </w:rPr>
        <w:t>GB/T50483-2019</w:t>
      </w:r>
      <w:r>
        <w:rPr>
          <w:rFonts w:eastAsia="宋体"/>
        </w:rPr>
        <w:t>）；</w:t>
      </w:r>
    </w:p>
    <w:p w14:paraId="6BF9D2DA">
      <w:pPr>
        <w:adjustRightInd w:val="0"/>
        <w:snapToGrid w:val="0"/>
        <w:spacing w:line="500" w:lineRule="exact"/>
        <w:ind w:firstLine="480" w:firstLineChars="200"/>
        <w:rPr>
          <w:rFonts w:eastAsia="宋体"/>
        </w:rPr>
      </w:pPr>
      <w:r>
        <w:rPr>
          <w:rFonts w:eastAsia="宋体"/>
        </w:rPr>
        <w:t>（3）《建筑设计防火规范》（</w:t>
      </w:r>
      <w:r>
        <w:rPr>
          <w:rFonts w:hint="eastAsia" w:eastAsia="宋体"/>
          <w:lang w:eastAsia="zh-CN"/>
        </w:rPr>
        <w:t>GB50016-2014[2018年版]</w:t>
      </w:r>
      <w:r>
        <w:rPr>
          <w:rFonts w:eastAsia="宋体"/>
        </w:rPr>
        <w:t>）；</w:t>
      </w:r>
    </w:p>
    <w:p w14:paraId="23A6039C">
      <w:pPr>
        <w:adjustRightInd w:val="0"/>
        <w:snapToGrid w:val="0"/>
        <w:spacing w:line="500" w:lineRule="exact"/>
        <w:ind w:firstLine="480" w:firstLineChars="200"/>
        <w:rPr>
          <w:rFonts w:eastAsia="宋体"/>
        </w:rPr>
      </w:pPr>
      <w:r>
        <w:rPr>
          <w:rFonts w:eastAsia="宋体"/>
        </w:rPr>
        <w:t>（4）《</w:t>
      </w:r>
      <w:r>
        <w:rPr>
          <w:rFonts w:eastAsia="宋体"/>
          <w:kern w:val="0"/>
          <w:szCs w:val="28"/>
        </w:rPr>
        <w:t>危险货物品名表》（GB12268-2012）；</w:t>
      </w:r>
    </w:p>
    <w:p w14:paraId="174168E2">
      <w:pPr>
        <w:adjustRightInd w:val="0"/>
        <w:snapToGrid w:val="0"/>
        <w:spacing w:line="500" w:lineRule="exact"/>
        <w:ind w:firstLine="480" w:firstLineChars="200"/>
        <w:rPr>
          <w:rFonts w:eastAsia="宋体"/>
        </w:rPr>
      </w:pPr>
      <w:r>
        <w:rPr>
          <w:rFonts w:eastAsia="宋体"/>
        </w:rPr>
        <w:t>（6）《环境影响评价技术导则地下水环境》（HJ610-2016）；</w:t>
      </w:r>
    </w:p>
    <w:p w14:paraId="6888E44E">
      <w:pPr>
        <w:adjustRightInd w:val="0"/>
        <w:snapToGrid w:val="0"/>
        <w:spacing w:line="500" w:lineRule="exact"/>
        <w:ind w:firstLine="480" w:firstLineChars="200"/>
        <w:rPr>
          <w:rFonts w:eastAsia="宋体"/>
        </w:rPr>
      </w:pPr>
      <w:r>
        <w:rPr>
          <w:rFonts w:eastAsia="宋体"/>
        </w:rPr>
        <w:t>（7）《环境影响评价技术导则地表水环境》（HJ2.3-2018）；</w:t>
      </w:r>
    </w:p>
    <w:p w14:paraId="27309628">
      <w:pPr>
        <w:adjustRightInd w:val="0"/>
        <w:snapToGrid w:val="0"/>
        <w:spacing w:line="500" w:lineRule="exact"/>
        <w:ind w:firstLine="480" w:firstLineChars="200"/>
        <w:rPr>
          <w:rFonts w:eastAsia="宋体"/>
        </w:rPr>
      </w:pPr>
      <w:r>
        <w:rPr>
          <w:rFonts w:eastAsia="宋体"/>
        </w:rPr>
        <w:t>（8）《环境影响评价技术导则大气环境》（HJ2.2-2018）；</w:t>
      </w:r>
    </w:p>
    <w:p w14:paraId="34F8D147">
      <w:pPr>
        <w:adjustRightInd w:val="0"/>
        <w:snapToGrid w:val="0"/>
        <w:spacing w:line="500" w:lineRule="exact"/>
        <w:ind w:firstLine="480" w:firstLineChars="200"/>
        <w:rPr>
          <w:rFonts w:eastAsia="宋体"/>
        </w:rPr>
      </w:pPr>
      <w:r>
        <w:rPr>
          <w:rFonts w:eastAsia="宋体"/>
        </w:rPr>
        <w:t>（9）《建设项目环境风险评价技术导则》（HJ169-2018）；</w:t>
      </w:r>
    </w:p>
    <w:p w14:paraId="5D6F4EFF">
      <w:pPr>
        <w:adjustRightInd w:val="0"/>
        <w:snapToGrid w:val="0"/>
        <w:spacing w:line="500" w:lineRule="exact"/>
        <w:ind w:firstLine="480" w:firstLineChars="200"/>
        <w:rPr>
          <w:rFonts w:eastAsia="宋体"/>
        </w:rPr>
      </w:pPr>
      <w:r>
        <w:rPr>
          <w:rFonts w:eastAsia="宋体"/>
        </w:rPr>
        <w:t>（10）《危险废物贮存污染控制标准》（GB18597-2001）；</w:t>
      </w:r>
    </w:p>
    <w:p w14:paraId="1A95B401">
      <w:pPr>
        <w:adjustRightInd w:val="0"/>
        <w:snapToGrid w:val="0"/>
        <w:spacing w:line="500" w:lineRule="exact"/>
        <w:ind w:firstLine="480" w:firstLineChars="200"/>
        <w:rPr>
          <w:rFonts w:eastAsia="宋体"/>
        </w:rPr>
      </w:pPr>
      <w:r>
        <w:rPr>
          <w:rFonts w:eastAsia="宋体"/>
        </w:rPr>
        <w:t>（11）《化学品毒性鉴定技术规范》（卫监督发〔2005〕272号）；</w:t>
      </w:r>
    </w:p>
    <w:p w14:paraId="2F7358A2">
      <w:pPr>
        <w:adjustRightInd w:val="0"/>
        <w:snapToGrid w:val="0"/>
        <w:spacing w:line="500" w:lineRule="exact"/>
        <w:ind w:firstLine="480" w:firstLineChars="200"/>
        <w:rPr>
          <w:rFonts w:eastAsia="宋体"/>
        </w:rPr>
      </w:pPr>
      <w:r>
        <w:rPr>
          <w:rFonts w:eastAsia="宋体"/>
        </w:rPr>
        <w:t>（12）《重点监管的化学物质安全措施和应急处置原则》（国家安全生产监督管理总局）；</w:t>
      </w:r>
    </w:p>
    <w:p w14:paraId="764B7853">
      <w:pPr>
        <w:adjustRightInd w:val="0"/>
        <w:snapToGrid w:val="0"/>
        <w:spacing w:line="500" w:lineRule="exact"/>
        <w:ind w:firstLine="480" w:firstLineChars="200"/>
        <w:rPr>
          <w:rFonts w:eastAsia="宋体"/>
        </w:rPr>
      </w:pPr>
      <w:r>
        <w:rPr>
          <w:rFonts w:eastAsia="宋体"/>
        </w:rPr>
        <w:t>（13）关于印发《工业危险废物产生单位规范化管理实施指南》的通知（苏环办﹝2014﹞232号）；</w:t>
      </w:r>
    </w:p>
    <w:p w14:paraId="6E21445D">
      <w:pPr>
        <w:adjustRightInd w:val="0"/>
        <w:snapToGrid w:val="0"/>
        <w:spacing w:line="500" w:lineRule="exact"/>
        <w:ind w:firstLine="480" w:firstLineChars="200"/>
      </w:pPr>
      <w:r>
        <w:rPr>
          <w:rFonts w:eastAsia="宋体"/>
        </w:rPr>
        <w:t>（1</w:t>
      </w:r>
      <w:r>
        <w:rPr>
          <w:rFonts w:hint="eastAsia" w:eastAsia="宋体"/>
        </w:rPr>
        <w:t>4</w:t>
      </w:r>
      <w:r>
        <w:rPr>
          <w:rFonts w:eastAsia="宋体"/>
        </w:rPr>
        <w:t>）</w:t>
      </w:r>
      <w:r>
        <w:rPr>
          <w:rFonts w:hint="eastAsia" w:ascii="宋体" w:hAnsi="宋体" w:eastAsia="宋体" w:cs="宋体"/>
        </w:rPr>
        <w:t>《省生态环境厅关于进一步加强危险废物污染防治工作的实施意见》（苏环办</w:t>
      </w:r>
      <w:r>
        <w:rPr>
          <w:rFonts w:eastAsia="宋体"/>
        </w:rPr>
        <w:t>〔2019〕327</w:t>
      </w:r>
      <w:r>
        <w:rPr>
          <w:rFonts w:hint="eastAsia" w:ascii="宋体" w:hAnsi="宋体" w:eastAsia="宋体" w:cs="宋体"/>
        </w:rPr>
        <w:t>号）；</w:t>
      </w:r>
    </w:p>
    <w:p w14:paraId="2A634C7B">
      <w:pPr>
        <w:adjustRightInd w:val="0"/>
        <w:snapToGrid w:val="0"/>
        <w:spacing w:line="500" w:lineRule="exact"/>
        <w:ind w:firstLine="480" w:firstLineChars="200"/>
        <w:rPr>
          <w:rFonts w:eastAsia="宋体"/>
        </w:rPr>
      </w:pPr>
      <w:r>
        <w:rPr>
          <w:rFonts w:eastAsia="宋体"/>
        </w:rPr>
        <w:t>（1</w:t>
      </w:r>
      <w:r>
        <w:rPr>
          <w:rFonts w:hint="eastAsia" w:eastAsia="宋体"/>
        </w:rPr>
        <w:t>5</w:t>
      </w:r>
      <w:r>
        <w:rPr>
          <w:rFonts w:eastAsia="宋体"/>
        </w:rPr>
        <w:t>）《江苏省环境安全企业建设标准（试行）》；</w:t>
      </w:r>
    </w:p>
    <w:p w14:paraId="37F0DED8">
      <w:pPr>
        <w:adjustRightInd w:val="0"/>
        <w:snapToGrid w:val="0"/>
        <w:spacing w:line="500" w:lineRule="exact"/>
        <w:ind w:firstLine="480" w:firstLineChars="200"/>
        <w:rPr>
          <w:rFonts w:eastAsia="宋体"/>
        </w:rPr>
      </w:pPr>
      <w:bookmarkStart w:id="31" w:name="_Hlk13477127"/>
      <w:r>
        <w:rPr>
          <w:rFonts w:eastAsia="宋体"/>
        </w:rPr>
        <w:t>（1</w:t>
      </w:r>
      <w:r>
        <w:rPr>
          <w:rFonts w:hint="eastAsia" w:eastAsia="宋体"/>
        </w:rPr>
        <w:t>6</w:t>
      </w:r>
      <w:r>
        <w:rPr>
          <w:rFonts w:eastAsia="宋体"/>
        </w:rPr>
        <w:t>）《环境应急资源调查指南(试行)》环办应急(2019)17号；</w:t>
      </w:r>
    </w:p>
    <w:bookmarkEnd w:id="31"/>
    <w:p w14:paraId="19739EF5">
      <w:pPr>
        <w:adjustRightInd w:val="0"/>
        <w:snapToGrid w:val="0"/>
        <w:spacing w:line="500" w:lineRule="exact"/>
        <w:ind w:firstLine="480" w:firstLineChars="200"/>
        <w:rPr>
          <w:rFonts w:eastAsia="宋体"/>
        </w:rPr>
      </w:pPr>
      <w:r>
        <w:rPr>
          <w:rFonts w:eastAsia="宋体"/>
        </w:rPr>
        <w:t>（1</w:t>
      </w:r>
      <w:r>
        <w:rPr>
          <w:rFonts w:hint="eastAsia" w:eastAsia="宋体"/>
        </w:rPr>
        <w:t>7</w:t>
      </w:r>
      <w:r>
        <w:rPr>
          <w:rFonts w:eastAsia="宋体"/>
        </w:rPr>
        <w:t>）《企业突发环境事件风险分级方法》（HJ941-2018）</w:t>
      </w:r>
      <w:r>
        <w:rPr>
          <w:rFonts w:hint="eastAsia" w:eastAsia="宋体"/>
        </w:rPr>
        <w:t>；</w:t>
      </w:r>
    </w:p>
    <w:p w14:paraId="386C62D7">
      <w:pPr>
        <w:adjustRightInd w:val="0"/>
        <w:snapToGrid w:val="0"/>
        <w:spacing w:line="500" w:lineRule="exact"/>
        <w:ind w:firstLine="480" w:firstLineChars="200"/>
        <w:rPr>
          <w:rFonts w:hint="eastAsia" w:eastAsia="宋体"/>
          <w:lang w:eastAsia="zh-CN"/>
        </w:rPr>
      </w:pPr>
      <w:r>
        <w:rPr>
          <w:rFonts w:hint="eastAsia" w:eastAsia="宋体"/>
        </w:rPr>
        <w:t>（18）</w:t>
      </w:r>
      <w:r>
        <w:rPr>
          <w:rFonts w:eastAsia="宋体"/>
        </w:rPr>
        <w:t>《危险化学品安全管理条例》（</w:t>
      </w:r>
      <w:r>
        <w:rPr>
          <w:rFonts w:hint="eastAsia" w:eastAsia="宋体"/>
        </w:rPr>
        <w:t>2013年修正版</w:t>
      </w:r>
      <w:r>
        <w:rPr>
          <w:rFonts w:eastAsia="宋体"/>
        </w:rPr>
        <w:t>）；</w:t>
      </w:r>
    </w:p>
    <w:p w14:paraId="2841F906">
      <w:pPr>
        <w:adjustRightInd w:val="0"/>
        <w:snapToGrid w:val="0"/>
        <w:spacing w:line="500" w:lineRule="exact"/>
        <w:ind w:firstLine="480" w:firstLineChars="200"/>
        <w:rPr>
          <w:rFonts w:eastAsia="宋体"/>
        </w:rPr>
      </w:pPr>
      <w:r>
        <w:rPr>
          <w:rFonts w:eastAsia="宋体"/>
        </w:rPr>
        <w:t>（</w:t>
      </w:r>
      <w:r>
        <w:rPr>
          <w:rFonts w:hint="eastAsia" w:eastAsia="宋体"/>
        </w:rPr>
        <w:t>19</w:t>
      </w:r>
      <w:r>
        <w:rPr>
          <w:rFonts w:eastAsia="宋体"/>
        </w:rPr>
        <w:t>）《危险化学品登记管理办法》（国家安全生产监督管理总局局长办公会议，2012年5月21日）</w:t>
      </w:r>
      <w:r>
        <w:rPr>
          <w:rFonts w:hint="eastAsia" w:eastAsia="宋体"/>
        </w:rPr>
        <w:t>；</w:t>
      </w:r>
    </w:p>
    <w:p w14:paraId="0311102B">
      <w:pPr>
        <w:adjustRightInd w:val="0"/>
        <w:snapToGrid w:val="0"/>
        <w:spacing w:line="500" w:lineRule="exact"/>
        <w:ind w:firstLine="480" w:firstLineChars="200"/>
        <w:rPr>
          <w:rFonts w:eastAsia="宋体"/>
        </w:rPr>
      </w:pPr>
      <w:r>
        <w:rPr>
          <w:rFonts w:hint="eastAsia" w:eastAsia="宋体"/>
        </w:rPr>
        <w:t>（20）《</w:t>
      </w:r>
      <w:r>
        <w:rPr>
          <w:rFonts w:hint="eastAsia" w:eastAsia="宋体"/>
          <w:lang w:eastAsia="zh-CN"/>
        </w:rPr>
        <w:t>危险化学品重大危险源辨识</w:t>
      </w:r>
      <w:r>
        <w:rPr>
          <w:rFonts w:hint="eastAsia" w:eastAsia="宋体"/>
        </w:rPr>
        <w:t>》（GB18218-2018）</w:t>
      </w:r>
    </w:p>
    <w:p w14:paraId="5207A579">
      <w:pPr>
        <w:adjustRightInd w:val="0"/>
        <w:snapToGrid w:val="0"/>
        <w:spacing w:line="500" w:lineRule="exact"/>
        <w:ind w:firstLine="480" w:firstLineChars="200"/>
        <w:rPr>
          <w:rFonts w:eastAsia="宋体"/>
        </w:rPr>
      </w:pPr>
      <w:r>
        <w:rPr>
          <w:rFonts w:hint="eastAsia" w:eastAsia="宋体"/>
        </w:rPr>
        <w:t>（</w:t>
      </w:r>
      <w:r>
        <w:rPr>
          <w:rFonts w:eastAsia="宋体"/>
        </w:rPr>
        <w:t>2</w:t>
      </w:r>
      <w:r>
        <w:rPr>
          <w:rFonts w:hint="eastAsia" w:eastAsia="宋体"/>
        </w:rPr>
        <w:t>1）</w:t>
      </w:r>
      <w:r>
        <w:rPr>
          <w:rFonts w:eastAsia="宋体"/>
        </w:rPr>
        <w:t>《大气污染物综合排放标准》(DB32/4041-2021)</w:t>
      </w:r>
    </w:p>
    <w:p w14:paraId="7E3456AE">
      <w:pPr>
        <w:adjustRightInd w:val="0"/>
        <w:snapToGrid w:val="0"/>
        <w:spacing w:line="500" w:lineRule="exact"/>
        <w:ind w:firstLine="480" w:firstLineChars="200"/>
        <w:rPr>
          <w:rFonts w:eastAsia="宋体"/>
        </w:rPr>
      </w:pPr>
      <w:r>
        <w:rPr>
          <w:rFonts w:hint="eastAsia" w:eastAsia="宋体"/>
        </w:rPr>
        <w:t>（22）</w:t>
      </w:r>
      <w:r>
        <w:rPr>
          <w:rFonts w:hint="eastAsia" w:eastAsiaTheme="minorEastAsia"/>
          <w:kern w:val="0"/>
        </w:rPr>
        <w:t>《</w:t>
      </w:r>
      <w:r>
        <w:rPr>
          <w:rFonts w:eastAsiaTheme="minorEastAsia"/>
          <w:kern w:val="0"/>
        </w:rPr>
        <w:t>表面涂装（家具制造业）挥发性有机物排放标准</w:t>
      </w:r>
      <w:r>
        <w:rPr>
          <w:rFonts w:hint="eastAsia" w:eastAsiaTheme="minorEastAsia"/>
          <w:kern w:val="0"/>
        </w:rPr>
        <w:t>》</w:t>
      </w:r>
      <w:r>
        <w:rPr>
          <w:rFonts w:eastAsiaTheme="minorEastAsia"/>
          <w:kern w:val="0"/>
        </w:rPr>
        <w:t>(</w:t>
      </w:r>
      <w:r>
        <w:rPr>
          <w:rFonts w:hint="eastAsia" w:eastAsiaTheme="minorEastAsia"/>
          <w:kern w:val="0"/>
        </w:rPr>
        <w:t>DB32/3152-2016</w:t>
      </w:r>
      <w:r>
        <w:rPr>
          <w:rFonts w:eastAsiaTheme="minorEastAsia"/>
          <w:kern w:val="0"/>
        </w:rPr>
        <w:t>)</w:t>
      </w:r>
      <w:r>
        <w:rPr>
          <w:rFonts w:eastAsia="宋体"/>
        </w:rPr>
        <w:t>。</w:t>
      </w:r>
    </w:p>
    <w:p w14:paraId="27343EC6">
      <w:pPr>
        <w:pStyle w:val="4"/>
        <w:adjustRightInd w:val="0"/>
        <w:snapToGrid w:val="0"/>
        <w:spacing w:line="500" w:lineRule="exact"/>
        <w:rPr>
          <w:rFonts w:eastAsia="宋体"/>
        </w:rPr>
      </w:pPr>
      <w:bookmarkStart w:id="32" w:name="_Toc3109"/>
      <w:bookmarkStart w:id="33" w:name="_Toc32074"/>
      <w:bookmarkStart w:id="34" w:name="_Toc1853"/>
      <w:bookmarkStart w:id="35" w:name="_Toc7977"/>
      <w:r>
        <w:rPr>
          <w:rFonts w:eastAsia="宋体"/>
        </w:rPr>
        <w:t>2.2.3其他文件</w:t>
      </w:r>
      <w:bookmarkEnd w:id="32"/>
      <w:bookmarkEnd w:id="33"/>
      <w:bookmarkEnd w:id="34"/>
      <w:bookmarkEnd w:id="35"/>
    </w:p>
    <w:p w14:paraId="0573F45D">
      <w:pPr>
        <w:widowControl/>
        <w:adjustRightInd w:val="0"/>
        <w:snapToGrid w:val="0"/>
        <w:spacing w:line="500" w:lineRule="exact"/>
        <w:ind w:firstLine="480" w:firstLineChars="200"/>
        <w:rPr>
          <w:rFonts w:eastAsia="宋体"/>
          <w:kern w:val="0"/>
          <w:szCs w:val="28"/>
        </w:rPr>
      </w:pPr>
      <w:r>
        <w:rPr>
          <w:rFonts w:hint="eastAsia" w:eastAsiaTheme="minorEastAsia"/>
          <w:kern w:val="0"/>
          <w:lang w:eastAsia="zh-CN"/>
        </w:rPr>
        <w:t>江苏福内特家居有限公司</w:t>
      </w:r>
      <w:r>
        <w:rPr>
          <w:rFonts w:eastAsiaTheme="minorEastAsia"/>
          <w:kern w:val="0"/>
        </w:rPr>
        <w:t>其他文件资料。</w:t>
      </w:r>
    </w:p>
    <w:p w14:paraId="6F846C23">
      <w:pPr>
        <w:pStyle w:val="3"/>
        <w:adjustRightInd w:val="0"/>
        <w:snapToGrid w:val="0"/>
        <w:spacing w:line="500" w:lineRule="exact"/>
        <w:rPr>
          <w:rFonts w:eastAsia="宋体"/>
          <w:sz w:val="24"/>
          <w:szCs w:val="24"/>
        </w:rPr>
      </w:pPr>
      <w:bookmarkStart w:id="36" w:name="_Toc4975"/>
      <w:bookmarkStart w:id="37" w:name="_Toc20254"/>
      <w:bookmarkStart w:id="38" w:name="_Toc31581"/>
      <w:bookmarkStart w:id="39" w:name="_Toc31986"/>
      <w:r>
        <w:rPr>
          <w:rFonts w:eastAsia="宋体"/>
          <w:sz w:val="24"/>
          <w:szCs w:val="24"/>
        </w:rPr>
        <w:t>2.3评估范围</w:t>
      </w:r>
      <w:bookmarkEnd w:id="36"/>
      <w:bookmarkEnd w:id="37"/>
      <w:bookmarkEnd w:id="38"/>
      <w:bookmarkEnd w:id="39"/>
    </w:p>
    <w:p w14:paraId="2B745160">
      <w:pPr>
        <w:pStyle w:val="34"/>
        <w:widowControl w:val="0"/>
        <w:adjustRightInd w:val="0"/>
        <w:snapToGrid w:val="0"/>
        <w:spacing w:before="0" w:beforeAutospacing="0" w:after="0" w:afterAutospacing="0" w:line="500" w:lineRule="exact"/>
        <w:ind w:firstLine="480" w:firstLineChars="200"/>
        <w:rPr>
          <w:rFonts w:eastAsia="宋体" w:cs="宋体"/>
          <w:color w:val="000000" w:themeColor="text1"/>
          <w14:textFill>
            <w14:solidFill>
              <w14:schemeClr w14:val="tx1"/>
            </w14:solidFill>
          </w14:textFill>
        </w:rPr>
      </w:pPr>
      <w:r>
        <w:rPr>
          <w:rFonts w:hint="eastAsia" w:eastAsia="宋体" w:cs="宋体"/>
          <w:color w:val="000000" w:themeColor="text1"/>
          <w14:textFill>
            <w14:solidFill>
              <w14:schemeClr w14:val="tx1"/>
            </w14:solidFill>
          </w14:textFill>
        </w:rPr>
        <w:t>本风险评估报告适用</w:t>
      </w:r>
      <w:r>
        <w:rPr>
          <w:rFonts w:hint="eastAsia" w:eastAsia="宋体" w:cs="宋体"/>
          <w:color w:val="000000" w:themeColor="text1"/>
          <w:lang w:eastAsia="zh-CN"/>
          <w14:textFill>
            <w14:solidFill>
              <w14:schemeClr w14:val="tx1"/>
            </w14:solidFill>
          </w14:textFill>
        </w:rPr>
        <w:t>江苏福内特家居有限公司</w:t>
      </w:r>
      <w:r>
        <w:rPr>
          <w:rFonts w:hint="eastAsia" w:eastAsia="宋体" w:cs="宋体"/>
          <w:color w:val="000000" w:themeColor="text1"/>
          <w14:textFill>
            <w14:solidFill>
              <w14:schemeClr w14:val="tx1"/>
            </w14:solidFill>
          </w14:textFill>
        </w:rPr>
        <w:t>现有生产过程中全厂范围内生产、使用、存储或释放危险化学物质等环境风险物质的过程中存在的环境风险的评估。具体包括：</w:t>
      </w:r>
    </w:p>
    <w:p w14:paraId="23D6EA55">
      <w:pPr>
        <w:pStyle w:val="34"/>
        <w:widowControl w:val="0"/>
        <w:adjustRightInd w:val="0"/>
        <w:snapToGrid w:val="0"/>
        <w:spacing w:before="0" w:beforeAutospacing="0" w:after="0" w:afterAutospacing="0" w:line="500" w:lineRule="exact"/>
        <w:ind w:firstLine="480" w:firstLineChars="200"/>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(1)公司使用的化学物质的存储、使用过程中的环境风险评估；</w:t>
      </w:r>
    </w:p>
    <w:p w14:paraId="029BAB0E">
      <w:pPr>
        <w:pStyle w:val="34"/>
        <w:widowControl w:val="0"/>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ascii="Times New Roman" w:hAnsi="Times New Roman" w:eastAsia="宋体"/>
          <w:color w:val="000000" w:themeColor="text1"/>
          <w14:textFill>
            <w14:solidFill>
              <w14:schemeClr w14:val="tx1"/>
            </w14:solidFill>
          </w14:textFill>
        </w:rPr>
        <w:t>公司原辅料</w:t>
      </w:r>
      <w:r>
        <w:rPr>
          <w:rFonts w:ascii="Times New Roman" w:hAnsi="Times New Roman" w:eastAsia="宋体"/>
          <w:color w:val="000000" w:themeColor="text1"/>
          <w14:textFill>
            <w14:solidFill>
              <w14:schemeClr w14:val="tx1"/>
            </w14:solidFill>
          </w14:textFill>
        </w:rPr>
        <w:t>在生产、储运过程中发生的泄漏、燃烧、爆炸等事故及其处理过程中的应急响应机制的环境风险评估；</w:t>
      </w:r>
    </w:p>
    <w:p w14:paraId="55C2665A">
      <w:pPr>
        <w:pStyle w:val="34"/>
        <w:widowControl w:val="0"/>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(3)危险固废堆放、运输、处置中产生的环境风险评估；</w:t>
      </w:r>
    </w:p>
    <w:p w14:paraId="14586583">
      <w:pPr>
        <w:pStyle w:val="34"/>
        <w:widowControl w:val="0"/>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(4)公司</w:t>
      </w:r>
      <w:r>
        <w:rPr>
          <w:rFonts w:hint="eastAsia" w:ascii="Times New Roman" w:hAnsi="Times New Roman" w:eastAsia="宋体"/>
          <w:color w:val="000000" w:themeColor="text1"/>
          <w14:textFill>
            <w14:solidFill>
              <w14:schemeClr w14:val="tx1"/>
            </w14:solidFill>
          </w14:textFill>
        </w:rPr>
        <w:t>消防水</w:t>
      </w:r>
      <w:r>
        <w:rPr>
          <w:rFonts w:ascii="Times New Roman" w:hAnsi="Times New Roman" w:eastAsia="宋体"/>
          <w:color w:val="000000" w:themeColor="text1"/>
          <w14:textFill>
            <w14:solidFill>
              <w14:schemeClr w14:val="tx1"/>
            </w14:solidFill>
          </w14:textFill>
        </w:rPr>
        <w:t>、泄漏物质收集应急处理等产生的事故废水、废液的收集处理过程的环境风险评估；</w:t>
      </w:r>
      <w:r>
        <w:rPr>
          <w:rFonts w:hint="eastAsia" w:ascii="Times New Roman" w:hAnsi="Times New Roman" w:eastAsia="宋体"/>
          <w:color w:val="000000" w:themeColor="text1"/>
          <w14:textFill>
            <w14:solidFill>
              <w14:schemeClr w14:val="tx1"/>
            </w14:solidFill>
          </w14:textFill>
        </w:rPr>
        <w:t>废气非正常排放的环境风险评估；</w:t>
      </w:r>
    </w:p>
    <w:p w14:paraId="12BFD070">
      <w:pPr>
        <w:pStyle w:val="34"/>
        <w:widowControl w:val="0"/>
        <w:adjustRightInd w:val="0"/>
        <w:snapToGrid w:val="0"/>
        <w:spacing w:before="0" w:beforeAutospacing="0" w:after="0" w:afterAutospacing="0" w:line="500" w:lineRule="exact"/>
        <w:ind w:firstLine="480" w:firstLineChars="200"/>
        <w:rPr>
          <w:rFonts w:eastAsia="宋体" w:cs="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(5)公司发生事故后应急处理过程中可能对周围环境产生危害影响的环境风险评估。</w:t>
      </w:r>
    </w:p>
    <w:p w14:paraId="5EB46FFB">
      <w:pPr>
        <w:pStyle w:val="3"/>
        <w:adjustRightInd w:val="0"/>
        <w:snapToGrid w:val="0"/>
        <w:spacing w:line="500" w:lineRule="exact"/>
        <w:rPr>
          <w:rFonts w:eastAsia="宋体"/>
          <w:sz w:val="24"/>
          <w:szCs w:val="24"/>
        </w:rPr>
      </w:pPr>
      <w:bookmarkStart w:id="40" w:name="_Toc12721"/>
      <w:bookmarkStart w:id="41" w:name="_Toc26808"/>
      <w:bookmarkStart w:id="42" w:name="_Toc3727"/>
      <w:bookmarkStart w:id="43" w:name="_Toc7104"/>
      <w:r>
        <w:rPr>
          <w:rFonts w:eastAsia="宋体"/>
          <w:sz w:val="24"/>
          <w:szCs w:val="24"/>
        </w:rPr>
        <w:t>2.4</w:t>
      </w:r>
      <w:r>
        <w:rPr>
          <w:rFonts w:eastAsia="宋体"/>
          <w:color w:val="000000" w:themeColor="text1"/>
          <w:sz w:val="24"/>
          <w:szCs w:val="24"/>
          <w14:textFill>
            <w14:solidFill>
              <w14:schemeClr w14:val="tx1"/>
            </w14:solidFill>
          </w14:textFill>
        </w:rPr>
        <w:t>环境风险评估程序</w:t>
      </w:r>
      <w:bookmarkEnd w:id="40"/>
      <w:bookmarkEnd w:id="41"/>
      <w:bookmarkEnd w:id="42"/>
      <w:bookmarkEnd w:id="43"/>
    </w:p>
    <w:p w14:paraId="769B2FC8">
      <w:pPr>
        <w:adjustRightInd w:val="0"/>
        <w:snapToGrid w:val="0"/>
        <w:spacing w:line="500" w:lineRule="exact"/>
        <w:ind w:firstLine="480" w:firstLineChars="200"/>
        <w:rPr>
          <w:rFonts w:eastAsia="宋体"/>
        </w:rPr>
      </w:pPr>
      <w:r>
        <w:rPr>
          <w:rFonts w:hint="eastAsia" w:eastAsia="宋体"/>
          <w:color w:val="000000" w:themeColor="text1"/>
          <w:lang w:eastAsia="zh-CN"/>
          <w14:textFill>
            <w14:solidFill>
              <w14:schemeClr w14:val="tx1"/>
            </w14:solidFill>
          </w14:textFill>
        </w:rPr>
        <w:t>江苏福内特家居有限公司</w:t>
      </w:r>
      <w:r>
        <w:rPr>
          <w:rFonts w:eastAsia="宋体"/>
        </w:rPr>
        <w:t>突发环境事件风险评估报告的风险评估程序见图2-1所示。</w:t>
      </w:r>
    </w:p>
    <w:p w14:paraId="19C2F1EC">
      <w:pPr>
        <w:adjustRightInd w:val="0"/>
        <w:spacing w:line="360" w:lineRule="auto"/>
        <w:jc w:val="center"/>
        <w:rPr>
          <w:rFonts w:eastAsia="宋体"/>
          <w:b/>
        </w:rPr>
      </w:pPr>
      <w:r>
        <w:rPr>
          <w:rFonts w:hint="eastAsia" w:ascii="宋体" w:hAnsi="宋体" w:eastAsia="宋体" w:cs="宋体"/>
          <w:b/>
        </w:rPr>
        <w:drawing>
          <wp:inline distT="0" distB="0" distL="0" distR="0">
            <wp:extent cx="4395470" cy="3536950"/>
            <wp:effectExtent l="0" t="0" r="5080" b="635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15" cstate="print"/>
                    <a:srcRect/>
                    <a:stretch>
                      <a:fillRect/>
                    </a:stretch>
                  </pic:blipFill>
                  <pic:spPr>
                    <a:xfrm>
                      <a:off x="0" y="0"/>
                      <a:ext cx="4395470" cy="3536950"/>
                    </a:xfrm>
                    <a:prstGeom prst="rect">
                      <a:avLst/>
                    </a:prstGeom>
                    <a:noFill/>
                    <a:ln w="9525">
                      <a:noFill/>
                      <a:miter lim="800000"/>
                      <a:headEnd/>
                      <a:tailEnd/>
                    </a:ln>
                  </pic:spPr>
                </pic:pic>
              </a:graphicData>
            </a:graphic>
          </wp:inline>
        </w:drawing>
      </w:r>
    </w:p>
    <w:p w14:paraId="04080393">
      <w:pPr>
        <w:adjustRightInd w:val="0"/>
        <w:snapToGrid w:val="0"/>
        <w:spacing w:line="500" w:lineRule="exact"/>
        <w:jc w:val="center"/>
        <w:rPr>
          <w:rFonts w:eastAsia="宋体"/>
          <w:sz w:val="21"/>
          <w:szCs w:val="21"/>
        </w:rPr>
      </w:pPr>
      <w:r>
        <w:rPr>
          <w:rFonts w:eastAsia="宋体"/>
          <w:b/>
          <w:sz w:val="21"/>
          <w:szCs w:val="21"/>
        </w:rPr>
        <w:t>图2-1突发环境事件风险评估报告的风险评估程序图</w:t>
      </w:r>
    </w:p>
    <w:p w14:paraId="72DDC6D8">
      <w:pPr>
        <w:pStyle w:val="3"/>
        <w:adjustRightInd w:val="0"/>
        <w:snapToGrid w:val="0"/>
        <w:spacing w:line="500" w:lineRule="exact"/>
        <w:rPr>
          <w:rFonts w:eastAsia="宋体"/>
          <w:sz w:val="24"/>
          <w:szCs w:val="24"/>
        </w:rPr>
      </w:pPr>
      <w:bookmarkStart w:id="44" w:name="_Toc27051"/>
      <w:bookmarkStart w:id="45" w:name="_Toc4383"/>
      <w:bookmarkStart w:id="46" w:name="_Toc19560"/>
      <w:r>
        <w:rPr>
          <w:rFonts w:eastAsia="宋体"/>
          <w:sz w:val="24"/>
          <w:szCs w:val="24"/>
        </w:rPr>
        <w:t>2.</w:t>
      </w:r>
      <w:r>
        <w:rPr>
          <w:rFonts w:hint="eastAsia" w:eastAsia="宋体"/>
          <w:sz w:val="24"/>
          <w:szCs w:val="24"/>
        </w:rPr>
        <w:t>5</w:t>
      </w:r>
      <w:r>
        <w:rPr>
          <w:rFonts w:eastAsia="宋体"/>
          <w:color w:val="000000" w:themeColor="text1"/>
          <w:sz w:val="24"/>
          <w:szCs w:val="24"/>
          <w14:textFill>
            <w14:solidFill>
              <w14:schemeClr w14:val="tx1"/>
            </w14:solidFill>
          </w14:textFill>
        </w:rPr>
        <w:t>环境风险评估</w:t>
      </w:r>
      <w:r>
        <w:rPr>
          <w:rFonts w:hint="eastAsia" w:eastAsia="宋体"/>
          <w:color w:val="000000" w:themeColor="text1"/>
          <w:sz w:val="24"/>
          <w:szCs w:val="24"/>
          <w14:textFill>
            <w14:solidFill>
              <w14:schemeClr w14:val="tx1"/>
            </w14:solidFill>
          </w14:textFill>
        </w:rPr>
        <w:t>的一般要求</w:t>
      </w:r>
      <w:bookmarkEnd w:id="44"/>
      <w:bookmarkEnd w:id="45"/>
      <w:bookmarkEnd w:id="46"/>
    </w:p>
    <w:p w14:paraId="2C5C067A">
      <w:pPr>
        <w:pStyle w:val="34"/>
        <w:adjustRightInd w:val="0"/>
        <w:snapToGrid w:val="0"/>
        <w:spacing w:before="0"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有下列情况之一时，我公司将及时重新划定环境风险等级，编制或修订本企业的突发环境事件风险评估报告：</w:t>
      </w:r>
    </w:p>
    <w:p w14:paraId="28BD109C">
      <w:pPr>
        <w:pStyle w:val="34"/>
        <w:adjustRightInd w:val="0"/>
        <w:snapToGrid w:val="0"/>
        <w:spacing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1、未划定环境风险等级或划定环境风险等级已满三年的；</w:t>
      </w:r>
    </w:p>
    <w:p w14:paraId="545FE131">
      <w:pPr>
        <w:pStyle w:val="34"/>
        <w:adjustRightInd w:val="0"/>
        <w:snapToGrid w:val="0"/>
        <w:spacing w:before="0"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2、涉及环境风险物质的种类或数量、生产工艺过程与环境风险防范措施或周边可能受影响的环境风险受体发生变化，导致企业环境风险等级变化的；</w:t>
      </w:r>
    </w:p>
    <w:p w14:paraId="494098B9">
      <w:pPr>
        <w:pStyle w:val="34"/>
        <w:adjustRightInd w:val="0"/>
        <w:snapToGrid w:val="0"/>
        <w:spacing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3、发生突发环境事件并造成环境污染的；</w:t>
      </w:r>
    </w:p>
    <w:p w14:paraId="041CA7E6">
      <w:pPr>
        <w:pStyle w:val="34"/>
        <w:adjustRightInd w:val="0"/>
        <w:snapToGrid w:val="0"/>
        <w:spacing w:before="0"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4、有关企业环境风险评估标准或规范性文件发生变化的。</w:t>
      </w:r>
    </w:p>
    <w:p w14:paraId="1578748D">
      <w:pPr>
        <w:pStyle w:val="3"/>
        <w:adjustRightInd w:val="0"/>
        <w:snapToGrid w:val="0"/>
        <w:spacing w:line="500" w:lineRule="exact"/>
        <w:rPr>
          <w:rFonts w:eastAsia="宋体"/>
          <w:sz w:val="24"/>
          <w:szCs w:val="24"/>
        </w:rPr>
      </w:pPr>
      <w:bookmarkStart w:id="47" w:name="_Toc489"/>
      <w:bookmarkStart w:id="48" w:name="_Toc12603"/>
      <w:bookmarkStart w:id="49" w:name="_Toc9077"/>
      <w:r>
        <w:rPr>
          <w:rFonts w:eastAsia="宋体"/>
          <w:sz w:val="24"/>
          <w:szCs w:val="24"/>
        </w:rPr>
        <w:t>2.</w:t>
      </w:r>
      <w:r>
        <w:rPr>
          <w:rFonts w:hint="eastAsia" w:eastAsia="宋体"/>
          <w:sz w:val="24"/>
          <w:szCs w:val="24"/>
        </w:rPr>
        <w:t>6</w:t>
      </w:r>
      <w:r>
        <w:rPr>
          <w:rFonts w:hint="eastAsia" w:eastAsia="宋体"/>
          <w:color w:val="000000" w:themeColor="text1"/>
          <w:sz w:val="24"/>
          <w:szCs w:val="24"/>
          <w14:textFill>
            <w14:solidFill>
              <w14:schemeClr w14:val="tx1"/>
            </w14:solidFill>
          </w14:textFill>
        </w:rPr>
        <w:t>术语与定义</w:t>
      </w:r>
      <w:bookmarkEnd w:id="47"/>
      <w:bookmarkEnd w:id="48"/>
      <w:bookmarkEnd w:id="49"/>
    </w:p>
    <w:p w14:paraId="68CCB3F3">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1、突发环境事件是指突然发生，造成或可能造成环境污染或生态破坏，危及人民群众生命财产安全，影响社会公共秩序，需要采取紧急措施予以应对的事件。</w:t>
      </w:r>
    </w:p>
    <w:p w14:paraId="47814CF0">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2、环境风险是指突发性事故对环境（或健康）的危害程度，用风险值R表征，其定义为事故发生的概率P与事故造成的环境（或健康）后果C的乘积，用R表示。</w:t>
      </w:r>
    </w:p>
    <w:p w14:paraId="414FB0D9">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3、危险物质（风险物质）是指一种或若干物质的混合物，由于它的化学、物理或毒性，使其具有导致火灾、爆炸或中毒的物质。</w:t>
      </w:r>
    </w:p>
    <w:p w14:paraId="094E8708">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4、临界量：对于某种或某类危险物质规定的数量，若功能单元中物质数量等于或超过该数量，则该单元定为重大危险源。</w:t>
      </w:r>
    </w:p>
    <w:p w14:paraId="392B93E9">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环境风险单元指长期或短期生产、加工、使用或储存环境风险物质的一个（套）生产装置、设施（贮存容器、管道等）及环保处理设施或同属一个企业且边缘距离小于500米的几个（套）生产装置、设施或场所。</w:t>
      </w:r>
    </w:p>
    <w:p w14:paraId="1680960F">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6、环境风险受体指在突发环境事件中可能受到危害的企业外部人群、具有一定社会价值或生态功能的单位或区域等。</w:t>
      </w:r>
    </w:p>
    <w:p w14:paraId="072E92EA">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7、清净下水指装置区排出的未被污染的废水，如间接冷却水的排水、溢流水等</w:t>
      </w:r>
      <w:r>
        <w:rPr>
          <w:rFonts w:hint="eastAsia" w:ascii="Times New Roman" w:hAnsi="Times New Roman" w:eastAsia="宋体"/>
          <w:color w:val="000000" w:themeColor="text1"/>
          <w14:textFill>
            <w14:solidFill>
              <w14:schemeClr w14:val="tx1"/>
            </w14:solidFill>
          </w14:textFill>
        </w:rPr>
        <w:t>。</w:t>
      </w:r>
    </w:p>
    <w:p w14:paraId="522697EC">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8、事故排水指事故状态下排出的含有泄漏物，以及施救过程中产生其他物质的生产废水、清净下水、雨水或消防水等。</w:t>
      </w:r>
    </w:p>
    <w:p w14:paraId="223D7324">
      <w:pPr>
        <w:pStyle w:val="34"/>
        <w:adjustRightInd w:val="0"/>
        <w:snapToGrid w:val="0"/>
        <w:spacing w:before="0" w:beforeAutospacing="0" w:after="0" w:afterAutospacing="0" w:line="500" w:lineRule="exact"/>
        <w:ind w:left="881" w:firstLine="480" w:firstLineChars="200"/>
        <w:rPr>
          <w:rFonts w:ascii="Times New Roman" w:hAnsi="Times New Roman" w:eastAsia="宋体"/>
          <w:color w:val="000000" w:themeColor="text1"/>
          <w14:textFill>
            <w14:solidFill>
              <w14:schemeClr w14:val="tx1"/>
            </w14:solidFill>
          </w14:textFill>
        </w:rPr>
      </w:pPr>
    </w:p>
    <w:p w14:paraId="56F763EB">
      <w:pPr>
        <w:sectPr>
          <w:footerReference r:id="rId8" w:type="default"/>
          <w:pgSz w:w="11906" w:h="16838"/>
          <w:pgMar w:top="1474" w:right="1417" w:bottom="1474" w:left="1417" w:header="851" w:footer="992" w:gutter="0"/>
          <w:pgBorders>
            <w:top w:val="none" w:sz="0" w:space="0"/>
            <w:left w:val="none" w:sz="0" w:space="0"/>
            <w:bottom w:val="none" w:sz="0" w:space="0"/>
            <w:right w:val="none" w:sz="0" w:space="0"/>
          </w:pgBorders>
          <w:cols w:space="720" w:num="1"/>
          <w:docGrid w:linePitch="312" w:charSpace="0"/>
        </w:sectPr>
      </w:pPr>
    </w:p>
    <w:p w14:paraId="75434634">
      <w:pPr>
        <w:pStyle w:val="2"/>
        <w:adjustRightInd w:val="0"/>
        <w:snapToGrid w:val="0"/>
        <w:spacing w:line="500" w:lineRule="exact"/>
        <w:rPr>
          <w:rFonts w:eastAsia="宋体"/>
          <w:sz w:val="24"/>
          <w:szCs w:val="24"/>
        </w:rPr>
      </w:pPr>
      <w:bookmarkStart w:id="50" w:name="_Toc12045"/>
      <w:bookmarkStart w:id="51" w:name="_Toc14635"/>
      <w:bookmarkStart w:id="52" w:name="_Toc18151"/>
      <w:bookmarkStart w:id="53" w:name="_Toc2364"/>
      <w:r>
        <w:rPr>
          <w:rFonts w:eastAsia="宋体"/>
          <w:sz w:val="24"/>
          <w:szCs w:val="24"/>
        </w:rPr>
        <w:t>3资料准备与环境风险识别</w:t>
      </w:r>
      <w:bookmarkEnd w:id="50"/>
      <w:bookmarkEnd w:id="51"/>
      <w:bookmarkEnd w:id="52"/>
      <w:bookmarkEnd w:id="53"/>
    </w:p>
    <w:p w14:paraId="45C75AD1">
      <w:pPr>
        <w:pStyle w:val="3"/>
        <w:adjustRightInd w:val="0"/>
        <w:snapToGrid w:val="0"/>
        <w:spacing w:line="500" w:lineRule="exact"/>
        <w:rPr>
          <w:rFonts w:eastAsia="宋体"/>
          <w:sz w:val="24"/>
          <w:szCs w:val="24"/>
        </w:rPr>
      </w:pPr>
      <w:bookmarkStart w:id="54" w:name="_Toc28482"/>
      <w:bookmarkStart w:id="55" w:name="_Toc16038"/>
      <w:bookmarkStart w:id="56" w:name="_Toc376"/>
      <w:bookmarkStart w:id="57" w:name="_Toc4446"/>
      <w:r>
        <w:rPr>
          <w:rFonts w:eastAsia="宋体"/>
          <w:sz w:val="24"/>
          <w:szCs w:val="24"/>
        </w:rPr>
        <w:t>3.1企业基本信息</w:t>
      </w:r>
      <w:bookmarkEnd w:id="54"/>
      <w:bookmarkEnd w:id="55"/>
      <w:bookmarkEnd w:id="56"/>
      <w:bookmarkEnd w:id="57"/>
    </w:p>
    <w:p w14:paraId="7E33E9EB">
      <w:pPr>
        <w:pStyle w:val="4"/>
        <w:adjustRightInd w:val="0"/>
        <w:snapToGrid w:val="0"/>
        <w:spacing w:line="500" w:lineRule="exact"/>
        <w:rPr>
          <w:rFonts w:eastAsia="宋体"/>
          <w:szCs w:val="24"/>
        </w:rPr>
      </w:pPr>
      <w:bookmarkStart w:id="58" w:name="_Toc2782"/>
      <w:bookmarkStart w:id="59" w:name="_Toc23827"/>
      <w:bookmarkStart w:id="60" w:name="_Toc30507"/>
      <w:bookmarkStart w:id="61" w:name="_Toc21550"/>
      <w:r>
        <w:rPr>
          <w:rFonts w:eastAsia="宋体"/>
          <w:szCs w:val="24"/>
        </w:rPr>
        <w:t>3.1.1企业概况</w:t>
      </w:r>
      <w:bookmarkEnd w:id="58"/>
      <w:bookmarkEnd w:id="59"/>
      <w:bookmarkEnd w:id="60"/>
      <w:bookmarkEnd w:id="61"/>
    </w:p>
    <w:p w14:paraId="42382F98">
      <w:pPr>
        <w:widowControl/>
        <w:adjustRightInd w:val="0"/>
        <w:snapToGrid w:val="0"/>
        <w:spacing w:line="500" w:lineRule="exact"/>
        <w:ind w:firstLine="480" w:firstLineChars="200"/>
        <w:rPr>
          <w:rFonts w:ascii="宋体" w:hAnsi="宋体" w:eastAsia="宋体" w:cs="宋体"/>
          <w:kern w:val="0"/>
          <w:szCs w:val="28"/>
        </w:rPr>
      </w:pPr>
      <w:r>
        <w:rPr>
          <w:rFonts w:hint="eastAsia" w:eastAsia="宋体"/>
          <w:bCs/>
          <w:color w:val="000000"/>
          <w:lang w:eastAsia="zh-CN"/>
        </w:rPr>
        <w:t>江苏福内特家居有限公司</w:t>
      </w:r>
      <w:r>
        <w:rPr>
          <w:rFonts w:eastAsia="宋体"/>
          <w:bCs/>
          <w:color w:val="000000"/>
        </w:rPr>
        <w:t>成立于</w:t>
      </w:r>
      <w:r>
        <w:rPr>
          <w:rFonts w:hint="eastAsia" w:eastAsia="宋体"/>
          <w:bCs/>
          <w:color w:val="000000"/>
        </w:rPr>
        <w:t>20</w:t>
      </w:r>
      <w:r>
        <w:rPr>
          <w:rFonts w:hint="eastAsia" w:eastAsia="宋体"/>
          <w:bCs/>
          <w:color w:val="000000"/>
          <w:lang w:val="en-US" w:eastAsia="zh-CN"/>
        </w:rPr>
        <w:t>23</w:t>
      </w:r>
      <w:r>
        <w:rPr>
          <w:rFonts w:hint="eastAsia" w:eastAsia="宋体"/>
          <w:bCs/>
          <w:color w:val="000000"/>
        </w:rPr>
        <w:t>年</w:t>
      </w:r>
      <w:r>
        <w:rPr>
          <w:rFonts w:hint="eastAsia" w:eastAsia="宋体"/>
          <w:bCs/>
          <w:color w:val="000000"/>
          <w:lang w:val="en-US" w:eastAsia="zh-CN"/>
        </w:rPr>
        <w:t>11</w:t>
      </w:r>
      <w:r>
        <w:rPr>
          <w:rFonts w:hint="eastAsia" w:eastAsia="宋体"/>
          <w:bCs/>
          <w:color w:val="000000"/>
        </w:rPr>
        <w:t>月</w:t>
      </w:r>
      <w:r>
        <w:rPr>
          <w:rFonts w:eastAsia="宋体"/>
          <w:bCs/>
          <w:color w:val="000000"/>
        </w:rPr>
        <w:t>，</w:t>
      </w:r>
      <w:r>
        <w:rPr>
          <w:rFonts w:eastAsiaTheme="minorEastAsia"/>
          <w:kern w:val="0"/>
        </w:rPr>
        <w:t>位于</w:t>
      </w:r>
      <w:r>
        <w:rPr>
          <w:rFonts w:hint="eastAsia" w:eastAsiaTheme="minorEastAsia"/>
          <w:kern w:val="0"/>
          <w:lang w:eastAsia="zh-CN"/>
        </w:rPr>
        <w:t>海安市老坝港滨海新区金港大道68号</w:t>
      </w:r>
      <w:r>
        <w:rPr>
          <w:rFonts w:eastAsiaTheme="minorEastAsia"/>
          <w:kern w:val="0"/>
        </w:rPr>
        <w:t>，</w:t>
      </w:r>
      <w:r>
        <w:rPr>
          <w:rFonts w:eastAsia="宋体"/>
          <w:bCs/>
          <w:color w:val="000000"/>
        </w:rPr>
        <w:t>是一家</w:t>
      </w:r>
      <w:r>
        <w:rPr>
          <w:rFonts w:eastAsia="宋体"/>
          <w:bCs/>
        </w:rPr>
        <w:t>专业</w:t>
      </w:r>
      <w:r>
        <w:rPr>
          <w:rFonts w:eastAsiaTheme="minorEastAsia"/>
          <w:kern w:val="0"/>
        </w:rPr>
        <w:t>从事</w:t>
      </w:r>
      <w:r>
        <w:rPr>
          <w:rFonts w:hint="eastAsia" w:ascii="Times New Roman" w:hAnsi="Times New Roman" w:cs="Times New Roman" w:eastAsiaTheme="minorEastAsia"/>
          <w:kern w:val="0"/>
          <w:sz w:val="24"/>
          <w:szCs w:val="24"/>
          <w:lang w:val="en-US" w:eastAsia="zh-CN"/>
        </w:rPr>
        <w:t>家具制造</w:t>
      </w:r>
      <w:r>
        <w:rPr>
          <w:rFonts w:eastAsia="宋体"/>
          <w:bCs/>
          <w:color w:val="000000"/>
        </w:rPr>
        <w:t>的企业。</w:t>
      </w:r>
      <w:r>
        <w:rPr>
          <w:rFonts w:hint="eastAsia" w:eastAsia="宋体"/>
          <w:bCs/>
          <w:color w:val="000000"/>
          <w:lang w:val="en-US" w:eastAsia="zh-CN"/>
        </w:rPr>
        <w:t>福内特家具</w:t>
      </w:r>
      <w:r>
        <w:rPr>
          <w:rFonts w:hint="eastAsia" w:ascii="Times New Roman" w:hAnsi="Times New Roman" w:cs="Times New Roman" w:eastAsiaTheme="minorEastAsia"/>
          <w:kern w:val="0"/>
          <w:sz w:val="24"/>
          <w:szCs w:val="24"/>
        </w:rPr>
        <w:t>占地</w:t>
      </w:r>
      <w:r>
        <w:rPr>
          <w:rFonts w:ascii="Times New Roman" w:hAnsi="Times New Roman" w:cs="Times New Roman" w:eastAsiaTheme="minorEastAsia"/>
          <w:kern w:val="0"/>
          <w:sz w:val="24"/>
          <w:szCs w:val="24"/>
        </w:rPr>
        <w:t>面积</w:t>
      </w:r>
      <w:r>
        <w:rPr>
          <w:rFonts w:hint="eastAsia" w:cs="Times New Roman" w:eastAsiaTheme="minorEastAsia"/>
          <w:kern w:val="0"/>
          <w:sz w:val="24"/>
          <w:szCs w:val="24"/>
          <w:lang w:val="en-US" w:eastAsia="zh-CN"/>
        </w:rPr>
        <w:t>1500</w:t>
      </w:r>
      <w:r>
        <w:rPr>
          <w:rFonts w:ascii="Times New Roman" w:hAnsi="Times New Roman" w:cs="Times New Roman" w:eastAsiaTheme="minorEastAsia"/>
          <w:kern w:val="0"/>
          <w:sz w:val="24"/>
          <w:szCs w:val="24"/>
          <w:highlight w:val="none"/>
        </w:rPr>
        <w:t>平方米</w:t>
      </w:r>
      <w:r>
        <w:rPr>
          <w:rFonts w:hint="eastAsia" w:ascii="Times New Roman" w:hAnsi="Times New Roman" w:cs="Times New Roman" w:eastAsiaTheme="minorEastAsia"/>
          <w:kern w:val="0"/>
          <w:sz w:val="24"/>
          <w:szCs w:val="24"/>
          <w:highlight w:val="none"/>
        </w:rPr>
        <w:t>，</w:t>
      </w:r>
      <w:r>
        <w:rPr>
          <w:rFonts w:eastAsia="宋体"/>
          <w:color w:val="000000" w:themeColor="text1"/>
          <w14:textFill>
            <w14:solidFill>
              <w14:schemeClr w14:val="tx1"/>
            </w14:solidFill>
          </w14:textFill>
        </w:rPr>
        <w:t>职工</w:t>
      </w:r>
      <w:r>
        <w:rPr>
          <w:rFonts w:hint="eastAsia" w:eastAsia="宋体"/>
          <w:lang w:val="en-US" w:eastAsia="zh-CN"/>
        </w:rPr>
        <w:t>60</w:t>
      </w:r>
      <w:r>
        <w:rPr>
          <w:rFonts w:eastAsia="宋体"/>
          <w:color w:val="000000" w:themeColor="text1"/>
          <w14:textFill>
            <w14:solidFill>
              <w14:schemeClr w14:val="tx1"/>
            </w14:solidFill>
          </w14:textFill>
        </w:rPr>
        <w:t>人，</w:t>
      </w:r>
      <w:r>
        <w:rPr>
          <w:rFonts w:hint="eastAsia" w:eastAsia="宋体"/>
          <w:color w:val="000000" w:themeColor="text1"/>
          <w14:textFill>
            <w14:solidFill>
              <w14:schemeClr w14:val="tx1"/>
            </w14:solidFill>
          </w14:textFill>
        </w:rPr>
        <w:t>年工作</w:t>
      </w:r>
      <w:r>
        <w:rPr>
          <w:rFonts w:hint="eastAsia" w:eastAsia="宋体"/>
          <w:color w:val="000000" w:themeColor="text1"/>
          <w:lang w:val="en-US" w:eastAsia="zh-CN"/>
          <w14:textFill>
            <w14:solidFill>
              <w14:schemeClr w14:val="tx1"/>
            </w14:solidFill>
          </w14:textFill>
        </w:rPr>
        <w:t>300</w:t>
      </w:r>
      <w:r>
        <w:rPr>
          <w:rFonts w:hint="eastAsia" w:eastAsia="宋体"/>
          <w:color w:val="000000" w:themeColor="text1"/>
          <w14:textFill>
            <w14:solidFill>
              <w14:schemeClr w14:val="tx1"/>
            </w14:solidFill>
          </w14:textFill>
        </w:rPr>
        <w:t>天，单班制，每班工作</w:t>
      </w:r>
      <w:r>
        <w:rPr>
          <w:rFonts w:hint="eastAsia" w:eastAsia="宋体"/>
          <w:color w:val="000000" w:themeColor="text1"/>
          <w:lang w:val="en-US" w:eastAsia="zh-CN"/>
          <w14:textFill>
            <w14:solidFill>
              <w14:schemeClr w14:val="tx1"/>
            </w14:solidFill>
          </w14:textFill>
        </w:rPr>
        <w:t>8</w:t>
      </w:r>
      <w:r>
        <w:rPr>
          <w:rFonts w:hint="eastAsia" w:eastAsia="宋体"/>
          <w:color w:val="000000" w:themeColor="text1"/>
          <w14:textFill>
            <w14:solidFill>
              <w14:schemeClr w14:val="tx1"/>
            </w14:solidFill>
          </w14:textFill>
        </w:rPr>
        <w:t>小时，年生产时数</w:t>
      </w:r>
      <w:r>
        <w:rPr>
          <w:rFonts w:hint="eastAsia" w:eastAsia="宋体"/>
          <w:color w:val="000000" w:themeColor="text1"/>
          <w:lang w:val="en-US" w:eastAsia="zh-CN"/>
          <w14:textFill>
            <w14:solidFill>
              <w14:schemeClr w14:val="tx1"/>
            </w14:solidFill>
          </w14:textFill>
        </w:rPr>
        <w:t>2400</w:t>
      </w:r>
      <w:r>
        <w:rPr>
          <w:rFonts w:hint="eastAsia" w:eastAsia="宋体"/>
          <w:color w:val="000000" w:themeColor="text1"/>
          <w14:textFill>
            <w14:solidFill>
              <w14:schemeClr w14:val="tx1"/>
            </w14:solidFill>
          </w14:textFill>
        </w:rPr>
        <w:t>h/a</w:t>
      </w:r>
      <w:r>
        <w:rPr>
          <w:rFonts w:eastAsia="宋体"/>
          <w:color w:val="000000" w:themeColor="text1"/>
          <w14:textFill>
            <w14:solidFill>
              <w14:schemeClr w14:val="tx1"/>
            </w14:solidFill>
          </w14:textFill>
        </w:rPr>
        <w:t>。</w:t>
      </w:r>
      <w:r>
        <w:rPr>
          <w:rFonts w:eastAsia="宋体"/>
          <w:bCs/>
          <w:color w:val="000000"/>
        </w:rPr>
        <w:t>公司基本情况汇总见表3-1。</w:t>
      </w:r>
    </w:p>
    <w:p w14:paraId="26380FB9">
      <w:pPr>
        <w:widowControl/>
        <w:tabs>
          <w:tab w:val="left" w:pos="1815"/>
          <w:tab w:val="left" w:pos="1845"/>
        </w:tabs>
        <w:adjustRightInd w:val="0"/>
        <w:snapToGrid w:val="0"/>
        <w:spacing w:line="500" w:lineRule="exact"/>
        <w:ind w:firstLine="562"/>
        <w:jc w:val="center"/>
        <w:rPr>
          <w:rFonts w:eastAsia="宋体"/>
          <w:b/>
          <w:szCs w:val="28"/>
        </w:rPr>
      </w:pPr>
      <w:r>
        <w:rPr>
          <w:rFonts w:eastAsia="宋体"/>
          <w:b/>
          <w:szCs w:val="28"/>
        </w:rPr>
        <w:t>表3-1</w:t>
      </w:r>
      <w:r>
        <w:rPr>
          <w:rFonts w:hint="eastAsia" w:eastAsia="宋体"/>
          <w:b/>
          <w:szCs w:val="28"/>
          <w:lang w:eastAsia="zh-CN"/>
        </w:rPr>
        <w:t>福内特家具</w:t>
      </w:r>
      <w:r>
        <w:rPr>
          <w:rFonts w:eastAsia="宋体"/>
          <w:b/>
          <w:szCs w:val="28"/>
        </w:rPr>
        <w:t>基本情况汇总表</w:t>
      </w:r>
    </w:p>
    <w:tbl>
      <w:tblPr>
        <w:tblStyle w:val="38"/>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79"/>
        <w:gridCol w:w="3454"/>
        <w:gridCol w:w="2054"/>
        <w:gridCol w:w="2000"/>
      </w:tblGrid>
      <w:tr w14:paraId="1BFDFE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12" w:space="0"/>
              <w:left w:val="single" w:color="000000" w:sz="12" w:space="0"/>
              <w:bottom w:val="single" w:color="000000" w:sz="4" w:space="0"/>
              <w:right w:val="single" w:color="000000" w:sz="4" w:space="0"/>
            </w:tcBorders>
            <w:vAlign w:val="center"/>
          </w:tcPr>
          <w:p w14:paraId="63A81A6D">
            <w:pPr>
              <w:pStyle w:val="48"/>
              <w:jc w:val="center"/>
              <w:rPr>
                <w:rFonts w:ascii="Times New Roman" w:eastAsia="宋体" w:cs="Times New Roman"/>
                <w:sz w:val="21"/>
                <w:szCs w:val="21"/>
              </w:rPr>
            </w:pPr>
            <w:r>
              <w:rPr>
                <w:rFonts w:ascii="Times New Roman" w:eastAsia="宋体" w:cs="Times New Roman"/>
                <w:sz w:val="21"/>
                <w:szCs w:val="21"/>
              </w:rPr>
              <w:t>单位名称</w:t>
            </w:r>
          </w:p>
        </w:tc>
        <w:tc>
          <w:tcPr>
            <w:tcW w:w="7508" w:type="dxa"/>
            <w:gridSpan w:val="3"/>
            <w:tcBorders>
              <w:top w:val="single" w:color="000000" w:sz="12" w:space="0"/>
              <w:left w:val="single" w:color="000000" w:sz="4" w:space="0"/>
              <w:bottom w:val="single" w:color="000000" w:sz="4" w:space="0"/>
              <w:right w:val="single" w:color="000000" w:sz="12" w:space="0"/>
            </w:tcBorders>
            <w:vAlign w:val="center"/>
          </w:tcPr>
          <w:p w14:paraId="6EE64BE7">
            <w:pPr>
              <w:pStyle w:val="48"/>
              <w:jc w:val="center"/>
              <w:rPr>
                <w:rFonts w:hint="eastAsia" w:ascii="Times New Roman" w:eastAsia="宋体" w:cs="Times New Roman"/>
                <w:sz w:val="21"/>
                <w:szCs w:val="21"/>
                <w:lang w:eastAsia="zh-CN"/>
              </w:rPr>
            </w:pPr>
            <w:r>
              <w:rPr>
                <w:rFonts w:hint="eastAsia" w:ascii="Times New Roman" w:eastAsia="宋体" w:cs="Times New Roman"/>
                <w:bCs/>
                <w:sz w:val="21"/>
                <w:szCs w:val="21"/>
                <w:lang w:eastAsia="zh-CN"/>
              </w:rPr>
              <w:t>江苏福内特家居有限公司</w:t>
            </w:r>
          </w:p>
        </w:tc>
      </w:tr>
      <w:tr w14:paraId="740061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4F0F0E1F">
            <w:pPr>
              <w:pStyle w:val="48"/>
              <w:jc w:val="center"/>
              <w:rPr>
                <w:rFonts w:ascii="Times New Roman" w:eastAsia="宋体" w:cs="Times New Roman"/>
                <w:sz w:val="21"/>
                <w:szCs w:val="21"/>
              </w:rPr>
            </w:pPr>
            <w:r>
              <w:rPr>
                <w:rFonts w:ascii="Times New Roman" w:eastAsia="宋体" w:cs="Times New Roman"/>
                <w:sz w:val="21"/>
                <w:szCs w:val="21"/>
              </w:rPr>
              <w:t>单位地址</w:t>
            </w:r>
          </w:p>
        </w:tc>
        <w:tc>
          <w:tcPr>
            <w:tcW w:w="3454" w:type="dxa"/>
            <w:tcBorders>
              <w:top w:val="single" w:color="000000" w:sz="4" w:space="0"/>
              <w:left w:val="single" w:color="000000" w:sz="4" w:space="0"/>
              <w:bottom w:val="single" w:color="000000" w:sz="4" w:space="0"/>
              <w:right w:val="single" w:color="000000" w:sz="4" w:space="0"/>
            </w:tcBorders>
            <w:vAlign w:val="center"/>
          </w:tcPr>
          <w:p w14:paraId="031D406C">
            <w:pPr>
              <w:pStyle w:val="48"/>
              <w:jc w:val="center"/>
              <w:rPr>
                <w:rFonts w:hint="eastAsia" w:ascii="Times New Roman" w:eastAsia="宋体" w:cs="Times New Roman"/>
                <w:sz w:val="21"/>
                <w:szCs w:val="21"/>
                <w:lang w:eastAsia="zh-CN"/>
              </w:rPr>
            </w:pPr>
            <w:r>
              <w:rPr>
                <w:rFonts w:hint="eastAsia" w:ascii="Times New Roman" w:eastAsia="宋体" w:cs="Times New Roman"/>
                <w:sz w:val="21"/>
                <w:szCs w:val="21"/>
                <w:lang w:eastAsia="zh-CN"/>
              </w:rPr>
              <w:t>海安市老坝港滨海新区金港大道68号</w:t>
            </w:r>
          </w:p>
        </w:tc>
        <w:tc>
          <w:tcPr>
            <w:tcW w:w="2054" w:type="dxa"/>
            <w:tcBorders>
              <w:top w:val="single" w:color="000000" w:sz="4" w:space="0"/>
              <w:left w:val="single" w:color="000000" w:sz="4" w:space="0"/>
              <w:bottom w:val="single" w:color="000000" w:sz="4" w:space="0"/>
              <w:right w:val="single" w:color="000000" w:sz="4" w:space="0"/>
            </w:tcBorders>
            <w:vAlign w:val="center"/>
          </w:tcPr>
          <w:p w14:paraId="14838C79">
            <w:pPr>
              <w:pStyle w:val="48"/>
              <w:jc w:val="center"/>
              <w:rPr>
                <w:rFonts w:ascii="Times New Roman" w:eastAsia="宋体" w:cs="Times New Roman"/>
                <w:sz w:val="21"/>
                <w:szCs w:val="21"/>
              </w:rPr>
            </w:pPr>
            <w:r>
              <w:rPr>
                <w:rFonts w:ascii="Times New Roman" w:eastAsia="宋体" w:cs="Times New Roman"/>
                <w:sz w:val="21"/>
                <w:szCs w:val="21"/>
              </w:rPr>
              <w:t>所在区</w:t>
            </w:r>
          </w:p>
        </w:tc>
        <w:tc>
          <w:tcPr>
            <w:tcW w:w="2000" w:type="dxa"/>
            <w:tcBorders>
              <w:top w:val="single" w:color="000000" w:sz="4" w:space="0"/>
              <w:left w:val="single" w:color="000000" w:sz="4" w:space="0"/>
              <w:bottom w:val="single" w:color="000000" w:sz="4" w:space="0"/>
              <w:right w:val="single" w:color="000000" w:sz="12" w:space="0"/>
            </w:tcBorders>
            <w:vAlign w:val="center"/>
          </w:tcPr>
          <w:p w14:paraId="67183724">
            <w:pPr>
              <w:pStyle w:val="48"/>
              <w:jc w:val="center"/>
              <w:rPr>
                <w:rFonts w:hint="eastAsia" w:ascii="Times New Roman" w:eastAsia="宋体" w:cs="Times New Roman"/>
                <w:sz w:val="21"/>
                <w:szCs w:val="21"/>
                <w:lang w:eastAsia="zh-CN"/>
              </w:rPr>
            </w:pPr>
            <w:r>
              <w:rPr>
                <w:rFonts w:hint="eastAsia" w:ascii="Times New Roman" w:eastAsia="宋体" w:cs="Times New Roman"/>
                <w:sz w:val="21"/>
                <w:szCs w:val="21"/>
                <w:lang w:eastAsia="zh-CN"/>
              </w:rPr>
              <w:t>老坝港滨海新区</w:t>
            </w:r>
          </w:p>
        </w:tc>
      </w:tr>
      <w:tr w14:paraId="7B34A6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450159F9">
            <w:pPr>
              <w:pStyle w:val="48"/>
              <w:jc w:val="center"/>
              <w:rPr>
                <w:rFonts w:ascii="Times New Roman" w:eastAsia="宋体" w:cs="Times New Roman"/>
                <w:sz w:val="21"/>
                <w:szCs w:val="21"/>
              </w:rPr>
            </w:pPr>
            <w:r>
              <w:rPr>
                <w:rFonts w:ascii="Times New Roman" w:eastAsia="宋体" w:cs="Times New Roman"/>
                <w:sz w:val="21"/>
                <w:szCs w:val="21"/>
              </w:rPr>
              <w:t>企业性质</w:t>
            </w:r>
          </w:p>
        </w:tc>
        <w:tc>
          <w:tcPr>
            <w:tcW w:w="3454" w:type="dxa"/>
            <w:tcBorders>
              <w:top w:val="single" w:color="000000" w:sz="4" w:space="0"/>
              <w:left w:val="single" w:color="000000" w:sz="4" w:space="0"/>
              <w:bottom w:val="single" w:color="000000" w:sz="4" w:space="0"/>
              <w:right w:val="single" w:color="000000" w:sz="4" w:space="0"/>
            </w:tcBorders>
            <w:vAlign w:val="center"/>
          </w:tcPr>
          <w:p w14:paraId="2646C44F">
            <w:pPr>
              <w:pStyle w:val="48"/>
              <w:jc w:val="center"/>
              <w:rPr>
                <w:rFonts w:ascii="Times New Roman" w:eastAsia="宋体" w:cs="Times New Roman"/>
                <w:sz w:val="21"/>
                <w:szCs w:val="21"/>
              </w:rPr>
            </w:pPr>
            <w:r>
              <w:rPr>
                <w:rFonts w:ascii="Times New Roman" w:eastAsia="宋体" w:cs="Times New Roman"/>
                <w:sz w:val="21"/>
                <w:szCs w:val="21"/>
              </w:rPr>
              <w:t>有限公司</w:t>
            </w:r>
          </w:p>
        </w:tc>
        <w:tc>
          <w:tcPr>
            <w:tcW w:w="2054" w:type="dxa"/>
            <w:tcBorders>
              <w:top w:val="single" w:color="000000" w:sz="4" w:space="0"/>
              <w:left w:val="single" w:color="000000" w:sz="4" w:space="0"/>
              <w:bottom w:val="single" w:color="000000" w:sz="4" w:space="0"/>
              <w:right w:val="single" w:color="000000" w:sz="4" w:space="0"/>
            </w:tcBorders>
            <w:vAlign w:val="center"/>
          </w:tcPr>
          <w:p w14:paraId="2C725F67">
            <w:pPr>
              <w:pStyle w:val="48"/>
              <w:jc w:val="center"/>
              <w:rPr>
                <w:rFonts w:ascii="Times New Roman" w:eastAsia="宋体" w:cs="Times New Roman"/>
                <w:sz w:val="21"/>
                <w:szCs w:val="21"/>
              </w:rPr>
            </w:pPr>
            <w:r>
              <w:rPr>
                <w:rFonts w:ascii="Times New Roman" w:eastAsia="宋体" w:cs="Times New Roman"/>
                <w:sz w:val="21"/>
                <w:szCs w:val="21"/>
              </w:rPr>
              <w:t>所在街道（镇）</w:t>
            </w:r>
          </w:p>
        </w:tc>
        <w:tc>
          <w:tcPr>
            <w:tcW w:w="2000" w:type="dxa"/>
            <w:tcBorders>
              <w:top w:val="single" w:color="000000" w:sz="4" w:space="0"/>
              <w:left w:val="single" w:color="000000" w:sz="4" w:space="0"/>
              <w:bottom w:val="single" w:color="000000" w:sz="4" w:space="0"/>
              <w:right w:val="single" w:color="000000" w:sz="12" w:space="0"/>
            </w:tcBorders>
            <w:vAlign w:val="center"/>
          </w:tcPr>
          <w:p w14:paraId="710D7535">
            <w:pPr>
              <w:pStyle w:val="48"/>
              <w:jc w:val="center"/>
              <w:rPr>
                <w:rFonts w:ascii="Times New Roman" w:eastAsia="宋体" w:cs="Times New Roman"/>
                <w:sz w:val="21"/>
                <w:szCs w:val="21"/>
              </w:rPr>
            </w:pPr>
            <w:r>
              <w:rPr>
                <w:rFonts w:hint="eastAsia" w:ascii="Times New Roman" w:eastAsia="宋体" w:cs="Times New Roman"/>
                <w:sz w:val="21"/>
                <w:szCs w:val="21"/>
                <w:lang w:val="en-US" w:eastAsia="zh-CN"/>
              </w:rPr>
              <w:t>角斜镇</w:t>
            </w:r>
          </w:p>
        </w:tc>
      </w:tr>
      <w:tr w14:paraId="564630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7E739EA9">
            <w:pPr>
              <w:pStyle w:val="48"/>
              <w:jc w:val="center"/>
              <w:rPr>
                <w:rFonts w:ascii="Times New Roman" w:eastAsia="宋体" w:cs="Times New Roman"/>
                <w:sz w:val="21"/>
                <w:szCs w:val="21"/>
              </w:rPr>
            </w:pPr>
            <w:r>
              <w:rPr>
                <w:rFonts w:ascii="Times New Roman" w:eastAsia="宋体" w:cs="Times New Roman"/>
                <w:sz w:val="21"/>
                <w:szCs w:val="21"/>
              </w:rPr>
              <w:t>法人代表</w:t>
            </w:r>
          </w:p>
        </w:tc>
        <w:tc>
          <w:tcPr>
            <w:tcW w:w="3454" w:type="dxa"/>
            <w:tcBorders>
              <w:top w:val="single" w:color="000000" w:sz="4" w:space="0"/>
              <w:left w:val="single" w:color="000000" w:sz="4" w:space="0"/>
              <w:bottom w:val="single" w:color="000000" w:sz="4" w:space="0"/>
              <w:right w:val="single" w:color="000000" w:sz="4" w:space="0"/>
            </w:tcBorders>
            <w:vAlign w:val="center"/>
          </w:tcPr>
          <w:p w14:paraId="1923CA39">
            <w:pPr>
              <w:pStyle w:val="48"/>
              <w:jc w:val="center"/>
              <w:rPr>
                <w:rFonts w:hint="default" w:ascii="Times New Roman" w:eastAsia="宋体" w:cs="Times New Roman"/>
                <w:sz w:val="21"/>
                <w:szCs w:val="21"/>
                <w:lang w:val="en-US" w:eastAsia="zh-CN"/>
              </w:rPr>
            </w:pPr>
            <w:r>
              <w:rPr>
                <w:rFonts w:hint="eastAsia" w:ascii="Times New Roman" w:eastAsia="宋体" w:cs="Times New Roman"/>
                <w:sz w:val="21"/>
                <w:szCs w:val="21"/>
                <w:lang w:val="en-US" w:eastAsia="zh-CN"/>
              </w:rPr>
              <w:t>王敏</w:t>
            </w:r>
            <w:bookmarkStart w:id="360" w:name="_GoBack"/>
            <w:bookmarkEnd w:id="360"/>
          </w:p>
        </w:tc>
        <w:tc>
          <w:tcPr>
            <w:tcW w:w="2054" w:type="dxa"/>
            <w:tcBorders>
              <w:top w:val="single" w:color="000000" w:sz="4" w:space="0"/>
              <w:left w:val="single" w:color="000000" w:sz="4" w:space="0"/>
              <w:bottom w:val="single" w:color="000000" w:sz="4" w:space="0"/>
              <w:right w:val="single" w:color="000000" w:sz="4" w:space="0"/>
            </w:tcBorders>
            <w:vAlign w:val="center"/>
          </w:tcPr>
          <w:p w14:paraId="5161F26E">
            <w:pPr>
              <w:pStyle w:val="48"/>
              <w:jc w:val="center"/>
              <w:rPr>
                <w:rFonts w:ascii="Times New Roman" w:eastAsia="宋体" w:cs="Times New Roman"/>
                <w:sz w:val="21"/>
                <w:szCs w:val="21"/>
              </w:rPr>
            </w:pPr>
            <w:r>
              <w:rPr>
                <w:rFonts w:ascii="Times New Roman" w:eastAsia="宋体" w:cs="Times New Roman"/>
                <w:sz w:val="21"/>
                <w:szCs w:val="21"/>
              </w:rPr>
              <w:t>所在社区（村）</w:t>
            </w:r>
          </w:p>
        </w:tc>
        <w:tc>
          <w:tcPr>
            <w:tcW w:w="2000" w:type="dxa"/>
            <w:tcBorders>
              <w:top w:val="single" w:color="000000" w:sz="4" w:space="0"/>
              <w:left w:val="single" w:color="000000" w:sz="4" w:space="0"/>
              <w:bottom w:val="single" w:color="000000" w:sz="4" w:space="0"/>
              <w:right w:val="single" w:color="000000" w:sz="12" w:space="0"/>
            </w:tcBorders>
            <w:vAlign w:val="center"/>
          </w:tcPr>
          <w:p w14:paraId="79A13E46">
            <w:pPr>
              <w:pStyle w:val="48"/>
              <w:jc w:val="center"/>
              <w:rPr>
                <w:rFonts w:ascii="Times New Roman" w:eastAsia="宋体" w:cs="Times New Roman"/>
                <w:sz w:val="21"/>
                <w:szCs w:val="21"/>
              </w:rPr>
            </w:pPr>
            <w:r>
              <w:rPr>
                <w:rFonts w:hint="eastAsia" w:ascii="Times New Roman" w:eastAsia="宋体" w:cs="Times New Roman"/>
                <w:sz w:val="21"/>
                <w:szCs w:val="21"/>
                <w:lang w:val="en-US" w:eastAsia="zh-CN"/>
              </w:rPr>
              <w:t>/</w:t>
            </w:r>
          </w:p>
        </w:tc>
      </w:tr>
      <w:tr w14:paraId="0434EF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535CFCE6">
            <w:pPr>
              <w:pStyle w:val="48"/>
              <w:jc w:val="center"/>
              <w:rPr>
                <w:rFonts w:ascii="Times New Roman" w:eastAsia="宋体" w:cs="Times New Roman"/>
                <w:sz w:val="21"/>
                <w:szCs w:val="21"/>
              </w:rPr>
            </w:pPr>
            <w:r>
              <w:rPr>
                <w:rFonts w:ascii="Times New Roman" w:eastAsia="宋体" w:cs="Times New Roman"/>
                <w:sz w:val="21"/>
                <w:szCs w:val="21"/>
              </w:rPr>
              <w:t>法人代码</w:t>
            </w:r>
          </w:p>
        </w:tc>
        <w:tc>
          <w:tcPr>
            <w:tcW w:w="3454" w:type="dxa"/>
            <w:tcBorders>
              <w:top w:val="single" w:color="000000" w:sz="4" w:space="0"/>
              <w:left w:val="single" w:color="000000" w:sz="4" w:space="0"/>
              <w:bottom w:val="single" w:color="000000" w:sz="4" w:space="0"/>
              <w:right w:val="single" w:color="000000" w:sz="4" w:space="0"/>
            </w:tcBorders>
            <w:vAlign w:val="center"/>
          </w:tcPr>
          <w:p w14:paraId="1387A493">
            <w:pPr>
              <w:pStyle w:val="48"/>
              <w:jc w:val="center"/>
              <w:rPr>
                <w:rFonts w:ascii="Times New Roman" w:eastAsia="宋体" w:cs="Times New Roman"/>
                <w:sz w:val="21"/>
                <w:szCs w:val="21"/>
              </w:rPr>
            </w:pPr>
            <w:r>
              <w:rPr>
                <w:rFonts w:hint="eastAsia" w:ascii="Times New Roman" w:hAnsi="Times New Roman" w:eastAsia="宋体" w:cs="Times New Roman"/>
                <w:i w:val="0"/>
                <w:iCs w:val="0"/>
                <w:caps w:val="0"/>
                <w:color w:val="000000"/>
                <w:spacing w:val="0"/>
                <w:sz w:val="21"/>
                <w:szCs w:val="21"/>
                <w:shd w:val="clear" w:fill="auto"/>
              </w:rPr>
              <w:t>91320621MABUJB2X0D</w:t>
            </w:r>
          </w:p>
        </w:tc>
        <w:tc>
          <w:tcPr>
            <w:tcW w:w="2054" w:type="dxa"/>
            <w:tcBorders>
              <w:top w:val="single" w:color="000000" w:sz="4" w:space="0"/>
              <w:left w:val="single" w:color="000000" w:sz="4" w:space="0"/>
              <w:bottom w:val="single" w:color="000000" w:sz="4" w:space="0"/>
              <w:right w:val="single" w:color="000000" w:sz="4" w:space="0"/>
            </w:tcBorders>
            <w:vAlign w:val="center"/>
          </w:tcPr>
          <w:p w14:paraId="79A0CC3F">
            <w:pPr>
              <w:pStyle w:val="48"/>
              <w:jc w:val="center"/>
              <w:rPr>
                <w:rFonts w:ascii="Times New Roman" w:eastAsia="宋体" w:cs="Times New Roman"/>
                <w:sz w:val="21"/>
                <w:szCs w:val="21"/>
              </w:rPr>
            </w:pPr>
            <w:r>
              <w:rPr>
                <w:rFonts w:hint="eastAsia" w:ascii="Times New Roman" w:eastAsia="宋体" w:cs="Times New Roman"/>
                <w:sz w:val="21"/>
                <w:szCs w:val="21"/>
              </w:rPr>
              <w:t>占地</w:t>
            </w:r>
            <w:r>
              <w:rPr>
                <w:rFonts w:ascii="Times New Roman" w:eastAsia="宋体" w:cs="Times New Roman"/>
                <w:sz w:val="21"/>
                <w:szCs w:val="21"/>
              </w:rPr>
              <w:t>面积</w:t>
            </w:r>
          </w:p>
        </w:tc>
        <w:tc>
          <w:tcPr>
            <w:tcW w:w="2000" w:type="dxa"/>
            <w:tcBorders>
              <w:top w:val="single" w:color="000000" w:sz="4" w:space="0"/>
              <w:left w:val="single" w:color="000000" w:sz="4" w:space="0"/>
              <w:bottom w:val="single" w:color="000000" w:sz="4" w:space="0"/>
              <w:right w:val="single" w:color="000000" w:sz="12" w:space="0"/>
            </w:tcBorders>
            <w:vAlign w:val="center"/>
          </w:tcPr>
          <w:p w14:paraId="1BEE5D36">
            <w:pPr>
              <w:pStyle w:val="48"/>
              <w:jc w:val="center"/>
              <w:rPr>
                <w:rFonts w:ascii="Times New Roman" w:eastAsia="宋体" w:cs="Times New Roman"/>
                <w:sz w:val="21"/>
                <w:szCs w:val="21"/>
              </w:rPr>
            </w:pPr>
            <w:r>
              <w:rPr>
                <w:rFonts w:hint="eastAsia" w:ascii="Times New Roman"/>
                <w:sz w:val="21"/>
                <w:lang w:val="en-US" w:eastAsia="zh-CN"/>
              </w:rPr>
              <w:t>1500</w:t>
            </w:r>
            <w:r>
              <w:rPr>
                <w:rFonts w:hint="eastAsia" w:ascii="Times New Roman"/>
                <w:sz w:val="21"/>
              </w:rPr>
              <w:t>m</w:t>
            </w:r>
            <w:r>
              <w:rPr>
                <w:rFonts w:hint="eastAsia" w:ascii="Times New Roman"/>
                <w:sz w:val="21"/>
                <w:vertAlign w:val="superscript"/>
              </w:rPr>
              <w:t>2</w:t>
            </w:r>
          </w:p>
        </w:tc>
      </w:tr>
      <w:tr w14:paraId="6D477B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4ADEF4D0">
            <w:pPr>
              <w:pStyle w:val="48"/>
              <w:jc w:val="center"/>
              <w:rPr>
                <w:rFonts w:ascii="Times New Roman" w:eastAsia="宋体" w:cs="Times New Roman"/>
                <w:sz w:val="21"/>
                <w:szCs w:val="21"/>
              </w:rPr>
            </w:pPr>
            <w:r>
              <w:rPr>
                <w:rFonts w:hint="eastAsia" w:ascii="Times New Roman" w:eastAsia="宋体" w:cs="Times New Roman"/>
                <w:sz w:val="21"/>
                <w:szCs w:val="21"/>
              </w:rPr>
              <w:t>企业规模</w:t>
            </w:r>
          </w:p>
        </w:tc>
        <w:tc>
          <w:tcPr>
            <w:tcW w:w="3454" w:type="dxa"/>
            <w:tcBorders>
              <w:top w:val="single" w:color="000000" w:sz="4" w:space="0"/>
              <w:left w:val="single" w:color="000000" w:sz="4" w:space="0"/>
              <w:bottom w:val="single" w:color="000000" w:sz="4" w:space="0"/>
              <w:right w:val="single" w:color="000000" w:sz="4" w:space="0"/>
            </w:tcBorders>
            <w:vAlign w:val="center"/>
          </w:tcPr>
          <w:p w14:paraId="4A23BD8C">
            <w:pPr>
              <w:pStyle w:val="48"/>
              <w:jc w:val="center"/>
              <w:rPr>
                <w:rFonts w:ascii="Times New Roman" w:cs="Times New Roman"/>
                <w:sz w:val="21"/>
                <w:szCs w:val="21"/>
              </w:rPr>
            </w:pPr>
            <w:r>
              <w:rPr>
                <w:rFonts w:hint="eastAsia" w:ascii="宋体" w:hAnsi="宋体" w:eastAsia="宋体" w:cs="宋体"/>
                <w:sz w:val="21"/>
                <w:szCs w:val="21"/>
              </w:rPr>
              <w:t>小型</w:t>
            </w:r>
          </w:p>
        </w:tc>
        <w:tc>
          <w:tcPr>
            <w:tcW w:w="2054" w:type="dxa"/>
            <w:tcBorders>
              <w:top w:val="single" w:color="000000" w:sz="4" w:space="0"/>
              <w:left w:val="single" w:color="000000" w:sz="4" w:space="0"/>
              <w:bottom w:val="single" w:color="000000" w:sz="4" w:space="0"/>
              <w:right w:val="single" w:color="000000" w:sz="4" w:space="0"/>
            </w:tcBorders>
            <w:vAlign w:val="center"/>
          </w:tcPr>
          <w:p w14:paraId="40376FA6">
            <w:pPr>
              <w:pStyle w:val="48"/>
              <w:jc w:val="center"/>
              <w:rPr>
                <w:rFonts w:ascii="Times New Roman" w:eastAsia="宋体" w:cs="Times New Roman"/>
                <w:sz w:val="21"/>
                <w:szCs w:val="21"/>
              </w:rPr>
            </w:pPr>
            <w:r>
              <w:rPr>
                <w:rFonts w:ascii="Times New Roman" w:eastAsia="宋体" w:cs="Times New Roman"/>
                <w:sz w:val="21"/>
                <w:szCs w:val="21"/>
              </w:rPr>
              <w:t>职工人数</w:t>
            </w:r>
          </w:p>
        </w:tc>
        <w:tc>
          <w:tcPr>
            <w:tcW w:w="2000" w:type="dxa"/>
            <w:tcBorders>
              <w:top w:val="single" w:color="000000" w:sz="4" w:space="0"/>
              <w:left w:val="single" w:color="000000" w:sz="4" w:space="0"/>
              <w:bottom w:val="single" w:color="000000" w:sz="4" w:space="0"/>
              <w:right w:val="single" w:color="000000" w:sz="12" w:space="0"/>
            </w:tcBorders>
            <w:vAlign w:val="center"/>
          </w:tcPr>
          <w:p w14:paraId="0A0C9429">
            <w:pPr>
              <w:pStyle w:val="48"/>
              <w:jc w:val="center"/>
              <w:rPr>
                <w:rFonts w:ascii="Times New Roman" w:eastAsia="宋体" w:cs="Times New Roman"/>
                <w:sz w:val="21"/>
                <w:szCs w:val="21"/>
              </w:rPr>
            </w:pPr>
            <w:r>
              <w:rPr>
                <w:rFonts w:hint="eastAsia" w:ascii="Times New Roman" w:eastAsia="宋体" w:cs="Times New Roman"/>
                <w:color w:val="auto"/>
                <w:sz w:val="21"/>
                <w:szCs w:val="21"/>
                <w:lang w:val="en-US" w:eastAsia="zh-CN"/>
              </w:rPr>
              <w:t>60</w:t>
            </w:r>
            <w:r>
              <w:rPr>
                <w:rFonts w:hint="eastAsia" w:ascii="Times New Roman" w:eastAsia="宋体" w:cs="Times New Roman"/>
                <w:sz w:val="21"/>
                <w:szCs w:val="21"/>
              </w:rPr>
              <w:t>人</w:t>
            </w:r>
          </w:p>
        </w:tc>
      </w:tr>
      <w:tr w14:paraId="12D4B9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417C3F09">
            <w:pPr>
              <w:pStyle w:val="48"/>
              <w:jc w:val="center"/>
              <w:rPr>
                <w:rFonts w:ascii="Times New Roman" w:eastAsia="宋体" w:cs="Times New Roman"/>
                <w:sz w:val="21"/>
                <w:szCs w:val="21"/>
              </w:rPr>
            </w:pPr>
            <w:r>
              <w:rPr>
                <w:rFonts w:ascii="Times New Roman" w:eastAsia="宋体" w:cs="Times New Roman"/>
                <w:sz w:val="21"/>
                <w:szCs w:val="21"/>
              </w:rPr>
              <w:t>主要原料</w:t>
            </w:r>
          </w:p>
        </w:tc>
        <w:tc>
          <w:tcPr>
            <w:tcW w:w="3454" w:type="dxa"/>
            <w:tcBorders>
              <w:top w:val="single" w:color="000000" w:sz="4" w:space="0"/>
              <w:left w:val="single" w:color="000000" w:sz="4" w:space="0"/>
              <w:bottom w:val="single" w:color="000000" w:sz="4" w:space="0"/>
              <w:right w:val="single" w:color="000000" w:sz="4" w:space="0"/>
            </w:tcBorders>
            <w:vAlign w:val="center"/>
          </w:tcPr>
          <w:p w14:paraId="261A4D28">
            <w:pPr>
              <w:pStyle w:val="48"/>
              <w:jc w:val="center"/>
              <w:rPr>
                <w:rFonts w:ascii="Times New Roman" w:eastAsia="宋体" w:cs="Times New Roman"/>
                <w:sz w:val="21"/>
                <w:szCs w:val="21"/>
              </w:rPr>
            </w:pPr>
            <w:r>
              <w:rPr>
                <w:rFonts w:hint="eastAsia" w:ascii="Times New Roman" w:eastAsia="宋体" w:cs="Times New Roman"/>
                <w:sz w:val="21"/>
                <w:szCs w:val="21"/>
              </w:rPr>
              <w:t>木材、水性漆等</w:t>
            </w:r>
          </w:p>
        </w:tc>
        <w:tc>
          <w:tcPr>
            <w:tcW w:w="2054" w:type="dxa"/>
            <w:tcBorders>
              <w:top w:val="single" w:color="000000" w:sz="4" w:space="0"/>
              <w:left w:val="single" w:color="000000" w:sz="4" w:space="0"/>
              <w:bottom w:val="single" w:color="000000" w:sz="4" w:space="0"/>
              <w:right w:val="single" w:color="000000" w:sz="4" w:space="0"/>
            </w:tcBorders>
            <w:vAlign w:val="center"/>
          </w:tcPr>
          <w:p w14:paraId="3B2B1DF5">
            <w:pPr>
              <w:pStyle w:val="48"/>
              <w:jc w:val="center"/>
              <w:rPr>
                <w:rFonts w:ascii="Times New Roman" w:eastAsia="宋体" w:cs="Times New Roman"/>
                <w:sz w:val="21"/>
                <w:szCs w:val="21"/>
              </w:rPr>
            </w:pPr>
            <w:r>
              <w:rPr>
                <w:rFonts w:ascii="Times New Roman" w:eastAsia="宋体" w:cs="Times New Roman"/>
                <w:sz w:val="21"/>
                <w:szCs w:val="21"/>
              </w:rPr>
              <w:t>所属行业</w:t>
            </w:r>
          </w:p>
        </w:tc>
        <w:tc>
          <w:tcPr>
            <w:tcW w:w="2000" w:type="dxa"/>
            <w:tcBorders>
              <w:top w:val="single" w:color="000000" w:sz="4" w:space="0"/>
              <w:left w:val="single" w:color="000000" w:sz="4" w:space="0"/>
              <w:bottom w:val="single" w:color="000000" w:sz="4" w:space="0"/>
              <w:right w:val="single" w:color="000000" w:sz="12" w:space="0"/>
            </w:tcBorders>
            <w:vAlign w:val="center"/>
          </w:tcPr>
          <w:p w14:paraId="2344C829">
            <w:pPr>
              <w:pStyle w:val="48"/>
              <w:jc w:val="center"/>
              <w:rPr>
                <w:rFonts w:ascii="Times New Roman" w:eastAsia="宋体" w:cs="Times New Roman"/>
                <w:sz w:val="21"/>
                <w:szCs w:val="21"/>
              </w:rPr>
            </w:pPr>
            <w:r>
              <w:rPr>
                <w:rFonts w:hint="eastAsia" w:ascii="Times New Roman" w:eastAsia="宋体" w:cs="Times New Roman"/>
                <w:sz w:val="21"/>
                <w:szCs w:val="21"/>
              </w:rPr>
              <w:t>C2110木质家具制造</w:t>
            </w:r>
          </w:p>
        </w:tc>
      </w:tr>
      <w:tr w14:paraId="773D2E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27050691">
            <w:pPr>
              <w:pStyle w:val="48"/>
              <w:jc w:val="center"/>
              <w:rPr>
                <w:rFonts w:ascii="Times New Roman" w:eastAsia="宋体" w:cs="Times New Roman"/>
                <w:sz w:val="21"/>
                <w:szCs w:val="21"/>
              </w:rPr>
            </w:pPr>
            <w:r>
              <w:rPr>
                <w:rFonts w:ascii="Times New Roman" w:eastAsia="宋体" w:cs="Times New Roman"/>
                <w:sz w:val="21"/>
                <w:szCs w:val="21"/>
              </w:rPr>
              <w:t>主要产品</w:t>
            </w:r>
          </w:p>
        </w:tc>
        <w:tc>
          <w:tcPr>
            <w:tcW w:w="3454" w:type="dxa"/>
            <w:tcBorders>
              <w:top w:val="single" w:color="000000" w:sz="4" w:space="0"/>
              <w:left w:val="single" w:color="000000" w:sz="4" w:space="0"/>
              <w:bottom w:val="single" w:color="000000" w:sz="4" w:space="0"/>
              <w:right w:val="single" w:color="000000" w:sz="4" w:space="0"/>
            </w:tcBorders>
            <w:vAlign w:val="center"/>
          </w:tcPr>
          <w:p w14:paraId="2313CEE1">
            <w:pPr>
              <w:pStyle w:val="48"/>
              <w:jc w:val="center"/>
              <w:rPr>
                <w:rFonts w:ascii="Times New Roman" w:eastAsia="宋体" w:cs="Times New Roman"/>
                <w:sz w:val="21"/>
                <w:szCs w:val="21"/>
              </w:rPr>
            </w:pPr>
            <w:r>
              <w:rPr>
                <w:rFonts w:hint="eastAsia" w:ascii="Times New Roman" w:eastAsia="宋体" w:cs="Times New Roman"/>
                <w:sz w:val="21"/>
                <w:szCs w:val="21"/>
                <w:lang w:val="en-US" w:eastAsia="zh-CN"/>
              </w:rPr>
              <w:t>办公</w:t>
            </w:r>
            <w:r>
              <w:rPr>
                <w:rFonts w:hint="eastAsia" w:ascii="Times New Roman" w:eastAsia="宋体" w:cs="Times New Roman"/>
                <w:sz w:val="21"/>
                <w:szCs w:val="21"/>
              </w:rPr>
              <w:t>家具</w:t>
            </w:r>
          </w:p>
        </w:tc>
        <w:tc>
          <w:tcPr>
            <w:tcW w:w="2054" w:type="dxa"/>
            <w:tcBorders>
              <w:top w:val="single" w:color="000000" w:sz="4" w:space="0"/>
              <w:left w:val="single" w:color="000000" w:sz="4" w:space="0"/>
              <w:bottom w:val="single" w:color="000000" w:sz="4" w:space="0"/>
              <w:right w:val="single" w:color="000000" w:sz="4" w:space="0"/>
            </w:tcBorders>
            <w:vAlign w:val="center"/>
          </w:tcPr>
          <w:p w14:paraId="5287B466">
            <w:pPr>
              <w:pStyle w:val="48"/>
              <w:jc w:val="center"/>
              <w:rPr>
                <w:rFonts w:ascii="Times New Roman" w:eastAsia="宋体" w:cs="Times New Roman"/>
                <w:sz w:val="21"/>
                <w:szCs w:val="21"/>
              </w:rPr>
            </w:pPr>
            <w:r>
              <w:rPr>
                <w:rFonts w:ascii="Times New Roman" w:eastAsia="宋体" w:cs="Times New Roman"/>
                <w:sz w:val="21"/>
                <w:szCs w:val="21"/>
              </w:rPr>
              <w:t>经度坐标</w:t>
            </w:r>
          </w:p>
        </w:tc>
        <w:tc>
          <w:tcPr>
            <w:tcW w:w="2000" w:type="dxa"/>
            <w:tcBorders>
              <w:top w:val="single" w:color="000000" w:sz="4" w:space="0"/>
              <w:left w:val="single" w:color="000000" w:sz="4" w:space="0"/>
              <w:bottom w:val="single" w:color="000000" w:sz="4" w:space="0"/>
              <w:right w:val="single" w:color="000000" w:sz="12" w:space="0"/>
            </w:tcBorders>
            <w:vAlign w:val="center"/>
          </w:tcPr>
          <w:p w14:paraId="7DDDFFE4">
            <w:pPr>
              <w:pStyle w:val="143"/>
              <w:spacing w:line="243" w:lineRule="auto"/>
              <w:jc w:val="center"/>
              <w:rPr>
                <w:rFonts w:hint="default" w:ascii="Times New Roman" w:eastAsia="仿宋_GB2312" w:cs="Times New Roman"/>
                <w:sz w:val="21"/>
                <w:szCs w:val="21"/>
                <w:lang w:val="en-US" w:eastAsia="zh-CN"/>
              </w:rPr>
            </w:pPr>
            <w:r>
              <w:rPr>
                <w:rFonts w:hint="eastAsia" w:ascii="Times New Roman" w:eastAsia="宋体" w:cs="Times New Roman"/>
                <w:sz w:val="21"/>
                <w:szCs w:val="21"/>
              </w:rPr>
              <w:t>E</w:t>
            </w:r>
            <w:r>
              <w:rPr>
                <w:rFonts w:hint="eastAsia"/>
                <w:color w:val="auto"/>
                <w:sz w:val="21"/>
                <w:szCs w:val="21"/>
              </w:rPr>
              <w:t>120.562603</w:t>
            </w:r>
          </w:p>
        </w:tc>
      </w:tr>
      <w:tr w14:paraId="0B009E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565F4628">
            <w:pPr>
              <w:pStyle w:val="48"/>
              <w:jc w:val="center"/>
              <w:rPr>
                <w:rFonts w:ascii="Times New Roman" w:eastAsia="宋体" w:cs="Times New Roman"/>
                <w:sz w:val="21"/>
                <w:szCs w:val="21"/>
              </w:rPr>
            </w:pPr>
            <w:r>
              <w:rPr>
                <w:rFonts w:ascii="Times New Roman" w:eastAsia="宋体" w:cs="Times New Roman"/>
                <w:sz w:val="21"/>
                <w:szCs w:val="21"/>
              </w:rPr>
              <w:t>联系人</w:t>
            </w:r>
          </w:p>
        </w:tc>
        <w:tc>
          <w:tcPr>
            <w:tcW w:w="3454" w:type="dxa"/>
            <w:tcBorders>
              <w:top w:val="single" w:color="000000" w:sz="4" w:space="0"/>
              <w:left w:val="single" w:color="000000" w:sz="4" w:space="0"/>
              <w:bottom w:val="single" w:color="000000" w:sz="4" w:space="0"/>
              <w:right w:val="single" w:color="000000" w:sz="4" w:space="0"/>
            </w:tcBorders>
            <w:vAlign w:val="center"/>
          </w:tcPr>
          <w:p w14:paraId="3C1B2FAD">
            <w:pPr>
              <w:pStyle w:val="48"/>
              <w:jc w:val="center"/>
              <w:rPr>
                <w:rFonts w:ascii="Times New Roman" w:eastAsia="宋体" w:cs="Times New Roman"/>
                <w:color w:val="auto"/>
                <w:sz w:val="21"/>
                <w:szCs w:val="21"/>
              </w:rPr>
            </w:pPr>
            <w:r>
              <w:rPr>
                <w:rFonts w:hint="eastAsia" w:ascii="Times New Roman" w:eastAsia="宋体" w:cs="Times New Roman"/>
                <w:sz w:val="21"/>
                <w:szCs w:val="21"/>
                <w:lang w:val="en-US" w:eastAsia="zh-CN"/>
              </w:rPr>
              <w:t>尹义华</w:t>
            </w:r>
          </w:p>
        </w:tc>
        <w:tc>
          <w:tcPr>
            <w:tcW w:w="2054" w:type="dxa"/>
            <w:tcBorders>
              <w:top w:val="single" w:color="000000" w:sz="4" w:space="0"/>
              <w:left w:val="single" w:color="000000" w:sz="4" w:space="0"/>
              <w:bottom w:val="single" w:color="000000" w:sz="4" w:space="0"/>
              <w:right w:val="single" w:color="000000" w:sz="4" w:space="0"/>
            </w:tcBorders>
            <w:vAlign w:val="center"/>
          </w:tcPr>
          <w:p w14:paraId="1AC2FB3A">
            <w:pPr>
              <w:pStyle w:val="48"/>
              <w:jc w:val="center"/>
              <w:rPr>
                <w:rFonts w:ascii="Times New Roman" w:eastAsia="宋体" w:cs="Times New Roman"/>
                <w:sz w:val="21"/>
                <w:szCs w:val="21"/>
              </w:rPr>
            </w:pPr>
            <w:r>
              <w:rPr>
                <w:rFonts w:ascii="Times New Roman" w:eastAsia="宋体" w:cs="Times New Roman"/>
                <w:sz w:val="21"/>
                <w:szCs w:val="21"/>
              </w:rPr>
              <w:t>纬度坐标</w:t>
            </w:r>
          </w:p>
        </w:tc>
        <w:tc>
          <w:tcPr>
            <w:tcW w:w="2000" w:type="dxa"/>
            <w:tcBorders>
              <w:top w:val="single" w:color="000000" w:sz="4" w:space="0"/>
              <w:left w:val="single" w:color="000000" w:sz="4" w:space="0"/>
              <w:bottom w:val="single" w:color="000000" w:sz="4" w:space="0"/>
              <w:right w:val="single" w:color="000000" w:sz="12" w:space="0"/>
            </w:tcBorders>
            <w:vAlign w:val="center"/>
          </w:tcPr>
          <w:p w14:paraId="4D05B855">
            <w:pPr>
              <w:pStyle w:val="48"/>
              <w:jc w:val="center"/>
              <w:rPr>
                <w:rFonts w:hint="default" w:ascii="Times New Roman" w:eastAsia="仿宋_GB2312" w:cs="Times New Roman"/>
                <w:sz w:val="21"/>
                <w:szCs w:val="21"/>
                <w:lang w:val="en-US" w:eastAsia="zh-CN"/>
              </w:rPr>
            </w:pPr>
            <w:r>
              <w:rPr>
                <w:rFonts w:hint="eastAsia" w:ascii="Times New Roman" w:eastAsia="宋体" w:cs="Times New Roman"/>
                <w:sz w:val="21"/>
                <w:szCs w:val="21"/>
              </w:rPr>
              <w:t>N</w:t>
            </w:r>
            <w:r>
              <w:rPr>
                <w:rFonts w:hint="eastAsia"/>
                <w:color w:val="auto"/>
                <w:sz w:val="21"/>
                <w:szCs w:val="21"/>
              </w:rPr>
              <w:t>32.552305</w:t>
            </w:r>
          </w:p>
        </w:tc>
      </w:tr>
      <w:tr w14:paraId="264A35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12" w:space="0"/>
              <w:right w:val="single" w:color="000000" w:sz="4" w:space="0"/>
            </w:tcBorders>
            <w:vAlign w:val="center"/>
          </w:tcPr>
          <w:p w14:paraId="250F9E6C">
            <w:pPr>
              <w:pStyle w:val="48"/>
              <w:jc w:val="center"/>
              <w:rPr>
                <w:rFonts w:ascii="Times New Roman" w:eastAsia="宋体" w:cs="Times New Roman"/>
                <w:sz w:val="21"/>
                <w:szCs w:val="21"/>
              </w:rPr>
            </w:pPr>
            <w:r>
              <w:rPr>
                <w:rFonts w:ascii="Times New Roman" w:eastAsia="宋体" w:cs="Times New Roman"/>
                <w:sz w:val="21"/>
                <w:szCs w:val="21"/>
              </w:rPr>
              <w:t>联系电话</w:t>
            </w:r>
          </w:p>
        </w:tc>
        <w:tc>
          <w:tcPr>
            <w:tcW w:w="3454" w:type="dxa"/>
            <w:tcBorders>
              <w:top w:val="single" w:color="000000" w:sz="4" w:space="0"/>
              <w:left w:val="single" w:color="000000" w:sz="4" w:space="0"/>
              <w:bottom w:val="single" w:color="000000" w:sz="12" w:space="0"/>
              <w:right w:val="single" w:color="000000" w:sz="4" w:space="0"/>
            </w:tcBorders>
            <w:vAlign w:val="center"/>
          </w:tcPr>
          <w:p w14:paraId="523DE6C3">
            <w:pPr>
              <w:pStyle w:val="48"/>
              <w:jc w:val="center"/>
              <w:rPr>
                <w:rFonts w:hint="default" w:ascii="Times New Roman" w:eastAsia="宋体" w:cs="Times New Roman"/>
                <w:sz w:val="21"/>
                <w:szCs w:val="21"/>
                <w:lang w:val="en-US"/>
              </w:rPr>
            </w:pPr>
            <w:r>
              <w:rPr>
                <w:rFonts w:hint="eastAsia" w:ascii="Times New Roman" w:eastAsia="宋体" w:cs="Times New Roman"/>
                <w:b w:val="0"/>
                <w:bCs w:val="0"/>
                <w:snapToGrid/>
                <w:kern w:val="0"/>
                <w:sz w:val="21"/>
                <w:szCs w:val="21"/>
                <w:lang w:val="en-US" w:eastAsia="zh-CN"/>
              </w:rPr>
              <w:t>18551093333</w:t>
            </w:r>
          </w:p>
        </w:tc>
        <w:tc>
          <w:tcPr>
            <w:tcW w:w="2054" w:type="dxa"/>
            <w:tcBorders>
              <w:top w:val="single" w:color="000000" w:sz="4" w:space="0"/>
              <w:left w:val="single" w:color="000000" w:sz="4" w:space="0"/>
              <w:bottom w:val="single" w:color="000000" w:sz="12" w:space="0"/>
              <w:right w:val="single" w:color="000000" w:sz="4" w:space="0"/>
            </w:tcBorders>
            <w:vAlign w:val="center"/>
          </w:tcPr>
          <w:p w14:paraId="26DE54B8">
            <w:pPr>
              <w:pStyle w:val="48"/>
              <w:jc w:val="center"/>
              <w:rPr>
                <w:rFonts w:ascii="Times New Roman" w:eastAsia="宋体" w:cs="Times New Roman"/>
                <w:sz w:val="21"/>
                <w:szCs w:val="21"/>
              </w:rPr>
            </w:pPr>
            <w:r>
              <w:rPr>
                <w:rFonts w:ascii="Times New Roman" w:eastAsia="宋体" w:cs="Times New Roman"/>
                <w:sz w:val="21"/>
                <w:szCs w:val="21"/>
              </w:rPr>
              <w:t>历史事故</w:t>
            </w:r>
          </w:p>
        </w:tc>
        <w:tc>
          <w:tcPr>
            <w:tcW w:w="2000" w:type="dxa"/>
            <w:tcBorders>
              <w:top w:val="single" w:color="000000" w:sz="4" w:space="0"/>
              <w:left w:val="single" w:color="000000" w:sz="4" w:space="0"/>
              <w:bottom w:val="single" w:color="000000" w:sz="12" w:space="0"/>
              <w:right w:val="single" w:color="000000" w:sz="12" w:space="0"/>
            </w:tcBorders>
            <w:vAlign w:val="center"/>
          </w:tcPr>
          <w:p w14:paraId="68026040">
            <w:pPr>
              <w:pStyle w:val="48"/>
              <w:jc w:val="center"/>
              <w:rPr>
                <w:rFonts w:ascii="Times New Roman" w:eastAsia="宋体" w:cs="Times New Roman"/>
                <w:sz w:val="21"/>
                <w:szCs w:val="21"/>
              </w:rPr>
            </w:pPr>
            <w:r>
              <w:rPr>
                <w:rFonts w:ascii="Times New Roman" w:eastAsia="宋体" w:cs="Times New Roman"/>
                <w:sz w:val="21"/>
                <w:szCs w:val="21"/>
              </w:rPr>
              <w:t>无</w:t>
            </w:r>
          </w:p>
        </w:tc>
      </w:tr>
    </w:tbl>
    <w:p w14:paraId="1BE65D23">
      <w:pPr>
        <w:adjustRightInd w:val="0"/>
        <w:snapToGrid w:val="0"/>
        <w:spacing w:line="500" w:lineRule="exact"/>
        <w:ind w:firstLine="480" w:firstLineChars="200"/>
        <w:jc w:val="left"/>
        <w:rPr>
          <w:rFonts w:eastAsia="宋体"/>
        </w:rPr>
      </w:pPr>
      <w:r>
        <w:rPr>
          <w:rFonts w:eastAsia="宋体"/>
        </w:rPr>
        <w:t>公司具体</w:t>
      </w:r>
      <w:r>
        <w:rPr>
          <w:rFonts w:hint="eastAsia" w:eastAsia="宋体"/>
        </w:rPr>
        <w:t>环评</w:t>
      </w:r>
      <w:r>
        <w:rPr>
          <w:rFonts w:eastAsia="宋体"/>
        </w:rPr>
        <w:t>情况见表3-2。</w:t>
      </w:r>
    </w:p>
    <w:p w14:paraId="4682F953">
      <w:pPr>
        <w:widowControl/>
        <w:tabs>
          <w:tab w:val="left" w:pos="1815"/>
          <w:tab w:val="left" w:pos="1845"/>
        </w:tabs>
        <w:adjustRightInd w:val="0"/>
        <w:snapToGrid w:val="0"/>
        <w:spacing w:line="500" w:lineRule="exact"/>
        <w:ind w:firstLine="562"/>
        <w:jc w:val="center"/>
        <w:rPr>
          <w:rFonts w:eastAsia="宋体"/>
          <w:b/>
          <w:szCs w:val="28"/>
        </w:rPr>
      </w:pPr>
      <w:r>
        <w:rPr>
          <w:rFonts w:eastAsia="宋体"/>
          <w:b/>
          <w:szCs w:val="28"/>
        </w:rPr>
        <w:t>表3-2</w:t>
      </w:r>
      <w:r>
        <w:rPr>
          <w:rFonts w:hint="eastAsia" w:eastAsia="宋体"/>
          <w:b/>
          <w:szCs w:val="28"/>
        </w:rPr>
        <w:t>环评收情况</w:t>
      </w:r>
    </w:p>
    <w:tbl>
      <w:tblPr>
        <w:tblStyle w:val="3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462"/>
        <w:gridCol w:w="2055"/>
        <w:gridCol w:w="2681"/>
      </w:tblGrid>
      <w:tr w14:paraId="1662A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1" w:hRule="atLeast"/>
          <w:tblHeader/>
          <w:jc w:val="center"/>
        </w:trPr>
        <w:tc>
          <w:tcPr>
            <w:tcW w:w="2425" w:type="pct"/>
            <w:vMerge w:val="restart"/>
            <w:tcBorders>
              <w:tl2br w:val="nil"/>
              <w:tr2bl w:val="nil"/>
            </w:tcBorders>
            <w:vAlign w:val="center"/>
          </w:tcPr>
          <w:p w14:paraId="0EDC1992">
            <w:pPr>
              <w:widowControl/>
              <w:adjustRightInd w:val="0"/>
              <w:snapToGrid w:val="0"/>
              <w:jc w:val="center"/>
              <w:rPr>
                <w:rFonts w:eastAsia="宋体"/>
                <w:sz w:val="21"/>
                <w:szCs w:val="21"/>
              </w:rPr>
            </w:pPr>
            <w:r>
              <w:rPr>
                <w:rFonts w:eastAsia="宋体"/>
                <w:sz w:val="21"/>
                <w:szCs w:val="21"/>
              </w:rPr>
              <w:t>项目</w:t>
            </w:r>
          </w:p>
        </w:tc>
        <w:tc>
          <w:tcPr>
            <w:tcW w:w="2574" w:type="pct"/>
            <w:gridSpan w:val="2"/>
            <w:tcBorders>
              <w:tl2br w:val="nil"/>
              <w:tr2bl w:val="nil"/>
            </w:tcBorders>
            <w:shd w:val="clear" w:color="auto" w:fill="auto"/>
            <w:vAlign w:val="center"/>
          </w:tcPr>
          <w:p w14:paraId="5ED9D40E">
            <w:pPr>
              <w:widowControl/>
              <w:adjustRightInd w:val="0"/>
              <w:snapToGrid w:val="0"/>
              <w:jc w:val="center"/>
              <w:rPr>
                <w:rFonts w:eastAsia="宋体"/>
                <w:sz w:val="21"/>
                <w:szCs w:val="21"/>
              </w:rPr>
            </w:pPr>
            <w:r>
              <w:rPr>
                <w:rFonts w:hint="eastAsia" w:eastAsia="宋体"/>
                <w:sz w:val="21"/>
                <w:szCs w:val="21"/>
              </w:rPr>
              <w:t>环评</w:t>
            </w:r>
            <w:r>
              <w:rPr>
                <w:rFonts w:eastAsia="宋体"/>
                <w:sz w:val="21"/>
                <w:szCs w:val="21"/>
              </w:rPr>
              <w:t>批复情况</w:t>
            </w:r>
          </w:p>
        </w:tc>
      </w:tr>
      <w:tr w14:paraId="5A1A3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5" w:hRule="atLeast"/>
          <w:tblHeader/>
          <w:jc w:val="center"/>
        </w:trPr>
        <w:tc>
          <w:tcPr>
            <w:tcW w:w="2425" w:type="pct"/>
            <w:vMerge w:val="continue"/>
            <w:tcBorders>
              <w:tl2br w:val="nil"/>
              <w:tr2bl w:val="nil"/>
            </w:tcBorders>
            <w:vAlign w:val="center"/>
          </w:tcPr>
          <w:p w14:paraId="22D1FEFF">
            <w:pPr>
              <w:widowControl/>
              <w:adjustRightInd w:val="0"/>
              <w:snapToGrid w:val="0"/>
              <w:jc w:val="center"/>
              <w:rPr>
                <w:rFonts w:eastAsia="宋体"/>
                <w:sz w:val="21"/>
                <w:szCs w:val="21"/>
              </w:rPr>
            </w:pPr>
          </w:p>
        </w:tc>
        <w:tc>
          <w:tcPr>
            <w:tcW w:w="1117" w:type="pct"/>
            <w:tcBorders>
              <w:tl2br w:val="nil"/>
              <w:tr2bl w:val="nil"/>
            </w:tcBorders>
            <w:shd w:val="clear" w:color="auto" w:fill="auto"/>
            <w:vAlign w:val="center"/>
          </w:tcPr>
          <w:p w14:paraId="568DDFA3">
            <w:pPr>
              <w:widowControl/>
              <w:adjustRightInd w:val="0"/>
              <w:snapToGrid w:val="0"/>
              <w:jc w:val="center"/>
              <w:rPr>
                <w:rFonts w:eastAsia="宋体"/>
                <w:sz w:val="21"/>
                <w:szCs w:val="21"/>
              </w:rPr>
            </w:pPr>
            <w:r>
              <w:rPr>
                <w:rFonts w:eastAsia="宋体"/>
                <w:sz w:val="21"/>
                <w:szCs w:val="21"/>
              </w:rPr>
              <w:t>审批单位</w:t>
            </w:r>
          </w:p>
        </w:tc>
        <w:tc>
          <w:tcPr>
            <w:tcW w:w="1456" w:type="pct"/>
            <w:tcBorders>
              <w:tl2br w:val="nil"/>
              <w:tr2bl w:val="nil"/>
            </w:tcBorders>
            <w:shd w:val="clear" w:color="auto" w:fill="auto"/>
            <w:vAlign w:val="center"/>
          </w:tcPr>
          <w:p w14:paraId="0D216245">
            <w:pPr>
              <w:widowControl/>
              <w:adjustRightInd w:val="0"/>
              <w:snapToGrid w:val="0"/>
              <w:jc w:val="center"/>
              <w:rPr>
                <w:rFonts w:eastAsia="宋体"/>
                <w:sz w:val="21"/>
                <w:szCs w:val="21"/>
              </w:rPr>
            </w:pPr>
            <w:r>
              <w:rPr>
                <w:rFonts w:eastAsia="宋体"/>
                <w:sz w:val="21"/>
                <w:szCs w:val="21"/>
              </w:rPr>
              <w:t>审批文号</w:t>
            </w:r>
          </w:p>
        </w:tc>
      </w:tr>
      <w:tr w14:paraId="5BD63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2425" w:type="pct"/>
            <w:tcBorders>
              <w:tl2br w:val="nil"/>
              <w:tr2bl w:val="nil"/>
            </w:tcBorders>
            <w:vAlign w:val="center"/>
          </w:tcPr>
          <w:p w14:paraId="6777BD1B">
            <w:pPr>
              <w:widowControl/>
              <w:adjustRightInd w:val="0"/>
              <w:snapToGrid w:val="0"/>
              <w:jc w:val="center"/>
              <w:rPr>
                <w:rFonts w:eastAsia="宋体"/>
                <w:sz w:val="21"/>
                <w:szCs w:val="21"/>
              </w:rPr>
            </w:pPr>
            <w:r>
              <w:rPr>
                <w:rFonts w:hint="eastAsia" w:eastAsia="宋体"/>
                <w:sz w:val="21"/>
                <w:szCs w:val="21"/>
                <w:lang w:eastAsia="zh-CN"/>
              </w:rPr>
              <w:t>江苏福内特家居有限公司木质家具制造</w:t>
            </w:r>
            <w:r>
              <w:rPr>
                <w:rFonts w:hint="eastAsia" w:eastAsia="宋体"/>
                <w:sz w:val="21"/>
                <w:szCs w:val="21"/>
                <w:lang w:val="en-US" w:eastAsia="zh-CN"/>
              </w:rPr>
              <w:t>项目</w:t>
            </w:r>
          </w:p>
        </w:tc>
        <w:tc>
          <w:tcPr>
            <w:tcW w:w="1117" w:type="pct"/>
            <w:tcBorders>
              <w:tl2br w:val="nil"/>
              <w:tr2bl w:val="nil"/>
            </w:tcBorders>
            <w:shd w:val="clear" w:color="auto" w:fill="auto"/>
            <w:vAlign w:val="center"/>
          </w:tcPr>
          <w:p w14:paraId="14A207FB">
            <w:pPr>
              <w:widowControl/>
              <w:adjustRightInd w:val="0"/>
              <w:snapToGrid w:val="0"/>
              <w:jc w:val="center"/>
              <w:rPr>
                <w:rFonts w:eastAsia="宋体"/>
                <w:sz w:val="21"/>
                <w:szCs w:val="21"/>
              </w:rPr>
            </w:pPr>
            <w:r>
              <w:rPr>
                <w:rFonts w:eastAsia="宋体"/>
                <w:sz w:val="21"/>
                <w:szCs w:val="21"/>
              </w:rPr>
              <w:t>海安</w:t>
            </w:r>
            <w:r>
              <w:rPr>
                <w:rFonts w:hint="eastAsia" w:eastAsia="宋体"/>
                <w:sz w:val="21"/>
                <w:szCs w:val="21"/>
                <w:lang w:val="en-US" w:eastAsia="zh-CN"/>
              </w:rPr>
              <w:t>市</w:t>
            </w:r>
            <w:r>
              <w:rPr>
                <w:rFonts w:eastAsia="宋体"/>
                <w:sz w:val="21"/>
                <w:szCs w:val="21"/>
              </w:rPr>
              <w:t>行政审批局</w:t>
            </w:r>
          </w:p>
        </w:tc>
        <w:tc>
          <w:tcPr>
            <w:tcW w:w="1456" w:type="pct"/>
            <w:tcBorders>
              <w:tl2br w:val="nil"/>
              <w:tr2bl w:val="nil"/>
            </w:tcBorders>
            <w:shd w:val="clear" w:color="auto" w:fill="auto"/>
            <w:vAlign w:val="center"/>
          </w:tcPr>
          <w:p w14:paraId="2F69D54F">
            <w:pPr>
              <w:widowControl/>
              <w:adjustRightInd w:val="0"/>
              <w:snapToGrid w:val="0"/>
              <w:jc w:val="center"/>
              <w:rPr>
                <w:rFonts w:hint="eastAsia" w:eastAsia="宋体"/>
                <w:sz w:val="21"/>
                <w:szCs w:val="21"/>
                <w:lang w:eastAsia="zh-CN"/>
              </w:rPr>
            </w:pPr>
            <w:r>
              <w:rPr>
                <w:rFonts w:hint="eastAsia" w:ascii="Times New Roman" w:hAnsi="Times New Roman" w:eastAsia="宋体" w:cs="Times New Roman"/>
                <w:i w:val="0"/>
                <w:iCs w:val="0"/>
                <w:caps w:val="0"/>
                <w:spacing w:val="0"/>
                <w:sz w:val="21"/>
                <w:szCs w:val="21"/>
                <w:shd w:val="clear"/>
              </w:rPr>
              <w:t>海行审【20</w:t>
            </w:r>
            <w:r>
              <w:rPr>
                <w:rFonts w:hint="eastAsia" w:eastAsia="宋体" w:cs="Times New Roman"/>
                <w:i w:val="0"/>
                <w:iCs w:val="0"/>
                <w:caps w:val="0"/>
                <w:spacing w:val="0"/>
                <w:sz w:val="21"/>
                <w:szCs w:val="21"/>
                <w:shd w:val="clear"/>
                <w:lang w:val="en-US" w:eastAsia="zh-CN"/>
              </w:rPr>
              <w:t>23</w:t>
            </w:r>
            <w:r>
              <w:rPr>
                <w:rFonts w:hint="eastAsia" w:ascii="Times New Roman" w:hAnsi="Times New Roman" w:eastAsia="宋体" w:cs="Times New Roman"/>
                <w:i w:val="0"/>
                <w:iCs w:val="0"/>
                <w:caps w:val="0"/>
                <w:spacing w:val="0"/>
                <w:sz w:val="21"/>
                <w:szCs w:val="21"/>
                <w:shd w:val="clear"/>
              </w:rPr>
              <w:t>】</w:t>
            </w:r>
            <w:r>
              <w:rPr>
                <w:rFonts w:hint="eastAsia" w:eastAsia="宋体" w:cs="Times New Roman"/>
                <w:i w:val="0"/>
                <w:iCs w:val="0"/>
                <w:caps w:val="0"/>
                <w:spacing w:val="0"/>
                <w:sz w:val="21"/>
                <w:szCs w:val="21"/>
                <w:shd w:val="clear"/>
                <w:lang w:val="en-US" w:eastAsia="zh-CN"/>
              </w:rPr>
              <w:t>133</w:t>
            </w:r>
            <w:r>
              <w:rPr>
                <w:rFonts w:hint="eastAsia" w:ascii="Times New Roman" w:hAnsi="Times New Roman" w:eastAsia="宋体" w:cs="Times New Roman"/>
                <w:i w:val="0"/>
                <w:iCs w:val="0"/>
                <w:caps w:val="0"/>
                <w:spacing w:val="0"/>
                <w:sz w:val="21"/>
                <w:szCs w:val="21"/>
                <w:shd w:val="clear"/>
              </w:rPr>
              <w:t>号</w:t>
            </w:r>
          </w:p>
        </w:tc>
      </w:tr>
    </w:tbl>
    <w:p w14:paraId="60592983">
      <w:pPr>
        <w:pStyle w:val="4"/>
        <w:adjustRightInd w:val="0"/>
        <w:snapToGrid w:val="0"/>
        <w:spacing w:line="500" w:lineRule="exact"/>
        <w:jc w:val="left"/>
        <w:rPr>
          <w:rFonts w:eastAsia="宋体"/>
        </w:rPr>
      </w:pPr>
      <w:bookmarkStart w:id="62" w:name="_Toc16743"/>
      <w:bookmarkStart w:id="63" w:name="_Toc21080"/>
      <w:bookmarkStart w:id="64" w:name="_Toc496887104"/>
      <w:bookmarkStart w:id="65" w:name="_Toc16237"/>
      <w:bookmarkStart w:id="66" w:name="_Toc12964"/>
      <w:bookmarkStart w:id="67" w:name="_Toc510092931"/>
      <w:r>
        <w:rPr>
          <w:rFonts w:eastAsia="宋体"/>
        </w:rPr>
        <w:t>3.1.2自然环境</w:t>
      </w:r>
      <w:bookmarkEnd w:id="62"/>
      <w:bookmarkEnd w:id="63"/>
      <w:bookmarkEnd w:id="64"/>
      <w:bookmarkEnd w:id="65"/>
      <w:bookmarkEnd w:id="66"/>
      <w:bookmarkEnd w:id="67"/>
    </w:p>
    <w:p w14:paraId="32C2FA55">
      <w:pPr>
        <w:pStyle w:val="18"/>
        <w:spacing w:line="500" w:lineRule="exact"/>
        <w:ind w:firstLine="480" w:firstLineChars="20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企业位于海安市</w:t>
      </w:r>
      <w:r>
        <w:rPr>
          <w:rFonts w:hint="eastAsia" w:ascii="Times New Roman" w:hAnsi="Times New Roman" w:eastAsia="宋体" w:cs="Times New Roman"/>
          <w:color w:val="000000" w:themeColor="text1"/>
          <w:szCs w:val="24"/>
          <w:lang w:eastAsia="zh-CN"/>
          <w14:textFill>
            <w14:solidFill>
              <w14:schemeClr w14:val="tx1"/>
            </w14:solidFill>
          </w14:textFill>
        </w:rPr>
        <w:t>老坝港滨海新区</w:t>
      </w:r>
      <w:r>
        <w:rPr>
          <w:rFonts w:ascii="Times New Roman" w:hAnsi="Times New Roman" w:eastAsia="宋体" w:cs="Times New Roman"/>
          <w:color w:val="000000" w:themeColor="text1"/>
          <w:szCs w:val="24"/>
          <w14:textFill>
            <w14:solidFill>
              <w14:schemeClr w14:val="tx1"/>
            </w14:solidFill>
          </w14:textFill>
        </w:rPr>
        <w:t>，具体位置见附图。</w:t>
      </w:r>
    </w:p>
    <w:p w14:paraId="55BFE369">
      <w:pPr>
        <w:pStyle w:val="18"/>
        <w:snapToGrid w:val="0"/>
        <w:spacing w:line="500" w:lineRule="exact"/>
        <w:ind w:firstLine="480" w:firstLineChars="200"/>
        <w:rPr>
          <w:rFonts w:ascii="Times New Roman" w:hAnsi="Times New Roman" w:eastAsia="宋体" w:cs="Times New Roman"/>
          <w:kern w:val="0"/>
          <w:szCs w:val="24"/>
        </w:rPr>
      </w:pPr>
      <w:r>
        <w:rPr>
          <w:rFonts w:ascii="Times New Roman" w:hAnsi="Times New Roman" w:eastAsia="宋体" w:cs="Times New Roman"/>
          <w:color w:val="000000" w:themeColor="text1"/>
          <w:szCs w:val="24"/>
          <w14:textFill>
            <w14:solidFill>
              <w14:schemeClr w14:val="tx1"/>
            </w14:solidFill>
          </w14:textFill>
        </w:rPr>
        <w:t>1）地理位置：海安市地处江苏省中南部，地处北纬32°32′～32°43′</w:t>
      </w:r>
      <w:r>
        <w:rPr>
          <w:rFonts w:hint="eastAsia" w:ascii="Times New Roman" w:hAnsi="Times New Roman" w:eastAsia="宋体" w:cs="Times New Roman"/>
          <w:color w:val="000000" w:themeColor="text1"/>
          <w:szCs w:val="24"/>
          <w14:textFill>
            <w14:solidFill>
              <w14:schemeClr w14:val="tx1"/>
            </w14:solidFill>
          </w14:textFill>
        </w:rPr>
        <w:t>，东经</w:t>
      </w:r>
      <w:r>
        <w:rPr>
          <w:rFonts w:ascii="Times New Roman" w:hAnsi="Times New Roman" w:eastAsia="宋体" w:cs="Times New Roman"/>
          <w:color w:val="000000" w:themeColor="text1"/>
          <w:szCs w:val="24"/>
          <w14:textFill>
            <w14:solidFill>
              <w14:schemeClr w14:val="tx1"/>
            </w14:solidFill>
          </w14:textFill>
        </w:rPr>
        <w:t>120°12′～120°53′，坐落于长江三角洲东北翼，西接姜堰市，东临南黄海，北接东台市，南与泰兴市、如皋市、如东县毗连，地理位置优越。204国道、328国道和202省道贯穿全境，</w:t>
      </w:r>
      <w:r>
        <w:rPr>
          <w:rFonts w:hint="eastAsia" w:ascii="Times New Roman" w:hAnsi="Times New Roman" w:eastAsia="宋体" w:cs="Times New Roman"/>
          <w:color w:val="000000" w:themeColor="text1"/>
          <w:szCs w:val="24"/>
          <w:lang w:eastAsia="zh-CN"/>
          <w14:textFill>
            <w14:solidFill>
              <w14:schemeClr w14:val="tx1"/>
            </w14:solidFill>
          </w14:textFill>
        </w:rPr>
        <w:t>洋蛮河</w:t>
      </w:r>
      <w:r>
        <w:rPr>
          <w:rFonts w:ascii="Times New Roman" w:hAnsi="Times New Roman" w:eastAsia="宋体" w:cs="Times New Roman"/>
          <w:color w:val="000000" w:themeColor="text1"/>
          <w:szCs w:val="24"/>
          <w14:textFill>
            <w14:solidFill>
              <w14:schemeClr w14:val="tx1"/>
            </w14:solidFill>
          </w14:textFill>
        </w:rPr>
        <w:t>和通榆运河畅流其间，新长铁路（江苏新沂至浙江长兴）和宁启铁路（南京至启东）在此交汇，建设中的通盐高速公路和规划中的扬州至海安高速公路在此连接。海安火车站集客运站、货运站、机务段、编组站为一体，是苏中地区最大的二级编组站。区内交通十分发达，是苏中东部地区重要的交通枢纽。</w:t>
      </w:r>
    </w:p>
    <w:p w14:paraId="51ED6C41">
      <w:pPr>
        <w:adjustRightInd w:val="0"/>
        <w:snapToGrid w:val="0"/>
        <w:spacing w:line="500" w:lineRule="exact"/>
        <w:ind w:firstLine="480" w:firstLineChars="200"/>
        <w:rPr>
          <w:rFonts w:eastAsia="宋体"/>
          <w:kern w:val="0"/>
        </w:rPr>
      </w:pPr>
      <w:r>
        <w:rPr>
          <w:rFonts w:eastAsia="宋体"/>
          <w:kern w:val="0"/>
        </w:rPr>
        <w:t>2）地形地貌</w:t>
      </w:r>
    </w:p>
    <w:p w14:paraId="442005BC">
      <w:pPr>
        <w:adjustRightInd w:val="0"/>
        <w:snapToGrid w:val="0"/>
        <w:spacing w:line="500" w:lineRule="exact"/>
        <w:ind w:firstLine="480" w:firstLineChars="200"/>
        <w:rPr>
          <w:rFonts w:eastAsia="宋体"/>
          <w:kern w:val="0"/>
        </w:rPr>
      </w:pPr>
      <w:r>
        <w:rPr>
          <w:rFonts w:eastAsia="宋体"/>
          <w:kern w:val="0"/>
        </w:rPr>
        <w:t>海安属长江三角洲海相、河相交互沉积的沙嘴沙洲冲积平原，地表全部由第四系松散岩类覆盖，属扬子地层区。海安市形如匙型，东西最长71.1公里，南北最宽39.95公里，境内地势平坦，地面高程1.6~6米，西北部圩田地带和东北沿海地带地势较低，中部和南部地势略高。地面高程自南向北由6.0米降至1.6米，全县由平原和圩洼构成，分别占总面积的78.3%和21.7%。</w:t>
      </w:r>
    </w:p>
    <w:p w14:paraId="77F73DDD">
      <w:pPr>
        <w:adjustRightInd w:val="0"/>
        <w:snapToGrid w:val="0"/>
        <w:spacing w:line="500" w:lineRule="exact"/>
        <w:ind w:firstLine="480" w:firstLineChars="200"/>
        <w:rPr>
          <w:rFonts w:eastAsia="宋体"/>
          <w:kern w:val="0"/>
        </w:rPr>
      </w:pPr>
      <w:r>
        <w:rPr>
          <w:rFonts w:eastAsia="宋体"/>
          <w:kern w:val="0"/>
        </w:rPr>
        <w:t>3）地质</w:t>
      </w:r>
    </w:p>
    <w:p w14:paraId="3C470E99">
      <w:pPr>
        <w:adjustRightInd w:val="0"/>
        <w:snapToGrid w:val="0"/>
        <w:spacing w:line="500" w:lineRule="exact"/>
        <w:ind w:firstLine="480" w:firstLineChars="200"/>
        <w:rPr>
          <w:rFonts w:eastAsia="宋体"/>
          <w:kern w:val="0"/>
        </w:rPr>
      </w:pPr>
      <w:r>
        <w:rPr>
          <w:rFonts w:eastAsia="宋体"/>
          <w:kern w:val="0"/>
        </w:rPr>
        <w:t>本地区地震频度低，强度弱，地震烈度在6度以下，为浅源构造地震，震源深度多在10-20公里，基本发生在花岗岩层中，属弱震区。根据国家地震局、建设部“关于发布《中国地震烈度区划图（1990）》及《中国地震烈度区划图（1990）使用规定》的通知（震发办［1992］160号）”，确定海安市50年超过概率10%的烈度值为Ⅵ度。</w:t>
      </w:r>
    </w:p>
    <w:p w14:paraId="274EB3E3">
      <w:pPr>
        <w:pStyle w:val="13"/>
        <w:spacing w:after="0" w:line="500" w:lineRule="exact"/>
        <w:ind w:firstLine="480" w:firstLineChars="200"/>
        <w:rPr>
          <w:rFonts w:eastAsia="宋体"/>
          <w:kern w:val="0"/>
        </w:rPr>
      </w:pPr>
      <w:r>
        <w:rPr>
          <w:rFonts w:eastAsia="宋体"/>
          <w:kern w:val="0"/>
        </w:rPr>
        <w:t>4）土壤</w:t>
      </w:r>
    </w:p>
    <w:p w14:paraId="6F8EA999">
      <w:pPr>
        <w:pStyle w:val="18"/>
        <w:snapToGrid w:val="0"/>
        <w:spacing w:line="500" w:lineRule="exact"/>
        <w:ind w:firstLine="480" w:firstLineChars="200"/>
        <w:rPr>
          <w:rFonts w:ascii="Times New Roman" w:hAnsi="Times New Roman" w:eastAsia="宋体" w:cs="Times New Roman"/>
          <w:kern w:val="0"/>
          <w:szCs w:val="24"/>
        </w:rPr>
      </w:pPr>
      <w:r>
        <w:rPr>
          <w:rFonts w:ascii="Times New Roman" w:hAnsi="Times New Roman" w:eastAsia="宋体" w:cs="Times New Roman"/>
          <w:color w:val="000000" w:themeColor="text1"/>
          <w:szCs w:val="24"/>
          <w14:textFill>
            <w14:solidFill>
              <w14:schemeClr w14:val="tx1"/>
            </w14:solidFill>
          </w14:textFill>
        </w:rPr>
        <w:t>项目所在地土壤为潮土类，灰潮土亚类的夹沙土属。属扬泰古沙咀，系江淮水流夹带泥沙，在海水顶托下沉积而成。河南沙性土成土年龄较长，质地偏沙，以轻壤为主，部分沙壤，有机质含量偏低，磷钾极缺。粗粉砂含量在50%~60%，粘粒含量占15%~20%，表层中有机质含量1.66%、全氮含量0.123%、全磷含量0.141%、全钾含量3.23%。</w:t>
      </w:r>
    </w:p>
    <w:p w14:paraId="2D4C6BAB">
      <w:pPr>
        <w:adjustRightInd w:val="0"/>
        <w:snapToGrid w:val="0"/>
        <w:spacing w:line="500" w:lineRule="exact"/>
        <w:ind w:firstLine="480" w:firstLineChars="200"/>
        <w:rPr>
          <w:rFonts w:eastAsia="宋体"/>
          <w:kern w:val="0"/>
        </w:rPr>
      </w:pPr>
      <w:r>
        <w:rPr>
          <w:rFonts w:eastAsia="宋体"/>
          <w:kern w:val="0"/>
        </w:rPr>
        <w:t>5）气象</w:t>
      </w:r>
    </w:p>
    <w:p w14:paraId="3BA35C4E">
      <w:pPr>
        <w:adjustRightInd w:val="0"/>
        <w:snapToGrid w:val="0"/>
        <w:spacing w:line="500" w:lineRule="exact"/>
        <w:ind w:firstLine="480" w:firstLineChars="200"/>
        <w:rPr>
          <w:rFonts w:eastAsia="宋体"/>
          <w:kern w:val="0"/>
        </w:rPr>
      </w:pPr>
      <w:r>
        <w:rPr>
          <w:rFonts w:eastAsia="宋体"/>
          <w:kern w:val="0"/>
        </w:rPr>
        <w:t>海安市位于北亚热带湿润季风气候区，四季分明。多年平均气温14.6℃。</w:t>
      </w:r>
      <w:r>
        <w:rPr>
          <w:rFonts w:hint="eastAsia" w:eastAsia="宋体"/>
          <w:kern w:val="0"/>
          <w:lang w:eastAsia="zh-CN"/>
        </w:rPr>
        <w:t>10月</w:t>
      </w:r>
      <w:r>
        <w:rPr>
          <w:rFonts w:eastAsia="宋体"/>
          <w:kern w:val="0"/>
        </w:rPr>
        <w:t>最冷，月平均1.5℃。7、8两月最热，平均气温27.2℃。年最高平均气温19.5℃，年最低平均气温10.6℃，年极端最低气温-12℃（1969），年极端最高气温39.4℃（1959）。年平均蒸发量为1360mm。无霜期一般为222.6天，年降水量平均1021.9mm，年雨日平均117天，年日照平均时数2176.4小时，年平均日照率为49％。</w:t>
      </w:r>
    </w:p>
    <w:p w14:paraId="1B7EC0BC">
      <w:pPr>
        <w:adjustRightInd w:val="0"/>
        <w:snapToGrid w:val="0"/>
        <w:spacing w:line="500" w:lineRule="exact"/>
        <w:ind w:firstLine="480" w:firstLineChars="200"/>
        <w:rPr>
          <w:rFonts w:eastAsia="宋体"/>
          <w:kern w:val="0"/>
        </w:rPr>
      </w:pPr>
      <w:r>
        <w:rPr>
          <w:rFonts w:eastAsia="宋体"/>
          <w:kern w:val="0"/>
        </w:rPr>
        <w:t>常年主导风向为东南风，风频9％。4～8月主导风向为东南风，2～</w:t>
      </w:r>
      <w:r>
        <w:rPr>
          <w:rFonts w:hint="eastAsia" w:eastAsia="宋体"/>
          <w:kern w:val="0"/>
          <w:lang w:eastAsia="zh-CN"/>
        </w:rPr>
        <w:t>10月</w:t>
      </w:r>
      <w:r>
        <w:rPr>
          <w:rFonts w:eastAsia="宋体"/>
          <w:kern w:val="0"/>
        </w:rPr>
        <w:t>和9～10月主导风向为东北风，1</w:t>
      </w:r>
      <w:r>
        <w:rPr>
          <w:rFonts w:hint="eastAsia" w:eastAsia="宋体"/>
          <w:kern w:val="0"/>
          <w:lang w:eastAsia="zh-CN"/>
        </w:rPr>
        <w:t>10月</w:t>
      </w:r>
      <w:r>
        <w:rPr>
          <w:rFonts w:eastAsia="宋体"/>
          <w:kern w:val="0"/>
        </w:rPr>
        <w:t>至翌年</w:t>
      </w:r>
      <w:r>
        <w:rPr>
          <w:rFonts w:hint="eastAsia" w:eastAsia="宋体"/>
          <w:kern w:val="0"/>
          <w:lang w:eastAsia="zh-CN"/>
        </w:rPr>
        <w:t>10月</w:t>
      </w:r>
      <w:r>
        <w:rPr>
          <w:rFonts w:eastAsia="宋体"/>
          <w:kern w:val="0"/>
        </w:rPr>
        <w:t>为北风和西北风，年平均风速2.9m/s，最大风速13.4m/s。</w:t>
      </w:r>
    </w:p>
    <w:p w14:paraId="0D59B746">
      <w:pPr>
        <w:adjustRightInd w:val="0"/>
        <w:snapToGrid w:val="0"/>
        <w:spacing w:line="500" w:lineRule="exact"/>
        <w:ind w:firstLine="480" w:firstLineChars="200"/>
        <w:rPr>
          <w:rFonts w:ascii="宋体" w:hAnsi="宋体" w:eastAsia="宋体" w:cs="宋体"/>
          <w:kern w:val="0"/>
          <w:szCs w:val="28"/>
        </w:rPr>
      </w:pPr>
      <w:r>
        <w:rPr>
          <w:rFonts w:eastAsia="宋体"/>
          <w:kern w:val="0"/>
        </w:rPr>
        <w:t>海安全年风玫瑰图，见图3-1。</w:t>
      </w:r>
    </w:p>
    <w:p w14:paraId="7B67E3AA">
      <w:pPr>
        <w:spacing w:line="360" w:lineRule="auto"/>
        <w:ind w:firstLine="561"/>
        <w:jc w:val="center"/>
        <w:rPr>
          <w:rFonts w:ascii="宋体" w:hAnsi="宋体" w:eastAsia="宋体" w:cs="宋体"/>
        </w:rPr>
      </w:pPr>
      <w:r>
        <w:rPr>
          <w:rFonts w:hint="eastAsia" w:ascii="宋体" w:hAnsi="宋体" w:eastAsia="宋体" w:cs="宋体"/>
          <w:b/>
          <w:bCs/>
          <w:color w:val="FF0000"/>
        </w:rPr>
        <w:drawing>
          <wp:anchor distT="0" distB="0" distL="114300" distR="114300" simplePos="0" relativeHeight="251660288" behindDoc="0" locked="0" layoutInCell="1" allowOverlap="1">
            <wp:simplePos x="0" y="0"/>
            <wp:positionH relativeFrom="column">
              <wp:posOffset>1586230</wp:posOffset>
            </wp:positionH>
            <wp:positionV relativeFrom="paragraph">
              <wp:posOffset>86360</wp:posOffset>
            </wp:positionV>
            <wp:extent cx="2828925" cy="3886200"/>
            <wp:effectExtent l="0" t="0" r="5715" b="0"/>
            <wp:wrapTopAndBottom/>
            <wp:docPr id="13" name="图片 4" descr="海安县年风向玫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海安县年风向玫瑰"/>
                    <pic:cNvPicPr>
                      <a:picLocks noChangeAspect="1"/>
                    </pic:cNvPicPr>
                  </pic:nvPicPr>
                  <pic:blipFill>
                    <a:blip r:embed="rId16" cstate="print"/>
                    <a:stretch>
                      <a:fillRect/>
                    </a:stretch>
                  </pic:blipFill>
                  <pic:spPr>
                    <a:xfrm>
                      <a:off x="0" y="0"/>
                      <a:ext cx="2828925" cy="3886200"/>
                    </a:xfrm>
                    <a:prstGeom prst="rect">
                      <a:avLst/>
                    </a:prstGeom>
                    <a:noFill/>
                    <a:ln>
                      <a:noFill/>
                    </a:ln>
                  </pic:spPr>
                </pic:pic>
              </a:graphicData>
            </a:graphic>
          </wp:anchor>
        </w:drawing>
      </w:r>
    </w:p>
    <w:p w14:paraId="56E5CA3E">
      <w:pPr>
        <w:adjustRightInd w:val="0"/>
        <w:snapToGrid w:val="0"/>
        <w:spacing w:line="500" w:lineRule="exact"/>
        <w:ind w:firstLine="561"/>
        <w:jc w:val="center"/>
        <w:rPr>
          <w:rFonts w:eastAsia="宋体"/>
          <w:b/>
          <w:bCs/>
        </w:rPr>
      </w:pPr>
      <w:r>
        <w:rPr>
          <w:rFonts w:eastAsia="宋体"/>
          <w:b/>
          <w:bCs/>
        </w:rPr>
        <w:t>图3-1海安全年风玫瑰图</w:t>
      </w:r>
    </w:p>
    <w:p w14:paraId="71869E3B">
      <w:pPr>
        <w:adjustRightInd w:val="0"/>
        <w:snapToGrid w:val="0"/>
        <w:spacing w:line="500" w:lineRule="exact"/>
        <w:ind w:firstLine="480" w:firstLineChars="200"/>
        <w:rPr>
          <w:rFonts w:eastAsia="宋体"/>
        </w:rPr>
      </w:pPr>
      <w:r>
        <w:rPr>
          <w:rFonts w:eastAsia="宋体"/>
        </w:rPr>
        <w:t>6）水文</w:t>
      </w:r>
    </w:p>
    <w:p w14:paraId="36741E22">
      <w:pPr>
        <w:adjustRightInd w:val="0"/>
        <w:snapToGrid w:val="0"/>
        <w:spacing w:line="500" w:lineRule="exact"/>
        <w:ind w:firstLine="480" w:firstLineChars="200"/>
        <w:rPr>
          <w:rFonts w:eastAsia="宋体"/>
        </w:rPr>
      </w:pPr>
      <w:r>
        <w:rPr>
          <w:rFonts w:eastAsia="宋体"/>
        </w:rPr>
        <w:t>海安市西向来水来自姜黄河各支流及新北凌河等，南向来水来自长江引水。</w:t>
      </w:r>
    </w:p>
    <w:p w14:paraId="301EB548">
      <w:pPr>
        <w:adjustRightInd w:val="0"/>
        <w:snapToGrid w:val="0"/>
        <w:spacing w:line="500" w:lineRule="exact"/>
        <w:ind w:firstLine="480" w:firstLineChars="200"/>
        <w:rPr>
          <w:rFonts w:eastAsia="宋体"/>
        </w:rPr>
      </w:pPr>
      <w:r>
        <w:rPr>
          <w:rFonts w:eastAsia="宋体"/>
        </w:rPr>
        <w:t>海安市地处江淮平原、滨海平原和长江三角洲交汇之处。全县河道以通扬公路、通榆公路为界，划分为长江和淮河两大水系。因县境地势平坦，高差甚小，河道之间又相互贯通，两大水系之间并无截然分界，现为了保护江水北调输水通道通榆河和新北凌河，由涵闸控制，使新、老北凌河分开，域内河道正常流向均为自南向北，自西向东。</w:t>
      </w:r>
    </w:p>
    <w:p w14:paraId="72AF0B57">
      <w:pPr>
        <w:adjustRightInd w:val="0"/>
        <w:snapToGrid w:val="0"/>
        <w:spacing w:line="500" w:lineRule="exact"/>
        <w:ind w:firstLine="480" w:firstLineChars="200"/>
        <w:rPr>
          <w:rFonts w:eastAsia="宋体"/>
        </w:rPr>
      </w:pPr>
      <w:r>
        <w:rPr>
          <w:rFonts w:eastAsia="宋体"/>
        </w:rPr>
        <w:t>（</w:t>
      </w:r>
      <w:r>
        <w:rPr>
          <w:rFonts w:hint="eastAsia" w:eastAsia="宋体"/>
        </w:rPr>
        <w:t>A</w:t>
      </w:r>
      <w:r>
        <w:rPr>
          <w:rFonts w:eastAsia="宋体"/>
        </w:rPr>
        <w:t>）长江水系</w:t>
      </w:r>
    </w:p>
    <w:p w14:paraId="63F19E74">
      <w:pPr>
        <w:adjustRightInd w:val="0"/>
        <w:snapToGrid w:val="0"/>
        <w:spacing w:line="500" w:lineRule="exact"/>
        <w:ind w:firstLine="480" w:firstLineChars="200"/>
        <w:rPr>
          <w:rFonts w:eastAsia="宋体"/>
        </w:rPr>
      </w:pPr>
      <w:r>
        <w:rPr>
          <w:rFonts w:eastAsia="宋体"/>
        </w:rPr>
        <w:t>通扬公路以南、通榆公路以东属长江水系，总面积703.8km</w:t>
      </w:r>
      <w:r>
        <w:rPr>
          <w:rFonts w:eastAsia="宋体"/>
          <w:vertAlign w:val="superscript"/>
        </w:rPr>
        <w:t>2</w:t>
      </w:r>
      <w:r>
        <w:rPr>
          <w:rFonts w:eastAsia="宋体"/>
        </w:rPr>
        <w:t>，平均水位2.01m，最高水位4.49m，最低水位0.08m。主要河流有北凌河、栟茶运河、如海河、焦港河、丁堡河等。焦港河、如海运河、丁堡河为引水骨干河道，南引长江水；栟茶运河、为排水骨干河道，东流至小洋口闸入海。栟茶运河贯通河南、河东两地区，横穿焦港、如海运河、北凌河、丁堡河等河道，兼起着调度引江水源的作用。</w:t>
      </w:r>
    </w:p>
    <w:p w14:paraId="04854DA5">
      <w:pPr>
        <w:adjustRightInd w:val="0"/>
        <w:snapToGrid w:val="0"/>
        <w:spacing w:line="500" w:lineRule="exact"/>
        <w:ind w:firstLine="480" w:firstLineChars="200"/>
        <w:rPr>
          <w:rFonts w:eastAsia="宋体"/>
        </w:rPr>
      </w:pPr>
      <w:r>
        <w:rPr>
          <w:rFonts w:eastAsia="宋体"/>
        </w:rPr>
        <w:t>栟茶运河由泰州市塔子里入境，由西往东，途径海安市雅周、营溪、仁桥、城东、洋蛮河、西场、李堡镇、角斜镇等8个乡镇。出境经如东小洋口入海。是海安市高沙土片和河东盐碱片东区的主要干河，境内总长度53.64公里，沿河两岸有不少工业废水及生活废水排入，污染较重的</w:t>
      </w:r>
      <w:r>
        <w:rPr>
          <w:rFonts w:hint="eastAsia" w:eastAsia="宋体"/>
          <w:lang w:eastAsia="zh-CN"/>
        </w:rPr>
        <w:t>洋蛮河</w:t>
      </w:r>
      <w:r>
        <w:rPr>
          <w:rFonts w:eastAsia="宋体"/>
        </w:rPr>
        <w:t>在城东镇出境时，与拼茶运河交汇，也对其水质产生一定影响。</w:t>
      </w:r>
    </w:p>
    <w:p w14:paraId="28BD6EE9">
      <w:pPr>
        <w:adjustRightInd w:val="0"/>
        <w:snapToGrid w:val="0"/>
        <w:spacing w:line="500" w:lineRule="exact"/>
        <w:ind w:firstLine="480" w:firstLineChars="200"/>
        <w:rPr>
          <w:rFonts w:eastAsia="宋体"/>
          <w:kern w:val="0"/>
        </w:rPr>
      </w:pPr>
      <w:r>
        <w:rPr>
          <w:rFonts w:eastAsia="宋体"/>
        </w:rPr>
        <w:t>栟茶运河海安段河床比降小，水流缓慢，流向基本上是由西往东，但因受小洋口闸坝控制，常会出现滞流或倒流的现象。</w:t>
      </w:r>
      <w:r>
        <w:rPr>
          <w:rFonts w:eastAsia="宋体"/>
          <w:kern w:val="0"/>
        </w:rPr>
        <w:t>栟茶运河主要功能为工业和农业用水。</w:t>
      </w:r>
    </w:p>
    <w:p w14:paraId="04DD2E33">
      <w:pPr>
        <w:adjustRightInd w:val="0"/>
        <w:snapToGrid w:val="0"/>
        <w:spacing w:line="500" w:lineRule="exact"/>
        <w:ind w:firstLine="480" w:firstLineChars="200"/>
        <w:rPr>
          <w:rFonts w:eastAsia="宋体"/>
          <w:kern w:val="0"/>
        </w:rPr>
      </w:pPr>
      <w:r>
        <w:rPr>
          <w:rFonts w:eastAsia="宋体"/>
          <w:kern w:val="0"/>
        </w:rPr>
        <w:t>如海运河和焦港河均为南北向的河流，也是连接长江、淮河两大水系的南北枢纽，分别由如皋市柴湾和夏堡入境，县内长度为13km和22km，两条河流均从长江引水，向北输送，是栟茶运河、</w:t>
      </w:r>
      <w:r>
        <w:rPr>
          <w:rFonts w:hint="eastAsia" w:eastAsia="宋体"/>
          <w:kern w:val="0"/>
          <w:lang w:eastAsia="zh-CN"/>
        </w:rPr>
        <w:t>洋蛮河</w:t>
      </w:r>
      <w:r>
        <w:rPr>
          <w:rFonts w:eastAsia="宋体"/>
          <w:kern w:val="0"/>
        </w:rPr>
        <w:t>的补水河，水流方向基本由南向北，沿河工业污染源较少。如海运河、焦港河主要功能为工业和农业用水。</w:t>
      </w:r>
    </w:p>
    <w:p w14:paraId="724E2D93">
      <w:pPr>
        <w:adjustRightInd w:val="0"/>
        <w:snapToGrid w:val="0"/>
        <w:spacing w:line="500" w:lineRule="exact"/>
        <w:ind w:firstLine="480" w:firstLineChars="200"/>
        <w:rPr>
          <w:rFonts w:eastAsia="宋体"/>
        </w:rPr>
      </w:pPr>
      <w:r>
        <w:rPr>
          <w:rFonts w:eastAsia="宋体"/>
        </w:rPr>
        <w:t>（</w:t>
      </w:r>
      <w:r>
        <w:rPr>
          <w:rFonts w:hint="eastAsia" w:eastAsia="宋体"/>
        </w:rPr>
        <w:t>B</w:t>
      </w:r>
      <w:r>
        <w:rPr>
          <w:rFonts w:eastAsia="宋体"/>
        </w:rPr>
        <w:t>）淮河水系</w:t>
      </w:r>
    </w:p>
    <w:p w14:paraId="7209D7F0">
      <w:pPr>
        <w:adjustRightInd w:val="0"/>
        <w:snapToGrid w:val="0"/>
        <w:spacing w:line="500" w:lineRule="exact"/>
        <w:ind w:firstLine="480" w:firstLineChars="200"/>
        <w:rPr>
          <w:rFonts w:eastAsia="宋体"/>
        </w:rPr>
      </w:pPr>
      <w:r>
        <w:rPr>
          <w:rFonts w:eastAsia="宋体"/>
        </w:rPr>
        <w:t>通扬公路以北、通榆公路以西为里下河地区，属淮河水系，总面积422.4km</w:t>
      </w:r>
      <w:r>
        <w:rPr>
          <w:rFonts w:eastAsia="宋体"/>
          <w:vertAlign w:val="superscript"/>
        </w:rPr>
        <w:t>2</w:t>
      </w:r>
      <w:r>
        <w:rPr>
          <w:rFonts w:eastAsia="宋体"/>
        </w:rPr>
        <w:t>，平均水位1.34m，最高水位3.57m，最低水位0.32m。主要河流有新北凌河、通榆运河、串场河等。新北凌河为江水北调引水骨干河道，通榆运河、串场河为输水骨干河道。</w:t>
      </w:r>
    </w:p>
    <w:p w14:paraId="30325B44">
      <w:pPr>
        <w:pStyle w:val="7"/>
        <w:adjustRightInd w:val="0"/>
        <w:snapToGrid w:val="0"/>
        <w:spacing w:line="500" w:lineRule="exact"/>
        <w:ind w:firstLine="480"/>
        <w:rPr>
          <w:rFonts w:eastAsia="宋体"/>
        </w:rPr>
      </w:pPr>
      <w:r>
        <w:rPr>
          <w:rFonts w:hint="eastAsia" w:eastAsia="宋体"/>
          <w:lang w:eastAsia="zh-CN"/>
        </w:rPr>
        <w:t>新通扬河</w:t>
      </w:r>
      <w:r>
        <w:rPr>
          <w:rFonts w:eastAsia="宋体"/>
        </w:rPr>
        <w:t>——通榆运河，</w:t>
      </w:r>
      <w:r>
        <w:rPr>
          <w:rFonts w:hint="eastAsia" w:eastAsia="宋体"/>
          <w:lang w:eastAsia="zh-CN"/>
        </w:rPr>
        <w:t>新通扬河</w:t>
      </w:r>
      <w:r>
        <w:rPr>
          <w:rFonts w:eastAsia="宋体"/>
        </w:rPr>
        <w:t>从泰州市经海安市章郭乡入境，途经双搂、胡集至海安镇，与通榆运河相接，境内全长20.7公里，水流常年流向由西往东；通榆运河由海安镇向北入盐城市，境内全长7.8公里，水流常年流向由南往北，</w:t>
      </w:r>
      <w:r>
        <w:rPr>
          <w:rFonts w:hint="eastAsia" w:eastAsia="宋体"/>
          <w:lang w:eastAsia="zh-CN"/>
        </w:rPr>
        <w:t>新通扬河</w:t>
      </w:r>
      <w:r>
        <w:rPr>
          <w:rFonts w:eastAsia="宋体"/>
        </w:rPr>
        <w:t>——通榆运河是海安境内主要水路交通通道，同时也是海安境内工业、农业、城镇饮用水源。</w:t>
      </w:r>
    </w:p>
    <w:p w14:paraId="0A524F41">
      <w:pPr>
        <w:pStyle w:val="7"/>
        <w:adjustRightInd w:val="0"/>
        <w:snapToGrid w:val="0"/>
        <w:spacing w:line="500" w:lineRule="exact"/>
        <w:ind w:firstLine="480"/>
        <w:rPr>
          <w:rFonts w:eastAsia="宋体"/>
        </w:rPr>
      </w:pPr>
      <w:r>
        <w:rPr>
          <w:rFonts w:hint="eastAsia" w:eastAsia="宋体"/>
        </w:rPr>
        <w:t>（C）</w:t>
      </w:r>
      <w:r>
        <w:rPr>
          <w:rFonts w:eastAsia="宋体"/>
        </w:rPr>
        <w:t>水源保护区</w:t>
      </w:r>
    </w:p>
    <w:p w14:paraId="5E6637AF">
      <w:pPr>
        <w:pStyle w:val="7"/>
        <w:adjustRightInd w:val="0"/>
        <w:snapToGrid w:val="0"/>
        <w:spacing w:line="500" w:lineRule="exact"/>
        <w:ind w:firstLine="480"/>
        <w:rPr>
          <w:rFonts w:eastAsia="宋体"/>
        </w:rPr>
      </w:pPr>
      <w:r>
        <w:rPr>
          <w:rFonts w:eastAsia="宋体"/>
        </w:rPr>
        <w:t>海安市在地面水厂位于胡集镇内，新通扬河南岸。根据《江苏省人民代表大会常务委员会关于加强饮用水源地保护的决定》第九条（二）其他河道：取水口上游一千米至下游五百米，及其两岸背水坡堤脚外一百米范围内的水域和陆域为一级保护区；一级保护区以外上溯二千米、下延五百米范围内的水域和陆域为二级保护区；二级保护区以外上溯二千米、下延一千米范围内的水域和陆域为准保护区。</w:t>
      </w:r>
    </w:p>
    <w:p w14:paraId="3C61F475">
      <w:pPr>
        <w:pStyle w:val="7"/>
        <w:adjustRightInd w:val="0"/>
        <w:snapToGrid w:val="0"/>
        <w:spacing w:line="500" w:lineRule="exact"/>
        <w:ind w:firstLine="48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7）生态环境</w:t>
      </w:r>
    </w:p>
    <w:p w14:paraId="6B5CE6A0">
      <w:pPr>
        <w:pStyle w:val="18"/>
        <w:snapToGrid w:val="0"/>
        <w:spacing w:line="500" w:lineRule="exact"/>
        <w:ind w:firstLine="480" w:firstLineChars="200"/>
        <w:rPr>
          <w:rFonts w:hAnsi="宋体" w:eastAsia="宋体" w:cs="宋体"/>
          <w:b/>
          <w:bCs/>
          <w:color w:val="000000" w:themeColor="text1"/>
          <w:sz w:val="28"/>
          <w:szCs w:val="28"/>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由于人类多年的开发活动，该区域的自然生态已为人工农业生态所取代，本地天然植被较少，除住宅、工业和道路用地外，主要是农业用地，种植稻、麦、油菜和蔬菜等。此外还有人工种植的水杉、杨树、柳树、广玉兰、女贞、银杏等木本植物和芦苇、芦竹、茅草、葎草、牛筋草、狗尾草、蒲公英等草本植物；野生动物有蛙、鸟、蛇、野兔、黄鼠狼等。</w:t>
      </w:r>
    </w:p>
    <w:p w14:paraId="453D6A55">
      <w:pPr>
        <w:pStyle w:val="4"/>
        <w:adjustRightInd w:val="0"/>
        <w:snapToGrid w:val="0"/>
        <w:spacing w:line="500" w:lineRule="exact"/>
        <w:rPr>
          <w:rFonts w:eastAsia="宋体"/>
        </w:rPr>
      </w:pPr>
      <w:bookmarkStart w:id="68" w:name="_Toc24036"/>
      <w:bookmarkStart w:id="69" w:name="_Toc20763"/>
      <w:bookmarkStart w:id="70" w:name="_Toc23991"/>
      <w:bookmarkStart w:id="71" w:name="_Toc510092932"/>
      <w:bookmarkStart w:id="72" w:name="_Toc496887105"/>
      <w:bookmarkStart w:id="73" w:name="_Toc6990"/>
      <w:r>
        <w:rPr>
          <w:rFonts w:eastAsia="宋体"/>
        </w:rPr>
        <w:t>3.1.3环境功能区划及环境质量</w:t>
      </w:r>
      <w:bookmarkEnd w:id="68"/>
      <w:bookmarkEnd w:id="69"/>
      <w:bookmarkEnd w:id="70"/>
      <w:bookmarkEnd w:id="71"/>
      <w:bookmarkEnd w:id="72"/>
      <w:bookmarkEnd w:id="73"/>
    </w:p>
    <w:p w14:paraId="26EDD5E5">
      <w:pPr>
        <w:numPr>
          <w:ilvl w:val="0"/>
          <w:numId w:val="3"/>
        </w:numPr>
        <w:adjustRightInd w:val="0"/>
        <w:snapToGrid w:val="0"/>
        <w:spacing w:line="500" w:lineRule="exact"/>
        <w:ind w:firstLine="480" w:firstLineChars="200"/>
        <w:rPr>
          <w:rFonts w:ascii="宋体" w:hAnsi="宋体" w:eastAsia="宋体" w:cs="宋体"/>
        </w:rPr>
      </w:pPr>
      <w:r>
        <w:rPr>
          <w:rFonts w:hint="eastAsia" w:ascii="宋体" w:hAnsi="宋体" w:eastAsia="宋体" w:cs="宋体"/>
        </w:rPr>
        <w:t>环境质量标准</w:t>
      </w:r>
    </w:p>
    <w:p w14:paraId="67498910">
      <w:pPr>
        <w:pStyle w:val="18"/>
        <w:snapToGrid w:val="0"/>
        <w:spacing w:line="500" w:lineRule="exact"/>
        <w:ind w:firstLine="480" w:firstLineChars="200"/>
        <w:rPr>
          <w:rFonts w:ascii="Times New Roman" w:hAnsi="Times New Roman" w:eastAsia="宋体" w:cs="Times New Roman"/>
          <w:szCs w:val="24"/>
        </w:rPr>
      </w:pPr>
      <w:r>
        <w:rPr>
          <w:rFonts w:hint="eastAsia" w:ascii="Times New Roman" w:hAnsi="Times New Roman" w:eastAsia="宋体" w:cs="Times New Roman"/>
          <w:szCs w:val="24"/>
          <w:lang w:eastAsia="zh-CN"/>
        </w:rPr>
        <w:t>福内特家具</w:t>
      </w:r>
      <w:r>
        <w:rPr>
          <w:rFonts w:ascii="Times New Roman" w:hAnsi="Times New Roman" w:eastAsia="宋体" w:cs="Times New Roman"/>
          <w:szCs w:val="24"/>
        </w:rPr>
        <w:t>所在地区域大气、地表水、土壤环境</w:t>
      </w:r>
      <w:r>
        <w:rPr>
          <w:rFonts w:hint="eastAsia" w:ascii="Times New Roman" w:hAnsi="Times New Roman" w:eastAsia="宋体" w:cs="Times New Roman"/>
          <w:szCs w:val="24"/>
        </w:rPr>
        <w:t>、声环境</w:t>
      </w:r>
      <w:r>
        <w:rPr>
          <w:rFonts w:ascii="Times New Roman" w:hAnsi="Times New Roman" w:eastAsia="宋体" w:cs="Times New Roman"/>
          <w:szCs w:val="24"/>
        </w:rPr>
        <w:t>功能类别划分见表3</w:t>
      </w:r>
      <w:r>
        <w:rPr>
          <w:rFonts w:hint="eastAsia" w:ascii="Times New Roman" w:hAnsi="Times New Roman" w:eastAsia="宋体" w:cs="Times New Roman"/>
          <w:szCs w:val="24"/>
        </w:rPr>
        <w:t>-3</w:t>
      </w:r>
      <w:r>
        <w:rPr>
          <w:rFonts w:ascii="Times New Roman" w:hAnsi="Times New Roman" w:eastAsia="宋体" w:cs="Times New Roman"/>
          <w:szCs w:val="24"/>
        </w:rPr>
        <w:t>。</w:t>
      </w:r>
    </w:p>
    <w:p w14:paraId="4CC7422C">
      <w:pPr>
        <w:snapToGrid w:val="0"/>
        <w:spacing w:line="500" w:lineRule="exact"/>
        <w:jc w:val="center"/>
        <w:rPr>
          <w:rFonts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表3</w:t>
      </w:r>
      <w:r>
        <w:rPr>
          <w:rFonts w:hint="eastAsia" w:eastAsia="宋体"/>
          <w:b/>
          <w:color w:val="000000" w:themeColor="text1"/>
          <w14:textFill>
            <w14:solidFill>
              <w14:schemeClr w14:val="tx1"/>
            </w14:solidFill>
          </w14:textFill>
        </w:rPr>
        <w:t>-3</w:t>
      </w:r>
      <w:r>
        <w:rPr>
          <w:rFonts w:hint="eastAsia" w:eastAsia="宋体"/>
          <w:b/>
          <w:color w:val="000000" w:themeColor="text1"/>
          <w:highlight w:val="none"/>
          <w:lang w:eastAsia="zh-CN"/>
          <w14:textFill>
            <w14:solidFill>
              <w14:schemeClr w14:val="tx1"/>
            </w14:solidFill>
          </w14:textFill>
        </w:rPr>
        <w:t>福内特家具</w:t>
      </w:r>
      <w:r>
        <w:rPr>
          <w:rFonts w:eastAsia="宋体"/>
          <w:b/>
          <w:color w:val="000000" w:themeColor="text1"/>
          <w:highlight w:val="none"/>
          <w14:textFill>
            <w14:solidFill>
              <w14:schemeClr w14:val="tx1"/>
            </w14:solidFill>
          </w14:textFill>
        </w:rPr>
        <w:t>所在地</w:t>
      </w:r>
      <w:r>
        <w:rPr>
          <w:rFonts w:eastAsia="宋体"/>
          <w:b/>
          <w:color w:val="000000" w:themeColor="text1"/>
          <w14:textFill>
            <w14:solidFill>
              <w14:schemeClr w14:val="tx1"/>
            </w14:solidFill>
          </w14:textFill>
        </w:rPr>
        <w:t>环境功能区划</w:t>
      </w:r>
    </w:p>
    <w:tbl>
      <w:tblPr>
        <w:tblStyle w:val="38"/>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59"/>
        <w:gridCol w:w="2770"/>
        <w:gridCol w:w="4930"/>
      </w:tblGrid>
      <w:tr w14:paraId="3B168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67D13E4E">
            <w:pPr>
              <w:adjustRightInd w:val="0"/>
              <w:snapToGrid w:val="0"/>
              <w:jc w:val="center"/>
              <w:rPr>
                <w:rFonts w:eastAsia="宋体"/>
                <w:b/>
                <w:sz w:val="21"/>
                <w:szCs w:val="21"/>
              </w:rPr>
            </w:pPr>
            <w:r>
              <w:rPr>
                <w:rFonts w:eastAsia="宋体"/>
                <w:b/>
                <w:sz w:val="21"/>
                <w:szCs w:val="21"/>
              </w:rPr>
              <w:t>环境要素</w:t>
            </w:r>
          </w:p>
        </w:tc>
        <w:tc>
          <w:tcPr>
            <w:tcW w:w="2770" w:type="dxa"/>
            <w:tcBorders>
              <w:tl2br w:val="nil"/>
              <w:tr2bl w:val="nil"/>
            </w:tcBorders>
            <w:vAlign w:val="center"/>
          </w:tcPr>
          <w:p w14:paraId="402BE5A0">
            <w:pPr>
              <w:adjustRightInd w:val="0"/>
              <w:snapToGrid w:val="0"/>
              <w:jc w:val="center"/>
              <w:rPr>
                <w:rFonts w:eastAsia="宋体"/>
                <w:b/>
                <w:sz w:val="21"/>
                <w:szCs w:val="21"/>
              </w:rPr>
            </w:pPr>
            <w:r>
              <w:rPr>
                <w:rFonts w:hint="eastAsia" w:eastAsia="宋体"/>
                <w:b/>
                <w:sz w:val="21"/>
                <w:szCs w:val="21"/>
              </w:rPr>
              <w:t>功能区划</w:t>
            </w:r>
          </w:p>
        </w:tc>
        <w:tc>
          <w:tcPr>
            <w:tcW w:w="4930" w:type="dxa"/>
            <w:tcBorders>
              <w:tl2br w:val="nil"/>
              <w:tr2bl w:val="nil"/>
            </w:tcBorders>
            <w:vAlign w:val="center"/>
          </w:tcPr>
          <w:p w14:paraId="34DBCDB1">
            <w:pPr>
              <w:adjustRightInd w:val="0"/>
              <w:snapToGrid w:val="0"/>
              <w:jc w:val="center"/>
              <w:rPr>
                <w:rFonts w:eastAsia="宋体"/>
                <w:b/>
                <w:sz w:val="21"/>
                <w:szCs w:val="21"/>
              </w:rPr>
            </w:pPr>
            <w:r>
              <w:rPr>
                <w:rFonts w:eastAsia="宋体"/>
                <w:b/>
                <w:sz w:val="21"/>
                <w:szCs w:val="21"/>
              </w:rPr>
              <w:t>环境功能要求</w:t>
            </w:r>
          </w:p>
        </w:tc>
      </w:tr>
      <w:tr w14:paraId="6FB68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1BD80DD9">
            <w:pPr>
              <w:pStyle w:val="143"/>
              <w:rPr>
                <w:sz w:val="21"/>
              </w:rPr>
            </w:pPr>
            <w:r>
              <w:rPr>
                <w:sz w:val="21"/>
              </w:rPr>
              <w:t>环境空气</w:t>
            </w:r>
          </w:p>
        </w:tc>
        <w:tc>
          <w:tcPr>
            <w:tcW w:w="2770" w:type="dxa"/>
            <w:tcBorders>
              <w:tl2br w:val="nil"/>
              <w:tr2bl w:val="nil"/>
            </w:tcBorders>
            <w:vAlign w:val="center"/>
          </w:tcPr>
          <w:p w14:paraId="191CD233">
            <w:pPr>
              <w:pStyle w:val="143"/>
              <w:rPr>
                <w:sz w:val="21"/>
              </w:rPr>
            </w:pPr>
            <w:r>
              <w:rPr>
                <w:sz w:val="21"/>
              </w:rPr>
              <w:t>工业区、居住、工商文教、农村地区</w:t>
            </w:r>
          </w:p>
        </w:tc>
        <w:tc>
          <w:tcPr>
            <w:tcW w:w="4930" w:type="dxa"/>
            <w:tcBorders>
              <w:tl2br w:val="nil"/>
              <w:tr2bl w:val="nil"/>
            </w:tcBorders>
            <w:vAlign w:val="center"/>
          </w:tcPr>
          <w:p w14:paraId="74CB2176">
            <w:pPr>
              <w:adjustRightInd w:val="0"/>
              <w:snapToGrid w:val="0"/>
              <w:jc w:val="left"/>
              <w:rPr>
                <w:rFonts w:eastAsia="宋体"/>
                <w:sz w:val="21"/>
                <w:szCs w:val="21"/>
              </w:rPr>
            </w:pPr>
            <w:r>
              <w:rPr>
                <w:rFonts w:eastAsia="宋体"/>
                <w:sz w:val="21"/>
                <w:szCs w:val="21"/>
              </w:rPr>
              <w:t>《环境空气质量标准》（GB3095-2012）中二级标准</w:t>
            </w:r>
          </w:p>
        </w:tc>
      </w:tr>
      <w:tr w14:paraId="7BEF9F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restart"/>
            <w:tcBorders>
              <w:tl2br w:val="nil"/>
              <w:tr2bl w:val="nil"/>
            </w:tcBorders>
            <w:vAlign w:val="center"/>
          </w:tcPr>
          <w:p w14:paraId="71460178">
            <w:pPr>
              <w:pStyle w:val="143"/>
              <w:rPr>
                <w:sz w:val="21"/>
              </w:rPr>
            </w:pPr>
            <w:r>
              <w:rPr>
                <w:sz w:val="21"/>
              </w:rPr>
              <w:t>地表水</w:t>
            </w:r>
          </w:p>
        </w:tc>
        <w:tc>
          <w:tcPr>
            <w:tcW w:w="2770" w:type="dxa"/>
            <w:tcBorders>
              <w:tl2br w:val="nil"/>
              <w:tr2bl w:val="nil"/>
            </w:tcBorders>
            <w:vAlign w:val="center"/>
          </w:tcPr>
          <w:p w14:paraId="1B5CD519">
            <w:pPr>
              <w:adjustRightInd w:val="0"/>
              <w:snapToGrid w:val="0"/>
              <w:jc w:val="center"/>
              <w:rPr>
                <w:rFonts w:ascii="Times New Roman" w:hAnsi="Times New Roman" w:eastAsia="仿宋_GB2312" w:cs="Times New Roman"/>
                <w:kern w:val="2"/>
                <w:sz w:val="21"/>
                <w:szCs w:val="24"/>
                <w:lang w:val="en-US" w:eastAsia="zh-CN" w:bidi="ar-SA"/>
              </w:rPr>
            </w:pPr>
            <w:r>
              <w:rPr>
                <w:rFonts w:hint="eastAsia" w:eastAsia="宋体"/>
                <w:sz w:val="21"/>
                <w:szCs w:val="21"/>
              </w:rPr>
              <w:t>环港北河</w:t>
            </w:r>
          </w:p>
        </w:tc>
        <w:tc>
          <w:tcPr>
            <w:tcW w:w="4930" w:type="dxa"/>
            <w:vMerge w:val="restart"/>
            <w:tcBorders>
              <w:tl2br w:val="nil"/>
              <w:tr2bl w:val="nil"/>
            </w:tcBorders>
            <w:vAlign w:val="center"/>
          </w:tcPr>
          <w:p w14:paraId="29D53F83">
            <w:pPr>
              <w:adjustRightInd w:val="0"/>
              <w:snapToGrid w:val="0"/>
              <w:jc w:val="left"/>
              <w:rPr>
                <w:sz w:val="21"/>
              </w:rPr>
            </w:pPr>
            <w:r>
              <w:rPr>
                <w:rFonts w:eastAsia="宋体"/>
                <w:sz w:val="21"/>
                <w:szCs w:val="21"/>
              </w:rPr>
              <w:t>《地表水环境质量标准》（GB3838-2002）</w:t>
            </w:r>
            <w:r>
              <w:rPr>
                <w:rFonts w:hint="default" w:ascii="Times New Roman" w:hAnsi="Times New Roman" w:eastAsia="微软雅黑" w:cs="Times New Roman"/>
                <w:sz w:val="21"/>
                <w:szCs w:val="21"/>
              </w:rPr>
              <w:t>Ⅳ</w:t>
            </w:r>
            <w:r>
              <w:rPr>
                <w:rFonts w:eastAsia="宋体"/>
                <w:sz w:val="21"/>
                <w:szCs w:val="21"/>
              </w:rPr>
              <w:t>类标准</w:t>
            </w:r>
          </w:p>
        </w:tc>
      </w:tr>
      <w:tr w14:paraId="79EB0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53D64A3D">
            <w:pPr>
              <w:pStyle w:val="143"/>
            </w:pPr>
          </w:p>
        </w:tc>
        <w:tc>
          <w:tcPr>
            <w:tcW w:w="2770" w:type="dxa"/>
            <w:tcBorders>
              <w:tl2br w:val="nil"/>
              <w:tr2bl w:val="nil"/>
            </w:tcBorders>
            <w:vAlign w:val="center"/>
          </w:tcPr>
          <w:p w14:paraId="19CC474F">
            <w:pPr>
              <w:adjustRightInd w:val="0"/>
              <w:snapToGrid w:val="0"/>
              <w:jc w:val="center"/>
              <w:rPr>
                <w:rFonts w:hint="eastAsia" w:ascii="Times New Roman" w:hAnsi="Times New Roman" w:eastAsia="宋体" w:cs="Times New Roman"/>
                <w:kern w:val="2"/>
                <w:sz w:val="21"/>
                <w:szCs w:val="24"/>
                <w:lang w:val="en-US" w:eastAsia="zh-CN" w:bidi="ar-SA"/>
              </w:rPr>
            </w:pPr>
            <w:r>
              <w:rPr>
                <w:rFonts w:hint="eastAsia" w:eastAsia="宋体"/>
                <w:sz w:val="21"/>
                <w:szCs w:val="21"/>
              </w:rPr>
              <w:t>环港南河</w:t>
            </w:r>
          </w:p>
        </w:tc>
        <w:tc>
          <w:tcPr>
            <w:tcW w:w="4930" w:type="dxa"/>
            <w:vMerge w:val="continue"/>
            <w:tcBorders>
              <w:tl2br w:val="nil"/>
              <w:tr2bl w:val="nil"/>
            </w:tcBorders>
            <w:vAlign w:val="center"/>
          </w:tcPr>
          <w:p w14:paraId="1E0646E3">
            <w:pPr>
              <w:pStyle w:val="143"/>
              <w:rPr>
                <w:sz w:val="21"/>
              </w:rPr>
            </w:pPr>
          </w:p>
        </w:tc>
      </w:tr>
      <w:tr w14:paraId="6F7145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2963D91B">
            <w:pPr>
              <w:pStyle w:val="143"/>
              <w:rPr>
                <w:sz w:val="21"/>
              </w:rPr>
            </w:pPr>
          </w:p>
        </w:tc>
        <w:tc>
          <w:tcPr>
            <w:tcW w:w="2770" w:type="dxa"/>
            <w:tcBorders>
              <w:tl2br w:val="nil"/>
              <w:tr2bl w:val="nil"/>
            </w:tcBorders>
            <w:vAlign w:val="center"/>
          </w:tcPr>
          <w:p w14:paraId="0788DA2E">
            <w:pPr>
              <w:adjustRightInd w:val="0"/>
              <w:snapToGrid w:val="0"/>
              <w:jc w:val="center"/>
              <w:rPr>
                <w:rFonts w:ascii="Times New Roman" w:hAnsi="Times New Roman" w:eastAsia="仿宋_GB2312" w:cs="Times New Roman"/>
                <w:kern w:val="2"/>
                <w:sz w:val="21"/>
                <w:szCs w:val="24"/>
                <w:lang w:val="en-US" w:eastAsia="zh-CN" w:bidi="ar-SA"/>
              </w:rPr>
            </w:pPr>
            <w:r>
              <w:rPr>
                <w:rFonts w:hint="eastAsia" w:eastAsia="宋体"/>
                <w:sz w:val="21"/>
                <w:szCs w:val="21"/>
              </w:rPr>
              <w:t>安港河</w:t>
            </w:r>
          </w:p>
        </w:tc>
        <w:tc>
          <w:tcPr>
            <w:tcW w:w="4930" w:type="dxa"/>
            <w:vMerge w:val="continue"/>
            <w:tcBorders>
              <w:tl2br w:val="nil"/>
              <w:tr2bl w:val="nil"/>
            </w:tcBorders>
            <w:vAlign w:val="center"/>
          </w:tcPr>
          <w:p w14:paraId="6ED50A2F">
            <w:pPr>
              <w:pStyle w:val="143"/>
              <w:rPr>
                <w:sz w:val="21"/>
              </w:rPr>
            </w:pPr>
          </w:p>
        </w:tc>
      </w:tr>
      <w:tr w14:paraId="79F2F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48BD2CB8">
            <w:pPr>
              <w:pStyle w:val="143"/>
              <w:rPr>
                <w:sz w:val="21"/>
              </w:rPr>
            </w:pPr>
            <w:r>
              <w:rPr>
                <w:sz w:val="21"/>
              </w:rPr>
              <w:t>声环境</w:t>
            </w:r>
          </w:p>
        </w:tc>
        <w:tc>
          <w:tcPr>
            <w:tcW w:w="2770" w:type="dxa"/>
            <w:tcBorders>
              <w:tl2br w:val="nil"/>
              <w:tr2bl w:val="nil"/>
            </w:tcBorders>
            <w:vAlign w:val="center"/>
          </w:tcPr>
          <w:p w14:paraId="111E332A">
            <w:pPr>
              <w:pStyle w:val="143"/>
              <w:rPr>
                <w:sz w:val="21"/>
              </w:rPr>
            </w:pPr>
            <w:r>
              <w:rPr>
                <w:rFonts w:hint="eastAsia"/>
                <w:sz w:val="21"/>
              </w:rPr>
              <w:t>项目厂界</w:t>
            </w:r>
          </w:p>
        </w:tc>
        <w:tc>
          <w:tcPr>
            <w:tcW w:w="4930" w:type="dxa"/>
            <w:tcBorders>
              <w:tl2br w:val="nil"/>
              <w:tr2bl w:val="nil"/>
            </w:tcBorders>
            <w:vAlign w:val="center"/>
          </w:tcPr>
          <w:p w14:paraId="12727D87">
            <w:pPr>
              <w:adjustRightInd w:val="0"/>
              <w:snapToGrid w:val="0"/>
              <w:jc w:val="left"/>
              <w:rPr>
                <w:rFonts w:eastAsia="宋体"/>
                <w:sz w:val="21"/>
                <w:szCs w:val="21"/>
              </w:rPr>
            </w:pPr>
            <w:r>
              <w:rPr>
                <w:rFonts w:eastAsia="宋体"/>
                <w:sz w:val="21"/>
                <w:szCs w:val="21"/>
              </w:rPr>
              <w:t>《声环境质量标准》(GB3096—2008)</w:t>
            </w:r>
            <w:r>
              <w:rPr>
                <w:rFonts w:hint="eastAsia" w:eastAsia="宋体"/>
                <w:sz w:val="21"/>
                <w:szCs w:val="21"/>
              </w:rPr>
              <w:t>3</w:t>
            </w:r>
            <w:r>
              <w:rPr>
                <w:rFonts w:eastAsia="宋体"/>
                <w:sz w:val="21"/>
                <w:szCs w:val="21"/>
              </w:rPr>
              <w:t>类标准</w:t>
            </w:r>
          </w:p>
        </w:tc>
      </w:tr>
      <w:tr w14:paraId="6EEFD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vMerge w:val="restart"/>
            <w:tcBorders>
              <w:tl2br w:val="nil"/>
              <w:tr2bl w:val="nil"/>
            </w:tcBorders>
            <w:vAlign w:val="center"/>
          </w:tcPr>
          <w:p w14:paraId="5BEBB300">
            <w:pPr>
              <w:pStyle w:val="143"/>
              <w:rPr>
                <w:sz w:val="21"/>
              </w:rPr>
            </w:pPr>
            <w:r>
              <w:rPr>
                <w:rFonts w:hint="eastAsia"/>
                <w:sz w:val="21"/>
              </w:rPr>
              <w:t>生态环境</w:t>
            </w:r>
          </w:p>
        </w:tc>
        <w:tc>
          <w:tcPr>
            <w:tcW w:w="2770" w:type="dxa"/>
            <w:tcBorders>
              <w:tl2br w:val="nil"/>
              <w:tr2bl w:val="nil"/>
            </w:tcBorders>
            <w:vAlign w:val="center"/>
          </w:tcPr>
          <w:p w14:paraId="7ADE1320">
            <w:pPr>
              <w:pStyle w:val="143"/>
              <w:rPr>
                <w:rFonts w:hint="default" w:ascii="Times New Roman" w:eastAsia="宋体"/>
                <w:sz w:val="20"/>
                <w:lang w:val="en-US" w:eastAsia="zh-CN"/>
              </w:rPr>
            </w:pPr>
            <w:r>
              <w:rPr>
                <w:rFonts w:hint="eastAsia" w:ascii="Times New Roman"/>
                <w:sz w:val="20"/>
                <w:lang w:val="en-US" w:eastAsia="zh-CN"/>
              </w:rPr>
              <w:t>小洋口国家级海洋公园</w:t>
            </w:r>
          </w:p>
        </w:tc>
        <w:tc>
          <w:tcPr>
            <w:tcW w:w="4930" w:type="dxa"/>
            <w:tcBorders>
              <w:tl2br w:val="nil"/>
              <w:tr2bl w:val="nil"/>
            </w:tcBorders>
            <w:vAlign w:val="center"/>
          </w:tcPr>
          <w:p w14:paraId="01B0AA42">
            <w:pPr>
              <w:adjustRightInd w:val="0"/>
              <w:snapToGrid w:val="0"/>
              <w:jc w:val="left"/>
              <w:rPr>
                <w:rFonts w:hint="default" w:eastAsia="宋体"/>
                <w:sz w:val="21"/>
                <w:szCs w:val="21"/>
                <w:lang w:val="en-US" w:eastAsia="zh-CN"/>
              </w:rPr>
            </w:pPr>
            <w:r>
              <w:rPr>
                <w:rFonts w:hint="eastAsia" w:eastAsia="宋体"/>
                <w:sz w:val="21"/>
                <w:szCs w:val="21"/>
                <w:lang w:val="en-US" w:eastAsia="zh-CN"/>
              </w:rPr>
              <w:t>自然与人文景观保护</w:t>
            </w:r>
          </w:p>
        </w:tc>
      </w:tr>
      <w:tr w14:paraId="3121A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vMerge w:val="continue"/>
            <w:tcBorders>
              <w:tl2br w:val="nil"/>
              <w:tr2bl w:val="nil"/>
            </w:tcBorders>
            <w:vAlign w:val="center"/>
          </w:tcPr>
          <w:p w14:paraId="62382285">
            <w:pPr>
              <w:pStyle w:val="143"/>
              <w:rPr>
                <w:sz w:val="21"/>
              </w:rPr>
            </w:pPr>
          </w:p>
        </w:tc>
        <w:tc>
          <w:tcPr>
            <w:tcW w:w="2770" w:type="dxa"/>
            <w:tcBorders>
              <w:tl2br w:val="nil"/>
              <w:tr2bl w:val="nil"/>
            </w:tcBorders>
            <w:vAlign w:val="center"/>
          </w:tcPr>
          <w:p w14:paraId="0108D00B">
            <w:pPr>
              <w:pStyle w:val="143"/>
              <w:rPr>
                <w:rFonts w:ascii="Times New Roman"/>
                <w:sz w:val="20"/>
              </w:rPr>
            </w:pPr>
            <w:r>
              <w:rPr>
                <w:rFonts w:hint="eastAsia" w:ascii="Times New Roman"/>
                <w:sz w:val="20"/>
                <w:lang w:val="en-US" w:eastAsia="zh-CN"/>
              </w:rPr>
              <w:t>李堡</w:t>
            </w:r>
            <w:r>
              <w:rPr>
                <w:rFonts w:hint="eastAsia" w:ascii="Times New Roman"/>
                <w:sz w:val="20"/>
              </w:rPr>
              <w:t>镇蚕桑种质资源保护区</w:t>
            </w:r>
          </w:p>
        </w:tc>
        <w:tc>
          <w:tcPr>
            <w:tcW w:w="4930" w:type="dxa"/>
            <w:tcBorders>
              <w:tl2br w:val="nil"/>
              <w:tr2bl w:val="nil"/>
            </w:tcBorders>
            <w:vAlign w:val="center"/>
          </w:tcPr>
          <w:p w14:paraId="044BF7F6">
            <w:pPr>
              <w:adjustRightInd w:val="0"/>
              <w:snapToGrid w:val="0"/>
              <w:jc w:val="left"/>
              <w:rPr>
                <w:rFonts w:eastAsia="宋体"/>
                <w:sz w:val="21"/>
                <w:szCs w:val="21"/>
              </w:rPr>
            </w:pPr>
            <w:r>
              <w:rPr>
                <w:rFonts w:hint="eastAsia" w:eastAsia="宋体"/>
                <w:sz w:val="21"/>
                <w:szCs w:val="21"/>
              </w:rPr>
              <w:t>种质资源保护</w:t>
            </w:r>
          </w:p>
        </w:tc>
      </w:tr>
    </w:tbl>
    <w:p w14:paraId="332BA07D">
      <w:pPr>
        <w:adjustRightInd w:val="0"/>
        <w:snapToGrid w:val="0"/>
        <w:spacing w:line="500" w:lineRule="exact"/>
        <w:ind w:firstLine="480" w:firstLineChars="200"/>
        <w:rPr>
          <w:rFonts w:eastAsia="宋体"/>
        </w:rPr>
      </w:pPr>
      <w:r>
        <w:rPr>
          <w:rFonts w:eastAsia="宋体"/>
        </w:rPr>
        <w:t>（2）环境质量现状</w:t>
      </w:r>
    </w:p>
    <w:p w14:paraId="4F0D4A74">
      <w:pPr>
        <w:adjustRightInd w:val="0"/>
        <w:snapToGrid w:val="0"/>
        <w:spacing w:line="500" w:lineRule="exact"/>
        <w:ind w:firstLine="480" w:firstLineChars="200"/>
        <w:rPr>
          <w:rFonts w:eastAsia="宋体"/>
        </w:rPr>
      </w:pPr>
      <w:r>
        <w:rPr>
          <w:rFonts w:eastAsia="宋体"/>
        </w:rPr>
        <w:t>①环境空气</w:t>
      </w:r>
    </w:p>
    <w:p w14:paraId="11F7B1DB">
      <w:pPr>
        <w:adjustRightInd w:val="0"/>
        <w:snapToGrid w:val="0"/>
        <w:spacing w:line="500" w:lineRule="exact"/>
        <w:ind w:firstLine="480" w:firstLineChars="200"/>
        <w:rPr>
          <w:rFonts w:eastAsia="宋体"/>
        </w:rPr>
      </w:pPr>
      <w:r>
        <w:rPr>
          <w:rFonts w:eastAsia="宋体"/>
        </w:rPr>
        <w:t>由《20</w:t>
      </w:r>
      <w:r>
        <w:rPr>
          <w:rFonts w:hint="eastAsia" w:eastAsia="宋体"/>
        </w:rPr>
        <w:t>21</w:t>
      </w:r>
      <w:r>
        <w:rPr>
          <w:rFonts w:eastAsia="宋体"/>
        </w:rPr>
        <w:t>年度南通市环境质量公报》可知，</w:t>
      </w:r>
      <w:r>
        <w:rPr>
          <w:rFonts w:hint="eastAsia" w:eastAsia="宋体"/>
        </w:rPr>
        <w:t>全市环境空气中可吸入颗粒物（PM</w:t>
      </w:r>
      <w:r>
        <w:rPr>
          <w:rFonts w:hint="eastAsia" w:eastAsia="宋体"/>
          <w:vertAlign w:val="subscript"/>
        </w:rPr>
        <w:t>10</w:t>
      </w:r>
      <w:r>
        <w:rPr>
          <w:rFonts w:hint="eastAsia" w:eastAsia="宋体"/>
        </w:rPr>
        <w:t>）、二氧化硫（SO</w:t>
      </w:r>
      <w:r>
        <w:rPr>
          <w:rFonts w:hint="eastAsia" w:eastAsia="宋体"/>
          <w:vertAlign w:val="subscript"/>
        </w:rPr>
        <w:t>2</w:t>
      </w:r>
      <w:r>
        <w:rPr>
          <w:rFonts w:hint="eastAsia" w:eastAsia="宋体"/>
        </w:rPr>
        <w:t>）、二氧化氮（NO</w:t>
      </w:r>
      <w:r>
        <w:rPr>
          <w:rFonts w:hint="eastAsia" w:eastAsia="宋体"/>
          <w:vertAlign w:val="subscript"/>
        </w:rPr>
        <w:t>2</w:t>
      </w:r>
      <w:r>
        <w:rPr>
          <w:rFonts w:hint="eastAsia" w:eastAsia="宋体"/>
        </w:rPr>
        <w:t>）、一氧化碳第95百分位浓度（CO-95%）和臭氧日最大8小时滑动平均值第90百分位浓度（O</w:t>
      </w:r>
      <w:r>
        <w:rPr>
          <w:rFonts w:hint="eastAsia" w:eastAsia="宋体"/>
          <w:vertAlign w:val="subscript"/>
        </w:rPr>
        <w:t>3</w:t>
      </w:r>
      <w:r>
        <w:rPr>
          <w:rFonts w:hint="eastAsia" w:eastAsia="宋体"/>
        </w:rPr>
        <w:t>-8h-90%）分别为45微克/立方米、6微克/立方米、26微克/立方米、1.0毫克/立方米和156微克/立方米。与2020年相比，PM</w:t>
      </w:r>
      <w:r>
        <w:rPr>
          <w:rFonts w:hint="eastAsia" w:eastAsia="宋体"/>
          <w:vertAlign w:val="subscript"/>
        </w:rPr>
        <w:t>2.5</w:t>
      </w:r>
      <w:r>
        <w:rPr>
          <w:rFonts w:hint="eastAsia" w:eastAsia="宋体"/>
        </w:rPr>
        <w:t>、PM</w:t>
      </w:r>
      <w:r>
        <w:rPr>
          <w:rFonts w:hint="eastAsia" w:eastAsia="宋体"/>
          <w:vertAlign w:val="subscript"/>
        </w:rPr>
        <w:t>10</w:t>
      </w:r>
      <w:r>
        <w:rPr>
          <w:rFonts w:hint="eastAsia" w:eastAsia="宋体"/>
        </w:rPr>
        <w:t>、SO</w:t>
      </w:r>
      <w:r>
        <w:rPr>
          <w:rFonts w:hint="eastAsia" w:eastAsia="宋体"/>
          <w:vertAlign w:val="subscript"/>
        </w:rPr>
        <w:t>2</w:t>
      </w:r>
      <w:r>
        <w:rPr>
          <w:rFonts w:hint="eastAsia" w:eastAsia="宋体"/>
        </w:rPr>
        <w:t>、NO</w:t>
      </w:r>
      <w:r>
        <w:rPr>
          <w:rFonts w:hint="eastAsia" w:eastAsia="宋体"/>
          <w:vertAlign w:val="subscript"/>
        </w:rPr>
        <w:t>2</w:t>
      </w:r>
      <w:r>
        <w:rPr>
          <w:rFonts w:hint="eastAsia" w:eastAsia="宋体"/>
        </w:rPr>
        <w:t>和CO第95百分位数浓度均有下降，降幅分别为11.8%、2.2%、33.3%、3.7%和9.1%；O</w:t>
      </w:r>
      <w:r>
        <w:rPr>
          <w:rFonts w:hint="eastAsia" w:eastAsia="宋体"/>
          <w:vertAlign w:val="subscript"/>
        </w:rPr>
        <w:t>3</w:t>
      </w:r>
      <w:r>
        <w:rPr>
          <w:rFonts w:hint="eastAsia" w:eastAsia="宋体"/>
        </w:rPr>
        <w:t>第90百分位数浓度上升，升幅为5.4%。</w:t>
      </w:r>
    </w:p>
    <w:p w14:paraId="7C963B92">
      <w:pPr>
        <w:adjustRightInd w:val="0"/>
        <w:snapToGrid w:val="0"/>
        <w:spacing w:line="500" w:lineRule="exact"/>
        <w:ind w:firstLine="480" w:firstLineChars="200"/>
        <w:rPr>
          <w:rFonts w:eastAsia="宋体"/>
        </w:rPr>
      </w:pPr>
      <w:r>
        <w:rPr>
          <w:rFonts w:hint="eastAsia" w:eastAsia="宋体"/>
        </w:rPr>
        <w:t>2021年，按照省政府发布的《江苏省重污染天气应急预案》，我市共发布1次黄色预警，预警天数2天，比2020年减少20天。</w:t>
      </w:r>
    </w:p>
    <w:p w14:paraId="58A2C9A8">
      <w:pPr>
        <w:adjustRightInd w:val="0"/>
        <w:snapToGrid w:val="0"/>
        <w:spacing w:line="500" w:lineRule="exact"/>
        <w:ind w:firstLine="480" w:firstLineChars="200"/>
        <w:rPr>
          <w:rFonts w:eastAsia="宋体"/>
        </w:rPr>
      </w:pPr>
      <w:r>
        <w:rPr>
          <w:rFonts w:eastAsia="宋体"/>
        </w:rPr>
        <w:t>②水环境</w:t>
      </w:r>
    </w:p>
    <w:p w14:paraId="1BD54F24">
      <w:pPr>
        <w:adjustRightInd w:val="0"/>
        <w:snapToGrid w:val="0"/>
        <w:spacing w:line="500" w:lineRule="exact"/>
        <w:ind w:firstLine="480" w:firstLineChars="200"/>
        <w:rPr>
          <w:rFonts w:eastAsia="宋体"/>
        </w:rPr>
      </w:pPr>
      <w:r>
        <w:rPr>
          <w:rFonts w:hint="eastAsia" w:eastAsia="宋体"/>
        </w:rPr>
        <w:t>南通市共有16个国家考核断面，其中14个断面达到或优于《地表水环境质量标准》（GB3838-2002）Ⅲ类标准。55个省考以上断面中，姚港、九圩港桥、团结闸、节制闸内、焦港桥等14个断面水质符合Ⅱ类标准，李堡大桥、聚南大桥、孙窑大桥、碾砣港闸、城港路等38个断面水质符合Ⅲ类标准，优Ⅲ类比例94.5%，高于省定87.3%的考核标准；无Ⅴ类和劣Ⅴ类断面。</w:t>
      </w:r>
    </w:p>
    <w:p w14:paraId="4A9F5CB3">
      <w:pPr>
        <w:adjustRightInd w:val="0"/>
        <w:snapToGrid w:val="0"/>
        <w:spacing w:line="500" w:lineRule="exact"/>
        <w:ind w:firstLine="480" w:firstLineChars="200"/>
        <w:rPr>
          <w:rFonts w:eastAsia="宋体"/>
        </w:rPr>
      </w:pPr>
      <w:r>
        <w:rPr>
          <w:rFonts w:eastAsia="宋体"/>
        </w:rPr>
        <w:t>地表水：</w:t>
      </w:r>
    </w:p>
    <w:p w14:paraId="641A6E17">
      <w:pPr>
        <w:adjustRightInd w:val="0"/>
        <w:snapToGrid w:val="0"/>
        <w:spacing w:line="500" w:lineRule="exact"/>
        <w:ind w:firstLine="480" w:firstLineChars="200"/>
        <w:rPr>
          <w:rFonts w:eastAsia="宋体"/>
        </w:rPr>
      </w:pPr>
      <w:r>
        <w:rPr>
          <w:rFonts w:hint="eastAsia" w:eastAsia="宋体"/>
        </w:rPr>
        <w:t>市区濠河水质总体达到地表水Ⅲ类标准，水质良好；各县（市、区）城区水质在地表水Ⅲ～Ⅳ类之间波动。</w:t>
      </w:r>
    </w:p>
    <w:p w14:paraId="1D3B9589">
      <w:pPr>
        <w:adjustRightInd w:val="0"/>
        <w:snapToGrid w:val="0"/>
        <w:spacing w:line="500" w:lineRule="exact"/>
        <w:ind w:firstLine="480" w:firstLineChars="200"/>
        <w:rPr>
          <w:rFonts w:eastAsia="宋体"/>
        </w:rPr>
      </w:pPr>
      <w:r>
        <w:rPr>
          <w:rFonts w:eastAsia="宋体"/>
        </w:rPr>
        <w:t>地下水：</w:t>
      </w:r>
    </w:p>
    <w:p w14:paraId="77390C49">
      <w:pPr>
        <w:adjustRightInd w:val="0"/>
        <w:snapToGrid w:val="0"/>
        <w:spacing w:line="500" w:lineRule="exact"/>
        <w:ind w:firstLine="480" w:firstLineChars="200"/>
        <w:rPr>
          <w:rFonts w:eastAsia="宋体"/>
        </w:rPr>
      </w:pPr>
      <w:r>
        <w:rPr>
          <w:rFonts w:hint="eastAsia" w:eastAsia="宋体"/>
        </w:rPr>
        <w:t>全市共6个国考区域点位，2021年Ⅴ类水比例为66.7%，同比改善16.7个百分点。其中如东长沙三民村点位水质从Ⅴ类提升至Ⅳ类，同比改善；如皋码头（南通岛香食品有限公司）点位水质稳定达Ⅳ类，如东县长沙北渔冷冻食品厂、启东市新人民武装部大楼对面电信基站、海门市三厂镇备用自来水、通州区兴仁布厂点位水质类别仍为Ⅴ类，5个点位同比持平。</w:t>
      </w:r>
    </w:p>
    <w:p w14:paraId="72713B2E">
      <w:pPr>
        <w:adjustRightInd w:val="0"/>
        <w:snapToGrid w:val="0"/>
        <w:spacing w:line="500" w:lineRule="exact"/>
        <w:ind w:firstLine="480" w:firstLineChars="200"/>
        <w:rPr>
          <w:rFonts w:eastAsia="宋体"/>
        </w:rPr>
      </w:pPr>
      <w:r>
        <w:rPr>
          <w:rFonts w:hint="eastAsia" w:eastAsia="宋体"/>
        </w:rPr>
        <w:t>全市共3个国考污染风险监控点位，分别为南通市如东沿海经济开发区1、2、3号点位，2021年水质类别仍为Ⅴ类，同比持平。</w:t>
      </w:r>
    </w:p>
    <w:p w14:paraId="31BD2340">
      <w:pPr>
        <w:adjustRightInd w:val="0"/>
        <w:snapToGrid w:val="0"/>
        <w:spacing w:line="500" w:lineRule="exact"/>
        <w:ind w:firstLine="480" w:firstLineChars="200"/>
        <w:rPr>
          <w:rFonts w:eastAsia="宋体"/>
        </w:rPr>
      </w:pPr>
      <w:r>
        <w:rPr>
          <w:rFonts w:hint="eastAsia" w:eastAsia="宋体"/>
        </w:rPr>
        <w:t>全市共6个省考区域点位，2021年Ⅴ类水比例为16.7%，同比改善33.3个百分点。其中崇川区礼巷1号点位水质从Ⅴ类提升至Ⅲ类，海安市范雪琴潜井点位水质从Ⅴ类提升至Ⅳ类，2个点位同比改善；通州区新中食品公司、如皋市皋鑫电子、海门区江滨季士昌点位水质稳定达Ⅳ类，启东市永阳村70号点位仍为Ⅴ类，4个点位同比持平。</w:t>
      </w:r>
    </w:p>
    <w:p w14:paraId="349E6A52">
      <w:pPr>
        <w:adjustRightInd w:val="0"/>
        <w:snapToGrid w:val="0"/>
        <w:spacing w:line="500" w:lineRule="exact"/>
        <w:ind w:firstLine="480" w:firstLineChars="200"/>
        <w:rPr>
          <w:rFonts w:eastAsia="宋体"/>
        </w:rPr>
      </w:pPr>
      <w:r>
        <w:rPr>
          <w:rFonts w:eastAsia="宋体"/>
        </w:rPr>
        <w:fldChar w:fldCharType="begin"/>
      </w:r>
      <w:r>
        <w:rPr>
          <w:rFonts w:eastAsia="宋体"/>
        </w:rPr>
        <w:instrText xml:space="preserve"> = 3 \* GB3 </w:instrText>
      </w:r>
      <w:r>
        <w:rPr>
          <w:rFonts w:eastAsia="宋体"/>
        </w:rPr>
        <w:fldChar w:fldCharType="separate"/>
      </w:r>
      <w:r>
        <w:rPr>
          <w:rFonts w:eastAsia="宋体"/>
        </w:rPr>
        <w:t>③</w:t>
      </w:r>
      <w:r>
        <w:rPr>
          <w:rFonts w:eastAsia="宋体"/>
        </w:rPr>
        <w:fldChar w:fldCharType="end"/>
      </w:r>
      <w:r>
        <w:rPr>
          <w:rFonts w:eastAsia="宋体"/>
        </w:rPr>
        <w:t>土壤环境质量</w:t>
      </w:r>
    </w:p>
    <w:p w14:paraId="63821E97">
      <w:pPr>
        <w:adjustRightInd w:val="0"/>
        <w:snapToGrid w:val="0"/>
        <w:spacing w:line="500" w:lineRule="exact"/>
        <w:ind w:firstLine="480" w:firstLineChars="200"/>
        <w:rPr>
          <w:rFonts w:eastAsia="宋体"/>
        </w:rPr>
      </w:pPr>
      <w:r>
        <w:rPr>
          <w:rFonts w:eastAsia="宋体"/>
        </w:rPr>
        <w:t>2021年，对全市5个污染区域周边共24个土壤省级风险监控点开展了监测，分别为南通醋酸纤维有限公司区域、江山农药化工股份有限公司区域、苏中科技发展有限公司区域、启东天楹环保能源有限公司和五山漂染有限责任公司区域，其中7个农用地监测点位、17个建设用地监测点位。监测结果显示，我市24个土壤省级风险监控点土壤环境质量较好，均低于相应风险筛选值，其中有4个点位土壤轻度碱化，占比16.6%，其余点位土壤未出现酸化或碱化。</w:t>
      </w:r>
    </w:p>
    <w:p w14:paraId="4C4F4C7D">
      <w:pPr>
        <w:adjustRightInd w:val="0"/>
        <w:snapToGrid w:val="0"/>
        <w:spacing w:line="500" w:lineRule="exact"/>
        <w:ind w:firstLine="480" w:firstLineChars="200"/>
        <w:rPr>
          <w:rFonts w:eastAsia="宋体"/>
        </w:rPr>
      </w:pPr>
      <w:r>
        <w:rPr>
          <w:rFonts w:eastAsia="宋体"/>
        </w:rPr>
        <w:t>④声环境质量</w:t>
      </w:r>
    </w:p>
    <w:p w14:paraId="3042DD47">
      <w:pPr>
        <w:adjustRightInd w:val="0"/>
        <w:snapToGrid w:val="0"/>
        <w:spacing w:line="500" w:lineRule="exact"/>
        <w:ind w:firstLine="480" w:firstLineChars="200"/>
        <w:rPr>
          <w:rFonts w:eastAsia="宋体"/>
        </w:rPr>
      </w:pPr>
      <w:r>
        <w:rPr>
          <w:rFonts w:eastAsia="宋体"/>
        </w:rPr>
        <w:t>2021年，我市声环境质量总体较好，昼间和夜间声环境质量基本保持稳定。</w:t>
      </w:r>
    </w:p>
    <w:p w14:paraId="11CF5F1C">
      <w:pPr>
        <w:adjustRightInd w:val="0"/>
        <w:snapToGrid w:val="0"/>
        <w:spacing w:line="500" w:lineRule="exact"/>
        <w:ind w:firstLine="480" w:firstLineChars="200"/>
        <w:rPr>
          <w:rFonts w:eastAsia="宋体"/>
        </w:rPr>
      </w:pPr>
      <w:r>
        <w:rPr>
          <w:rFonts w:hint="eastAsia" w:eastAsia="宋体"/>
        </w:rPr>
        <w:t>⑤</w:t>
      </w:r>
      <w:r>
        <w:rPr>
          <w:rFonts w:eastAsia="宋体"/>
        </w:rPr>
        <w:t>生态环境状况指数</w:t>
      </w:r>
    </w:p>
    <w:p w14:paraId="31EB396D">
      <w:pPr>
        <w:adjustRightInd w:val="0"/>
        <w:snapToGrid w:val="0"/>
        <w:spacing w:line="500" w:lineRule="exact"/>
        <w:ind w:firstLine="480" w:firstLineChars="200"/>
        <w:rPr>
          <w:rFonts w:eastAsia="宋体"/>
        </w:rPr>
      </w:pPr>
      <w:r>
        <w:rPr>
          <w:rFonts w:eastAsia="宋体"/>
        </w:rPr>
        <w:t>根据对卫星遥感资料开展的高精度解译结果，全市生物丰度指数为30.32，植被覆盖指数为74.47，水网密度指数为80.92，土地胁迫指数为6.43，污染负荷指数为0.61（详见表5）。按照《</w:t>
      </w:r>
      <w:r>
        <w:rPr>
          <w:rFonts w:hint="eastAsia" w:eastAsia="宋体"/>
          <w:lang w:eastAsia="zh-CN"/>
        </w:rPr>
        <w:t>生态环境状况评价技术规范</w:t>
      </w:r>
      <w:r>
        <w:rPr>
          <w:rFonts w:eastAsia="宋体"/>
        </w:rPr>
        <w:t>》（</w:t>
      </w:r>
      <w:r>
        <w:rPr>
          <w:rFonts w:hint="eastAsia" w:eastAsia="宋体"/>
          <w:lang w:eastAsia="zh-CN"/>
        </w:rPr>
        <w:t>HJ192-2015</w:t>
      </w:r>
      <w:r>
        <w:rPr>
          <w:rFonts w:eastAsia="宋体"/>
        </w:rPr>
        <w:t>），全市生态环境状况指数为65.34，处于良好状态。四县（市）、通州区、海门区生态环境状况指数分别为：海安66.87、如皋66.23、如东66.91、启东65.42、通州62.62、海门64.03，均处于良好状态。</w:t>
      </w:r>
    </w:p>
    <w:p w14:paraId="7FDF5C54">
      <w:pPr>
        <w:pStyle w:val="3"/>
        <w:adjustRightInd w:val="0"/>
        <w:snapToGrid w:val="0"/>
        <w:spacing w:line="480" w:lineRule="exact"/>
        <w:rPr>
          <w:rFonts w:eastAsia="宋体"/>
          <w:sz w:val="24"/>
          <w:szCs w:val="24"/>
        </w:rPr>
      </w:pPr>
      <w:bookmarkStart w:id="74" w:name="_Toc23710"/>
      <w:bookmarkStart w:id="75" w:name="_Toc5947"/>
      <w:bookmarkStart w:id="76" w:name="_Toc17812"/>
      <w:bookmarkStart w:id="77" w:name="_Toc28750"/>
      <w:r>
        <w:rPr>
          <w:rFonts w:eastAsia="宋体"/>
          <w:sz w:val="24"/>
          <w:szCs w:val="24"/>
        </w:rPr>
        <w:t>3.2企业周边环境风险受体情况</w:t>
      </w:r>
      <w:bookmarkEnd w:id="74"/>
      <w:bookmarkEnd w:id="75"/>
      <w:bookmarkEnd w:id="76"/>
      <w:bookmarkEnd w:id="77"/>
    </w:p>
    <w:p w14:paraId="73AEAFA2">
      <w:pPr>
        <w:pStyle w:val="4"/>
        <w:adjustRightInd w:val="0"/>
        <w:snapToGrid w:val="0"/>
        <w:spacing w:line="480" w:lineRule="exact"/>
        <w:rPr>
          <w:rFonts w:eastAsia="宋体"/>
          <w:szCs w:val="24"/>
        </w:rPr>
      </w:pPr>
      <w:bookmarkStart w:id="78" w:name="_Toc16476"/>
      <w:bookmarkStart w:id="79" w:name="_Toc4629"/>
      <w:bookmarkStart w:id="80" w:name="_Toc8985"/>
      <w:bookmarkStart w:id="81" w:name="_Toc32178"/>
      <w:r>
        <w:rPr>
          <w:rFonts w:eastAsia="宋体"/>
          <w:szCs w:val="24"/>
        </w:rPr>
        <w:t>3.2.1大气环境风险受体</w:t>
      </w:r>
      <w:bookmarkEnd w:id="78"/>
      <w:bookmarkEnd w:id="79"/>
      <w:bookmarkEnd w:id="80"/>
      <w:bookmarkEnd w:id="81"/>
    </w:p>
    <w:p w14:paraId="5ABF1DD3">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lang w:eastAsia="zh-CN"/>
        </w:rPr>
        <w:t>福内特家具</w:t>
      </w:r>
      <w:r>
        <w:rPr>
          <w:rFonts w:eastAsia="宋体"/>
        </w:rPr>
        <w:t>位于</w:t>
      </w:r>
      <w:r>
        <w:rPr>
          <w:rFonts w:hint="eastAsia" w:eastAsia="宋体"/>
          <w:lang w:eastAsia="zh-CN"/>
        </w:rPr>
        <w:t>海安市老坝港滨海新区金港大道68号</w:t>
      </w:r>
      <w:r>
        <w:rPr>
          <w:rFonts w:eastAsia="宋体"/>
        </w:rPr>
        <w:t>，</w:t>
      </w:r>
      <w:r>
        <w:rPr>
          <w:rFonts w:hint="eastAsia" w:eastAsia="宋体"/>
          <w:lang w:eastAsia="zh-CN"/>
        </w:rPr>
        <w:t>福内特家具</w:t>
      </w:r>
      <w:r>
        <w:rPr>
          <w:rFonts w:eastAsia="宋体"/>
          <w:color w:val="000000" w:themeColor="text1"/>
          <w14:textFill>
            <w14:solidFill>
              <w14:schemeClr w14:val="tx1"/>
            </w14:solidFill>
          </w14:textFill>
        </w:rPr>
        <w:t>周围环境详见附</w:t>
      </w:r>
      <w:r>
        <w:rPr>
          <w:rFonts w:hint="eastAsia" w:eastAsia="宋体"/>
          <w:color w:val="000000" w:themeColor="text1"/>
          <w14:textFill>
            <w14:solidFill>
              <w14:schemeClr w14:val="tx1"/>
            </w14:solidFill>
          </w14:textFill>
        </w:rPr>
        <w:t>图</w:t>
      </w:r>
      <w:r>
        <w:rPr>
          <w:rFonts w:eastAsia="宋体"/>
          <w:color w:val="000000" w:themeColor="text1"/>
          <w14:textFill>
            <w14:solidFill>
              <w14:schemeClr w14:val="tx1"/>
            </w14:solidFill>
          </w14:textFill>
        </w:rPr>
        <w:t>。</w:t>
      </w:r>
    </w:p>
    <w:p w14:paraId="01CE2D25">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企业周边</w:t>
      </w:r>
      <w:r>
        <w:rPr>
          <w:rFonts w:hint="eastAsia" w:eastAsia="宋体"/>
          <w:color w:val="000000" w:themeColor="text1"/>
          <w14:textFill>
            <w14:solidFill>
              <w14:schemeClr w14:val="tx1"/>
            </w14:solidFill>
          </w14:textFill>
        </w:rPr>
        <w:t>500m、</w:t>
      </w:r>
      <w:r>
        <w:rPr>
          <w:rFonts w:eastAsia="宋体"/>
          <w:color w:val="000000" w:themeColor="text1"/>
          <w14:textFill>
            <w14:solidFill>
              <w14:schemeClr w14:val="tx1"/>
            </w14:solidFill>
          </w14:textFill>
        </w:rPr>
        <w:t>5公里范围内大气环境风险受体情况见表</w:t>
      </w:r>
      <w:r>
        <w:rPr>
          <w:rFonts w:hint="eastAsia" w:eastAsia="宋体"/>
          <w:color w:val="000000" w:themeColor="text1"/>
          <w14:textFill>
            <w14:solidFill>
              <w14:schemeClr w14:val="tx1"/>
            </w14:solidFill>
          </w14:textFill>
        </w:rPr>
        <w:t>3-4、</w:t>
      </w:r>
      <w:r>
        <w:rPr>
          <w:rFonts w:eastAsia="宋体"/>
          <w:color w:val="000000" w:themeColor="text1"/>
          <w14:textFill>
            <w14:solidFill>
              <w14:schemeClr w14:val="tx1"/>
            </w14:solidFill>
          </w14:textFill>
        </w:rPr>
        <w:t>3-</w:t>
      </w:r>
      <w:r>
        <w:rPr>
          <w:rFonts w:hint="eastAsia" w:eastAsia="宋体"/>
          <w:color w:val="000000" w:themeColor="text1"/>
          <w14:textFill>
            <w14:solidFill>
              <w14:schemeClr w14:val="tx1"/>
            </w14:solidFill>
          </w14:textFill>
        </w:rPr>
        <w:t>5</w:t>
      </w:r>
      <w:r>
        <w:rPr>
          <w:rFonts w:eastAsia="宋体"/>
          <w:color w:val="000000" w:themeColor="text1"/>
          <w14:textFill>
            <w14:solidFill>
              <w14:schemeClr w14:val="tx1"/>
            </w14:solidFill>
          </w14:textFill>
        </w:rPr>
        <w:t>。</w:t>
      </w:r>
    </w:p>
    <w:p w14:paraId="22C684BA">
      <w:pPr>
        <w:adjustRightInd w:val="0"/>
        <w:snapToGrid w:val="0"/>
        <w:spacing w:line="480" w:lineRule="exact"/>
        <w:jc w:val="center"/>
        <w:rPr>
          <w:rFonts w:eastAsia="宋体"/>
          <w:b/>
          <w:bCs/>
          <w:color w:val="000000" w:themeColor="text1"/>
          <w:highlight w:val="yellow"/>
          <w14:textFill>
            <w14:solidFill>
              <w14:schemeClr w14:val="tx1"/>
            </w14:solidFill>
          </w14:textFill>
        </w:rPr>
      </w:pPr>
      <w:r>
        <w:rPr>
          <w:rFonts w:eastAsia="宋体"/>
          <w:b/>
          <w:bCs/>
          <w:color w:val="000000" w:themeColor="text1"/>
          <w14:textFill>
            <w14:solidFill>
              <w14:schemeClr w14:val="tx1"/>
            </w14:solidFill>
          </w14:textFill>
        </w:rPr>
        <w:t>表3-</w:t>
      </w:r>
      <w:r>
        <w:rPr>
          <w:rFonts w:hint="eastAsia" w:eastAsia="宋体"/>
          <w:b/>
          <w:bCs/>
          <w:color w:val="000000" w:themeColor="text1"/>
          <w14:textFill>
            <w14:solidFill>
              <w14:schemeClr w14:val="tx1"/>
            </w14:solidFill>
          </w14:textFill>
        </w:rPr>
        <w:t>4</w:t>
      </w:r>
      <w:r>
        <w:rPr>
          <w:rFonts w:hint="eastAsia" w:eastAsia="宋体"/>
          <w:b/>
          <w:bCs/>
          <w:color w:val="000000" w:themeColor="text1"/>
          <w:lang w:eastAsia="zh-CN"/>
          <w14:textFill>
            <w14:solidFill>
              <w14:schemeClr w14:val="tx1"/>
            </w14:solidFill>
          </w14:textFill>
        </w:rPr>
        <w:t>福内特家具</w:t>
      </w:r>
      <w:r>
        <w:rPr>
          <w:rFonts w:eastAsia="宋体"/>
          <w:b/>
          <w:bCs/>
          <w:color w:val="000000" w:themeColor="text1"/>
          <w:highlight w:val="none"/>
          <w14:textFill>
            <w14:solidFill>
              <w14:schemeClr w14:val="tx1"/>
            </w14:solidFill>
          </w14:textFill>
        </w:rPr>
        <w:t>周</w:t>
      </w:r>
      <w:r>
        <w:rPr>
          <w:rFonts w:hint="eastAsia" w:eastAsia="宋体"/>
          <w:b/>
          <w:bCs/>
          <w:color w:val="000000" w:themeColor="text1"/>
          <w:highlight w:val="none"/>
          <w14:textFill>
            <w14:solidFill>
              <w14:schemeClr w14:val="tx1"/>
            </w14:solidFill>
          </w14:textFill>
        </w:rPr>
        <w:t>边</w:t>
      </w:r>
      <w:r>
        <w:rPr>
          <w:rFonts w:eastAsia="宋体"/>
          <w:b/>
          <w:bCs/>
          <w:color w:val="000000" w:themeColor="text1"/>
          <w:highlight w:val="none"/>
          <w14:textFill>
            <w14:solidFill>
              <w14:schemeClr w14:val="tx1"/>
            </w14:solidFill>
          </w14:textFill>
        </w:rPr>
        <w:t>500m</w:t>
      </w:r>
      <w:r>
        <w:rPr>
          <w:rFonts w:hint="eastAsia" w:eastAsia="宋体"/>
          <w:b/>
          <w:bCs/>
          <w:color w:val="000000" w:themeColor="text1"/>
          <w:highlight w:val="none"/>
          <w14:textFill>
            <w14:solidFill>
              <w14:schemeClr w14:val="tx1"/>
            </w14:solidFill>
          </w14:textFill>
        </w:rPr>
        <w:t>范</w:t>
      </w:r>
      <w:r>
        <w:rPr>
          <w:rFonts w:eastAsia="宋体"/>
          <w:b/>
          <w:bCs/>
          <w:color w:val="000000" w:themeColor="text1"/>
          <w:highlight w:val="none"/>
          <w14:textFill>
            <w14:solidFill>
              <w14:schemeClr w14:val="tx1"/>
            </w14:solidFill>
          </w14:textFill>
        </w:rPr>
        <w:t>围内</w:t>
      </w:r>
      <w:r>
        <w:rPr>
          <w:rFonts w:eastAsia="宋体"/>
          <w:b/>
          <w:bCs/>
          <w:color w:val="000000" w:themeColor="text1"/>
          <w14:textFill>
            <w14:solidFill>
              <w14:schemeClr w14:val="tx1"/>
            </w14:solidFill>
          </w14:textFill>
        </w:rPr>
        <w:t>大气环境风险受体</w:t>
      </w:r>
    </w:p>
    <w:tbl>
      <w:tblPr>
        <w:tblStyle w:val="3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535"/>
        <w:gridCol w:w="1672"/>
        <w:gridCol w:w="985"/>
        <w:gridCol w:w="989"/>
        <w:gridCol w:w="1157"/>
        <w:gridCol w:w="1572"/>
        <w:gridCol w:w="1852"/>
      </w:tblGrid>
      <w:tr w14:paraId="265F9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restart"/>
            <w:tcBorders>
              <w:tl2br w:val="nil"/>
              <w:tr2bl w:val="nil"/>
            </w:tcBorders>
            <w:vAlign w:val="center"/>
          </w:tcPr>
          <w:p w14:paraId="0863CB96">
            <w:pPr>
              <w:pStyle w:val="48"/>
              <w:jc w:val="center"/>
              <w:rPr>
                <w:rFonts w:ascii="Times New Roman" w:eastAsia="宋体" w:cs="Times New Roman"/>
                <w:b/>
                <w:bCs/>
                <w:color w:val="auto"/>
                <w:sz w:val="21"/>
                <w:szCs w:val="21"/>
              </w:rPr>
            </w:pPr>
            <w:r>
              <w:rPr>
                <w:rFonts w:ascii="Times New Roman" w:eastAsia="宋体" w:cs="Times New Roman"/>
                <w:b/>
                <w:bCs/>
                <w:color w:val="auto"/>
                <w:sz w:val="21"/>
                <w:szCs w:val="21"/>
              </w:rPr>
              <w:t>环境</w:t>
            </w:r>
          </w:p>
          <w:p w14:paraId="3E294DF9">
            <w:pPr>
              <w:pStyle w:val="48"/>
              <w:jc w:val="center"/>
              <w:rPr>
                <w:rFonts w:ascii="Times New Roman" w:eastAsia="宋体" w:cs="Times New Roman"/>
                <w:b/>
                <w:bCs/>
                <w:color w:val="auto"/>
                <w:sz w:val="21"/>
                <w:szCs w:val="21"/>
              </w:rPr>
            </w:pPr>
            <w:r>
              <w:rPr>
                <w:rFonts w:ascii="Times New Roman" w:eastAsia="宋体" w:cs="Times New Roman"/>
                <w:b/>
                <w:bCs/>
                <w:color w:val="auto"/>
                <w:sz w:val="21"/>
                <w:szCs w:val="21"/>
              </w:rPr>
              <w:t>要素</w:t>
            </w:r>
          </w:p>
        </w:tc>
        <w:tc>
          <w:tcPr>
            <w:tcW w:w="1178" w:type="pct"/>
            <w:gridSpan w:val="2"/>
            <w:tcBorders>
              <w:tl2br w:val="nil"/>
              <w:tr2bl w:val="nil"/>
            </w:tcBorders>
            <w:vAlign w:val="center"/>
          </w:tcPr>
          <w:p w14:paraId="40EDC160">
            <w:pPr>
              <w:pStyle w:val="48"/>
              <w:jc w:val="center"/>
              <w:rPr>
                <w:rFonts w:ascii="Times New Roman" w:eastAsia="宋体" w:cs="Times New Roman"/>
                <w:b/>
                <w:bCs/>
                <w:color w:val="auto"/>
                <w:sz w:val="21"/>
                <w:szCs w:val="21"/>
              </w:rPr>
            </w:pPr>
            <w:r>
              <w:rPr>
                <w:rFonts w:ascii="Times New Roman" w:eastAsia="宋体" w:cs="Times New Roman"/>
                <w:b/>
                <w:bCs/>
                <w:color w:val="auto"/>
                <w:sz w:val="21"/>
                <w:szCs w:val="21"/>
              </w:rPr>
              <w:t>环境保护对象名称</w:t>
            </w:r>
          </w:p>
        </w:tc>
        <w:tc>
          <w:tcPr>
            <w:tcW w:w="526" w:type="pct"/>
            <w:vMerge w:val="restart"/>
            <w:tcBorders>
              <w:tl2br w:val="nil"/>
              <w:tr2bl w:val="nil"/>
            </w:tcBorders>
            <w:vAlign w:val="center"/>
          </w:tcPr>
          <w:p w14:paraId="1B1AC821">
            <w:pPr>
              <w:pStyle w:val="48"/>
              <w:jc w:val="center"/>
              <w:rPr>
                <w:rFonts w:ascii="Times New Roman" w:eastAsia="宋体" w:cs="Times New Roman"/>
                <w:b/>
                <w:bCs/>
                <w:color w:val="auto"/>
                <w:sz w:val="21"/>
                <w:szCs w:val="21"/>
              </w:rPr>
            </w:pPr>
            <w:r>
              <w:rPr>
                <w:rFonts w:ascii="Times New Roman" w:eastAsia="宋体" w:cs="Times New Roman"/>
                <w:b/>
                <w:bCs/>
                <w:color w:val="auto"/>
                <w:sz w:val="21"/>
                <w:szCs w:val="21"/>
              </w:rPr>
              <w:t>方位</w:t>
            </w:r>
          </w:p>
        </w:tc>
        <w:tc>
          <w:tcPr>
            <w:tcW w:w="527" w:type="pct"/>
            <w:vMerge w:val="restart"/>
            <w:tcBorders>
              <w:tl2br w:val="nil"/>
              <w:tr2bl w:val="nil"/>
            </w:tcBorders>
            <w:vAlign w:val="center"/>
          </w:tcPr>
          <w:p w14:paraId="43D574CA">
            <w:pPr>
              <w:pStyle w:val="48"/>
              <w:jc w:val="center"/>
              <w:rPr>
                <w:rFonts w:ascii="Times New Roman" w:eastAsia="宋体" w:cs="Times New Roman"/>
                <w:b/>
                <w:bCs/>
                <w:color w:val="auto"/>
                <w:sz w:val="21"/>
                <w:szCs w:val="21"/>
              </w:rPr>
            </w:pPr>
            <w:r>
              <w:rPr>
                <w:rFonts w:ascii="Times New Roman" w:eastAsia="宋体" w:cs="Times New Roman"/>
                <w:b/>
                <w:bCs/>
                <w:color w:val="auto"/>
                <w:sz w:val="21"/>
                <w:szCs w:val="21"/>
              </w:rPr>
              <w:t>距项目厂界最近距离（m）</w:t>
            </w:r>
          </w:p>
        </w:tc>
        <w:tc>
          <w:tcPr>
            <w:tcW w:w="618" w:type="pct"/>
            <w:vMerge w:val="restart"/>
            <w:tcBorders>
              <w:tl2br w:val="nil"/>
              <w:tr2bl w:val="nil"/>
            </w:tcBorders>
            <w:vAlign w:val="center"/>
          </w:tcPr>
          <w:p w14:paraId="556A38A3">
            <w:pPr>
              <w:pStyle w:val="48"/>
              <w:jc w:val="center"/>
              <w:rPr>
                <w:rFonts w:ascii="Times New Roman" w:eastAsia="宋体" w:cs="Times New Roman"/>
                <w:b/>
                <w:bCs/>
                <w:color w:val="auto"/>
                <w:sz w:val="21"/>
                <w:szCs w:val="21"/>
              </w:rPr>
            </w:pPr>
            <w:r>
              <w:rPr>
                <w:rFonts w:ascii="Times New Roman" w:eastAsia="宋体" w:cs="Times New Roman"/>
                <w:b/>
                <w:bCs/>
                <w:color w:val="auto"/>
                <w:sz w:val="21"/>
                <w:szCs w:val="21"/>
              </w:rPr>
              <w:t>规模（人）</w:t>
            </w:r>
          </w:p>
        </w:tc>
        <w:tc>
          <w:tcPr>
            <w:tcW w:w="839" w:type="pct"/>
            <w:vMerge w:val="restart"/>
            <w:tcBorders>
              <w:tl2br w:val="nil"/>
              <w:tr2bl w:val="nil"/>
            </w:tcBorders>
            <w:vAlign w:val="center"/>
          </w:tcPr>
          <w:p w14:paraId="26C78FB2">
            <w:pPr>
              <w:pStyle w:val="48"/>
              <w:jc w:val="center"/>
              <w:rPr>
                <w:rFonts w:ascii="Times New Roman" w:eastAsia="宋体" w:cs="Times New Roman"/>
                <w:b/>
                <w:bCs/>
                <w:color w:val="auto"/>
                <w:sz w:val="21"/>
                <w:szCs w:val="21"/>
              </w:rPr>
            </w:pPr>
            <w:r>
              <w:rPr>
                <w:rFonts w:hint="eastAsia" w:ascii="Times New Roman" w:eastAsia="宋体" w:cs="Times New Roman"/>
                <w:b/>
                <w:bCs/>
                <w:color w:val="auto"/>
                <w:sz w:val="21"/>
                <w:szCs w:val="21"/>
              </w:rPr>
              <w:t>联系方式</w:t>
            </w:r>
          </w:p>
        </w:tc>
        <w:tc>
          <w:tcPr>
            <w:tcW w:w="980" w:type="pct"/>
            <w:vMerge w:val="restart"/>
            <w:tcBorders>
              <w:tl2br w:val="nil"/>
              <w:tr2bl w:val="nil"/>
            </w:tcBorders>
            <w:vAlign w:val="center"/>
          </w:tcPr>
          <w:p w14:paraId="7A0F3E5A">
            <w:pPr>
              <w:pStyle w:val="48"/>
              <w:jc w:val="center"/>
              <w:rPr>
                <w:rFonts w:ascii="Times New Roman" w:eastAsia="宋体" w:cs="Times New Roman"/>
                <w:b/>
                <w:bCs/>
                <w:color w:val="auto"/>
                <w:sz w:val="21"/>
                <w:szCs w:val="21"/>
              </w:rPr>
            </w:pPr>
            <w:r>
              <w:rPr>
                <w:rFonts w:ascii="Times New Roman" w:eastAsia="宋体" w:cs="Times New Roman"/>
                <w:b/>
                <w:bCs/>
                <w:color w:val="auto"/>
                <w:sz w:val="21"/>
                <w:szCs w:val="21"/>
              </w:rPr>
              <w:t>环境功能</w:t>
            </w:r>
          </w:p>
        </w:tc>
      </w:tr>
      <w:tr w14:paraId="32B6B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13A9C312">
            <w:pPr>
              <w:pStyle w:val="48"/>
              <w:jc w:val="center"/>
              <w:rPr>
                <w:rFonts w:ascii="Times New Roman" w:eastAsia="宋体" w:cs="Times New Roman"/>
                <w:color w:val="auto"/>
                <w:sz w:val="21"/>
                <w:szCs w:val="21"/>
              </w:rPr>
            </w:pPr>
          </w:p>
        </w:tc>
        <w:tc>
          <w:tcPr>
            <w:tcW w:w="286" w:type="pct"/>
            <w:tcBorders>
              <w:tl2br w:val="nil"/>
              <w:tr2bl w:val="nil"/>
            </w:tcBorders>
            <w:vAlign w:val="center"/>
          </w:tcPr>
          <w:p w14:paraId="6CAB2C02">
            <w:pPr>
              <w:pStyle w:val="48"/>
              <w:jc w:val="center"/>
              <w:rPr>
                <w:rFonts w:ascii="Times New Roman" w:eastAsia="宋体" w:cs="Times New Roman"/>
                <w:b/>
                <w:bCs/>
                <w:color w:val="auto"/>
                <w:sz w:val="21"/>
                <w:szCs w:val="21"/>
              </w:rPr>
            </w:pPr>
            <w:r>
              <w:rPr>
                <w:rFonts w:ascii="Times New Roman" w:eastAsia="宋体" w:cs="Times New Roman"/>
                <w:b/>
                <w:bCs/>
                <w:color w:val="auto"/>
                <w:sz w:val="21"/>
                <w:szCs w:val="21"/>
              </w:rPr>
              <w:t>序号</w:t>
            </w:r>
          </w:p>
        </w:tc>
        <w:tc>
          <w:tcPr>
            <w:tcW w:w="892" w:type="pct"/>
            <w:tcBorders>
              <w:tl2br w:val="nil"/>
              <w:tr2bl w:val="nil"/>
            </w:tcBorders>
            <w:vAlign w:val="center"/>
          </w:tcPr>
          <w:p w14:paraId="149BA8E0">
            <w:pPr>
              <w:pStyle w:val="48"/>
              <w:jc w:val="center"/>
              <w:rPr>
                <w:rFonts w:ascii="Times New Roman" w:eastAsia="宋体" w:cs="Times New Roman"/>
                <w:b/>
                <w:bCs/>
                <w:color w:val="auto"/>
                <w:sz w:val="21"/>
                <w:szCs w:val="21"/>
              </w:rPr>
            </w:pPr>
            <w:r>
              <w:rPr>
                <w:rFonts w:ascii="Times New Roman" w:eastAsia="宋体" w:cs="Times New Roman"/>
                <w:b/>
                <w:bCs/>
                <w:color w:val="auto"/>
                <w:sz w:val="21"/>
                <w:szCs w:val="21"/>
              </w:rPr>
              <w:t>敏感点</w:t>
            </w:r>
          </w:p>
        </w:tc>
        <w:tc>
          <w:tcPr>
            <w:tcW w:w="526" w:type="pct"/>
            <w:vMerge w:val="continue"/>
            <w:tcBorders>
              <w:tl2br w:val="nil"/>
              <w:tr2bl w:val="nil"/>
            </w:tcBorders>
            <w:vAlign w:val="center"/>
          </w:tcPr>
          <w:p w14:paraId="10B595EC">
            <w:pPr>
              <w:pStyle w:val="48"/>
              <w:jc w:val="center"/>
              <w:rPr>
                <w:rFonts w:ascii="Times New Roman" w:eastAsia="宋体" w:cs="Times New Roman"/>
                <w:color w:val="auto"/>
                <w:sz w:val="21"/>
                <w:szCs w:val="21"/>
              </w:rPr>
            </w:pPr>
          </w:p>
        </w:tc>
        <w:tc>
          <w:tcPr>
            <w:tcW w:w="527" w:type="pct"/>
            <w:vMerge w:val="continue"/>
            <w:tcBorders>
              <w:tl2br w:val="nil"/>
              <w:tr2bl w:val="nil"/>
            </w:tcBorders>
            <w:vAlign w:val="center"/>
          </w:tcPr>
          <w:p w14:paraId="38914DA8">
            <w:pPr>
              <w:pStyle w:val="48"/>
              <w:jc w:val="center"/>
              <w:rPr>
                <w:rFonts w:ascii="Times New Roman" w:eastAsia="宋体" w:cs="Times New Roman"/>
                <w:color w:val="auto"/>
                <w:sz w:val="21"/>
                <w:szCs w:val="21"/>
              </w:rPr>
            </w:pPr>
          </w:p>
        </w:tc>
        <w:tc>
          <w:tcPr>
            <w:tcW w:w="618" w:type="pct"/>
            <w:vMerge w:val="continue"/>
            <w:tcBorders>
              <w:tl2br w:val="nil"/>
              <w:tr2bl w:val="nil"/>
            </w:tcBorders>
            <w:vAlign w:val="center"/>
          </w:tcPr>
          <w:p w14:paraId="7A189816">
            <w:pPr>
              <w:pStyle w:val="48"/>
              <w:jc w:val="center"/>
              <w:rPr>
                <w:rFonts w:ascii="Times New Roman" w:eastAsia="宋体" w:cs="Times New Roman"/>
                <w:color w:val="auto"/>
                <w:sz w:val="21"/>
                <w:szCs w:val="21"/>
              </w:rPr>
            </w:pPr>
          </w:p>
        </w:tc>
        <w:tc>
          <w:tcPr>
            <w:tcW w:w="839" w:type="pct"/>
            <w:vMerge w:val="continue"/>
            <w:tcBorders>
              <w:tl2br w:val="nil"/>
              <w:tr2bl w:val="nil"/>
            </w:tcBorders>
            <w:vAlign w:val="center"/>
          </w:tcPr>
          <w:p w14:paraId="768D79D7">
            <w:pPr>
              <w:pStyle w:val="48"/>
              <w:jc w:val="center"/>
              <w:rPr>
                <w:rFonts w:ascii="Times New Roman" w:eastAsia="宋体" w:cs="Times New Roman"/>
                <w:color w:val="auto"/>
                <w:sz w:val="21"/>
                <w:szCs w:val="21"/>
              </w:rPr>
            </w:pPr>
          </w:p>
        </w:tc>
        <w:tc>
          <w:tcPr>
            <w:tcW w:w="980" w:type="pct"/>
            <w:vMerge w:val="continue"/>
            <w:tcBorders>
              <w:tl2br w:val="nil"/>
              <w:tr2bl w:val="nil"/>
            </w:tcBorders>
            <w:vAlign w:val="center"/>
          </w:tcPr>
          <w:p w14:paraId="42E519E4">
            <w:pPr>
              <w:pStyle w:val="48"/>
              <w:jc w:val="center"/>
              <w:rPr>
                <w:rFonts w:ascii="Times New Roman" w:eastAsia="宋体" w:cs="Times New Roman"/>
                <w:color w:val="auto"/>
                <w:sz w:val="21"/>
                <w:szCs w:val="21"/>
              </w:rPr>
            </w:pPr>
          </w:p>
        </w:tc>
      </w:tr>
      <w:tr w14:paraId="62943E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9" w:type="pct"/>
            <w:vMerge w:val="continue"/>
            <w:tcBorders>
              <w:tl2br w:val="nil"/>
              <w:tr2bl w:val="nil"/>
            </w:tcBorders>
            <w:vAlign w:val="center"/>
          </w:tcPr>
          <w:p w14:paraId="7F50FB78">
            <w:pPr>
              <w:pStyle w:val="48"/>
              <w:jc w:val="center"/>
              <w:rPr>
                <w:rFonts w:ascii="Times New Roman" w:eastAsia="宋体" w:cs="Times New Roman"/>
                <w:color w:val="auto"/>
                <w:sz w:val="21"/>
                <w:szCs w:val="21"/>
              </w:rPr>
            </w:pPr>
          </w:p>
        </w:tc>
        <w:tc>
          <w:tcPr>
            <w:tcW w:w="286" w:type="pct"/>
            <w:tcBorders>
              <w:tl2br w:val="nil"/>
              <w:tr2bl w:val="nil"/>
            </w:tcBorders>
            <w:vAlign w:val="center"/>
          </w:tcPr>
          <w:p w14:paraId="27AAC5E1">
            <w:pPr>
              <w:pStyle w:val="48"/>
              <w:jc w:val="center"/>
              <w:rPr>
                <w:rFonts w:ascii="Times New Roman" w:eastAsia="宋体" w:cs="Times New Roman"/>
                <w:color w:val="auto"/>
                <w:sz w:val="21"/>
                <w:szCs w:val="21"/>
              </w:rPr>
            </w:pPr>
            <w:r>
              <w:rPr>
                <w:rFonts w:ascii="Times New Roman" w:eastAsia="宋体" w:cs="Times New Roman"/>
                <w:color w:val="auto"/>
                <w:sz w:val="21"/>
                <w:szCs w:val="21"/>
              </w:rPr>
              <w:t>1</w:t>
            </w:r>
          </w:p>
        </w:tc>
        <w:tc>
          <w:tcPr>
            <w:tcW w:w="892" w:type="pct"/>
            <w:tcBorders>
              <w:tl2br w:val="nil"/>
              <w:tr2bl w:val="nil"/>
            </w:tcBorders>
            <w:vAlign w:val="center"/>
          </w:tcPr>
          <w:p w14:paraId="065C9A8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南通斐梵富实木业有限公司</w:t>
            </w:r>
          </w:p>
        </w:tc>
        <w:tc>
          <w:tcPr>
            <w:tcW w:w="526" w:type="pct"/>
            <w:tcBorders>
              <w:tl2br w:val="nil"/>
              <w:tr2bl w:val="nil"/>
            </w:tcBorders>
            <w:vAlign w:val="center"/>
          </w:tcPr>
          <w:p w14:paraId="62AAC3F7">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032A758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20</w:t>
            </w:r>
          </w:p>
        </w:tc>
        <w:tc>
          <w:tcPr>
            <w:tcW w:w="618" w:type="pct"/>
            <w:tcBorders>
              <w:tl2br w:val="nil"/>
              <w:tr2bl w:val="nil"/>
            </w:tcBorders>
            <w:vAlign w:val="center"/>
          </w:tcPr>
          <w:p w14:paraId="1392995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120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27BB0C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15896209198</w:t>
            </w:r>
          </w:p>
        </w:tc>
        <w:tc>
          <w:tcPr>
            <w:tcW w:w="980" w:type="pct"/>
            <w:vMerge w:val="restart"/>
            <w:tcBorders>
              <w:tl2br w:val="nil"/>
              <w:tr2bl w:val="nil"/>
            </w:tcBorders>
            <w:vAlign w:val="center"/>
          </w:tcPr>
          <w:p w14:paraId="78C2A8D9">
            <w:pPr>
              <w:pStyle w:val="48"/>
              <w:jc w:val="center"/>
              <w:rPr>
                <w:rFonts w:ascii="Times New Roman" w:eastAsia="宋体" w:cs="Times New Roman"/>
                <w:color w:val="auto"/>
                <w:sz w:val="21"/>
                <w:szCs w:val="21"/>
              </w:rPr>
            </w:pPr>
            <w:r>
              <w:rPr>
                <w:rFonts w:ascii="Times New Roman" w:eastAsia="宋体" w:cs="Times New Roman"/>
                <w:color w:val="auto"/>
                <w:sz w:val="21"/>
                <w:szCs w:val="21"/>
              </w:rPr>
              <w:t>《环境空气质量标准》（GB3095-2012）中的二级标准</w:t>
            </w:r>
          </w:p>
        </w:tc>
      </w:tr>
      <w:tr w14:paraId="159C6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5D0E2A8D">
            <w:pPr>
              <w:pStyle w:val="48"/>
              <w:jc w:val="center"/>
              <w:rPr>
                <w:rFonts w:ascii="Times New Roman" w:eastAsia="宋体" w:cs="Times New Roman"/>
                <w:color w:val="auto"/>
                <w:sz w:val="21"/>
                <w:szCs w:val="21"/>
              </w:rPr>
            </w:pPr>
          </w:p>
        </w:tc>
        <w:tc>
          <w:tcPr>
            <w:tcW w:w="286" w:type="pct"/>
            <w:tcBorders>
              <w:tl2br w:val="nil"/>
              <w:tr2bl w:val="nil"/>
            </w:tcBorders>
            <w:vAlign w:val="center"/>
          </w:tcPr>
          <w:p w14:paraId="02E97E8A">
            <w:pPr>
              <w:pStyle w:val="48"/>
              <w:jc w:val="center"/>
              <w:rPr>
                <w:rFonts w:ascii="Times New Roman" w:eastAsia="宋体" w:cs="Times New Roman"/>
                <w:color w:val="auto"/>
                <w:sz w:val="21"/>
                <w:szCs w:val="21"/>
              </w:rPr>
            </w:pPr>
            <w:r>
              <w:rPr>
                <w:rFonts w:ascii="Times New Roman" w:eastAsia="宋体" w:cs="Times New Roman"/>
                <w:color w:val="auto"/>
                <w:sz w:val="21"/>
                <w:szCs w:val="21"/>
              </w:rPr>
              <w:t>2</w:t>
            </w:r>
          </w:p>
        </w:tc>
        <w:tc>
          <w:tcPr>
            <w:tcW w:w="892" w:type="pct"/>
            <w:tcBorders>
              <w:tl2br w:val="nil"/>
              <w:tr2bl w:val="nil"/>
            </w:tcBorders>
            <w:vAlign w:val="center"/>
          </w:tcPr>
          <w:p w14:paraId="09218917">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伟业木制品包装材料海安有限公司</w:t>
            </w:r>
          </w:p>
        </w:tc>
        <w:tc>
          <w:tcPr>
            <w:tcW w:w="526" w:type="pct"/>
            <w:tcBorders>
              <w:tl2br w:val="nil"/>
              <w:tr2bl w:val="nil"/>
            </w:tcBorders>
            <w:vAlign w:val="center"/>
          </w:tcPr>
          <w:p w14:paraId="2A06222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7EA0F5A9">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260</w:t>
            </w:r>
          </w:p>
        </w:tc>
        <w:tc>
          <w:tcPr>
            <w:tcW w:w="618" w:type="pct"/>
            <w:tcBorders>
              <w:tl2br w:val="nil"/>
              <w:tr2bl w:val="nil"/>
            </w:tcBorders>
            <w:vAlign w:val="center"/>
          </w:tcPr>
          <w:p w14:paraId="576934F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1119F1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0513-88937388</w:t>
            </w:r>
          </w:p>
        </w:tc>
        <w:tc>
          <w:tcPr>
            <w:tcW w:w="980" w:type="pct"/>
            <w:vMerge w:val="continue"/>
            <w:tcBorders>
              <w:tl2br w:val="nil"/>
              <w:tr2bl w:val="nil"/>
            </w:tcBorders>
            <w:vAlign w:val="center"/>
          </w:tcPr>
          <w:p w14:paraId="2609053D">
            <w:pPr>
              <w:pStyle w:val="48"/>
              <w:jc w:val="center"/>
              <w:rPr>
                <w:rFonts w:ascii="Times New Roman" w:eastAsia="宋体" w:cs="Times New Roman"/>
                <w:color w:val="auto"/>
                <w:sz w:val="21"/>
                <w:szCs w:val="21"/>
              </w:rPr>
            </w:pPr>
          </w:p>
        </w:tc>
      </w:tr>
      <w:tr w14:paraId="5F274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25E0E484">
            <w:pPr>
              <w:pStyle w:val="48"/>
              <w:jc w:val="center"/>
              <w:rPr>
                <w:rFonts w:ascii="Times New Roman" w:eastAsia="宋体" w:cs="Times New Roman"/>
                <w:color w:val="auto"/>
                <w:sz w:val="21"/>
                <w:szCs w:val="21"/>
              </w:rPr>
            </w:pPr>
          </w:p>
        </w:tc>
        <w:tc>
          <w:tcPr>
            <w:tcW w:w="286" w:type="pct"/>
            <w:tcBorders>
              <w:tl2br w:val="nil"/>
              <w:tr2bl w:val="nil"/>
            </w:tcBorders>
            <w:vAlign w:val="center"/>
          </w:tcPr>
          <w:p w14:paraId="01D228CC">
            <w:pPr>
              <w:pStyle w:val="48"/>
              <w:jc w:val="center"/>
              <w:rPr>
                <w:rFonts w:ascii="Times New Roman" w:eastAsia="宋体" w:cs="Times New Roman"/>
                <w:color w:val="auto"/>
                <w:sz w:val="21"/>
                <w:szCs w:val="21"/>
              </w:rPr>
            </w:pPr>
            <w:r>
              <w:rPr>
                <w:rFonts w:ascii="Times New Roman" w:eastAsia="宋体" w:cs="Times New Roman"/>
                <w:color w:val="auto"/>
                <w:sz w:val="21"/>
                <w:szCs w:val="21"/>
              </w:rPr>
              <w:t>3</w:t>
            </w:r>
          </w:p>
        </w:tc>
        <w:tc>
          <w:tcPr>
            <w:tcW w:w="892" w:type="pct"/>
            <w:tcBorders>
              <w:tl2br w:val="nil"/>
              <w:tr2bl w:val="nil"/>
            </w:tcBorders>
            <w:vAlign w:val="center"/>
          </w:tcPr>
          <w:p w14:paraId="5C99E31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龙湛木业海安有限公司</w:t>
            </w:r>
          </w:p>
        </w:tc>
        <w:tc>
          <w:tcPr>
            <w:tcW w:w="526" w:type="pct"/>
            <w:tcBorders>
              <w:tl2br w:val="nil"/>
              <w:tr2bl w:val="nil"/>
            </w:tcBorders>
            <w:vAlign w:val="center"/>
          </w:tcPr>
          <w:p w14:paraId="0D90D5C4">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09FEB17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440</w:t>
            </w:r>
          </w:p>
        </w:tc>
        <w:tc>
          <w:tcPr>
            <w:tcW w:w="618" w:type="pct"/>
            <w:tcBorders>
              <w:tl2br w:val="nil"/>
              <w:tr2bl w:val="nil"/>
            </w:tcBorders>
            <w:vAlign w:val="center"/>
          </w:tcPr>
          <w:p w14:paraId="24892C75">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245EBB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15026660117</w:t>
            </w:r>
          </w:p>
        </w:tc>
        <w:tc>
          <w:tcPr>
            <w:tcW w:w="980" w:type="pct"/>
            <w:vMerge w:val="continue"/>
            <w:tcBorders>
              <w:tl2br w:val="nil"/>
              <w:tr2bl w:val="nil"/>
            </w:tcBorders>
            <w:vAlign w:val="center"/>
          </w:tcPr>
          <w:p w14:paraId="26A5C24B">
            <w:pPr>
              <w:pStyle w:val="48"/>
              <w:jc w:val="center"/>
              <w:rPr>
                <w:rFonts w:ascii="Times New Roman" w:eastAsia="宋体" w:cs="Times New Roman"/>
                <w:color w:val="auto"/>
                <w:sz w:val="21"/>
                <w:szCs w:val="21"/>
              </w:rPr>
            </w:pPr>
          </w:p>
        </w:tc>
      </w:tr>
      <w:tr w14:paraId="68010A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0017C815">
            <w:pPr>
              <w:pStyle w:val="48"/>
              <w:jc w:val="center"/>
              <w:rPr>
                <w:rFonts w:ascii="Times New Roman" w:eastAsia="宋体" w:cs="Times New Roman"/>
                <w:color w:val="auto"/>
                <w:sz w:val="21"/>
                <w:szCs w:val="21"/>
              </w:rPr>
            </w:pPr>
          </w:p>
        </w:tc>
        <w:tc>
          <w:tcPr>
            <w:tcW w:w="286" w:type="pct"/>
            <w:tcBorders>
              <w:tl2br w:val="nil"/>
              <w:tr2bl w:val="nil"/>
            </w:tcBorders>
            <w:vAlign w:val="center"/>
          </w:tcPr>
          <w:p w14:paraId="16B4C60F">
            <w:pPr>
              <w:pStyle w:val="48"/>
              <w:jc w:val="center"/>
              <w:rPr>
                <w:rFonts w:ascii="Times New Roman" w:eastAsia="宋体" w:cs="Times New Roman"/>
                <w:color w:val="auto"/>
                <w:sz w:val="21"/>
                <w:szCs w:val="21"/>
              </w:rPr>
            </w:pPr>
            <w:r>
              <w:rPr>
                <w:rFonts w:ascii="Times New Roman" w:eastAsia="宋体" w:cs="Times New Roman"/>
                <w:color w:val="auto"/>
                <w:sz w:val="21"/>
                <w:szCs w:val="21"/>
              </w:rPr>
              <w:t>4</w:t>
            </w:r>
          </w:p>
        </w:tc>
        <w:tc>
          <w:tcPr>
            <w:tcW w:w="892" w:type="pct"/>
            <w:tcBorders>
              <w:tl2br w:val="nil"/>
              <w:tr2bl w:val="nil"/>
            </w:tcBorders>
            <w:vAlign w:val="center"/>
          </w:tcPr>
          <w:p w14:paraId="44175610">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海安金锐达家具有限公司</w:t>
            </w:r>
          </w:p>
        </w:tc>
        <w:tc>
          <w:tcPr>
            <w:tcW w:w="526" w:type="pct"/>
            <w:tcBorders>
              <w:tl2br w:val="nil"/>
              <w:tr2bl w:val="nil"/>
            </w:tcBorders>
            <w:vAlign w:val="center"/>
          </w:tcPr>
          <w:p w14:paraId="7ABA7B10">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2762E58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360</w:t>
            </w:r>
          </w:p>
        </w:tc>
        <w:tc>
          <w:tcPr>
            <w:tcW w:w="618" w:type="pct"/>
            <w:tcBorders>
              <w:tl2br w:val="nil"/>
              <w:tr2bl w:val="nil"/>
            </w:tcBorders>
            <w:vAlign w:val="center"/>
          </w:tcPr>
          <w:p w14:paraId="1EBB7DDC">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4315B1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13862965588</w:t>
            </w:r>
          </w:p>
        </w:tc>
        <w:tc>
          <w:tcPr>
            <w:tcW w:w="980" w:type="pct"/>
            <w:vMerge w:val="continue"/>
            <w:tcBorders>
              <w:tl2br w:val="nil"/>
              <w:tr2bl w:val="nil"/>
            </w:tcBorders>
            <w:vAlign w:val="center"/>
          </w:tcPr>
          <w:p w14:paraId="06B14139">
            <w:pPr>
              <w:pStyle w:val="48"/>
              <w:jc w:val="center"/>
              <w:rPr>
                <w:rFonts w:ascii="Times New Roman" w:eastAsia="宋体" w:cs="Times New Roman"/>
                <w:color w:val="auto"/>
                <w:sz w:val="21"/>
                <w:szCs w:val="21"/>
              </w:rPr>
            </w:pPr>
          </w:p>
        </w:tc>
      </w:tr>
      <w:tr w14:paraId="78E07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4463EEC9">
            <w:pPr>
              <w:pStyle w:val="48"/>
              <w:jc w:val="center"/>
              <w:rPr>
                <w:rFonts w:ascii="Times New Roman" w:eastAsia="宋体" w:cs="Times New Roman"/>
                <w:color w:val="auto"/>
                <w:sz w:val="21"/>
                <w:szCs w:val="21"/>
              </w:rPr>
            </w:pPr>
          </w:p>
        </w:tc>
        <w:tc>
          <w:tcPr>
            <w:tcW w:w="286" w:type="pct"/>
            <w:tcBorders>
              <w:tl2br w:val="nil"/>
              <w:tr2bl w:val="nil"/>
            </w:tcBorders>
            <w:vAlign w:val="center"/>
          </w:tcPr>
          <w:p w14:paraId="52A0D934">
            <w:pPr>
              <w:pStyle w:val="48"/>
              <w:jc w:val="center"/>
              <w:rPr>
                <w:rFonts w:ascii="Times New Roman" w:eastAsia="宋体" w:cs="Times New Roman"/>
                <w:color w:val="auto"/>
                <w:sz w:val="21"/>
                <w:szCs w:val="21"/>
              </w:rPr>
            </w:pPr>
            <w:r>
              <w:rPr>
                <w:rFonts w:ascii="Times New Roman" w:eastAsia="宋体" w:cs="Times New Roman"/>
                <w:color w:val="auto"/>
                <w:sz w:val="21"/>
                <w:szCs w:val="21"/>
              </w:rPr>
              <w:t>5</w:t>
            </w:r>
          </w:p>
        </w:tc>
        <w:tc>
          <w:tcPr>
            <w:tcW w:w="892" w:type="pct"/>
            <w:tcBorders>
              <w:tl2br w:val="nil"/>
              <w:tr2bl w:val="nil"/>
            </w:tcBorders>
            <w:vAlign w:val="center"/>
          </w:tcPr>
          <w:p w14:paraId="05FA551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江苏特易家具有限公司</w:t>
            </w:r>
          </w:p>
        </w:tc>
        <w:tc>
          <w:tcPr>
            <w:tcW w:w="526" w:type="pct"/>
            <w:tcBorders>
              <w:tl2br w:val="nil"/>
              <w:tr2bl w:val="nil"/>
            </w:tcBorders>
            <w:vAlign w:val="center"/>
          </w:tcPr>
          <w:p w14:paraId="3863B9A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398B7CE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400</w:t>
            </w:r>
          </w:p>
        </w:tc>
        <w:tc>
          <w:tcPr>
            <w:tcW w:w="618" w:type="pct"/>
            <w:tcBorders>
              <w:tl2br w:val="nil"/>
              <w:tr2bl w:val="nil"/>
            </w:tcBorders>
            <w:vAlign w:val="center"/>
          </w:tcPr>
          <w:p w14:paraId="3058B5C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50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79537A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18914358169</w:t>
            </w:r>
          </w:p>
        </w:tc>
        <w:tc>
          <w:tcPr>
            <w:tcW w:w="980" w:type="pct"/>
            <w:vMerge w:val="continue"/>
            <w:tcBorders>
              <w:tl2br w:val="nil"/>
              <w:tr2bl w:val="nil"/>
            </w:tcBorders>
            <w:vAlign w:val="center"/>
          </w:tcPr>
          <w:p w14:paraId="2D9D637F">
            <w:pPr>
              <w:pStyle w:val="48"/>
              <w:jc w:val="center"/>
              <w:rPr>
                <w:rFonts w:ascii="Times New Roman" w:eastAsia="宋体" w:cs="Times New Roman"/>
                <w:color w:val="auto"/>
                <w:sz w:val="21"/>
                <w:szCs w:val="21"/>
              </w:rPr>
            </w:pPr>
          </w:p>
        </w:tc>
      </w:tr>
      <w:tr w14:paraId="52129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0EE9E1F9">
            <w:pPr>
              <w:pStyle w:val="48"/>
              <w:jc w:val="center"/>
              <w:rPr>
                <w:rFonts w:ascii="Times New Roman" w:eastAsia="宋体" w:cs="Times New Roman"/>
                <w:color w:val="auto"/>
                <w:sz w:val="21"/>
                <w:szCs w:val="21"/>
              </w:rPr>
            </w:pPr>
          </w:p>
        </w:tc>
        <w:tc>
          <w:tcPr>
            <w:tcW w:w="286" w:type="pct"/>
            <w:tcBorders>
              <w:tl2br w:val="nil"/>
              <w:tr2bl w:val="nil"/>
            </w:tcBorders>
            <w:vAlign w:val="center"/>
          </w:tcPr>
          <w:p w14:paraId="723B53CE">
            <w:pPr>
              <w:pStyle w:val="48"/>
              <w:jc w:val="center"/>
              <w:rPr>
                <w:rFonts w:ascii="Times New Roman" w:eastAsia="宋体" w:cs="Times New Roman"/>
                <w:color w:val="auto"/>
                <w:sz w:val="21"/>
                <w:szCs w:val="21"/>
              </w:rPr>
            </w:pPr>
            <w:r>
              <w:rPr>
                <w:rFonts w:ascii="Times New Roman" w:eastAsia="宋体" w:cs="Times New Roman"/>
                <w:color w:val="auto"/>
                <w:sz w:val="21"/>
                <w:szCs w:val="21"/>
              </w:rPr>
              <w:t>6</w:t>
            </w:r>
          </w:p>
        </w:tc>
        <w:tc>
          <w:tcPr>
            <w:tcW w:w="892" w:type="pct"/>
            <w:tcBorders>
              <w:tl2br w:val="nil"/>
              <w:tr2bl w:val="nil"/>
            </w:tcBorders>
            <w:vAlign w:val="center"/>
          </w:tcPr>
          <w:p w14:paraId="17AC4A72">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南通弘毅家具有限公司</w:t>
            </w:r>
          </w:p>
        </w:tc>
        <w:tc>
          <w:tcPr>
            <w:tcW w:w="526" w:type="pct"/>
            <w:tcBorders>
              <w:tl2br w:val="nil"/>
              <w:tr2bl w:val="nil"/>
            </w:tcBorders>
            <w:vAlign w:val="center"/>
          </w:tcPr>
          <w:p w14:paraId="083265C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243CB4A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400</w:t>
            </w:r>
          </w:p>
        </w:tc>
        <w:tc>
          <w:tcPr>
            <w:tcW w:w="618" w:type="pct"/>
            <w:tcBorders>
              <w:tl2br w:val="nil"/>
              <w:tr2bl w:val="nil"/>
            </w:tcBorders>
            <w:vAlign w:val="center"/>
          </w:tcPr>
          <w:p w14:paraId="64B8256A">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187762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13429207072</w:t>
            </w:r>
          </w:p>
        </w:tc>
        <w:tc>
          <w:tcPr>
            <w:tcW w:w="980" w:type="pct"/>
            <w:vMerge w:val="continue"/>
            <w:tcBorders>
              <w:tl2br w:val="nil"/>
              <w:tr2bl w:val="nil"/>
            </w:tcBorders>
            <w:vAlign w:val="center"/>
          </w:tcPr>
          <w:p w14:paraId="1E0C8874">
            <w:pPr>
              <w:pStyle w:val="48"/>
              <w:jc w:val="center"/>
              <w:rPr>
                <w:rFonts w:ascii="Times New Roman" w:eastAsia="宋体" w:cs="Times New Roman"/>
                <w:color w:val="auto"/>
                <w:sz w:val="21"/>
                <w:szCs w:val="21"/>
              </w:rPr>
            </w:pPr>
          </w:p>
        </w:tc>
      </w:tr>
      <w:tr w14:paraId="7FFB5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584B0E46">
            <w:pPr>
              <w:pStyle w:val="48"/>
              <w:jc w:val="center"/>
              <w:rPr>
                <w:rFonts w:ascii="Times New Roman" w:eastAsia="宋体" w:cs="Times New Roman"/>
                <w:color w:val="auto"/>
                <w:sz w:val="21"/>
                <w:szCs w:val="21"/>
              </w:rPr>
            </w:pPr>
          </w:p>
        </w:tc>
        <w:tc>
          <w:tcPr>
            <w:tcW w:w="286" w:type="pct"/>
            <w:tcBorders>
              <w:tl2br w:val="nil"/>
              <w:tr2bl w:val="nil"/>
            </w:tcBorders>
            <w:vAlign w:val="center"/>
          </w:tcPr>
          <w:p w14:paraId="569D09F9">
            <w:pPr>
              <w:pStyle w:val="48"/>
              <w:jc w:val="center"/>
              <w:rPr>
                <w:rFonts w:ascii="Times New Roman" w:eastAsia="宋体" w:cs="Times New Roman"/>
                <w:color w:val="auto"/>
                <w:sz w:val="21"/>
                <w:szCs w:val="21"/>
              </w:rPr>
            </w:pPr>
            <w:r>
              <w:rPr>
                <w:rFonts w:ascii="Times New Roman" w:eastAsia="宋体" w:cs="Times New Roman"/>
                <w:color w:val="auto"/>
                <w:sz w:val="21"/>
                <w:szCs w:val="21"/>
              </w:rPr>
              <w:t>7</w:t>
            </w:r>
          </w:p>
        </w:tc>
        <w:tc>
          <w:tcPr>
            <w:tcW w:w="892" w:type="pct"/>
            <w:tcBorders>
              <w:tl2br w:val="nil"/>
              <w:tr2bl w:val="nil"/>
            </w:tcBorders>
            <w:vAlign w:val="center"/>
          </w:tcPr>
          <w:p w14:paraId="0380DB00">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江苏木林阁家具有限公司</w:t>
            </w:r>
          </w:p>
        </w:tc>
        <w:tc>
          <w:tcPr>
            <w:tcW w:w="526" w:type="pct"/>
            <w:tcBorders>
              <w:tl2br w:val="nil"/>
              <w:tr2bl w:val="nil"/>
            </w:tcBorders>
            <w:vAlign w:val="center"/>
          </w:tcPr>
          <w:p w14:paraId="0ADA48CA">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527" w:type="pct"/>
            <w:tcBorders>
              <w:tl2br w:val="nil"/>
              <w:tr2bl w:val="nil"/>
            </w:tcBorders>
            <w:vAlign w:val="center"/>
          </w:tcPr>
          <w:p w14:paraId="0946A42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390</w:t>
            </w:r>
          </w:p>
        </w:tc>
        <w:tc>
          <w:tcPr>
            <w:tcW w:w="618" w:type="pct"/>
            <w:tcBorders>
              <w:tl2br w:val="nil"/>
              <w:tr2bl w:val="nil"/>
            </w:tcBorders>
            <w:vAlign w:val="center"/>
          </w:tcPr>
          <w:p w14:paraId="70640FFA">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552652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13814845343</w:t>
            </w:r>
          </w:p>
        </w:tc>
        <w:tc>
          <w:tcPr>
            <w:tcW w:w="980" w:type="pct"/>
            <w:vMerge w:val="continue"/>
            <w:tcBorders>
              <w:tl2br w:val="nil"/>
              <w:tr2bl w:val="nil"/>
            </w:tcBorders>
            <w:vAlign w:val="center"/>
          </w:tcPr>
          <w:p w14:paraId="493A1EC3">
            <w:pPr>
              <w:pStyle w:val="48"/>
              <w:jc w:val="center"/>
              <w:rPr>
                <w:rFonts w:ascii="Times New Roman" w:eastAsia="宋体" w:cs="Times New Roman"/>
                <w:color w:val="auto"/>
                <w:sz w:val="21"/>
                <w:szCs w:val="21"/>
              </w:rPr>
            </w:pPr>
          </w:p>
        </w:tc>
      </w:tr>
      <w:tr w14:paraId="53A15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0B7A0D8B">
            <w:pPr>
              <w:pStyle w:val="48"/>
              <w:jc w:val="center"/>
              <w:rPr>
                <w:rFonts w:ascii="Times New Roman" w:eastAsia="宋体" w:cs="Times New Roman"/>
                <w:color w:val="auto"/>
                <w:sz w:val="21"/>
                <w:szCs w:val="21"/>
              </w:rPr>
            </w:pPr>
          </w:p>
        </w:tc>
        <w:tc>
          <w:tcPr>
            <w:tcW w:w="286" w:type="pct"/>
            <w:tcBorders>
              <w:tl2br w:val="nil"/>
              <w:tr2bl w:val="nil"/>
            </w:tcBorders>
            <w:vAlign w:val="center"/>
          </w:tcPr>
          <w:p w14:paraId="3F819360">
            <w:pPr>
              <w:pStyle w:val="48"/>
              <w:jc w:val="center"/>
              <w:rPr>
                <w:rFonts w:ascii="Times New Roman" w:eastAsia="宋体" w:cs="Times New Roman"/>
                <w:color w:val="auto"/>
                <w:sz w:val="21"/>
                <w:szCs w:val="21"/>
              </w:rPr>
            </w:pPr>
            <w:r>
              <w:rPr>
                <w:rFonts w:ascii="Times New Roman" w:eastAsia="宋体" w:cs="Times New Roman"/>
                <w:color w:val="auto"/>
                <w:sz w:val="21"/>
                <w:szCs w:val="21"/>
              </w:rPr>
              <w:t>8</w:t>
            </w:r>
          </w:p>
        </w:tc>
        <w:tc>
          <w:tcPr>
            <w:tcW w:w="892" w:type="pct"/>
            <w:tcBorders>
              <w:tl2br w:val="nil"/>
              <w:tr2bl w:val="nil"/>
            </w:tcBorders>
            <w:vAlign w:val="center"/>
          </w:tcPr>
          <w:p w14:paraId="3236AA5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江苏澳仕卡家具有限公司</w:t>
            </w:r>
          </w:p>
        </w:tc>
        <w:tc>
          <w:tcPr>
            <w:tcW w:w="526" w:type="pct"/>
            <w:tcBorders>
              <w:tl2br w:val="nil"/>
              <w:tr2bl w:val="nil"/>
            </w:tcBorders>
            <w:vAlign w:val="center"/>
          </w:tcPr>
          <w:p w14:paraId="78B6B5D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527" w:type="pct"/>
            <w:tcBorders>
              <w:tl2br w:val="nil"/>
              <w:tr2bl w:val="nil"/>
            </w:tcBorders>
            <w:vAlign w:val="center"/>
          </w:tcPr>
          <w:p w14:paraId="2E0729B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350</w:t>
            </w:r>
          </w:p>
        </w:tc>
        <w:tc>
          <w:tcPr>
            <w:tcW w:w="618" w:type="pct"/>
            <w:tcBorders>
              <w:tl2br w:val="nil"/>
              <w:tr2bl w:val="nil"/>
            </w:tcBorders>
            <w:vAlign w:val="center"/>
          </w:tcPr>
          <w:p w14:paraId="512AA93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3B6219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18521085856</w:t>
            </w:r>
          </w:p>
        </w:tc>
        <w:tc>
          <w:tcPr>
            <w:tcW w:w="980" w:type="pct"/>
            <w:vMerge w:val="continue"/>
            <w:tcBorders>
              <w:tl2br w:val="nil"/>
              <w:tr2bl w:val="nil"/>
            </w:tcBorders>
            <w:vAlign w:val="center"/>
          </w:tcPr>
          <w:p w14:paraId="0454BA85">
            <w:pPr>
              <w:pStyle w:val="48"/>
              <w:jc w:val="center"/>
              <w:rPr>
                <w:rFonts w:ascii="Times New Roman" w:eastAsia="宋体" w:cs="Times New Roman"/>
                <w:color w:val="auto"/>
                <w:sz w:val="21"/>
                <w:szCs w:val="21"/>
              </w:rPr>
            </w:pPr>
          </w:p>
        </w:tc>
      </w:tr>
      <w:tr w14:paraId="22AAF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0D781F0F">
            <w:pPr>
              <w:pStyle w:val="48"/>
              <w:jc w:val="center"/>
              <w:rPr>
                <w:rFonts w:ascii="Times New Roman" w:eastAsia="宋体" w:cs="Times New Roman"/>
                <w:color w:val="auto"/>
                <w:sz w:val="21"/>
                <w:szCs w:val="21"/>
              </w:rPr>
            </w:pPr>
          </w:p>
        </w:tc>
        <w:tc>
          <w:tcPr>
            <w:tcW w:w="286" w:type="pct"/>
            <w:tcBorders>
              <w:tl2br w:val="nil"/>
              <w:tr2bl w:val="nil"/>
            </w:tcBorders>
            <w:vAlign w:val="center"/>
          </w:tcPr>
          <w:p w14:paraId="3F3CFA1A">
            <w:pPr>
              <w:pStyle w:val="48"/>
              <w:jc w:val="center"/>
              <w:rPr>
                <w:rFonts w:ascii="Times New Roman" w:eastAsia="宋体" w:cs="Times New Roman"/>
                <w:color w:val="auto"/>
                <w:sz w:val="21"/>
                <w:szCs w:val="21"/>
              </w:rPr>
            </w:pPr>
            <w:r>
              <w:rPr>
                <w:rFonts w:hint="eastAsia" w:ascii="Times New Roman" w:eastAsia="宋体" w:cs="Times New Roman"/>
                <w:color w:val="auto"/>
                <w:sz w:val="21"/>
                <w:szCs w:val="21"/>
              </w:rPr>
              <w:t>9</w:t>
            </w:r>
          </w:p>
        </w:tc>
        <w:tc>
          <w:tcPr>
            <w:tcW w:w="892" w:type="pct"/>
            <w:tcBorders>
              <w:tl2br w:val="nil"/>
              <w:tr2bl w:val="nil"/>
            </w:tcBorders>
            <w:vAlign w:val="center"/>
          </w:tcPr>
          <w:p w14:paraId="535EBBF0">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江苏鼎锃科技有限公司</w:t>
            </w:r>
          </w:p>
        </w:tc>
        <w:tc>
          <w:tcPr>
            <w:tcW w:w="526" w:type="pct"/>
            <w:tcBorders>
              <w:tl2br w:val="nil"/>
              <w:tr2bl w:val="nil"/>
            </w:tcBorders>
            <w:vAlign w:val="center"/>
          </w:tcPr>
          <w:p w14:paraId="38DF77C2">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1926A89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350</w:t>
            </w:r>
          </w:p>
        </w:tc>
        <w:tc>
          <w:tcPr>
            <w:tcW w:w="618" w:type="pct"/>
            <w:tcBorders>
              <w:tl2br w:val="nil"/>
              <w:tr2bl w:val="nil"/>
            </w:tcBorders>
            <w:vAlign w:val="center"/>
          </w:tcPr>
          <w:p w14:paraId="6904922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5C6D71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13651870085</w:t>
            </w:r>
          </w:p>
        </w:tc>
        <w:tc>
          <w:tcPr>
            <w:tcW w:w="980" w:type="pct"/>
            <w:vMerge w:val="continue"/>
            <w:tcBorders>
              <w:tl2br w:val="nil"/>
              <w:tr2bl w:val="nil"/>
            </w:tcBorders>
            <w:vAlign w:val="center"/>
          </w:tcPr>
          <w:p w14:paraId="6513A49A">
            <w:pPr>
              <w:pStyle w:val="48"/>
              <w:jc w:val="center"/>
              <w:rPr>
                <w:rFonts w:ascii="Times New Roman" w:eastAsia="宋体" w:cs="Times New Roman"/>
                <w:color w:val="auto"/>
                <w:sz w:val="21"/>
                <w:szCs w:val="21"/>
              </w:rPr>
            </w:pPr>
          </w:p>
        </w:tc>
      </w:tr>
      <w:tr w14:paraId="34895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1B4312D8">
            <w:pPr>
              <w:pStyle w:val="48"/>
              <w:jc w:val="center"/>
              <w:rPr>
                <w:rFonts w:ascii="Times New Roman" w:eastAsia="宋体" w:cs="Times New Roman"/>
                <w:color w:val="auto"/>
                <w:sz w:val="21"/>
                <w:szCs w:val="21"/>
              </w:rPr>
            </w:pPr>
          </w:p>
        </w:tc>
        <w:tc>
          <w:tcPr>
            <w:tcW w:w="286" w:type="pct"/>
            <w:tcBorders>
              <w:tl2br w:val="nil"/>
              <w:tr2bl w:val="nil"/>
            </w:tcBorders>
            <w:vAlign w:val="center"/>
          </w:tcPr>
          <w:p w14:paraId="32A0D05C">
            <w:pPr>
              <w:pStyle w:val="48"/>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10</w:t>
            </w:r>
          </w:p>
        </w:tc>
        <w:tc>
          <w:tcPr>
            <w:tcW w:w="892" w:type="pct"/>
            <w:tcBorders>
              <w:tl2br w:val="nil"/>
              <w:tr2bl w:val="nil"/>
            </w:tcBorders>
            <w:vAlign w:val="center"/>
          </w:tcPr>
          <w:p w14:paraId="44848C48">
            <w:pPr>
              <w:widowControl/>
              <w:jc w:val="center"/>
              <w:rPr>
                <w:rFonts w:hint="eastAsia" w:eastAsia="宋体" w:cs="Times New Roman"/>
                <w:color w:val="000000"/>
                <w:kern w:val="0"/>
                <w:sz w:val="21"/>
                <w:szCs w:val="21"/>
                <w:vertAlign w:val="baseline"/>
                <w:lang w:val="en-US" w:eastAsia="zh-CN" w:bidi="ar-SA"/>
              </w:rPr>
            </w:pPr>
            <w:r>
              <w:rPr>
                <w:rFonts w:hint="eastAsia" w:eastAsia="宋体" w:cs="Times New Roman"/>
                <w:color w:val="auto"/>
                <w:sz w:val="21"/>
                <w:szCs w:val="21"/>
                <w:lang w:val="en-US" w:eastAsia="zh-CN"/>
              </w:rPr>
              <w:t>东部家具创业孵化园</w:t>
            </w:r>
          </w:p>
        </w:tc>
        <w:tc>
          <w:tcPr>
            <w:tcW w:w="526" w:type="pct"/>
            <w:tcBorders>
              <w:tl2br w:val="nil"/>
              <w:tr2bl w:val="nil"/>
            </w:tcBorders>
            <w:vAlign w:val="center"/>
          </w:tcPr>
          <w:p w14:paraId="7DE866D1">
            <w:pPr>
              <w:widowControl/>
              <w:jc w:val="center"/>
              <w:rPr>
                <w:rFonts w:hint="default"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w:t>
            </w:r>
          </w:p>
        </w:tc>
        <w:tc>
          <w:tcPr>
            <w:tcW w:w="527" w:type="pct"/>
            <w:tcBorders>
              <w:tl2br w:val="nil"/>
              <w:tr2bl w:val="nil"/>
            </w:tcBorders>
            <w:vAlign w:val="center"/>
          </w:tcPr>
          <w:p w14:paraId="13D49D13">
            <w:pPr>
              <w:widowControl/>
              <w:jc w:val="center"/>
              <w:rPr>
                <w:rFonts w:hint="default"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w:t>
            </w:r>
          </w:p>
        </w:tc>
        <w:tc>
          <w:tcPr>
            <w:tcW w:w="618" w:type="pct"/>
            <w:tcBorders>
              <w:tl2br w:val="nil"/>
              <w:tr2bl w:val="nil"/>
            </w:tcBorders>
            <w:vAlign w:val="center"/>
          </w:tcPr>
          <w:p w14:paraId="1E9212F4">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1000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300ABA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s="Times New Roman"/>
                <w:sz w:val="21"/>
                <w:szCs w:val="21"/>
                <w:vertAlign w:val="baseline"/>
                <w:lang w:val="en-US" w:eastAsia="zh-CN" w:bidi="ar-SA"/>
              </w:rPr>
            </w:pPr>
            <w:r>
              <w:rPr>
                <w:rFonts w:hint="eastAsia" w:eastAsia="宋体" w:cs="Times New Roman"/>
                <w:sz w:val="21"/>
                <w:szCs w:val="21"/>
                <w:vertAlign w:val="baseline"/>
                <w:lang w:val="en-US" w:eastAsia="zh-CN" w:bidi="ar-SA"/>
              </w:rPr>
              <w:t>/</w:t>
            </w:r>
          </w:p>
        </w:tc>
        <w:tc>
          <w:tcPr>
            <w:tcW w:w="980" w:type="pct"/>
            <w:vMerge w:val="continue"/>
            <w:tcBorders>
              <w:tl2br w:val="nil"/>
              <w:tr2bl w:val="nil"/>
            </w:tcBorders>
            <w:vAlign w:val="center"/>
          </w:tcPr>
          <w:p w14:paraId="60218B3C">
            <w:pPr>
              <w:pStyle w:val="48"/>
              <w:jc w:val="center"/>
              <w:rPr>
                <w:rFonts w:ascii="Times New Roman" w:eastAsia="宋体" w:cs="Times New Roman"/>
                <w:color w:val="auto"/>
                <w:sz w:val="21"/>
                <w:szCs w:val="21"/>
              </w:rPr>
            </w:pPr>
          </w:p>
        </w:tc>
      </w:tr>
      <w:tr w14:paraId="2E3ED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28091A8F">
            <w:pPr>
              <w:pStyle w:val="48"/>
              <w:jc w:val="center"/>
              <w:rPr>
                <w:rFonts w:ascii="Times New Roman" w:eastAsia="宋体" w:cs="Times New Roman"/>
                <w:color w:val="auto"/>
                <w:sz w:val="21"/>
                <w:szCs w:val="21"/>
              </w:rPr>
            </w:pPr>
          </w:p>
        </w:tc>
        <w:tc>
          <w:tcPr>
            <w:tcW w:w="2232" w:type="pct"/>
            <w:gridSpan w:val="4"/>
            <w:tcBorders>
              <w:tl2br w:val="nil"/>
              <w:tr2bl w:val="nil"/>
            </w:tcBorders>
            <w:vAlign w:val="center"/>
          </w:tcPr>
          <w:p w14:paraId="64123D5A">
            <w:pPr>
              <w:pStyle w:val="48"/>
              <w:jc w:val="center"/>
              <w:rPr>
                <w:rFonts w:ascii="Times New Roman" w:eastAsia="宋体" w:cs="Times New Roman"/>
                <w:color w:val="auto"/>
                <w:sz w:val="21"/>
                <w:szCs w:val="21"/>
              </w:rPr>
            </w:pPr>
            <w:r>
              <w:rPr>
                <w:rFonts w:ascii="Times New Roman" w:eastAsia="宋体" w:cs="Times New Roman"/>
                <w:color w:val="auto"/>
                <w:sz w:val="21"/>
                <w:szCs w:val="21"/>
              </w:rPr>
              <w:t>总计人数</w:t>
            </w:r>
          </w:p>
        </w:tc>
        <w:tc>
          <w:tcPr>
            <w:tcW w:w="618" w:type="pct"/>
            <w:tcBorders>
              <w:tl2br w:val="nil"/>
              <w:tr2bl w:val="nil"/>
            </w:tcBorders>
            <w:vAlign w:val="center"/>
          </w:tcPr>
          <w:p w14:paraId="51452037">
            <w:pPr>
              <w:pStyle w:val="48"/>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rPr>
              <w:t>1</w:t>
            </w:r>
            <w:r>
              <w:rPr>
                <w:rFonts w:hint="eastAsia" w:ascii="Times New Roman" w:eastAsia="宋体" w:cs="Times New Roman"/>
                <w:color w:val="auto"/>
                <w:sz w:val="21"/>
                <w:szCs w:val="21"/>
                <w:lang w:val="en-US" w:eastAsia="zh-CN"/>
              </w:rPr>
              <w:t>670</w:t>
            </w:r>
          </w:p>
        </w:tc>
        <w:tc>
          <w:tcPr>
            <w:tcW w:w="839" w:type="pct"/>
            <w:tcBorders>
              <w:tl2br w:val="nil"/>
              <w:tr2bl w:val="nil"/>
            </w:tcBorders>
            <w:vAlign w:val="center"/>
          </w:tcPr>
          <w:p w14:paraId="0FB5EAC9">
            <w:pPr>
              <w:pStyle w:val="48"/>
              <w:jc w:val="center"/>
              <w:rPr>
                <w:rFonts w:ascii="Times New Roman" w:eastAsia="宋体" w:cs="Times New Roman"/>
                <w:color w:val="auto"/>
                <w:sz w:val="21"/>
                <w:szCs w:val="21"/>
              </w:rPr>
            </w:pPr>
            <w:r>
              <w:rPr>
                <w:rFonts w:hint="eastAsia" w:ascii="Times New Roman" w:eastAsia="宋体" w:cs="Times New Roman"/>
                <w:color w:val="auto"/>
                <w:sz w:val="21"/>
                <w:szCs w:val="21"/>
              </w:rPr>
              <w:t>/</w:t>
            </w:r>
          </w:p>
        </w:tc>
        <w:tc>
          <w:tcPr>
            <w:tcW w:w="980" w:type="pct"/>
            <w:vMerge w:val="continue"/>
            <w:tcBorders>
              <w:tl2br w:val="nil"/>
              <w:tr2bl w:val="nil"/>
            </w:tcBorders>
            <w:vAlign w:val="center"/>
          </w:tcPr>
          <w:p w14:paraId="3A8BB5D5">
            <w:pPr>
              <w:pStyle w:val="48"/>
              <w:jc w:val="center"/>
              <w:rPr>
                <w:rFonts w:ascii="Times New Roman" w:eastAsia="宋体" w:cs="Times New Roman"/>
                <w:color w:val="auto"/>
                <w:sz w:val="21"/>
                <w:szCs w:val="21"/>
              </w:rPr>
            </w:pPr>
          </w:p>
        </w:tc>
      </w:tr>
    </w:tbl>
    <w:p w14:paraId="03C6E2D1">
      <w:pPr>
        <w:adjustRightInd w:val="0"/>
        <w:snapToGrid w:val="0"/>
        <w:spacing w:line="480" w:lineRule="exact"/>
        <w:jc w:val="center"/>
        <w:rPr>
          <w:rFonts w:eastAsia="宋体"/>
          <w:b/>
          <w:bCs/>
          <w:color w:val="000000" w:themeColor="text1"/>
          <w:highlight w:val="yellow"/>
          <w14:textFill>
            <w14:solidFill>
              <w14:schemeClr w14:val="tx1"/>
            </w14:solidFill>
          </w14:textFill>
        </w:rPr>
      </w:pPr>
      <w:r>
        <w:rPr>
          <w:rFonts w:eastAsia="宋体"/>
          <w:b/>
          <w:bCs/>
          <w:color w:val="000000" w:themeColor="text1"/>
          <w14:textFill>
            <w14:solidFill>
              <w14:schemeClr w14:val="tx1"/>
            </w14:solidFill>
          </w14:textFill>
        </w:rPr>
        <w:t>表3-</w:t>
      </w:r>
      <w:r>
        <w:rPr>
          <w:rFonts w:hint="eastAsia" w:eastAsia="宋体"/>
          <w:b/>
          <w:bCs/>
          <w:color w:val="000000" w:themeColor="text1"/>
          <w14:textFill>
            <w14:solidFill>
              <w14:schemeClr w14:val="tx1"/>
            </w14:solidFill>
          </w14:textFill>
        </w:rPr>
        <w:t>5</w:t>
      </w:r>
      <w:r>
        <w:rPr>
          <w:rFonts w:hint="eastAsia" w:eastAsia="宋体"/>
          <w:b/>
          <w:bCs/>
          <w:color w:val="000000" w:themeColor="text1"/>
          <w:lang w:eastAsia="zh-CN"/>
          <w14:textFill>
            <w14:solidFill>
              <w14:schemeClr w14:val="tx1"/>
            </w14:solidFill>
          </w14:textFill>
        </w:rPr>
        <w:t>福内特家具</w:t>
      </w:r>
      <w:r>
        <w:rPr>
          <w:rFonts w:eastAsia="宋体"/>
          <w:b/>
          <w:bCs/>
          <w:color w:val="000000" w:themeColor="text1"/>
          <w:highlight w:val="none"/>
          <w14:textFill>
            <w14:solidFill>
              <w14:schemeClr w14:val="tx1"/>
            </w14:solidFill>
          </w14:textFill>
        </w:rPr>
        <w:t>周边5公里范</w:t>
      </w:r>
      <w:r>
        <w:rPr>
          <w:rFonts w:eastAsia="宋体"/>
          <w:b/>
          <w:bCs/>
          <w:color w:val="000000" w:themeColor="text1"/>
          <w14:textFill>
            <w14:solidFill>
              <w14:schemeClr w14:val="tx1"/>
            </w14:solidFill>
          </w14:textFill>
        </w:rPr>
        <w:t>围内大气环境风险受体</w:t>
      </w:r>
    </w:p>
    <w:tbl>
      <w:tblPr>
        <w:tblStyle w:val="3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689"/>
        <w:gridCol w:w="2058"/>
        <w:gridCol w:w="1231"/>
        <w:gridCol w:w="1218"/>
        <w:gridCol w:w="1441"/>
        <w:gridCol w:w="1942"/>
      </w:tblGrid>
      <w:tr w14:paraId="336BF3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restart"/>
            <w:tcBorders>
              <w:tl2br w:val="nil"/>
              <w:tr2bl w:val="nil"/>
            </w:tcBorders>
            <w:vAlign w:val="center"/>
          </w:tcPr>
          <w:p w14:paraId="4553897B">
            <w:pPr>
              <w:pStyle w:val="48"/>
              <w:jc w:val="center"/>
              <w:rPr>
                <w:rFonts w:ascii="Times New Roman" w:eastAsia="宋体" w:cs="Times New Roman"/>
                <w:b/>
                <w:bCs/>
                <w:color w:val="auto"/>
                <w:sz w:val="21"/>
                <w:szCs w:val="21"/>
              </w:rPr>
            </w:pPr>
            <w:r>
              <w:rPr>
                <w:rFonts w:ascii="Times New Roman" w:eastAsia="宋体" w:cs="Times New Roman"/>
                <w:b/>
                <w:bCs/>
                <w:color w:val="auto"/>
                <w:sz w:val="21"/>
                <w:szCs w:val="21"/>
              </w:rPr>
              <w:t>环境</w:t>
            </w:r>
          </w:p>
          <w:p w14:paraId="42F1E4DB">
            <w:pPr>
              <w:pStyle w:val="48"/>
              <w:jc w:val="center"/>
              <w:rPr>
                <w:rFonts w:ascii="Times New Roman" w:eastAsia="宋体" w:cs="Times New Roman"/>
                <w:b/>
                <w:bCs/>
                <w:color w:val="auto"/>
                <w:sz w:val="21"/>
                <w:szCs w:val="21"/>
              </w:rPr>
            </w:pPr>
            <w:r>
              <w:rPr>
                <w:rFonts w:ascii="Times New Roman" w:eastAsia="宋体" w:cs="Times New Roman"/>
                <w:b/>
                <w:bCs/>
                <w:color w:val="auto"/>
                <w:sz w:val="21"/>
                <w:szCs w:val="21"/>
              </w:rPr>
              <w:t>要素</w:t>
            </w:r>
          </w:p>
        </w:tc>
        <w:tc>
          <w:tcPr>
            <w:tcW w:w="1464" w:type="pct"/>
            <w:gridSpan w:val="2"/>
            <w:tcBorders>
              <w:tl2br w:val="nil"/>
              <w:tr2bl w:val="nil"/>
            </w:tcBorders>
            <w:vAlign w:val="center"/>
          </w:tcPr>
          <w:p w14:paraId="399809B0">
            <w:pPr>
              <w:pStyle w:val="48"/>
              <w:jc w:val="center"/>
              <w:rPr>
                <w:rFonts w:ascii="Times New Roman" w:eastAsia="宋体" w:cs="Times New Roman"/>
                <w:b/>
                <w:bCs/>
                <w:color w:val="auto"/>
                <w:sz w:val="21"/>
                <w:szCs w:val="21"/>
              </w:rPr>
            </w:pPr>
            <w:r>
              <w:rPr>
                <w:rFonts w:ascii="Times New Roman" w:eastAsia="宋体" w:cs="Times New Roman"/>
                <w:b/>
                <w:bCs/>
                <w:color w:val="auto"/>
                <w:sz w:val="21"/>
                <w:szCs w:val="21"/>
              </w:rPr>
              <w:t>环境保护对象名称</w:t>
            </w:r>
          </w:p>
        </w:tc>
        <w:tc>
          <w:tcPr>
            <w:tcW w:w="656" w:type="pct"/>
            <w:vMerge w:val="restart"/>
            <w:tcBorders>
              <w:tl2br w:val="nil"/>
              <w:tr2bl w:val="nil"/>
            </w:tcBorders>
            <w:vAlign w:val="center"/>
          </w:tcPr>
          <w:p w14:paraId="6EDB2D78">
            <w:pPr>
              <w:pStyle w:val="48"/>
              <w:jc w:val="center"/>
              <w:rPr>
                <w:rFonts w:ascii="Times New Roman" w:eastAsia="宋体" w:cs="Times New Roman"/>
                <w:b/>
                <w:bCs/>
                <w:color w:val="auto"/>
                <w:sz w:val="21"/>
                <w:szCs w:val="21"/>
              </w:rPr>
            </w:pPr>
            <w:r>
              <w:rPr>
                <w:rFonts w:ascii="Times New Roman" w:eastAsia="宋体" w:cs="Times New Roman"/>
                <w:b/>
                <w:bCs/>
                <w:color w:val="auto"/>
                <w:sz w:val="21"/>
                <w:szCs w:val="21"/>
              </w:rPr>
              <w:t>方位</w:t>
            </w:r>
          </w:p>
        </w:tc>
        <w:tc>
          <w:tcPr>
            <w:tcW w:w="648" w:type="pct"/>
            <w:vMerge w:val="restart"/>
            <w:tcBorders>
              <w:tl2br w:val="nil"/>
              <w:tr2bl w:val="nil"/>
            </w:tcBorders>
            <w:vAlign w:val="center"/>
          </w:tcPr>
          <w:p w14:paraId="510EE339">
            <w:pPr>
              <w:pStyle w:val="48"/>
              <w:jc w:val="center"/>
              <w:rPr>
                <w:rFonts w:ascii="Times New Roman" w:eastAsia="宋体" w:cs="Times New Roman"/>
                <w:b/>
                <w:bCs/>
                <w:color w:val="auto"/>
                <w:sz w:val="21"/>
                <w:szCs w:val="21"/>
              </w:rPr>
            </w:pPr>
            <w:r>
              <w:rPr>
                <w:rFonts w:ascii="Times New Roman" w:eastAsia="宋体" w:cs="Times New Roman"/>
                <w:b/>
                <w:bCs/>
                <w:color w:val="auto"/>
                <w:sz w:val="21"/>
                <w:szCs w:val="21"/>
              </w:rPr>
              <w:t>距项目厂界最近距离（m）</w:t>
            </w:r>
          </w:p>
        </w:tc>
        <w:tc>
          <w:tcPr>
            <w:tcW w:w="768" w:type="pct"/>
            <w:vMerge w:val="restart"/>
            <w:tcBorders>
              <w:tl2br w:val="nil"/>
              <w:tr2bl w:val="nil"/>
            </w:tcBorders>
            <w:vAlign w:val="center"/>
          </w:tcPr>
          <w:p w14:paraId="11CF71A2">
            <w:pPr>
              <w:pStyle w:val="48"/>
              <w:jc w:val="center"/>
              <w:rPr>
                <w:rFonts w:ascii="Times New Roman" w:eastAsia="宋体" w:cs="Times New Roman"/>
                <w:b/>
                <w:bCs/>
                <w:color w:val="auto"/>
                <w:sz w:val="21"/>
                <w:szCs w:val="21"/>
              </w:rPr>
            </w:pPr>
            <w:r>
              <w:rPr>
                <w:rFonts w:ascii="Times New Roman" w:eastAsia="宋体" w:cs="Times New Roman"/>
                <w:b/>
                <w:bCs/>
                <w:color w:val="auto"/>
                <w:sz w:val="21"/>
                <w:szCs w:val="21"/>
              </w:rPr>
              <w:t>规模（人）</w:t>
            </w:r>
          </w:p>
        </w:tc>
        <w:tc>
          <w:tcPr>
            <w:tcW w:w="1035" w:type="pct"/>
            <w:vMerge w:val="restart"/>
            <w:tcBorders>
              <w:tl2br w:val="nil"/>
              <w:tr2bl w:val="nil"/>
            </w:tcBorders>
            <w:vAlign w:val="center"/>
          </w:tcPr>
          <w:p w14:paraId="1D3F09B6">
            <w:pPr>
              <w:pStyle w:val="48"/>
              <w:jc w:val="center"/>
              <w:rPr>
                <w:rFonts w:ascii="Times New Roman" w:eastAsia="宋体" w:cs="Times New Roman"/>
                <w:b/>
                <w:bCs/>
                <w:color w:val="auto"/>
                <w:sz w:val="21"/>
                <w:szCs w:val="21"/>
              </w:rPr>
            </w:pPr>
            <w:r>
              <w:rPr>
                <w:rFonts w:ascii="Times New Roman" w:eastAsia="宋体" w:cs="Times New Roman"/>
                <w:b/>
                <w:bCs/>
                <w:color w:val="auto"/>
                <w:sz w:val="21"/>
                <w:szCs w:val="21"/>
              </w:rPr>
              <w:t>环境功能</w:t>
            </w:r>
          </w:p>
        </w:tc>
      </w:tr>
      <w:tr w14:paraId="6B1B7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2331B510">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7AED3791">
            <w:pPr>
              <w:pStyle w:val="48"/>
              <w:jc w:val="center"/>
              <w:rPr>
                <w:rFonts w:ascii="Times New Roman" w:eastAsia="宋体" w:cs="Times New Roman"/>
                <w:b/>
                <w:bCs/>
                <w:color w:val="auto"/>
                <w:sz w:val="21"/>
                <w:szCs w:val="21"/>
              </w:rPr>
            </w:pPr>
            <w:r>
              <w:rPr>
                <w:rFonts w:ascii="Times New Roman" w:eastAsia="宋体" w:cs="Times New Roman"/>
                <w:b/>
                <w:bCs/>
                <w:color w:val="auto"/>
                <w:sz w:val="21"/>
                <w:szCs w:val="21"/>
              </w:rPr>
              <w:t>序号</w:t>
            </w:r>
          </w:p>
        </w:tc>
        <w:tc>
          <w:tcPr>
            <w:tcW w:w="1097" w:type="pct"/>
            <w:tcBorders>
              <w:tl2br w:val="nil"/>
              <w:tr2bl w:val="nil"/>
            </w:tcBorders>
            <w:vAlign w:val="center"/>
          </w:tcPr>
          <w:p w14:paraId="79507489">
            <w:pPr>
              <w:pStyle w:val="48"/>
              <w:jc w:val="center"/>
              <w:rPr>
                <w:rFonts w:ascii="Times New Roman" w:eastAsia="宋体" w:cs="Times New Roman"/>
                <w:b/>
                <w:bCs/>
                <w:color w:val="auto"/>
                <w:sz w:val="21"/>
                <w:szCs w:val="21"/>
              </w:rPr>
            </w:pPr>
            <w:r>
              <w:rPr>
                <w:rFonts w:ascii="Times New Roman" w:eastAsia="宋体" w:cs="Times New Roman"/>
                <w:b/>
                <w:bCs/>
                <w:color w:val="auto"/>
                <w:sz w:val="21"/>
                <w:szCs w:val="21"/>
              </w:rPr>
              <w:t>敏感点</w:t>
            </w:r>
          </w:p>
        </w:tc>
        <w:tc>
          <w:tcPr>
            <w:tcW w:w="656" w:type="pct"/>
            <w:vMerge w:val="continue"/>
            <w:tcBorders>
              <w:tl2br w:val="nil"/>
              <w:tr2bl w:val="nil"/>
            </w:tcBorders>
            <w:vAlign w:val="center"/>
          </w:tcPr>
          <w:p w14:paraId="1A71AD8E">
            <w:pPr>
              <w:pStyle w:val="48"/>
              <w:jc w:val="center"/>
              <w:rPr>
                <w:rFonts w:ascii="Times New Roman" w:eastAsia="宋体" w:cs="Times New Roman"/>
                <w:color w:val="auto"/>
                <w:sz w:val="21"/>
                <w:szCs w:val="21"/>
              </w:rPr>
            </w:pPr>
          </w:p>
        </w:tc>
        <w:tc>
          <w:tcPr>
            <w:tcW w:w="648" w:type="pct"/>
            <w:vMerge w:val="continue"/>
            <w:tcBorders>
              <w:tl2br w:val="nil"/>
              <w:tr2bl w:val="nil"/>
            </w:tcBorders>
            <w:vAlign w:val="center"/>
          </w:tcPr>
          <w:p w14:paraId="30812AC6">
            <w:pPr>
              <w:pStyle w:val="48"/>
              <w:jc w:val="center"/>
              <w:rPr>
                <w:rFonts w:ascii="Times New Roman" w:eastAsia="宋体" w:cs="Times New Roman"/>
                <w:color w:val="auto"/>
                <w:sz w:val="21"/>
                <w:szCs w:val="21"/>
              </w:rPr>
            </w:pPr>
          </w:p>
        </w:tc>
        <w:tc>
          <w:tcPr>
            <w:tcW w:w="768" w:type="pct"/>
            <w:vMerge w:val="continue"/>
            <w:tcBorders>
              <w:tl2br w:val="nil"/>
              <w:tr2bl w:val="nil"/>
            </w:tcBorders>
            <w:vAlign w:val="center"/>
          </w:tcPr>
          <w:p w14:paraId="3922550E">
            <w:pPr>
              <w:pStyle w:val="48"/>
              <w:jc w:val="center"/>
              <w:rPr>
                <w:rFonts w:ascii="Times New Roman" w:eastAsia="宋体" w:cs="Times New Roman"/>
                <w:color w:val="auto"/>
                <w:sz w:val="21"/>
                <w:szCs w:val="21"/>
              </w:rPr>
            </w:pPr>
          </w:p>
        </w:tc>
        <w:tc>
          <w:tcPr>
            <w:tcW w:w="1035" w:type="pct"/>
            <w:vMerge w:val="continue"/>
            <w:tcBorders>
              <w:tl2br w:val="nil"/>
              <w:tr2bl w:val="nil"/>
            </w:tcBorders>
            <w:vAlign w:val="center"/>
          </w:tcPr>
          <w:p w14:paraId="4B41E4FA">
            <w:pPr>
              <w:pStyle w:val="48"/>
              <w:jc w:val="center"/>
              <w:rPr>
                <w:rFonts w:ascii="Times New Roman" w:eastAsia="宋体" w:cs="Times New Roman"/>
                <w:color w:val="auto"/>
                <w:sz w:val="21"/>
                <w:szCs w:val="21"/>
              </w:rPr>
            </w:pPr>
          </w:p>
        </w:tc>
      </w:tr>
      <w:tr w14:paraId="62136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62DCD579">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7C059A87">
            <w:pPr>
              <w:pStyle w:val="48"/>
              <w:jc w:val="center"/>
              <w:rPr>
                <w:rFonts w:ascii="Times New Roman" w:eastAsia="宋体" w:cs="Times New Roman"/>
                <w:color w:val="auto"/>
                <w:sz w:val="21"/>
                <w:szCs w:val="21"/>
              </w:rPr>
            </w:pPr>
            <w:r>
              <w:rPr>
                <w:rFonts w:ascii="Times New Roman" w:eastAsia="宋体" w:cs="Times New Roman"/>
                <w:color w:val="auto"/>
                <w:sz w:val="21"/>
                <w:szCs w:val="21"/>
              </w:rPr>
              <w:t>1</w:t>
            </w:r>
          </w:p>
        </w:tc>
        <w:tc>
          <w:tcPr>
            <w:tcW w:w="1097" w:type="pct"/>
            <w:tcBorders>
              <w:tl2br w:val="nil"/>
              <w:tr2bl w:val="nil"/>
            </w:tcBorders>
            <w:vAlign w:val="center"/>
          </w:tcPr>
          <w:p w14:paraId="39055029">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南通斐梵富实木业有限公司</w:t>
            </w:r>
          </w:p>
        </w:tc>
        <w:tc>
          <w:tcPr>
            <w:tcW w:w="656" w:type="pct"/>
            <w:tcBorders>
              <w:tl2br w:val="nil"/>
              <w:tr2bl w:val="nil"/>
            </w:tcBorders>
            <w:vAlign w:val="center"/>
          </w:tcPr>
          <w:p w14:paraId="5461259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63851C7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20</w:t>
            </w:r>
          </w:p>
        </w:tc>
        <w:tc>
          <w:tcPr>
            <w:tcW w:w="768" w:type="pct"/>
            <w:tcBorders>
              <w:tl2br w:val="nil"/>
              <w:tr2bl w:val="nil"/>
            </w:tcBorders>
            <w:vAlign w:val="center"/>
          </w:tcPr>
          <w:p w14:paraId="123DBD7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120</w:t>
            </w:r>
            <w:r>
              <w:rPr>
                <w:rFonts w:hint="default" w:ascii="Times New Roman" w:hAnsi="Times New Roman" w:eastAsia="宋体" w:cs="Times New Roman"/>
                <w:color w:val="auto"/>
                <w:sz w:val="21"/>
                <w:szCs w:val="21"/>
              </w:rPr>
              <w:t>人</w:t>
            </w:r>
          </w:p>
        </w:tc>
        <w:tc>
          <w:tcPr>
            <w:tcW w:w="1035" w:type="pct"/>
            <w:vMerge w:val="restart"/>
            <w:tcBorders>
              <w:tl2br w:val="nil"/>
              <w:tr2bl w:val="nil"/>
            </w:tcBorders>
            <w:vAlign w:val="center"/>
          </w:tcPr>
          <w:p w14:paraId="09153AAF">
            <w:pPr>
              <w:pStyle w:val="48"/>
              <w:jc w:val="center"/>
              <w:rPr>
                <w:rFonts w:ascii="Times New Roman" w:eastAsia="宋体" w:cs="Times New Roman"/>
                <w:color w:val="auto"/>
                <w:sz w:val="21"/>
                <w:szCs w:val="21"/>
              </w:rPr>
            </w:pPr>
            <w:r>
              <w:rPr>
                <w:rFonts w:ascii="Times New Roman" w:eastAsia="宋体" w:cs="Times New Roman"/>
                <w:color w:val="auto"/>
                <w:sz w:val="21"/>
                <w:szCs w:val="21"/>
              </w:rPr>
              <w:t>《环境空气质量标准》（GB3095-2012）中的二级标准</w:t>
            </w:r>
          </w:p>
        </w:tc>
      </w:tr>
      <w:tr w14:paraId="4A05C4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42EA546B">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2588EB03">
            <w:pPr>
              <w:pStyle w:val="48"/>
              <w:jc w:val="center"/>
              <w:rPr>
                <w:rFonts w:ascii="Times New Roman" w:eastAsia="宋体" w:cs="Times New Roman"/>
                <w:color w:val="auto"/>
                <w:sz w:val="21"/>
                <w:szCs w:val="21"/>
              </w:rPr>
            </w:pPr>
            <w:r>
              <w:rPr>
                <w:rFonts w:ascii="Times New Roman" w:eastAsia="宋体" w:cs="Times New Roman"/>
                <w:color w:val="auto"/>
                <w:sz w:val="21"/>
                <w:szCs w:val="21"/>
              </w:rPr>
              <w:t>2</w:t>
            </w:r>
          </w:p>
        </w:tc>
        <w:tc>
          <w:tcPr>
            <w:tcW w:w="1097" w:type="pct"/>
            <w:tcBorders>
              <w:tl2br w:val="nil"/>
              <w:tr2bl w:val="nil"/>
            </w:tcBorders>
            <w:vAlign w:val="center"/>
          </w:tcPr>
          <w:p w14:paraId="11A034F8">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伟业木制品包装材料海安有限公司</w:t>
            </w:r>
          </w:p>
        </w:tc>
        <w:tc>
          <w:tcPr>
            <w:tcW w:w="656" w:type="pct"/>
            <w:tcBorders>
              <w:tl2br w:val="nil"/>
              <w:tr2bl w:val="nil"/>
            </w:tcBorders>
            <w:vAlign w:val="center"/>
          </w:tcPr>
          <w:p w14:paraId="30006E54">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2C42C04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260</w:t>
            </w:r>
          </w:p>
        </w:tc>
        <w:tc>
          <w:tcPr>
            <w:tcW w:w="768" w:type="pct"/>
            <w:tcBorders>
              <w:tl2br w:val="nil"/>
              <w:tr2bl w:val="nil"/>
            </w:tcBorders>
            <w:vAlign w:val="center"/>
          </w:tcPr>
          <w:p w14:paraId="2543AB85">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736B3F46">
            <w:pPr>
              <w:pStyle w:val="48"/>
              <w:jc w:val="center"/>
              <w:rPr>
                <w:rFonts w:ascii="Times New Roman" w:eastAsia="宋体" w:cs="Times New Roman"/>
                <w:color w:val="auto"/>
                <w:sz w:val="21"/>
                <w:szCs w:val="21"/>
              </w:rPr>
            </w:pPr>
          </w:p>
        </w:tc>
      </w:tr>
      <w:tr w14:paraId="3C5F7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42E56A81">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36603C85">
            <w:pPr>
              <w:pStyle w:val="48"/>
              <w:jc w:val="center"/>
              <w:rPr>
                <w:rFonts w:ascii="Times New Roman" w:eastAsia="宋体" w:cs="Times New Roman"/>
                <w:color w:val="auto"/>
                <w:sz w:val="21"/>
                <w:szCs w:val="21"/>
              </w:rPr>
            </w:pPr>
            <w:r>
              <w:rPr>
                <w:rFonts w:ascii="Times New Roman" w:eastAsia="宋体" w:cs="Times New Roman"/>
                <w:color w:val="auto"/>
                <w:sz w:val="21"/>
                <w:szCs w:val="21"/>
              </w:rPr>
              <w:t>3</w:t>
            </w:r>
          </w:p>
        </w:tc>
        <w:tc>
          <w:tcPr>
            <w:tcW w:w="1097" w:type="pct"/>
            <w:tcBorders>
              <w:tl2br w:val="nil"/>
              <w:tr2bl w:val="nil"/>
            </w:tcBorders>
            <w:vAlign w:val="center"/>
          </w:tcPr>
          <w:p w14:paraId="2DEF045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龙湛木业海安有限公司</w:t>
            </w:r>
          </w:p>
        </w:tc>
        <w:tc>
          <w:tcPr>
            <w:tcW w:w="656" w:type="pct"/>
            <w:tcBorders>
              <w:tl2br w:val="nil"/>
              <w:tr2bl w:val="nil"/>
            </w:tcBorders>
            <w:vAlign w:val="center"/>
          </w:tcPr>
          <w:p w14:paraId="59DFEBD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6B51902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440</w:t>
            </w:r>
          </w:p>
        </w:tc>
        <w:tc>
          <w:tcPr>
            <w:tcW w:w="768" w:type="pct"/>
            <w:tcBorders>
              <w:tl2br w:val="nil"/>
              <w:tr2bl w:val="nil"/>
            </w:tcBorders>
            <w:vAlign w:val="center"/>
          </w:tcPr>
          <w:p w14:paraId="54DCAFF8">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744B58A8">
            <w:pPr>
              <w:pStyle w:val="48"/>
              <w:jc w:val="center"/>
              <w:rPr>
                <w:rFonts w:ascii="Times New Roman" w:eastAsia="宋体" w:cs="Times New Roman"/>
                <w:color w:val="auto"/>
                <w:sz w:val="21"/>
                <w:szCs w:val="21"/>
              </w:rPr>
            </w:pPr>
          </w:p>
        </w:tc>
      </w:tr>
      <w:tr w14:paraId="356F7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164605F6">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6AAD62E9">
            <w:pPr>
              <w:pStyle w:val="48"/>
              <w:jc w:val="center"/>
              <w:rPr>
                <w:rFonts w:ascii="Times New Roman" w:eastAsia="宋体" w:cs="Times New Roman"/>
                <w:color w:val="auto"/>
                <w:sz w:val="21"/>
                <w:szCs w:val="21"/>
              </w:rPr>
            </w:pPr>
            <w:r>
              <w:rPr>
                <w:rFonts w:ascii="Times New Roman" w:eastAsia="宋体" w:cs="Times New Roman"/>
                <w:color w:val="auto"/>
                <w:sz w:val="21"/>
                <w:szCs w:val="21"/>
              </w:rPr>
              <w:t>4</w:t>
            </w:r>
          </w:p>
        </w:tc>
        <w:tc>
          <w:tcPr>
            <w:tcW w:w="1097" w:type="pct"/>
            <w:tcBorders>
              <w:tl2br w:val="nil"/>
              <w:tr2bl w:val="nil"/>
            </w:tcBorders>
            <w:vAlign w:val="center"/>
          </w:tcPr>
          <w:p w14:paraId="795CF0A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海安金锐达家具有限公司</w:t>
            </w:r>
          </w:p>
        </w:tc>
        <w:tc>
          <w:tcPr>
            <w:tcW w:w="656" w:type="pct"/>
            <w:tcBorders>
              <w:tl2br w:val="nil"/>
              <w:tr2bl w:val="nil"/>
            </w:tcBorders>
            <w:vAlign w:val="center"/>
          </w:tcPr>
          <w:p w14:paraId="62B97BD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449FA3B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360</w:t>
            </w:r>
          </w:p>
        </w:tc>
        <w:tc>
          <w:tcPr>
            <w:tcW w:w="768" w:type="pct"/>
            <w:tcBorders>
              <w:tl2br w:val="nil"/>
              <w:tr2bl w:val="nil"/>
            </w:tcBorders>
            <w:vAlign w:val="center"/>
          </w:tcPr>
          <w:p w14:paraId="67AE9F97">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79A9A6D0">
            <w:pPr>
              <w:pStyle w:val="48"/>
              <w:jc w:val="center"/>
              <w:rPr>
                <w:rFonts w:ascii="Times New Roman" w:eastAsia="宋体" w:cs="Times New Roman"/>
                <w:color w:val="auto"/>
                <w:sz w:val="21"/>
                <w:szCs w:val="21"/>
              </w:rPr>
            </w:pPr>
          </w:p>
        </w:tc>
      </w:tr>
      <w:tr w14:paraId="0D6DB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0C9C6D62">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58247B91">
            <w:pPr>
              <w:pStyle w:val="48"/>
              <w:jc w:val="center"/>
              <w:rPr>
                <w:rFonts w:ascii="Times New Roman" w:eastAsia="宋体" w:cs="Times New Roman"/>
                <w:color w:val="auto"/>
                <w:sz w:val="21"/>
                <w:szCs w:val="21"/>
              </w:rPr>
            </w:pPr>
            <w:r>
              <w:rPr>
                <w:rFonts w:ascii="Times New Roman" w:eastAsia="宋体" w:cs="Times New Roman"/>
                <w:color w:val="auto"/>
                <w:sz w:val="21"/>
                <w:szCs w:val="21"/>
              </w:rPr>
              <w:t>5</w:t>
            </w:r>
          </w:p>
        </w:tc>
        <w:tc>
          <w:tcPr>
            <w:tcW w:w="1097" w:type="pct"/>
            <w:tcBorders>
              <w:tl2br w:val="nil"/>
              <w:tr2bl w:val="nil"/>
            </w:tcBorders>
            <w:vAlign w:val="center"/>
          </w:tcPr>
          <w:p w14:paraId="441B7FC2">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江苏特易家具有限公司</w:t>
            </w:r>
          </w:p>
        </w:tc>
        <w:tc>
          <w:tcPr>
            <w:tcW w:w="656" w:type="pct"/>
            <w:tcBorders>
              <w:tl2br w:val="nil"/>
              <w:tr2bl w:val="nil"/>
            </w:tcBorders>
            <w:vAlign w:val="center"/>
          </w:tcPr>
          <w:p w14:paraId="510D2532">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29BDBF8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400</w:t>
            </w:r>
          </w:p>
        </w:tc>
        <w:tc>
          <w:tcPr>
            <w:tcW w:w="768" w:type="pct"/>
            <w:tcBorders>
              <w:tl2br w:val="nil"/>
              <w:tr2bl w:val="nil"/>
            </w:tcBorders>
            <w:vAlign w:val="center"/>
          </w:tcPr>
          <w:p w14:paraId="4CE12102">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50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151A81DB">
            <w:pPr>
              <w:pStyle w:val="48"/>
              <w:jc w:val="center"/>
              <w:rPr>
                <w:rFonts w:ascii="Times New Roman" w:eastAsia="宋体" w:cs="Times New Roman"/>
                <w:color w:val="auto"/>
                <w:sz w:val="21"/>
                <w:szCs w:val="21"/>
              </w:rPr>
            </w:pPr>
          </w:p>
        </w:tc>
      </w:tr>
      <w:tr w14:paraId="771A6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6C50EA5A">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269B2EE0">
            <w:pPr>
              <w:pStyle w:val="48"/>
              <w:jc w:val="center"/>
              <w:rPr>
                <w:rFonts w:ascii="Times New Roman" w:eastAsia="宋体" w:cs="Times New Roman"/>
                <w:color w:val="auto"/>
                <w:sz w:val="21"/>
                <w:szCs w:val="21"/>
              </w:rPr>
            </w:pPr>
            <w:r>
              <w:rPr>
                <w:rFonts w:ascii="Times New Roman" w:eastAsia="宋体" w:cs="Times New Roman"/>
                <w:color w:val="auto"/>
                <w:sz w:val="21"/>
                <w:szCs w:val="21"/>
              </w:rPr>
              <w:t>6</w:t>
            </w:r>
          </w:p>
        </w:tc>
        <w:tc>
          <w:tcPr>
            <w:tcW w:w="1097" w:type="pct"/>
            <w:tcBorders>
              <w:tl2br w:val="nil"/>
              <w:tr2bl w:val="nil"/>
            </w:tcBorders>
            <w:vAlign w:val="center"/>
          </w:tcPr>
          <w:p w14:paraId="04B9462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南通弘毅家具有限公司</w:t>
            </w:r>
          </w:p>
        </w:tc>
        <w:tc>
          <w:tcPr>
            <w:tcW w:w="656" w:type="pct"/>
            <w:tcBorders>
              <w:tl2br w:val="nil"/>
              <w:tr2bl w:val="nil"/>
            </w:tcBorders>
            <w:vAlign w:val="center"/>
          </w:tcPr>
          <w:p w14:paraId="50ADD08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40473BC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400</w:t>
            </w:r>
          </w:p>
        </w:tc>
        <w:tc>
          <w:tcPr>
            <w:tcW w:w="768" w:type="pct"/>
            <w:tcBorders>
              <w:tl2br w:val="nil"/>
              <w:tr2bl w:val="nil"/>
            </w:tcBorders>
            <w:vAlign w:val="center"/>
          </w:tcPr>
          <w:p w14:paraId="76ED544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7345549F">
            <w:pPr>
              <w:pStyle w:val="48"/>
              <w:jc w:val="center"/>
              <w:rPr>
                <w:rFonts w:ascii="Times New Roman" w:eastAsia="宋体" w:cs="Times New Roman"/>
                <w:color w:val="auto"/>
                <w:sz w:val="21"/>
                <w:szCs w:val="21"/>
              </w:rPr>
            </w:pPr>
          </w:p>
        </w:tc>
      </w:tr>
      <w:tr w14:paraId="561794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77CFBCD2">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042628B3">
            <w:pPr>
              <w:pStyle w:val="48"/>
              <w:jc w:val="center"/>
              <w:rPr>
                <w:rFonts w:ascii="Times New Roman" w:eastAsia="宋体" w:cs="Times New Roman"/>
                <w:color w:val="auto"/>
                <w:sz w:val="21"/>
                <w:szCs w:val="21"/>
              </w:rPr>
            </w:pPr>
            <w:r>
              <w:rPr>
                <w:rFonts w:ascii="Times New Roman" w:eastAsia="宋体" w:cs="Times New Roman"/>
                <w:color w:val="auto"/>
                <w:sz w:val="21"/>
                <w:szCs w:val="21"/>
              </w:rPr>
              <w:t>7</w:t>
            </w:r>
          </w:p>
        </w:tc>
        <w:tc>
          <w:tcPr>
            <w:tcW w:w="1097" w:type="pct"/>
            <w:tcBorders>
              <w:tl2br w:val="nil"/>
              <w:tr2bl w:val="nil"/>
            </w:tcBorders>
            <w:vAlign w:val="center"/>
          </w:tcPr>
          <w:p w14:paraId="5D6C9A8C">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江苏木林阁家具有限公司</w:t>
            </w:r>
          </w:p>
        </w:tc>
        <w:tc>
          <w:tcPr>
            <w:tcW w:w="656" w:type="pct"/>
            <w:tcBorders>
              <w:tl2br w:val="nil"/>
              <w:tr2bl w:val="nil"/>
            </w:tcBorders>
            <w:vAlign w:val="center"/>
          </w:tcPr>
          <w:p w14:paraId="3A35146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648" w:type="pct"/>
            <w:tcBorders>
              <w:tl2br w:val="nil"/>
              <w:tr2bl w:val="nil"/>
            </w:tcBorders>
            <w:vAlign w:val="center"/>
          </w:tcPr>
          <w:p w14:paraId="3053A04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390</w:t>
            </w:r>
          </w:p>
        </w:tc>
        <w:tc>
          <w:tcPr>
            <w:tcW w:w="768" w:type="pct"/>
            <w:tcBorders>
              <w:tl2br w:val="nil"/>
              <w:tr2bl w:val="nil"/>
            </w:tcBorders>
            <w:vAlign w:val="center"/>
          </w:tcPr>
          <w:p w14:paraId="26425F14">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8FA34E8">
            <w:pPr>
              <w:pStyle w:val="48"/>
              <w:jc w:val="center"/>
              <w:rPr>
                <w:rFonts w:ascii="Times New Roman" w:eastAsia="宋体" w:cs="Times New Roman"/>
                <w:color w:val="auto"/>
                <w:sz w:val="21"/>
                <w:szCs w:val="21"/>
              </w:rPr>
            </w:pPr>
          </w:p>
        </w:tc>
      </w:tr>
      <w:tr w14:paraId="3C769D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pct"/>
            <w:vMerge w:val="continue"/>
            <w:tcBorders>
              <w:tl2br w:val="nil"/>
              <w:tr2bl w:val="nil"/>
            </w:tcBorders>
            <w:vAlign w:val="center"/>
          </w:tcPr>
          <w:p w14:paraId="296675FC">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32E3A5E7">
            <w:pPr>
              <w:pStyle w:val="48"/>
              <w:jc w:val="center"/>
              <w:rPr>
                <w:rFonts w:ascii="Times New Roman" w:eastAsia="宋体" w:cs="Times New Roman"/>
                <w:color w:val="auto"/>
                <w:sz w:val="21"/>
                <w:szCs w:val="21"/>
              </w:rPr>
            </w:pPr>
            <w:r>
              <w:rPr>
                <w:rFonts w:ascii="Times New Roman" w:eastAsia="宋体" w:cs="Times New Roman"/>
                <w:color w:val="auto"/>
                <w:sz w:val="21"/>
                <w:szCs w:val="21"/>
              </w:rPr>
              <w:t>8</w:t>
            </w:r>
          </w:p>
        </w:tc>
        <w:tc>
          <w:tcPr>
            <w:tcW w:w="1097" w:type="pct"/>
            <w:tcBorders>
              <w:tl2br w:val="nil"/>
              <w:tr2bl w:val="nil"/>
            </w:tcBorders>
            <w:vAlign w:val="center"/>
          </w:tcPr>
          <w:p w14:paraId="46EC2624">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江苏澳仕卡家具有限公司</w:t>
            </w:r>
          </w:p>
        </w:tc>
        <w:tc>
          <w:tcPr>
            <w:tcW w:w="656" w:type="pct"/>
            <w:tcBorders>
              <w:tl2br w:val="nil"/>
              <w:tr2bl w:val="nil"/>
            </w:tcBorders>
            <w:vAlign w:val="center"/>
          </w:tcPr>
          <w:p w14:paraId="47F4AD57">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648" w:type="pct"/>
            <w:tcBorders>
              <w:tl2br w:val="nil"/>
              <w:tr2bl w:val="nil"/>
            </w:tcBorders>
            <w:vAlign w:val="center"/>
          </w:tcPr>
          <w:p w14:paraId="15102B1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350</w:t>
            </w:r>
          </w:p>
        </w:tc>
        <w:tc>
          <w:tcPr>
            <w:tcW w:w="768" w:type="pct"/>
            <w:tcBorders>
              <w:tl2br w:val="nil"/>
              <w:tr2bl w:val="nil"/>
            </w:tcBorders>
            <w:vAlign w:val="center"/>
          </w:tcPr>
          <w:p w14:paraId="35678A57">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1FF6E22B">
            <w:pPr>
              <w:pStyle w:val="48"/>
              <w:jc w:val="center"/>
              <w:rPr>
                <w:rFonts w:ascii="Times New Roman" w:eastAsia="宋体" w:cs="Times New Roman"/>
                <w:color w:val="auto"/>
                <w:sz w:val="21"/>
                <w:szCs w:val="21"/>
              </w:rPr>
            </w:pPr>
          </w:p>
        </w:tc>
      </w:tr>
      <w:tr w14:paraId="1A871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pct"/>
            <w:vMerge w:val="continue"/>
            <w:tcBorders>
              <w:tl2br w:val="nil"/>
              <w:tr2bl w:val="nil"/>
            </w:tcBorders>
            <w:vAlign w:val="center"/>
          </w:tcPr>
          <w:p w14:paraId="4344BBA3">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11CC4E9C">
            <w:pPr>
              <w:pStyle w:val="48"/>
              <w:jc w:val="center"/>
              <w:rPr>
                <w:rFonts w:ascii="Times New Roman" w:eastAsia="宋体" w:cs="Times New Roman"/>
                <w:color w:val="auto"/>
                <w:sz w:val="21"/>
                <w:szCs w:val="21"/>
              </w:rPr>
            </w:pPr>
            <w:r>
              <w:rPr>
                <w:rFonts w:ascii="Times New Roman" w:eastAsia="宋体" w:cs="Times New Roman"/>
                <w:color w:val="auto"/>
                <w:sz w:val="21"/>
                <w:szCs w:val="21"/>
              </w:rPr>
              <w:t>9</w:t>
            </w:r>
          </w:p>
        </w:tc>
        <w:tc>
          <w:tcPr>
            <w:tcW w:w="1097" w:type="pct"/>
            <w:tcBorders>
              <w:tl2br w:val="nil"/>
              <w:tr2bl w:val="nil"/>
            </w:tcBorders>
            <w:vAlign w:val="center"/>
          </w:tcPr>
          <w:p w14:paraId="085D759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江苏鼎锃科技有限公司</w:t>
            </w:r>
          </w:p>
        </w:tc>
        <w:tc>
          <w:tcPr>
            <w:tcW w:w="656" w:type="pct"/>
            <w:tcBorders>
              <w:tl2br w:val="nil"/>
              <w:tr2bl w:val="nil"/>
            </w:tcBorders>
            <w:vAlign w:val="center"/>
          </w:tcPr>
          <w:p w14:paraId="226BFD34">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3E9B5D6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350</w:t>
            </w:r>
          </w:p>
        </w:tc>
        <w:tc>
          <w:tcPr>
            <w:tcW w:w="768" w:type="pct"/>
            <w:tcBorders>
              <w:tl2br w:val="nil"/>
              <w:tr2bl w:val="nil"/>
            </w:tcBorders>
            <w:vAlign w:val="center"/>
          </w:tcPr>
          <w:p w14:paraId="24F95A2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43BA78C1">
            <w:pPr>
              <w:pStyle w:val="48"/>
              <w:jc w:val="center"/>
              <w:rPr>
                <w:rFonts w:ascii="Times New Roman" w:eastAsia="宋体" w:cs="Times New Roman"/>
                <w:color w:val="auto"/>
                <w:sz w:val="21"/>
                <w:szCs w:val="21"/>
              </w:rPr>
            </w:pPr>
          </w:p>
        </w:tc>
      </w:tr>
      <w:tr w14:paraId="0F617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pct"/>
            <w:vMerge w:val="continue"/>
            <w:tcBorders>
              <w:tl2br w:val="nil"/>
              <w:tr2bl w:val="nil"/>
            </w:tcBorders>
            <w:vAlign w:val="center"/>
          </w:tcPr>
          <w:p w14:paraId="20F98FA5">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2A349E64">
            <w:pPr>
              <w:pStyle w:val="48"/>
              <w:jc w:val="center"/>
              <w:rPr>
                <w:rFonts w:ascii="Times New Roman" w:eastAsia="宋体" w:cs="Times New Roman"/>
                <w:color w:val="auto"/>
                <w:sz w:val="21"/>
                <w:szCs w:val="21"/>
              </w:rPr>
            </w:pPr>
            <w:r>
              <w:rPr>
                <w:rFonts w:ascii="Times New Roman" w:eastAsia="宋体" w:cs="Times New Roman"/>
                <w:color w:val="auto"/>
                <w:sz w:val="21"/>
                <w:szCs w:val="21"/>
              </w:rPr>
              <w:t>10</w:t>
            </w:r>
          </w:p>
        </w:tc>
        <w:tc>
          <w:tcPr>
            <w:tcW w:w="1097" w:type="pct"/>
            <w:tcBorders>
              <w:tl2br w:val="nil"/>
              <w:tr2bl w:val="nil"/>
            </w:tcBorders>
            <w:vAlign w:val="center"/>
          </w:tcPr>
          <w:p w14:paraId="35B924F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苏州木居圣磊家具有限公司</w:t>
            </w:r>
          </w:p>
        </w:tc>
        <w:tc>
          <w:tcPr>
            <w:tcW w:w="656" w:type="pct"/>
            <w:tcBorders>
              <w:tl2br w:val="nil"/>
              <w:tr2bl w:val="nil"/>
            </w:tcBorders>
            <w:vAlign w:val="center"/>
          </w:tcPr>
          <w:p w14:paraId="1D0B3CF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7EABACD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520</w:t>
            </w:r>
          </w:p>
        </w:tc>
        <w:tc>
          <w:tcPr>
            <w:tcW w:w="768" w:type="pct"/>
            <w:tcBorders>
              <w:tl2br w:val="nil"/>
              <w:tr2bl w:val="nil"/>
            </w:tcBorders>
            <w:vAlign w:val="center"/>
          </w:tcPr>
          <w:p w14:paraId="459CBB2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695B706F">
            <w:pPr>
              <w:pStyle w:val="48"/>
              <w:jc w:val="center"/>
              <w:rPr>
                <w:rFonts w:ascii="Times New Roman" w:eastAsia="宋体" w:cs="Times New Roman"/>
                <w:color w:val="auto"/>
                <w:sz w:val="21"/>
                <w:szCs w:val="21"/>
              </w:rPr>
            </w:pPr>
          </w:p>
        </w:tc>
      </w:tr>
      <w:tr w14:paraId="15D40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pct"/>
            <w:vMerge w:val="continue"/>
            <w:tcBorders>
              <w:tl2br w:val="nil"/>
              <w:tr2bl w:val="nil"/>
            </w:tcBorders>
            <w:vAlign w:val="center"/>
          </w:tcPr>
          <w:p w14:paraId="78A7CD45">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7C82F54F">
            <w:pPr>
              <w:pStyle w:val="48"/>
              <w:jc w:val="center"/>
              <w:rPr>
                <w:rFonts w:ascii="Times New Roman" w:eastAsia="宋体" w:cs="Times New Roman"/>
                <w:color w:val="auto"/>
                <w:sz w:val="21"/>
                <w:szCs w:val="21"/>
              </w:rPr>
            </w:pPr>
            <w:r>
              <w:rPr>
                <w:rFonts w:ascii="Times New Roman" w:eastAsia="宋体" w:cs="Times New Roman"/>
                <w:color w:val="auto"/>
                <w:sz w:val="21"/>
                <w:szCs w:val="21"/>
              </w:rPr>
              <w:t>11</w:t>
            </w:r>
          </w:p>
        </w:tc>
        <w:tc>
          <w:tcPr>
            <w:tcW w:w="1097" w:type="pct"/>
            <w:tcBorders>
              <w:tl2br w:val="nil"/>
              <w:tr2bl w:val="nil"/>
            </w:tcBorders>
            <w:vAlign w:val="center"/>
          </w:tcPr>
          <w:p w14:paraId="51A1B61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江苏欧岭户外用品有限公司</w:t>
            </w:r>
          </w:p>
        </w:tc>
        <w:tc>
          <w:tcPr>
            <w:tcW w:w="656" w:type="pct"/>
            <w:tcBorders>
              <w:tl2br w:val="nil"/>
              <w:tr2bl w:val="nil"/>
            </w:tcBorders>
            <w:vAlign w:val="center"/>
          </w:tcPr>
          <w:p w14:paraId="2FABF2D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376B26F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550</w:t>
            </w:r>
          </w:p>
        </w:tc>
        <w:tc>
          <w:tcPr>
            <w:tcW w:w="768" w:type="pct"/>
            <w:tcBorders>
              <w:tl2br w:val="nil"/>
              <w:tr2bl w:val="nil"/>
            </w:tcBorders>
            <w:vAlign w:val="center"/>
          </w:tcPr>
          <w:p w14:paraId="5E9A552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562390D3">
            <w:pPr>
              <w:pStyle w:val="48"/>
              <w:jc w:val="center"/>
              <w:rPr>
                <w:rFonts w:ascii="Times New Roman" w:eastAsia="宋体" w:cs="Times New Roman"/>
                <w:color w:val="auto"/>
                <w:sz w:val="21"/>
                <w:szCs w:val="21"/>
              </w:rPr>
            </w:pPr>
          </w:p>
        </w:tc>
      </w:tr>
      <w:tr w14:paraId="7AD82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pct"/>
            <w:vMerge w:val="continue"/>
            <w:tcBorders>
              <w:tl2br w:val="nil"/>
              <w:tr2bl w:val="nil"/>
            </w:tcBorders>
            <w:vAlign w:val="center"/>
          </w:tcPr>
          <w:p w14:paraId="094B7D05">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767C57D8">
            <w:pPr>
              <w:pStyle w:val="48"/>
              <w:jc w:val="center"/>
              <w:rPr>
                <w:rFonts w:ascii="Times New Roman" w:eastAsia="宋体" w:cs="Times New Roman"/>
                <w:color w:val="auto"/>
                <w:sz w:val="21"/>
                <w:szCs w:val="21"/>
              </w:rPr>
            </w:pPr>
            <w:r>
              <w:rPr>
                <w:rFonts w:ascii="Times New Roman" w:eastAsia="宋体" w:cs="Times New Roman"/>
                <w:color w:val="auto"/>
                <w:sz w:val="21"/>
                <w:szCs w:val="21"/>
              </w:rPr>
              <w:t>12</w:t>
            </w:r>
          </w:p>
        </w:tc>
        <w:tc>
          <w:tcPr>
            <w:tcW w:w="1097" w:type="pct"/>
            <w:tcBorders>
              <w:tl2br w:val="nil"/>
              <w:tr2bl w:val="nil"/>
            </w:tcBorders>
            <w:vAlign w:val="center"/>
          </w:tcPr>
          <w:p w14:paraId="1866B86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江苏昌有顺心家具有限公司</w:t>
            </w:r>
          </w:p>
        </w:tc>
        <w:tc>
          <w:tcPr>
            <w:tcW w:w="656" w:type="pct"/>
            <w:tcBorders>
              <w:tl2br w:val="nil"/>
              <w:tr2bl w:val="nil"/>
            </w:tcBorders>
            <w:vAlign w:val="center"/>
          </w:tcPr>
          <w:p w14:paraId="2F370459">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543B8FA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530</w:t>
            </w:r>
          </w:p>
        </w:tc>
        <w:tc>
          <w:tcPr>
            <w:tcW w:w="768" w:type="pct"/>
            <w:tcBorders>
              <w:tl2br w:val="nil"/>
              <w:tr2bl w:val="nil"/>
            </w:tcBorders>
            <w:vAlign w:val="center"/>
          </w:tcPr>
          <w:p w14:paraId="27FFD30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50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FDE3151">
            <w:pPr>
              <w:pStyle w:val="48"/>
              <w:jc w:val="center"/>
              <w:rPr>
                <w:rFonts w:ascii="Times New Roman" w:eastAsia="宋体" w:cs="Times New Roman"/>
                <w:color w:val="auto"/>
                <w:sz w:val="21"/>
                <w:szCs w:val="21"/>
              </w:rPr>
            </w:pPr>
          </w:p>
        </w:tc>
      </w:tr>
      <w:tr w14:paraId="3CDC2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26" w:type="pct"/>
            <w:vMerge w:val="continue"/>
            <w:tcBorders>
              <w:tl2br w:val="nil"/>
              <w:tr2bl w:val="nil"/>
            </w:tcBorders>
            <w:vAlign w:val="center"/>
          </w:tcPr>
          <w:p w14:paraId="3F94BFBF">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4047E8E7">
            <w:pPr>
              <w:pStyle w:val="48"/>
              <w:jc w:val="center"/>
              <w:rPr>
                <w:rFonts w:ascii="Times New Roman" w:eastAsia="宋体" w:cs="Times New Roman"/>
                <w:color w:val="auto"/>
                <w:sz w:val="21"/>
                <w:szCs w:val="21"/>
              </w:rPr>
            </w:pPr>
            <w:r>
              <w:rPr>
                <w:rFonts w:ascii="Times New Roman" w:eastAsia="宋体" w:cs="Times New Roman"/>
                <w:color w:val="auto"/>
                <w:sz w:val="21"/>
                <w:szCs w:val="21"/>
              </w:rPr>
              <w:t>13</w:t>
            </w:r>
          </w:p>
        </w:tc>
        <w:tc>
          <w:tcPr>
            <w:tcW w:w="1097" w:type="pct"/>
            <w:tcBorders>
              <w:tl2br w:val="nil"/>
              <w:tr2bl w:val="nil"/>
            </w:tcBorders>
            <w:vAlign w:val="center"/>
          </w:tcPr>
          <w:p w14:paraId="0D0DBF0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江苏远怡家具有限公司</w:t>
            </w:r>
          </w:p>
        </w:tc>
        <w:tc>
          <w:tcPr>
            <w:tcW w:w="656" w:type="pct"/>
            <w:tcBorders>
              <w:tl2br w:val="nil"/>
              <w:tr2bl w:val="nil"/>
            </w:tcBorders>
            <w:vAlign w:val="center"/>
          </w:tcPr>
          <w:p w14:paraId="66ED52B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6E55404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510</w:t>
            </w:r>
          </w:p>
        </w:tc>
        <w:tc>
          <w:tcPr>
            <w:tcW w:w="768" w:type="pct"/>
            <w:tcBorders>
              <w:tl2br w:val="nil"/>
              <w:tr2bl w:val="nil"/>
            </w:tcBorders>
            <w:vAlign w:val="center"/>
          </w:tcPr>
          <w:p w14:paraId="711CDB9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181E543A">
            <w:pPr>
              <w:pStyle w:val="48"/>
              <w:jc w:val="center"/>
              <w:rPr>
                <w:rFonts w:ascii="Times New Roman" w:eastAsia="宋体" w:cs="Times New Roman"/>
                <w:color w:val="auto"/>
                <w:sz w:val="21"/>
                <w:szCs w:val="21"/>
              </w:rPr>
            </w:pPr>
          </w:p>
        </w:tc>
      </w:tr>
      <w:tr w14:paraId="63CC6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pct"/>
            <w:vMerge w:val="continue"/>
            <w:tcBorders>
              <w:tl2br w:val="nil"/>
              <w:tr2bl w:val="nil"/>
            </w:tcBorders>
            <w:vAlign w:val="center"/>
          </w:tcPr>
          <w:p w14:paraId="4296AFFD">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67380B58">
            <w:pPr>
              <w:pStyle w:val="48"/>
              <w:jc w:val="center"/>
              <w:rPr>
                <w:rFonts w:ascii="Times New Roman" w:eastAsia="宋体" w:cs="Times New Roman"/>
                <w:color w:val="auto"/>
                <w:sz w:val="21"/>
                <w:szCs w:val="21"/>
              </w:rPr>
            </w:pPr>
            <w:r>
              <w:rPr>
                <w:rFonts w:ascii="Times New Roman" w:eastAsia="宋体" w:cs="Times New Roman"/>
                <w:color w:val="auto"/>
                <w:sz w:val="21"/>
                <w:szCs w:val="21"/>
              </w:rPr>
              <w:t>14</w:t>
            </w:r>
          </w:p>
        </w:tc>
        <w:tc>
          <w:tcPr>
            <w:tcW w:w="1097" w:type="pct"/>
            <w:tcBorders>
              <w:tl2br w:val="nil"/>
              <w:tr2bl w:val="nil"/>
            </w:tcBorders>
            <w:vAlign w:val="center"/>
          </w:tcPr>
          <w:p w14:paraId="0A0F636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江苏泰瑞安家具有限公司</w:t>
            </w:r>
          </w:p>
        </w:tc>
        <w:tc>
          <w:tcPr>
            <w:tcW w:w="656" w:type="pct"/>
            <w:tcBorders>
              <w:tl2br w:val="nil"/>
              <w:tr2bl w:val="nil"/>
            </w:tcBorders>
            <w:vAlign w:val="center"/>
          </w:tcPr>
          <w:p w14:paraId="2F013070">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648" w:type="pct"/>
            <w:tcBorders>
              <w:tl2br w:val="nil"/>
              <w:tr2bl w:val="nil"/>
            </w:tcBorders>
            <w:vAlign w:val="center"/>
          </w:tcPr>
          <w:p w14:paraId="7CD4B89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640</w:t>
            </w:r>
          </w:p>
        </w:tc>
        <w:tc>
          <w:tcPr>
            <w:tcW w:w="768" w:type="pct"/>
            <w:tcBorders>
              <w:tl2br w:val="nil"/>
              <w:tr2bl w:val="nil"/>
            </w:tcBorders>
            <w:vAlign w:val="center"/>
          </w:tcPr>
          <w:p w14:paraId="52EBCB94">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7FA0A77F">
            <w:pPr>
              <w:pStyle w:val="48"/>
              <w:jc w:val="center"/>
              <w:rPr>
                <w:rFonts w:ascii="Times New Roman" w:eastAsia="宋体" w:cs="Times New Roman"/>
                <w:color w:val="auto"/>
                <w:sz w:val="21"/>
                <w:szCs w:val="21"/>
              </w:rPr>
            </w:pPr>
          </w:p>
        </w:tc>
      </w:tr>
      <w:tr w14:paraId="0C69A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698614BB">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4AAC712F">
            <w:pPr>
              <w:pStyle w:val="48"/>
              <w:jc w:val="center"/>
              <w:rPr>
                <w:rFonts w:ascii="Times New Roman" w:eastAsia="宋体" w:cs="Times New Roman"/>
                <w:color w:val="auto"/>
                <w:sz w:val="21"/>
                <w:szCs w:val="21"/>
              </w:rPr>
            </w:pPr>
            <w:r>
              <w:rPr>
                <w:rFonts w:ascii="Times New Roman" w:eastAsia="宋体" w:cs="Times New Roman"/>
                <w:color w:val="auto"/>
                <w:sz w:val="21"/>
                <w:szCs w:val="21"/>
              </w:rPr>
              <w:t>15</w:t>
            </w:r>
          </w:p>
        </w:tc>
        <w:tc>
          <w:tcPr>
            <w:tcW w:w="1097" w:type="pct"/>
            <w:tcBorders>
              <w:tl2br w:val="nil"/>
              <w:tr2bl w:val="nil"/>
            </w:tcBorders>
            <w:vAlign w:val="center"/>
          </w:tcPr>
          <w:p w14:paraId="2CAF784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海安金团展具有限公司</w:t>
            </w:r>
          </w:p>
        </w:tc>
        <w:tc>
          <w:tcPr>
            <w:tcW w:w="656" w:type="pct"/>
            <w:tcBorders>
              <w:tl2br w:val="nil"/>
              <w:tr2bl w:val="nil"/>
            </w:tcBorders>
            <w:vAlign w:val="center"/>
          </w:tcPr>
          <w:p w14:paraId="3B69199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648" w:type="pct"/>
            <w:tcBorders>
              <w:tl2br w:val="nil"/>
              <w:tr2bl w:val="nil"/>
            </w:tcBorders>
            <w:vAlign w:val="center"/>
          </w:tcPr>
          <w:p w14:paraId="79D32CAA">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650</w:t>
            </w:r>
          </w:p>
        </w:tc>
        <w:tc>
          <w:tcPr>
            <w:tcW w:w="768" w:type="pct"/>
            <w:tcBorders>
              <w:tl2br w:val="nil"/>
              <w:tr2bl w:val="nil"/>
            </w:tcBorders>
            <w:vAlign w:val="center"/>
          </w:tcPr>
          <w:p w14:paraId="0A7DDA2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7D4584BC">
            <w:pPr>
              <w:pStyle w:val="48"/>
              <w:jc w:val="center"/>
              <w:rPr>
                <w:rFonts w:ascii="Times New Roman" w:eastAsia="宋体" w:cs="Times New Roman"/>
                <w:color w:val="auto"/>
                <w:sz w:val="21"/>
                <w:szCs w:val="21"/>
              </w:rPr>
            </w:pPr>
          </w:p>
        </w:tc>
      </w:tr>
      <w:tr w14:paraId="463AA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1E39B5DB">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41B84882">
            <w:pPr>
              <w:pStyle w:val="48"/>
              <w:jc w:val="center"/>
              <w:rPr>
                <w:rFonts w:ascii="Times New Roman" w:eastAsia="宋体" w:cs="Times New Roman"/>
                <w:color w:val="auto"/>
                <w:sz w:val="21"/>
                <w:szCs w:val="21"/>
              </w:rPr>
            </w:pPr>
            <w:r>
              <w:rPr>
                <w:rFonts w:ascii="Times New Roman" w:eastAsia="宋体" w:cs="Times New Roman"/>
                <w:color w:val="auto"/>
                <w:sz w:val="21"/>
                <w:szCs w:val="21"/>
              </w:rPr>
              <w:t>16</w:t>
            </w:r>
          </w:p>
        </w:tc>
        <w:tc>
          <w:tcPr>
            <w:tcW w:w="1097" w:type="pct"/>
            <w:tcBorders>
              <w:tl2br w:val="nil"/>
              <w:tr2bl w:val="nil"/>
            </w:tcBorders>
            <w:vAlign w:val="center"/>
          </w:tcPr>
          <w:p w14:paraId="041C51B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江苏君诺家居海安有限公司</w:t>
            </w:r>
          </w:p>
        </w:tc>
        <w:tc>
          <w:tcPr>
            <w:tcW w:w="656" w:type="pct"/>
            <w:tcBorders>
              <w:tl2br w:val="nil"/>
              <w:tr2bl w:val="nil"/>
            </w:tcBorders>
            <w:vAlign w:val="center"/>
          </w:tcPr>
          <w:p w14:paraId="22596152">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0D1189E7">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770</w:t>
            </w:r>
          </w:p>
        </w:tc>
        <w:tc>
          <w:tcPr>
            <w:tcW w:w="768" w:type="pct"/>
            <w:tcBorders>
              <w:tl2br w:val="nil"/>
              <w:tr2bl w:val="nil"/>
            </w:tcBorders>
            <w:vAlign w:val="center"/>
          </w:tcPr>
          <w:p w14:paraId="5B9F5734">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50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7861A5F7">
            <w:pPr>
              <w:pStyle w:val="48"/>
              <w:jc w:val="center"/>
              <w:rPr>
                <w:rFonts w:ascii="Times New Roman" w:eastAsia="宋体" w:cs="Times New Roman"/>
                <w:color w:val="auto"/>
                <w:sz w:val="21"/>
                <w:szCs w:val="21"/>
              </w:rPr>
            </w:pPr>
          </w:p>
        </w:tc>
      </w:tr>
      <w:tr w14:paraId="4D0EE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42DB22B3">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08B7D2B5">
            <w:pPr>
              <w:pStyle w:val="48"/>
              <w:jc w:val="center"/>
              <w:rPr>
                <w:rFonts w:hint="default" w:ascii="Times New Roman" w:eastAsia="宋体" w:cs="Times New Roman"/>
                <w:color w:val="000000" w:themeColor="text1"/>
                <w:sz w:val="21"/>
                <w:szCs w:val="21"/>
                <w:lang w:val="en-US" w:eastAsia="zh-CN"/>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17</w:t>
            </w:r>
          </w:p>
        </w:tc>
        <w:tc>
          <w:tcPr>
            <w:tcW w:w="1097" w:type="pct"/>
            <w:tcBorders>
              <w:tl2br w:val="nil"/>
              <w:tr2bl w:val="nil"/>
            </w:tcBorders>
            <w:vAlign w:val="center"/>
          </w:tcPr>
          <w:p w14:paraId="6245C8B2">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三昌家具海安有限公司</w:t>
            </w:r>
          </w:p>
        </w:tc>
        <w:tc>
          <w:tcPr>
            <w:tcW w:w="656" w:type="pct"/>
            <w:tcBorders>
              <w:tl2br w:val="nil"/>
              <w:tr2bl w:val="nil"/>
            </w:tcBorders>
            <w:vAlign w:val="center"/>
          </w:tcPr>
          <w:p w14:paraId="536F2D4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1D0EE4B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720</w:t>
            </w:r>
          </w:p>
        </w:tc>
        <w:tc>
          <w:tcPr>
            <w:tcW w:w="768" w:type="pct"/>
            <w:tcBorders>
              <w:tl2br w:val="nil"/>
              <w:tr2bl w:val="nil"/>
            </w:tcBorders>
            <w:vAlign w:val="center"/>
          </w:tcPr>
          <w:p w14:paraId="344E68B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53B0EFF6">
            <w:pPr>
              <w:pStyle w:val="48"/>
              <w:jc w:val="center"/>
              <w:rPr>
                <w:rFonts w:ascii="Times New Roman" w:eastAsia="宋体" w:cs="Times New Roman"/>
                <w:color w:val="auto"/>
                <w:sz w:val="21"/>
                <w:szCs w:val="21"/>
              </w:rPr>
            </w:pPr>
          </w:p>
        </w:tc>
      </w:tr>
      <w:tr w14:paraId="2F829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282A5212">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68B1C8FA">
            <w:pPr>
              <w:pStyle w:val="48"/>
              <w:jc w:val="center"/>
              <w:rPr>
                <w:rFonts w:hint="default" w:ascii="Times New Roman" w:eastAsia="宋体" w:cs="Times New Roman"/>
                <w:color w:val="000000" w:themeColor="text1"/>
                <w:sz w:val="21"/>
                <w:szCs w:val="21"/>
                <w:lang w:val="en-US" w:eastAsia="zh-CN"/>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18</w:t>
            </w:r>
          </w:p>
        </w:tc>
        <w:tc>
          <w:tcPr>
            <w:tcW w:w="1097" w:type="pct"/>
            <w:tcBorders>
              <w:tl2br w:val="nil"/>
              <w:tr2bl w:val="nil"/>
            </w:tcBorders>
            <w:vAlign w:val="center"/>
          </w:tcPr>
          <w:p w14:paraId="345D8CC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江苏东晨朴境家具有限公司</w:t>
            </w:r>
          </w:p>
        </w:tc>
        <w:tc>
          <w:tcPr>
            <w:tcW w:w="656" w:type="pct"/>
            <w:tcBorders>
              <w:tl2br w:val="nil"/>
              <w:tr2bl w:val="nil"/>
            </w:tcBorders>
            <w:vAlign w:val="center"/>
          </w:tcPr>
          <w:p w14:paraId="6F4A349C">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6DCA643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874</w:t>
            </w:r>
          </w:p>
        </w:tc>
        <w:tc>
          <w:tcPr>
            <w:tcW w:w="768" w:type="pct"/>
            <w:tcBorders>
              <w:tl2br w:val="nil"/>
              <w:tr2bl w:val="nil"/>
            </w:tcBorders>
            <w:vAlign w:val="center"/>
          </w:tcPr>
          <w:p w14:paraId="7BE20787">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70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1D46205A">
            <w:pPr>
              <w:pStyle w:val="48"/>
              <w:jc w:val="center"/>
              <w:rPr>
                <w:rFonts w:ascii="Times New Roman" w:eastAsia="宋体" w:cs="Times New Roman"/>
                <w:color w:val="auto"/>
                <w:sz w:val="21"/>
                <w:szCs w:val="21"/>
              </w:rPr>
            </w:pPr>
          </w:p>
        </w:tc>
      </w:tr>
      <w:tr w14:paraId="2303E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7F3155EC">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451E8553">
            <w:pPr>
              <w:pStyle w:val="48"/>
              <w:jc w:val="center"/>
              <w:rPr>
                <w:rFonts w:hint="default" w:ascii="Times New Roman" w:eastAsia="宋体" w:cs="Times New Roman"/>
                <w:color w:val="000000" w:themeColor="text1"/>
                <w:sz w:val="21"/>
                <w:szCs w:val="21"/>
                <w:lang w:val="en-US" w:eastAsia="zh-CN"/>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19</w:t>
            </w:r>
          </w:p>
        </w:tc>
        <w:tc>
          <w:tcPr>
            <w:tcW w:w="1097" w:type="pct"/>
            <w:tcBorders>
              <w:tl2br w:val="nil"/>
              <w:tr2bl w:val="nil"/>
            </w:tcBorders>
            <w:vAlign w:val="center"/>
          </w:tcPr>
          <w:p w14:paraId="373D517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瑞杰新材料科技有限公司</w:t>
            </w:r>
          </w:p>
        </w:tc>
        <w:tc>
          <w:tcPr>
            <w:tcW w:w="656" w:type="pct"/>
            <w:tcBorders>
              <w:tl2br w:val="nil"/>
              <w:tr2bl w:val="nil"/>
            </w:tcBorders>
            <w:vAlign w:val="center"/>
          </w:tcPr>
          <w:p w14:paraId="5B65501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1F580FC4">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950</w:t>
            </w:r>
          </w:p>
        </w:tc>
        <w:tc>
          <w:tcPr>
            <w:tcW w:w="768" w:type="pct"/>
            <w:tcBorders>
              <w:tl2br w:val="nil"/>
              <w:tr2bl w:val="nil"/>
            </w:tcBorders>
            <w:vAlign w:val="center"/>
          </w:tcPr>
          <w:p w14:paraId="35D7A72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70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53740534">
            <w:pPr>
              <w:pStyle w:val="48"/>
              <w:jc w:val="center"/>
              <w:rPr>
                <w:rFonts w:ascii="Times New Roman" w:eastAsia="宋体" w:cs="Times New Roman"/>
                <w:color w:val="auto"/>
                <w:sz w:val="21"/>
                <w:szCs w:val="21"/>
              </w:rPr>
            </w:pPr>
          </w:p>
        </w:tc>
      </w:tr>
      <w:tr w14:paraId="2AADC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26B5A2F0">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1CFEFAC2">
            <w:pPr>
              <w:pStyle w:val="48"/>
              <w:jc w:val="center"/>
              <w:rPr>
                <w:rFonts w:hint="default" w:ascii="Times New Roman" w:eastAsia="宋体" w:cs="Times New Roman"/>
                <w:color w:val="000000" w:themeColor="text1"/>
                <w:sz w:val="21"/>
                <w:szCs w:val="21"/>
                <w:lang w:val="en-US" w:eastAsia="zh-CN"/>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20</w:t>
            </w:r>
          </w:p>
        </w:tc>
        <w:tc>
          <w:tcPr>
            <w:tcW w:w="1097" w:type="pct"/>
            <w:tcBorders>
              <w:tl2br w:val="nil"/>
              <w:tr2bl w:val="nil"/>
            </w:tcBorders>
            <w:vAlign w:val="center"/>
          </w:tcPr>
          <w:p w14:paraId="333638BE">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安普达家具工业园</w:t>
            </w:r>
          </w:p>
        </w:tc>
        <w:tc>
          <w:tcPr>
            <w:tcW w:w="656" w:type="pct"/>
            <w:tcBorders>
              <w:tl2br w:val="nil"/>
              <w:tr2bl w:val="nil"/>
            </w:tcBorders>
            <w:vAlign w:val="center"/>
          </w:tcPr>
          <w:p w14:paraId="4B626F33">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5C22292B">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1700</w:t>
            </w:r>
          </w:p>
        </w:tc>
        <w:tc>
          <w:tcPr>
            <w:tcW w:w="768" w:type="pct"/>
            <w:tcBorders>
              <w:tl2br w:val="nil"/>
              <w:tr2bl w:val="nil"/>
            </w:tcBorders>
            <w:vAlign w:val="center"/>
          </w:tcPr>
          <w:p w14:paraId="0126252E">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300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5FAE7389">
            <w:pPr>
              <w:pStyle w:val="48"/>
              <w:jc w:val="center"/>
              <w:rPr>
                <w:rFonts w:ascii="Times New Roman" w:eastAsia="宋体" w:cs="Times New Roman"/>
                <w:color w:val="auto"/>
                <w:sz w:val="21"/>
                <w:szCs w:val="21"/>
              </w:rPr>
            </w:pPr>
          </w:p>
        </w:tc>
      </w:tr>
      <w:tr w14:paraId="71AC56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6425B64E">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18621080">
            <w:pPr>
              <w:pStyle w:val="48"/>
              <w:jc w:val="center"/>
              <w:rPr>
                <w:rFonts w:hint="default" w:ascii="Times New Roman" w:eastAsia="宋体" w:cs="Times New Roman"/>
                <w:color w:val="000000" w:themeColor="text1"/>
                <w:sz w:val="21"/>
                <w:szCs w:val="21"/>
                <w:lang w:val="en-US" w:eastAsia="zh-CN"/>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21</w:t>
            </w:r>
          </w:p>
        </w:tc>
        <w:tc>
          <w:tcPr>
            <w:tcW w:w="1097" w:type="pct"/>
            <w:tcBorders>
              <w:tl2br w:val="nil"/>
              <w:tr2bl w:val="nil"/>
            </w:tcBorders>
            <w:vAlign w:val="center"/>
          </w:tcPr>
          <w:p w14:paraId="6BF0D27A">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金港嘉园</w:t>
            </w:r>
          </w:p>
        </w:tc>
        <w:tc>
          <w:tcPr>
            <w:tcW w:w="656" w:type="pct"/>
            <w:tcBorders>
              <w:tl2br w:val="nil"/>
              <w:tr2bl w:val="nil"/>
            </w:tcBorders>
            <w:vAlign w:val="center"/>
          </w:tcPr>
          <w:p w14:paraId="1662AC90">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1B8F3AE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1800</w:t>
            </w:r>
          </w:p>
        </w:tc>
        <w:tc>
          <w:tcPr>
            <w:tcW w:w="768" w:type="pct"/>
            <w:tcBorders>
              <w:tl2br w:val="nil"/>
              <w:tr2bl w:val="nil"/>
            </w:tcBorders>
            <w:vAlign w:val="center"/>
          </w:tcPr>
          <w:p w14:paraId="2B00C185">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2000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5D803561">
            <w:pPr>
              <w:pStyle w:val="48"/>
              <w:jc w:val="center"/>
              <w:rPr>
                <w:rFonts w:ascii="Times New Roman" w:eastAsia="宋体" w:cs="Times New Roman"/>
                <w:color w:val="auto"/>
                <w:sz w:val="21"/>
                <w:szCs w:val="21"/>
              </w:rPr>
            </w:pPr>
          </w:p>
        </w:tc>
      </w:tr>
      <w:tr w14:paraId="165DE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61EF54B6">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6A2009F8">
            <w:pPr>
              <w:pStyle w:val="48"/>
              <w:jc w:val="center"/>
              <w:rPr>
                <w:rFonts w:hint="default" w:ascii="Times New Roman" w:eastAsia="宋体" w:cs="Times New Roman"/>
                <w:color w:val="000000" w:themeColor="text1"/>
                <w:sz w:val="21"/>
                <w:szCs w:val="21"/>
                <w:lang w:val="en-US" w:eastAsia="zh-CN"/>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22</w:t>
            </w:r>
          </w:p>
        </w:tc>
        <w:tc>
          <w:tcPr>
            <w:tcW w:w="1097" w:type="pct"/>
            <w:tcBorders>
              <w:tl2br w:val="nil"/>
              <w:tr2bl w:val="nil"/>
            </w:tcBorders>
            <w:vAlign w:val="center"/>
          </w:tcPr>
          <w:p w14:paraId="11B81A8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sz w:val="21"/>
                <w:szCs w:val="21"/>
                <w:vertAlign w:val="baseline"/>
                <w:lang w:val="en-US" w:eastAsia="zh-CN" w:bidi="ar-SA"/>
              </w:rPr>
              <w:t>好石界江苏海安市文化科技产业园</w:t>
            </w:r>
          </w:p>
        </w:tc>
        <w:tc>
          <w:tcPr>
            <w:tcW w:w="656" w:type="pct"/>
            <w:tcBorders>
              <w:tl2br w:val="nil"/>
              <w:tr2bl w:val="nil"/>
            </w:tcBorders>
            <w:vAlign w:val="center"/>
          </w:tcPr>
          <w:p w14:paraId="45E811E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2FA70A9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2200</w:t>
            </w:r>
          </w:p>
        </w:tc>
        <w:tc>
          <w:tcPr>
            <w:tcW w:w="768" w:type="pct"/>
            <w:tcBorders>
              <w:tl2br w:val="nil"/>
              <w:tr2bl w:val="nil"/>
            </w:tcBorders>
            <w:vAlign w:val="center"/>
          </w:tcPr>
          <w:p w14:paraId="7302FCD3">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auto"/>
                <w:sz w:val="21"/>
                <w:szCs w:val="21"/>
                <w:lang w:val="en-US" w:eastAsia="zh-CN"/>
              </w:rPr>
              <w:t>1200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69F5F732">
            <w:pPr>
              <w:pStyle w:val="48"/>
              <w:jc w:val="center"/>
              <w:rPr>
                <w:rFonts w:ascii="Times New Roman" w:eastAsia="宋体" w:cs="Times New Roman"/>
                <w:color w:val="auto"/>
                <w:sz w:val="21"/>
                <w:szCs w:val="21"/>
              </w:rPr>
            </w:pPr>
          </w:p>
        </w:tc>
      </w:tr>
      <w:tr w14:paraId="3B6A2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2BF5A527">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141637F3">
            <w:pPr>
              <w:pStyle w:val="48"/>
              <w:jc w:val="center"/>
              <w:rPr>
                <w:rFonts w:hint="default" w:ascii="Times New Roman" w:eastAsia="宋体" w:cs="Times New Roman"/>
                <w:color w:val="000000" w:themeColor="text1"/>
                <w:sz w:val="21"/>
                <w:szCs w:val="21"/>
                <w:lang w:val="en-US" w:eastAsia="zh-CN"/>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23</w:t>
            </w:r>
          </w:p>
        </w:tc>
        <w:tc>
          <w:tcPr>
            <w:tcW w:w="1097" w:type="pct"/>
            <w:tcBorders>
              <w:tl2br w:val="nil"/>
              <w:tr2bl w:val="nil"/>
            </w:tcBorders>
            <w:vAlign w:val="center"/>
          </w:tcPr>
          <w:p w14:paraId="37248535">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sz w:val="21"/>
                <w:szCs w:val="21"/>
                <w:vertAlign w:val="baseline"/>
                <w:lang w:val="en-US" w:eastAsia="zh-CN" w:bidi="ar-SA"/>
              </w:rPr>
              <w:t>河垦村</w:t>
            </w:r>
          </w:p>
        </w:tc>
        <w:tc>
          <w:tcPr>
            <w:tcW w:w="656" w:type="pct"/>
            <w:tcBorders>
              <w:tl2br w:val="nil"/>
              <w:tr2bl w:val="nil"/>
            </w:tcBorders>
            <w:vAlign w:val="center"/>
          </w:tcPr>
          <w:p w14:paraId="3F6B7DC4">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4C698D3C">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4600</w:t>
            </w:r>
          </w:p>
        </w:tc>
        <w:tc>
          <w:tcPr>
            <w:tcW w:w="768" w:type="pct"/>
            <w:tcBorders>
              <w:tl2br w:val="nil"/>
              <w:tr2bl w:val="nil"/>
            </w:tcBorders>
            <w:vAlign w:val="center"/>
          </w:tcPr>
          <w:p w14:paraId="43FB0AE0">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auto"/>
                <w:sz w:val="21"/>
                <w:szCs w:val="21"/>
                <w:lang w:val="en-US" w:eastAsia="zh-CN"/>
              </w:rPr>
              <w:t>约1000人</w:t>
            </w:r>
          </w:p>
        </w:tc>
        <w:tc>
          <w:tcPr>
            <w:tcW w:w="1035" w:type="pct"/>
            <w:vMerge w:val="continue"/>
            <w:tcBorders>
              <w:tl2br w:val="nil"/>
              <w:tr2bl w:val="nil"/>
            </w:tcBorders>
            <w:vAlign w:val="center"/>
          </w:tcPr>
          <w:p w14:paraId="3AEE5E43">
            <w:pPr>
              <w:pStyle w:val="48"/>
              <w:jc w:val="center"/>
              <w:rPr>
                <w:rFonts w:ascii="Times New Roman" w:eastAsia="宋体" w:cs="Times New Roman"/>
                <w:color w:val="auto"/>
                <w:sz w:val="21"/>
                <w:szCs w:val="21"/>
              </w:rPr>
            </w:pPr>
          </w:p>
        </w:tc>
      </w:tr>
      <w:tr w14:paraId="42CCD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2AB26FBE">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399CFB97">
            <w:pPr>
              <w:pStyle w:val="48"/>
              <w:jc w:val="center"/>
              <w:rPr>
                <w:rFonts w:hint="default" w:ascii="Times New Roman" w:eastAsia="宋体" w:cs="Times New Roman"/>
                <w:color w:val="000000" w:themeColor="text1"/>
                <w:sz w:val="21"/>
                <w:szCs w:val="21"/>
                <w:lang w:val="en-US" w:eastAsia="zh-CN"/>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24</w:t>
            </w:r>
          </w:p>
        </w:tc>
        <w:tc>
          <w:tcPr>
            <w:tcW w:w="1097" w:type="pct"/>
            <w:tcBorders>
              <w:tl2br w:val="nil"/>
              <w:tr2bl w:val="nil"/>
            </w:tcBorders>
            <w:vAlign w:val="center"/>
          </w:tcPr>
          <w:p w14:paraId="677484E0">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sz w:val="21"/>
                <w:szCs w:val="21"/>
                <w:vertAlign w:val="baseline"/>
                <w:lang w:val="en-US" w:eastAsia="zh-CN" w:bidi="ar-SA"/>
              </w:rPr>
              <w:t>中洋河豚庄园</w:t>
            </w:r>
          </w:p>
        </w:tc>
        <w:tc>
          <w:tcPr>
            <w:tcW w:w="656" w:type="pct"/>
            <w:tcBorders>
              <w:tl2br w:val="nil"/>
              <w:tr2bl w:val="nil"/>
            </w:tcBorders>
            <w:vAlign w:val="center"/>
          </w:tcPr>
          <w:p w14:paraId="066F4092">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36F7136B">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3800</w:t>
            </w:r>
          </w:p>
        </w:tc>
        <w:tc>
          <w:tcPr>
            <w:tcW w:w="768" w:type="pct"/>
            <w:tcBorders>
              <w:tl2br w:val="nil"/>
              <w:tr2bl w:val="nil"/>
            </w:tcBorders>
            <w:vAlign w:val="center"/>
          </w:tcPr>
          <w:p w14:paraId="6D7A6C17">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auto"/>
                <w:sz w:val="21"/>
                <w:szCs w:val="21"/>
                <w:lang w:val="en-US" w:eastAsia="zh-CN"/>
              </w:rPr>
              <w:t>约500人</w:t>
            </w:r>
          </w:p>
        </w:tc>
        <w:tc>
          <w:tcPr>
            <w:tcW w:w="1035" w:type="pct"/>
            <w:vMerge w:val="continue"/>
            <w:tcBorders>
              <w:tl2br w:val="nil"/>
              <w:tr2bl w:val="nil"/>
            </w:tcBorders>
            <w:vAlign w:val="center"/>
          </w:tcPr>
          <w:p w14:paraId="30140ADB">
            <w:pPr>
              <w:pStyle w:val="48"/>
              <w:jc w:val="center"/>
              <w:rPr>
                <w:rFonts w:ascii="Times New Roman" w:eastAsia="宋体" w:cs="Times New Roman"/>
                <w:color w:val="auto"/>
                <w:sz w:val="21"/>
                <w:szCs w:val="21"/>
              </w:rPr>
            </w:pPr>
          </w:p>
        </w:tc>
      </w:tr>
      <w:tr w14:paraId="244BC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208B98AB">
            <w:pPr>
              <w:pStyle w:val="48"/>
              <w:jc w:val="center"/>
              <w:rPr>
                <w:rFonts w:ascii="Times New Roman" w:eastAsia="宋体" w:cs="Times New Roman"/>
                <w:color w:val="auto"/>
                <w:sz w:val="21"/>
                <w:szCs w:val="21"/>
              </w:rPr>
            </w:pPr>
          </w:p>
        </w:tc>
        <w:tc>
          <w:tcPr>
            <w:tcW w:w="367" w:type="pct"/>
            <w:tcBorders>
              <w:tl2br w:val="nil"/>
              <w:tr2bl w:val="nil"/>
            </w:tcBorders>
            <w:vAlign w:val="center"/>
          </w:tcPr>
          <w:p w14:paraId="68A57EAF">
            <w:pPr>
              <w:pStyle w:val="48"/>
              <w:jc w:val="center"/>
              <w:rPr>
                <w:rFonts w:hint="default" w:ascii="Times New Roman" w:eastAsia="宋体" w:cs="Times New Roman"/>
                <w:color w:val="000000" w:themeColor="text1"/>
                <w:sz w:val="21"/>
                <w:szCs w:val="21"/>
                <w:lang w:val="en-US" w:eastAsia="zh-CN"/>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25</w:t>
            </w:r>
          </w:p>
        </w:tc>
        <w:tc>
          <w:tcPr>
            <w:tcW w:w="1097" w:type="pct"/>
            <w:tcBorders>
              <w:tl2br w:val="nil"/>
              <w:tr2bl w:val="nil"/>
            </w:tcBorders>
            <w:vAlign w:val="center"/>
          </w:tcPr>
          <w:p w14:paraId="2982E0AB">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auto"/>
                <w:sz w:val="21"/>
                <w:szCs w:val="21"/>
                <w:lang w:val="en-US" w:eastAsia="zh-CN"/>
              </w:rPr>
              <w:t>东部家具创业孵化园</w:t>
            </w:r>
          </w:p>
        </w:tc>
        <w:tc>
          <w:tcPr>
            <w:tcW w:w="656" w:type="pct"/>
            <w:tcBorders>
              <w:tl2br w:val="nil"/>
              <w:tr2bl w:val="nil"/>
            </w:tcBorders>
            <w:vAlign w:val="center"/>
          </w:tcPr>
          <w:p w14:paraId="280081C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w:t>
            </w:r>
          </w:p>
        </w:tc>
        <w:tc>
          <w:tcPr>
            <w:tcW w:w="648" w:type="pct"/>
            <w:tcBorders>
              <w:tl2br w:val="nil"/>
              <w:tr2bl w:val="nil"/>
            </w:tcBorders>
            <w:vAlign w:val="center"/>
          </w:tcPr>
          <w:p w14:paraId="198A7A1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w:t>
            </w:r>
          </w:p>
        </w:tc>
        <w:tc>
          <w:tcPr>
            <w:tcW w:w="768" w:type="pct"/>
            <w:tcBorders>
              <w:tl2br w:val="nil"/>
              <w:tr2bl w:val="nil"/>
            </w:tcBorders>
            <w:vAlign w:val="center"/>
          </w:tcPr>
          <w:p w14:paraId="6ADD0AF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auto"/>
                <w:sz w:val="21"/>
                <w:szCs w:val="21"/>
                <w:lang w:val="en-US" w:eastAsia="zh-CN"/>
              </w:rPr>
              <w:t>1000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52ABB475">
            <w:pPr>
              <w:pStyle w:val="48"/>
              <w:jc w:val="center"/>
              <w:rPr>
                <w:rFonts w:ascii="Times New Roman" w:eastAsia="宋体" w:cs="Times New Roman"/>
                <w:color w:val="auto"/>
                <w:sz w:val="21"/>
                <w:szCs w:val="21"/>
              </w:rPr>
            </w:pPr>
          </w:p>
        </w:tc>
      </w:tr>
      <w:tr w14:paraId="73631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4EE9631E">
            <w:pPr>
              <w:pStyle w:val="48"/>
              <w:jc w:val="center"/>
              <w:rPr>
                <w:rFonts w:ascii="Times New Roman" w:eastAsia="宋体" w:cs="Times New Roman"/>
                <w:color w:val="auto"/>
                <w:sz w:val="21"/>
                <w:szCs w:val="21"/>
              </w:rPr>
            </w:pPr>
          </w:p>
        </w:tc>
        <w:tc>
          <w:tcPr>
            <w:tcW w:w="2769" w:type="pct"/>
            <w:gridSpan w:val="4"/>
            <w:tcBorders>
              <w:tl2br w:val="nil"/>
              <w:tr2bl w:val="nil"/>
            </w:tcBorders>
            <w:vAlign w:val="center"/>
          </w:tcPr>
          <w:p w14:paraId="08F60531">
            <w:pPr>
              <w:pStyle w:val="48"/>
              <w:jc w:val="center"/>
              <w:rPr>
                <w:rFonts w:ascii="Times New Roman" w:eastAsia="宋体" w:cs="Times New Roman"/>
                <w:color w:val="auto"/>
                <w:sz w:val="21"/>
                <w:szCs w:val="21"/>
              </w:rPr>
            </w:pPr>
            <w:r>
              <w:rPr>
                <w:rFonts w:ascii="Times New Roman" w:eastAsia="宋体" w:cs="Times New Roman"/>
                <w:color w:val="auto"/>
                <w:sz w:val="21"/>
                <w:szCs w:val="21"/>
              </w:rPr>
              <w:t>总计人数</w:t>
            </w:r>
          </w:p>
        </w:tc>
        <w:tc>
          <w:tcPr>
            <w:tcW w:w="768" w:type="pct"/>
            <w:tcBorders>
              <w:tl2br w:val="nil"/>
              <w:tr2bl w:val="nil"/>
            </w:tcBorders>
            <w:vAlign w:val="center"/>
          </w:tcPr>
          <w:p w14:paraId="7DD6CDA8">
            <w:pPr>
              <w:pStyle w:val="48"/>
              <w:jc w:val="center"/>
              <w:rPr>
                <w:rFonts w:ascii="Times New Roman" w:eastAsia="宋体" w:cs="Times New Roman"/>
                <w:color w:val="auto"/>
                <w:sz w:val="21"/>
                <w:szCs w:val="21"/>
              </w:rPr>
            </w:pPr>
            <w:r>
              <w:rPr>
                <w:rFonts w:ascii="Times New Roman" w:eastAsia="宋体" w:cs="Times New Roman"/>
                <w:color w:val="auto"/>
                <w:sz w:val="21"/>
                <w:szCs w:val="21"/>
              </w:rPr>
              <w:t>约</w:t>
            </w:r>
            <w:r>
              <w:rPr>
                <w:rFonts w:hint="eastAsia" w:ascii="Times New Roman" w:eastAsia="宋体" w:cs="Times New Roman"/>
                <w:color w:val="auto"/>
                <w:sz w:val="21"/>
                <w:szCs w:val="21"/>
                <w:lang w:val="en-US" w:eastAsia="zh-CN"/>
              </w:rPr>
              <w:t>7630</w:t>
            </w:r>
            <w:r>
              <w:rPr>
                <w:rFonts w:ascii="Times New Roman" w:eastAsia="宋体" w:cs="Times New Roman"/>
                <w:color w:val="auto"/>
                <w:sz w:val="21"/>
                <w:szCs w:val="21"/>
              </w:rPr>
              <w:t>人</w:t>
            </w:r>
          </w:p>
        </w:tc>
        <w:tc>
          <w:tcPr>
            <w:tcW w:w="1035" w:type="pct"/>
            <w:vMerge w:val="continue"/>
            <w:tcBorders>
              <w:tl2br w:val="nil"/>
              <w:tr2bl w:val="nil"/>
            </w:tcBorders>
            <w:vAlign w:val="center"/>
          </w:tcPr>
          <w:p w14:paraId="6FE9FC98">
            <w:pPr>
              <w:pStyle w:val="48"/>
              <w:jc w:val="center"/>
              <w:rPr>
                <w:rFonts w:ascii="Times New Roman" w:eastAsia="宋体" w:cs="Times New Roman"/>
                <w:color w:val="auto"/>
                <w:sz w:val="21"/>
                <w:szCs w:val="21"/>
              </w:rPr>
            </w:pPr>
          </w:p>
        </w:tc>
      </w:tr>
    </w:tbl>
    <w:p w14:paraId="4048F2E4">
      <w:pPr>
        <w:pStyle w:val="4"/>
        <w:adjustRightInd w:val="0"/>
        <w:snapToGrid w:val="0"/>
        <w:spacing w:line="500" w:lineRule="exact"/>
        <w:rPr>
          <w:rFonts w:eastAsia="宋体"/>
          <w:color w:val="000000" w:themeColor="text1"/>
          <w14:textFill>
            <w14:solidFill>
              <w14:schemeClr w14:val="tx1"/>
            </w14:solidFill>
          </w14:textFill>
        </w:rPr>
      </w:pPr>
      <w:bookmarkStart w:id="82" w:name="_Toc510092935"/>
      <w:bookmarkStart w:id="83" w:name="_Toc24780"/>
      <w:bookmarkStart w:id="84" w:name="_Toc3725"/>
      <w:bookmarkStart w:id="85" w:name="_Toc28932"/>
      <w:bookmarkStart w:id="86" w:name="_Toc16025"/>
      <w:r>
        <w:rPr>
          <w:rFonts w:eastAsia="宋体"/>
          <w:color w:val="000000" w:themeColor="text1"/>
          <w14:textFill>
            <w14:solidFill>
              <w14:schemeClr w14:val="tx1"/>
            </w14:solidFill>
          </w14:textFill>
        </w:rPr>
        <w:t>3.2.2水环境风险受体</w:t>
      </w:r>
      <w:bookmarkEnd w:id="82"/>
      <w:bookmarkEnd w:id="83"/>
      <w:bookmarkEnd w:id="84"/>
      <w:bookmarkEnd w:id="85"/>
      <w:bookmarkEnd w:id="86"/>
    </w:p>
    <w:p w14:paraId="6DD33A07">
      <w:pPr>
        <w:adjustRightInd w:val="0"/>
        <w:snapToGrid w:val="0"/>
        <w:spacing w:line="500" w:lineRule="exact"/>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3.2.2.1</w:t>
      </w:r>
      <w:r>
        <w:rPr>
          <w:rFonts w:eastAsia="宋体"/>
          <w:b/>
          <w:bCs/>
          <w:color w:val="000000" w:themeColor="text1"/>
          <w14:textFill>
            <w14:solidFill>
              <w14:schemeClr w14:val="tx1"/>
            </w14:solidFill>
          </w14:textFill>
        </w:rPr>
        <w:t>地表水环境</w:t>
      </w:r>
    </w:p>
    <w:p w14:paraId="75AEB760">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建设项目实行雨污分流、清污分流。</w:t>
      </w:r>
      <w:r>
        <w:rPr>
          <w:rFonts w:hint="eastAsia" w:ascii="Times New Roman" w:hAnsi="Times New Roman" w:cs="Times New Roman" w:eastAsiaTheme="minorEastAsia"/>
          <w:sz w:val="24"/>
          <w:szCs w:val="24"/>
        </w:rPr>
        <w:t>雨水经雨水管网</w:t>
      </w:r>
      <w:r>
        <w:rPr>
          <w:rFonts w:hint="eastAsia" w:ascii="Times New Roman" w:hAnsi="Times New Roman" w:cs="Times New Roman" w:eastAsiaTheme="minorEastAsia"/>
          <w:sz w:val="24"/>
          <w:szCs w:val="24"/>
          <w:lang w:val="en-US" w:eastAsia="zh-CN"/>
        </w:rPr>
        <w:t>就近排入周边水体</w:t>
      </w:r>
      <w:r>
        <w:rPr>
          <w:rFonts w:hint="eastAsia"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水喷淋废水经气浮絮凝沉淀处理达标后循环使用，不外排</w:t>
      </w:r>
      <w:r>
        <w:rPr>
          <w:rFonts w:hint="eastAsia" w:eastAsia="宋体"/>
          <w:color w:val="000000" w:themeColor="text1"/>
          <w:lang w:val="en-US" w:eastAsia="zh-CN"/>
          <w14:textFill>
            <w14:solidFill>
              <w14:schemeClr w14:val="tx1"/>
            </w14:solidFill>
          </w14:textFill>
        </w:rPr>
        <w:t>；生活污水经化粪池预处理达接管要求后，经园区污水管网接管进</w:t>
      </w:r>
      <w:r>
        <w:rPr>
          <w:rFonts w:hint="eastAsia" w:eastAsia="宋体"/>
          <w:color w:val="000000" w:themeColor="text1"/>
          <w:lang w:eastAsia="zh-CN"/>
          <w14:textFill>
            <w14:solidFill>
              <w14:schemeClr w14:val="tx1"/>
            </w14:solidFill>
          </w14:textFill>
        </w:rPr>
        <w:t>海安金港水务环保科技有限公司</w:t>
      </w:r>
      <w:r>
        <w:rPr>
          <w:rFonts w:hint="eastAsia" w:eastAsia="宋体"/>
          <w:color w:val="000000" w:themeColor="text1"/>
          <w:lang w:val="en-US" w:eastAsia="zh-CN"/>
          <w14:textFill>
            <w14:solidFill>
              <w14:schemeClr w14:val="tx1"/>
            </w14:solidFill>
          </w14:textFill>
        </w:rPr>
        <w:t>进行集中处理，处理达标后排入环港南河。</w:t>
      </w:r>
    </w:p>
    <w:p w14:paraId="6F792F95">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公司位于南通市</w:t>
      </w:r>
      <w:r>
        <w:rPr>
          <w:rFonts w:hint="eastAsia" w:eastAsia="宋体"/>
          <w:color w:val="000000" w:themeColor="text1"/>
          <w:lang w:eastAsia="zh-CN"/>
          <w14:textFill>
            <w14:solidFill>
              <w14:schemeClr w14:val="tx1"/>
            </w14:solidFill>
          </w14:textFill>
        </w:rPr>
        <w:t>海安市老坝港滨海新区金港大道68号</w:t>
      </w:r>
      <w:r>
        <w:rPr>
          <w:rFonts w:eastAsia="宋体"/>
          <w:color w:val="000000" w:themeColor="text1"/>
          <w14:textFill>
            <w14:solidFill>
              <w14:schemeClr w14:val="tx1"/>
            </w14:solidFill>
          </w14:textFill>
        </w:rPr>
        <w:t>，根据调查，公司周边及下游10km范围内水环境风险受体分布详见表3</w:t>
      </w:r>
      <w:r>
        <w:rPr>
          <w:rFonts w:hint="eastAsia" w:eastAsia="宋体"/>
          <w:color w:val="000000" w:themeColor="text1"/>
          <w14:textFill>
            <w14:solidFill>
              <w14:schemeClr w14:val="tx1"/>
            </w14:solidFill>
          </w14:textFill>
        </w:rPr>
        <w:t>-6</w:t>
      </w:r>
      <w:r>
        <w:rPr>
          <w:rFonts w:eastAsia="宋体"/>
          <w:color w:val="000000" w:themeColor="text1"/>
          <w14:textFill>
            <w14:solidFill>
              <w14:schemeClr w14:val="tx1"/>
            </w14:solidFill>
          </w14:textFill>
        </w:rPr>
        <w:t>和水系图。</w:t>
      </w:r>
    </w:p>
    <w:p w14:paraId="18876C42">
      <w:pPr>
        <w:adjustRightInd w:val="0"/>
        <w:snapToGrid w:val="0"/>
        <w:spacing w:line="500" w:lineRule="exact"/>
        <w:jc w:val="center"/>
        <w:rPr>
          <w:rFonts w:eastAsia="宋体"/>
          <w:b/>
          <w:bCs/>
        </w:rPr>
      </w:pPr>
      <w:r>
        <w:rPr>
          <w:rFonts w:eastAsia="宋体"/>
          <w:b/>
          <w:bCs/>
        </w:rPr>
        <w:t>表3-</w:t>
      </w:r>
      <w:r>
        <w:rPr>
          <w:rFonts w:hint="eastAsia" w:eastAsia="宋体"/>
          <w:b/>
          <w:bCs/>
        </w:rPr>
        <w:t>6</w:t>
      </w:r>
      <w:r>
        <w:rPr>
          <w:rFonts w:eastAsia="宋体"/>
          <w:b/>
          <w:bCs/>
        </w:rPr>
        <w:t>公司周边水环境敏感目标（10公里）</w:t>
      </w:r>
    </w:p>
    <w:tbl>
      <w:tblPr>
        <w:tblStyle w:val="38"/>
        <w:tblW w:w="54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640"/>
        <w:gridCol w:w="776"/>
        <w:gridCol w:w="1102"/>
        <w:gridCol w:w="605"/>
        <w:gridCol w:w="3925"/>
      </w:tblGrid>
      <w:tr w14:paraId="055FAD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1" w:hRule="atLeast"/>
          <w:tblHeader/>
          <w:jc w:val="center"/>
        </w:trPr>
        <w:tc>
          <w:tcPr>
            <w:tcW w:w="1810" w:type="pct"/>
            <w:tcBorders>
              <w:tl2br w:val="nil"/>
              <w:tr2bl w:val="nil"/>
            </w:tcBorders>
            <w:vAlign w:val="center"/>
          </w:tcPr>
          <w:p w14:paraId="6185D5EC">
            <w:pPr>
              <w:widowControl/>
              <w:adjustRightInd w:val="0"/>
              <w:snapToGrid w:val="0"/>
              <w:jc w:val="center"/>
              <w:rPr>
                <w:rFonts w:eastAsia="宋体"/>
                <w:sz w:val="21"/>
                <w:szCs w:val="21"/>
              </w:rPr>
            </w:pPr>
            <w:r>
              <w:rPr>
                <w:rFonts w:eastAsia="宋体"/>
                <w:sz w:val="21"/>
                <w:szCs w:val="21"/>
              </w:rPr>
              <w:t>水环境敏感目标</w:t>
            </w:r>
          </w:p>
        </w:tc>
        <w:tc>
          <w:tcPr>
            <w:tcW w:w="386" w:type="pct"/>
            <w:tcBorders>
              <w:tl2br w:val="nil"/>
              <w:tr2bl w:val="nil"/>
            </w:tcBorders>
            <w:vAlign w:val="center"/>
          </w:tcPr>
          <w:p w14:paraId="1AE3E06E">
            <w:pPr>
              <w:widowControl/>
              <w:adjustRightInd w:val="0"/>
              <w:snapToGrid w:val="0"/>
              <w:jc w:val="center"/>
              <w:rPr>
                <w:rFonts w:eastAsia="宋体"/>
                <w:sz w:val="21"/>
                <w:szCs w:val="21"/>
              </w:rPr>
            </w:pPr>
            <w:r>
              <w:rPr>
                <w:rFonts w:eastAsia="宋体"/>
                <w:sz w:val="21"/>
                <w:szCs w:val="21"/>
              </w:rPr>
              <w:t>方位</w:t>
            </w:r>
          </w:p>
        </w:tc>
        <w:tc>
          <w:tcPr>
            <w:tcW w:w="548" w:type="pct"/>
            <w:tcBorders>
              <w:tl2br w:val="nil"/>
              <w:tr2bl w:val="nil"/>
            </w:tcBorders>
            <w:vAlign w:val="center"/>
          </w:tcPr>
          <w:p w14:paraId="7B5D7414">
            <w:pPr>
              <w:widowControl/>
              <w:adjustRightInd w:val="0"/>
              <w:snapToGrid w:val="0"/>
              <w:jc w:val="center"/>
              <w:rPr>
                <w:rFonts w:eastAsia="宋体"/>
                <w:sz w:val="21"/>
                <w:szCs w:val="21"/>
              </w:rPr>
            </w:pPr>
            <w:r>
              <w:rPr>
                <w:rFonts w:eastAsia="宋体"/>
                <w:sz w:val="21"/>
                <w:szCs w:val="21"/>
              </w:rPr>
              <w:t>距离（m）</w:t>
            </w:r>
          </w:p>
        </w:tc>
        <w:tc>
          <w:tcPr>
            <w:tcW w:w="301" w:type="pct"/>
            <w:tcBorders>
              <w:tl2br w:val="nil"/>
              <w:tr2bl w:val="nil"/>
            </w:tcBorders>
            <w:vAlign w:val="center"/>
          </w:tcPr>
          <w:p w14:paraId="56D0FEC7">
            <w:pPr>
              <w:widowControl/>
              <w:adjustRightInd w:val="0"/>
              <w:snapToGrid w:val="0"/>
              <w:jc w:val="center"/>
              <w:rPr>
                <w:rFonts w:eastAsia="宋体"/>
                <w:sz w:val="21"/>
                <w:szCs w:val="21"/>
              </w:rPr>
            </w:pPr>
            <w:r>
              <w:rPr>
                <w:rFonts w:eastAsia="宋体"/>
                <w:sz w:val="21"/>
                <w:szCs w:val="21"/>
              </w:rPr>
              <w:t>规模</w:t>
            </w:r>
          </w:p>
        </w:tc>
        <w:tc>
          <w:tcPr>
            <w:tcW w:w="1952" w:type="pct"/>
            <w:tcBorders>
              <w:tl2br w:val="nil"/>
              <w:tr2bl w:val="nil"/>
            </w:tcBorders>
            <w:vAlign w:val="center"/>
          </w:tcPr>
          <w:p w14:paraId="4879230A">
            <w:pPr>
              <w:widowControl/>
              <w:adjustRightInd w:val="0"/>
              <w:snapToGrid w:val="0"/>
              <w:jc w:val="center"/>
              <w:rPr>
                <w:rFonts w:eastAsia="宋体"/>
                <w:sz w:val="21"/>
                <w:szCs w:val="21"/>
              </w:rPr>
            </w:pPr>
            <w:r>
              <w:rPr>
                <w:rFonts w:eastAsia="宋体"/>
                <w:sz w:val="21"/>
                <w:szCs w:val="21"/>
              </w:rPr>
              <w:t>环境功能</w:t>
            </w:r>
          </w:p>
        </w:tc>
      </w:tr>
      <w:tr w14:paraId="4C9B2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10" w:type="pct"/>
            <w:vAlign w:val="center"/>
          </w:tcPr>
          <w:p w14:paraId="3013D699">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环港北河</w:t>
            </w:r>
          </w:p>
        </w:tc>
        <w:tc>
          <w:tcPr>
            <w:tcW w:w="386" w:type="pct"/>
            <w:vAlign w:val="center"/>
          </w:tcPr>
          <w:p w14:paraId="4670ED06">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N</w:t>
            </w:r>
          </w:p>
        </w:tc>
        <w:tc>
          <w:tcPr>
            <w:tcW w:w="548" w:type="pct"/>
            <w:vAlign w:val="center"/>
          </w:tcPr>
          <w:p w14:paraId="78677ED8">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rPr>
              <w:t>64</w:t>
            </w:r>
          </w:p>
        </w:tc>
        <w:tc>
          <w:tcPr>
            <w:tcW w:w="301" w:type="pct"/>
            <w:vAlign w:val="center"/>
          </w:tcPr>
          <w:p w14:paraId="2F7955BE">
            <w:pPr>
              <w:widowControl/>
              <w:adjustRightInd w:val="0"/>
              <w:snapToGrid w:val="0"/>
              <w:jc w:val="center"/>
              <w:rPr>
                <w:rFonts w:eastAsia="宋体"/>
                <w:sz w:val="21"/>
                <w:szCs w:val="21"/>
              </w:rPr>
            </w:pPr>
            <w:r>
              <w:rPr>
                <w:rFonts w:eastAsia="宋体"/>
                <w:sz w:val="21"/>
                <w:szCs w:val="21"/>
              </w:rPr>
              <w:t>小河</w:t>
            </w:r>
          </w:p>
        </w:tc>
        <w:tc>
          <w:tcPr>
            <w:tcW w:w="1952" w:type="pct"/>
            <w:vMerge w:val="restart"/>
            <w:vAlign w:val="center"/>
          </w:tcPr>
          <w:p w14:paraId="57EE53FD">
            <w:pPr>
              <w:tabs>
                <w:tab w:val="left" w:pos="1021"/>
              </w:tabs>
              <w:adjustRightInd w:val="0"/>
              <w:snapToGrid w:val="0"/>
              <w:jc w:val="center"/>
              <w:textAlignment w:val="auto"/>
              <w:rPr>
                <w:rFonts w:eastAsia="宋体"/>
                <w:sz w:val="21"/>
                <w:szCs w:val="21"/>
              </w:rPr>
            </w:pPr>
            <w:r>
              <w:rPr>
                <w:rFonts w:eastAsia="宋体"/>
                <w:bCs/>
                <w:sz w:val="21"/>
                <w:szCs w:val="21"/>
              </w:rPr>
              <w:t>《地表水环境质量标准》（GB3838-2002）中</w:t>
            </w:r>
            <w:r>
              <w:rPr>
                <w:rFonts w:hint="default"/>
                <w:szCs w:val="21"/>
                <w:lang w:val="en-US"/>
              </w:rPr>
              <w:t>Ⅳ</w:t>
            </w:r>
            <w:r>
              <w:rPr>
                <w:rFonts w:eastAsia="宋体"/>
                <w:bCs/>
                <w:sz w:val="21"/>
                <w:szCs w:val="21"/>
              </w:rPr>
              <w:t>类标准</w:t>
            </w:r>
          </w:p>
        </w:tc>
      </w:tr>
      <w:tr w14:paraId="320DB0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10" w:type="pct"/>
            <w:vAlign w:val="center"/>
          </w:tcPr>
          <w:p w14:paraId="3057D44D">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rPr>
              <w:t>环港南河</w:t>
            </w:r>
          </w:p>
        </w:tc>
        <w:tc>
          <w:tcPr>
            <w:tcW w:w="386" w:type="pct"/>
            <w:vAlign w:val="center"/>
          </w:tcPr>
          <w:p w14:paraId="0EF02D34">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S</w:t>
            </w:r>
          </w:p>
        </w:tc>
        <w:tc>
          <w:tcPr>
            <w:tcW w:w="548" w:type="pct"/>
            <w:vAlign w:val="center"/>
          </w:tcPr>
          <w:p w14:paraId="79F89730">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rPr>
              <w:t>1400</w:t>
            </w:r>
          </w:p>
        </w:tc>
        <w:tc>
          <w:tcPr>
            <w:tcW w:w="301" w:type="pct"/>
            <w:vAlign w:val="center"/>
          </w:tcPr>
          <w:p w14:paraId="11170AC4">
            <w:pPr>
              <w:adjustRightInd w:val="0"/>
              <w:snapToGrid w:val="0"/>
              <w:jc w:val="center"/>
              <w:textAlignment w:val="baseline"/>
              <w:rPr>
                <w:rFonts w:eastAsia="宋体"/>
                <w:sz w:val="21"/>
                <w:szCs w:val="21"/>
              </w:rPr>
            </w:pPr>
            <w:r>
              <w:rPr>
                <w:rFonts w:eastAsia="宋体"/>
                <w:sz w:val="21"/>
                <w:szCs w:val="21"/>
              </w:rPr>
              <w:t>小河</w:t>
            </w:r>
          </w:p>
        </w:tc>
        <w:tc>
          <w:tcPr>
            <w:tcW w:w="1952" w:type="pct"/>
            <w:vMerge w:val="continue"/>
            <w:vAlign w:val="center"/>
          </w:tcPr>
          <w:p w14:paraId="69E50D08">
            <w:pPr>
              <w:adjustRightInd w:val="0"/>
              <w:snapToGrid w:val="0"/>
              <w:jc w:val="center"/>
              <w:textAlignment w:val="baseline"/>
              <w:rPr>
                <w:rFonts w:eastAsia="宋体"/>
                <w:sz w:val="21"/>
                <w:szCs w:val="21"/>
              </w:rPr>
            </w:pPr>
          </w:p>
        </w:tc>
      </w:tr>
      <w:tr w14:paraId="5D1E8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10" w:type="pct"/>
            <w:vAlign w:val="center"/>
          </w:tcPr>
          <w:p w14:paraId="061757C0">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安港河</w:t>
            </w:r>
          </w:p>
        </w:tc>
        <w:tc>
          <w:tcPr>
            <w:tcW w:w="386" w:type="pct"/>
            <w:vAlign w:val="center"/>
          </w:tcPr>
          <w:p w14:paraId="21BB02BC">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E</w:t>
            </w:r>
          </w:p>
        </w:tc>
        <w:tc>
          <w:tcPr>
            <w:tcW w:w="548" w:type="pct"/>
            <w:vAlign w:val="center"/>
          </w:tcPr>
          <w:p w14:paraId="76B3A7C7">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rPr>
              <w:t>130</w:t>
            </w:r>
          </w:p>
        </w:tc>
        <w:tc>
          <w:tcPr>
            <w:tcW w:w="301" w:type="pct"/>
            <w:vAlign w:val="center"/>
          </w:tcPr>
          <w:p w14:paraId="24EA8659">
            <w:pPr>
              <w:widowControl/>
              <w:adjustRightInd w:val="0"/>
              <w:snapToGrid w:val="0"/>
              <w:jc w:val="center"/>
              <w:rPr>
                <w:rFonts w:eastAsia="宋体"/>
                <w:sz w:val="21"/>
                <w:szCs w:val="21"/>
              </w:rPr>
            </w:pPr>
            <w:r>
              <w:rPr>
                <w:rFonts w:eastAsia="宋体"/>
                <w:sz w:val="21"/>
                <w:szCs w:val="21"/>
              </w:rPr>
              <w:t>小河</w:t>
            </w:r>
          </w:p>
        </w:tc>
        <w:tc>
          <w:tcPr>
            <w:tcW w:w="1952" w:type="pct"/>
            <w:vMerge w:val="continue"/>
            <w:vAlign w:val="center"/>
          </w:tcPr>
          <w:p w14:paraId="312894E0">
            <w:pPr>
              <w:adjustRightInd w:val="0"/>
              <w:snapToGrid w:val="0"/>
              <w:jc w:val="center"/>
              <w:textAlignment w:val="baseline"/>
              <w:rPr>
                <w:rFonts w:eastAsia="宋体"/>
                <w:sz w:val="21"/>
                <w:szCs w:val="21"/>
              </w:rPr>
            </w:pPr>
          </w:p>
        </w:tc>
      </w:tr>
    </w:tbl>
    <w:p w14:paraId="7E63EED8">
      <w:pPr>
        <w:adjustRightInd w:val="0"/>
        <w:snapToGrid w:val="0"/>
        <w:spacing w:line="500" w:lineRule="exact"/>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3.2.2.2</w:t>
      </w:r>
      <w:r>
        <w:rPr>
          <w:rFonts w:eastAsia="宋体"/>
          <w:b/>
          <w:bCs/>
          <w:color w:val="000000" w:themeColor="text1"/>
          <w14:textFill>
            <w14:solidFill>
              <w14:schemeClr w14:val="tx1"/>
            </w14:solidFill>
          </w14:textFill>
        </w:rPr>
        <w:t>地下水环境</w:t>
      </w:r>
    </w:p>
    <w:p w14:paraId="640525D0">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根据海安市地质资料，公司所在地岩土层厚度大于1米，渗透系数10</w:t>
      </w:r>
      <w:r>
        <w:rPr>
          <w:rFonts w:eastAsia="宋体"/>
          <w:color w:val="000000" w:themeColor="text1"/>
          <w:vertAlign w:val="superscript"/>
          <w14:textFill>
            <w14:solidFill>
              <w14:schemeClr w14:val="tx1"/>
            </w14:solidFill>
          </w14:textFill>
        </w:rPr>
        <w:t>-7</w:t>
      </w:r>
      <w:r>
        <w:rPr>
          <w:rFonts w:eastAsia="宋体"/>
          <w:color w:val="000000" w:themeColor="text1"/>
          <w14:textFill>
            <w14:solidFill>
              <w14:schemeClr w14:val="tx1"/>
            </w14:solidFill>
          </w14:textFill>
        </w:rPr>
        <w:t>﹤K≤10</w:t>
      </w:r>
      <w:r>
        <w:rPr>
          <w:rFonts w:eastAsia="宋体"/>
          <w:color w:val="000000" w:themeColor="text1"/>
          <w:vertAlign w:val="superscript"/>
          <w14:textFill>
            <w14:solidFill>
              <w14:schemeClr w14:val="tx1"/>
            </w14:solidFill>
          </w14:textFill>
        </w:rPr>
        <w:t>-4</w:t>
      </w:r>
      <w:r>
        <w:rPr>
          <w:rFonts w:eastAsia="宋体"/>
          <w:color w:val="000000" w:themeColor="text1"/>
          <w14:textFill>
            <w14:solidFill>
              <w14:schemeClr w14:val="tx1"/>
            </w14:solidFill>
          </w14:textFill>
        </w:rPr>
        <w:t>cm/s，包气带防污性能中等，含水层易污染程度中等，公司所在区域不属于生活供水水源地准保护区，不属于热水、矿泉水、温泉等特殊地下水源保护区，也不属于补给径流区，同时公司占地为规划的工业用地，场地内无分散居民饮用水源等其它环境敏感区，周边居民饮用水来自市政自来水管网。</w:t>
      </w:r>
    </w:p>
    <w:p w14:paraId="15C6C1DB">
      <w:pPr>
        <w:adjustRightInd w:val="0"/>
        <w:snapToGrid w:val="0"/>
        <w:spacing w:line="500" w:lineRule="exact"/>
        <w:outlineLvl w:val="2"/>
        <w:rPr>
          <w:rFonts w:eastAsia="宋体"/>
          <w:b/>
          <w:bCs/>
          <w:color w:val="000000" w:themeColor="text1"/>
          <w14:textFill>
            <w14:solidFill>
              <w14:schemeClr w14:val="tx1"/>
            </w14:solidFill>
          </w14:textFill>
        </w:rPr>
      </w:pPr>
      <w:bookmarkStart w:id="87" w:name="3.2.4生态环境保护目标"/>
      <w:bookmarkEnd w:id="87"/>
      <w:bookmarkStart w:id="88" w:name="_Toc30336"/>
      <w:bookmarkStart w:id="89" w:name="_Toc21141"/>
      <w:bookmarkStart w:id="90" w:name="_Toc8521"/>
      <w:r>
        <w:rPr>
          <w:rFonts w:hint="eastAsia" w:eastAsia="宋体"/>
          <w:b/>
          <w:bCs/>
          <w:color w:val="000000" w:themeColor="text1"/>
          <w14:textFill>
            <w14:solidFill>
              <w14:schemeClr w14:val="tx1"/>
            </w14:solidFill>
          </w14:textFill>
        </w:rPr>
        <w:t>3.2.3</w:t>
      </w:r>
      <w:r>
        <w:rPr>
          <w:rFonts w:eastAsia="宋体"/>
          <w:b/>
          <w:bCs/>
          <w:color w:val="000000" w:themeColor="text1"/>
          <w14:textFill>
            <w14:solidFill>
              <w14:schemeClr w14:val="tx1"/>
            </w14:solidFill>
          </w14:textFill>
        </w:rPr>
        <w:t>生态环境保护目标</w:t>
      </w:r>
      <w:bookmarkEnd w:id="88"/>
      <w:bookmarkEnd w:id="89"/>
      <w:bookmarkEnd w:id="90"/>
    </w:p>
    <w:p w14:paraId="252151C9">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①生态保护红线</w:t>
      </w:r>
    </w:p>
    <w:p w14:paraId="5B5670A4">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江苏省生态红线区域保护规划是在原《江苏省重要生态功能保护区区域规划》基础上，按照“保护为主、应保尽保，科学评估、合理布局，分级管控、强化措施”的思路和原则，全省共划定十五类（自然保护区、风景名胜区、森林公园、地质遗迹保护区、湿地公园、饮用水水源保护区、海洋特别保护区、洪水调蓄区、重要水源涵养区、重要渔业水域、重要湿地、清水通道维护区、生态公益林、太湖重要保护区、特殊物种保护区）生态红线区域。生态红线区域的划定，是我省生态文明建设的基础性工作，是在主体功能区规划指导下实施生态空间保护和管控的细化，也是贯彻节约优先，保护优先，自然恢复为主方针的具体化，对于妥善处理保护与发展的关系，从根本上预防和控制各种不合理的开发建设活动对生态功能的破坏，构建生态安全格局，推动科学发展具有重要作用。</w:t>
      </w:r>
    </w:p>
    <w:p w14:paraId="5E4B6FF9">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项目选址位于海安市老坝港滨海新区金港大道68号，位于海安市与如东县交界位置，根据《省政府关于印发江苏省生态红线区域保护规划的通知》（苏政发[2013]113号），距离本项目最近的生态红线保护区为如东县小洋口国家级海洋公园。小洋口国家级海洋公园保护区总面积34.33km</w:t>
      </w:r>
      <w:r>
        <w:rPr>
          <w:rFonts w:hint="eastAsia" w:eastAsia="宋体"/>
          <w:color w:val="000000" w:themeColor="text1"/>
          <w:vertAlign w:val="superscript"/>
          <w:lang w:val="en-US" w:eastAsia="zh-CN"/>
          <w14:textFill>
            <w14:solidFill>
              <w14:schemeClr w14:val="tx1"/>
            </w14:solidFill>
          </w14:textFill>
        </w:rPr>
        <w:t>2</w:t>
      </w:r>
      <w:r>
        <w:rPr>
          <w:rFonts w:hint="eastAsia" w:eastAsia="宋体"/>
          <w:color w:val="000000" w:themeColor="text1"/>
          <w:lang w:val="en-US" w:eastAsia="zh-CN"/>
          <w14:textFill>
            <w14:solidFill>
              <w14:schemeClr w14:val="tx1"/>
            </w14:solidFill>
          </w14:textFill>
        </w:rPr>
        <w:t>，其中一级管控区面积21.25km</w:t>
      </w:r>
      <w:r>
        <w:rPr>
          <w:rFonts w:hint="eastAsia" w:eastAsia="宋体"/>
          <w:color w:val="000000" w:themeColor="text1"/>
          <w:vertAlign w:val="superscript"/>
          <w:lang w:val="en-US" w:eastAsia="zh-CN"/>
          <w14:textFill>
            <w14:solidFill>
              <w14:schemeClr w14:val="tx1"/>
            </w14:solidFill>
          </w14:textFill>
        </w:rPr>
        <w:t>2</w:t>
      </w:r>
      <w:r>
        <w:rPr>
          <w:rFonts w:hint="eastAsia" w:eastAsia="宋体"/>
          <w:color w:val="000000" w:themeColor="text1"/>
          <w:lang w:val="en-US" w:eastAsia="zh-CN"/>
          <w14:textFill>
            <w14:solidFill>
              <w14:schemeClr w14:val="tx1"/>
            </w14:solidFill>
          </w14:textFill>
        </w:rPr>
        <w:t>，二级管控区面积13.08km</w:t>
      </w:r>
      <w:r>
        <w:rPr>
          <w:rFonts w:hint="eastAsia" w:eastAsia="宋体"/>
          <w:color w:val="000000" w:themeColor="text1"/>
          <w:vertAlign w:val="superscript"/>
          <w:lang w:val="en-US" w:eastAsia="zh-CN"/>
          <w14:textFill>
            <w14:solidFill>
              <w14:schemeClr w14:val="tx1"/>
            </w14:solidFill>
          </w14:textFill>
        </w:rPr>
        <w:t>2</w:t>
      </w:r>
      <w:r>
        <w:rPr>
          <w:rFonts w:hint="eastAsia" w:eastAsia="宋体"/>
          <w:color w:val="000000" w:themeColor="text1"/>
          <w:lang w:val="en-US" w:eastAsia="zh-CN"/>
          <w14:textFill>
            <w14:solidFill>
              <w14:schemeClr w14:val="tx1"/>
            </w14:solidFill>
          </w14:textFill>
        </w:rPr>
        <w:t>，主导生态功能为自然与人文景观保护。本项目距离小洋口国家级海洋公园约5.8km，不在管控区范围内。因此，本项目评价范围不涉及生态红线保护区域，不会导致生态红线区域生态服务功能下降。本项目符合江苏省生态红线区域保护规划。</w:t>
      </w:r>
    </w:p>
    <w:p w14:paraId="65B927E0">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②符合产业政策</w:t>
      </w:r>
    </w:p>
    <w:p w14:paraId="4BA47DE7">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建设项目属于于[C2110]木质家具制造，对照《产业结构调整指导目录（201</w:t>
      </w:r>
      <w:r>
        <w:rPr>
          <w:rFonts w:hint="eastAsia" w:eastAsia="宋体"/>
          <w:color w:val="000000" w:themeColor="text1"/>
          <w14:textFill>
            <w14:solidFill>
              <w14:schemeClr w14:val="tx1"/>
            </w14:solidFill>
          </w14:textFill>
        </w:rPr>
        <w:t>9</w:t>
      </w:r>
      <w:r>
        <w:rPr>
          <w:rFonts w:eastAsia="宋体"/>
          <w:color w:val="000000" w:themeColor="text1"/>
          <w14:textFill>
            <w14:solidFill>
              <w14:schemeClr w14:val="tx1"/>
            </w14:solidFill>
          </w14:textFill>
        </w:rPr>
        <w:t>年本）》及《江苏省工业和信息产业结构调整指导目录（2012年本）》修正版，本项目不属于其中规定的限制类或淘汰类项目。建设项目不属于《禁止用地项目目录（2012年本）》及《限制用地项目目录（2012年本）》中淘汰和限制项目。</w:t>
      </w:r>
    </w:p>
    <w:p w14:paraId="3C97ED26">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因此，本项目符合国家和地方产业政策。</w:t>
      </w:r>
    </w:p>
    <w:p w14:paraId="5336424E">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③</w:t>
      </w:r>
      <w:r>
        <w:rPr>
          <w:rFonts w:eastAsia="宋体"/>
          <w:color w:val="000000" w:themeColor="text1"/>
          <w14:textFill>
            <w14:solidFill>
              <w14:schemeClr w14:val="tx1"/>
            </w14:solidFill>
          </w14:textFill>
        </w:rPr>
        <w:t>环保措施及达标排放</w:t>
      </w:r>
    </w:p>
    <w:p w14:paraId="06C8AAA3">
      <w:pPr>
        <w:adjustRightInd w:val="0"/>
        <w:snapToGrid w:val="0"/>
        <w:spacing w:line="500" w:lineRule="exact"/>
        <w:ind w:firstLine="480" w:firstLineChars="200"/>
        <w:rPr>
          <w:rFonts w:hint="eastAsia" w:eastAsia="宋体"/>
          <w:color w:val="000000" w:themeColor="text1"/>
          <w:lang w:val="en-US" w:eastAsia="zh-CN"/>
          <w14:textFill>
            <w14:solidFill>
              <w14:schemeClr w14:val="tx1"/>
            </w14:solidFill>
          </w14:textFill>
        </w:rPr>
      </w:pPr>
      <w:r>
        <w:rPr>
          <w:rFonts w:eastAsia="宋体"/>
          <w:color w:val="000000" w:themeColor="text1"/>
          <w14:textFill>
            <w14:solidFill>
              <w14:schemeClr w14:val="tx1"/>
            </w14:solidFill>
          </w14:textFill>
        </w:rPr>
        <w:t>废水：建设项目</w:t>
      </w:r>
      <w:r>
        <w:rPr>
          <w:rFonts w:hint="eastAsia" w:eastAsia="宋体"/>
          <w:color w:val="000000" w:themeColor="text1"/>
          <w14:textFill>
            <w14:solidFill>
              <w14:schemeClr w14:val="tx1"/>
            </w14:solidFill>
          </w14:textFill>
        </w:rPr>
        <w:t>产生的废水主要为</w:t>
      </w:r>
      <w:r>
        <w:rPr>
          <w:rFonts w:hint="eastAsia" w:eastAsia="宋体"/>
          <w:color w:val="000000" w:themeColor="text1"/>
          <w:lang w:val="en-US" w:eastAsia="zh-CN"/>
          <w14:textFill>
            <w14:solidFill>
              <w14:schemeClr w14:val="tx1"/>
            </w14:solidFill>
          </w14:textFill>
        </w:rPr>
        <w:t>生活污水、</w:t>
      </w:r>
      <w:r>
        <w:rPr>
          <w:rFonts w:hint="eastAsia" w:eastAsia="Times New Roman"/>
          <w:color w:val="auto"/>
          <w:sz w:val="24"/>
          <w:szCs w:val="24"/>
          <w:lang w:val="en-US" w:eastAsia="zh-CN"/>
        </w:rPr>
        <w:t>喷淋废水</w:t>
      </w:r>
      <w:r>
        <w:rPr>
          <w:rFonts w:hint="eastAsia" w:eastAsia="宋体"/>
          <w:color w:val="000000" w:themeColor="text1"/>
          <w:lang w:val="en-US" w:eastAsia="zh-CN"/>
          <w14:textFill>
            <w14:solidFill>
              <w14:schemeClr w14:val="tx1"/>
            </w14:solidFill>
          </w14:textFill>
        </w:rPr>
        <w:t>。其中，水喷淋废水经气浮絮凝沉淀处理达标后循环使用，不外排；生活污水经化粪池预处理达到接管标准后排入</w:t>
      </w:r>
      <w:r>
        <w:rPr>
          <w:rFonts w:hint="eastAsia" w:eastAsia="宋体"/>
          <w:color w:val="000000" w:themeColor="text1"/>
          <w:lang w:eastAsia="zh-CN"/>
          <w14:textFill>
            <w14:solidFill>
              <w14:schemeClr w14:val="tx1"/>
            </w14:solidFill>
          </w14:textFill>
        </w:rPr>
        <w:t>海安金港水务环保科技有限公司</w:t>
      </w:r>
      <w:r>
        <w:rPr>
          <w:rFonts w:hint="eastAsia" w:eastAsia="宋体"/>
          <w:color w:val="000000" w:themeColor="text1"/>
          <w:lang w:val="en-US" w:eastAsia="zh-CN"/>
          <w14:textFill>
            <w14:solidFill>
              <w14:schemeClr w14:val="tx1"/>
            </w14:solidFill>
          </w14:textFill>
        </w:rPr>
        <w:t>集中处理。</w:t>
      </w:r>
    </w:p>
    <w:p w14:paraId="3E65530D">
      <w:pPr>
        <w:adjustRightInd w:val="0"/>
        <w:snapToGrid w:val="0"/>
        <w:spacing w:line="500" w:lineRule="exact"/>
        <w:ind w:firstLine="480" w:firstLineChars="200"/>
        <w:rPr>
          <w:rFonts w:hint="eastAsia" w:eastAsia="宋体"/>
          <w:color w:val="000000" w:themeColor="text1"/>
          <w:lang w:val="en-US" w:eastAsia="zh-CN"/>
          <w14:textFill>
            <w14:solidFill>
              <w14:schemeClr w14:val="tx1"/>
            </w14:solidFill>
          </w14:textFill>
        </w:rPr>
      </w:pPr>
      <w:r>
        <w:rPr>
          <w:rFonts w:eastAsia="宋体"/>
          <w:color w:val="000000" w:themeColor="text1"/>
          <w14:textFill>
            <w14:solidFill>
              <w14:schemeClr w14:val="tx1"/>
            </w14:solidFill>
          </w14:textFill>
        </w:rPr>
        <w:t>废气：本项目</w:t>
      </w:r>
      <w:r>
        <w:rPr>
          <w:rFonts w:hint="eastAsia" w:eastAsia="宋体"/>
          <w:color w:val="000000" w:themeColor="text1"/>
          <w14:textFill>
            <w14:solidFill>
              <w14:schemeClr w14:val="tx1"/>
            </w14:solidFill>
          </w14:textFill>
        </w:rPr>
        <w:t>有组织</w:t>
      </w:r>
      <w:r>
        <w:rPr>
          <w:rFonts w:eastAsia="宋体"/>
          <w:color w:val="000000" w:themeColor="text1"/>
          <w14:textFill>
            <w14:solidFill>
              <w14:schemeClr w14:val="tx1"/>
            </w14:solidFill>
          </w14:textFill>
        </w:rPr>
        <w:t>废气主要为</w:t>
      </w:r>
      <w:r>
        <w:rPr>
          <w:rFonts w:hint="eastAsia" w:eastAsia="宋体"/>
          <w:color w:val="000000" w:themeColor="text1"/>
          <w:lang w:val="en-US" w:eastAsia="zh-CN"/>
          <w14:textFill>
            <w14:solidFill>
              <w14:schemeClr w14:val="tx1"/>
            </w14:solidFill>
          </w14:textFill>
        </w:rPr>
        <w:t>木工粉尘、喷漆废气、打磨粉尘。木工粉尘经中央除尘器处理后通过20</w:t>
      </w:r>
      <w:r>
        <w:rPr>
          <w:rFonts w:hint="default" w:eastAsia="宋体"/>
          <w:color w:val="000000" w:themeColor="text1"/>
          <w:lang w:val="en-US" w:eastAsia="zh-CN"/>
          <w14:textFill>
            <w14:solidFill>
              <w14:schemeClr w14:val="tx1"/>
            </w14:solidFill>
          </w14:textFill>
        </w:rPr>
        <w:t>m</w:t>
      </w:r>
      <w:r>
        <w:rPr>
          <w:rFonts w:hint="eastAsia" w:eastAsia="宋体"/>
          <w:color w:val="000000" w:themeColor="text1"/>
          <w:lang w:val="en-US" w:eastAsia="zh-CN"/>
          <w14:textFill>
            <w14:solidFill>
              <w14:schemeClr w14:val="tx1"/>
            </w14:solidFill>
          </w14:textFill>
        </w:rPr>
        <w:t>高排气筒（</w:t>
      </w:r>
      <w:r>
        <w:rPr>
          <w:rFonts w:hint="default" w:eastAsia="宋体"/>
          <w:color w:val="000000" w:themeColor="text1"/>
          <w:lang w:val="en-US" w:eastAsia="zh-CN"/>
          <w14:textFill>
            <w14:solidFill>
              <w14:schemeClr w14:val="tx1"/>
            </w14:solidFill>
          </w14:textFill>
        </w:rPr>
        <w:t>1#</w:t>
      </w:r>
      <w:r>
        <w:rPr>
          <w:rFonts w:hint="eastAsia" w:eastAsia="宋体"/>
          <w:color w:val="000000" w:themeColor="text1"/>
          <w:lang w:val="en-US" w:eastAsia="zh-CN"/>
          <w14:textFill>
            <w14:solidFill>
              <w14:schemeClr w14:val="tx1"/>
            </w14:solidFill>
          </w14:textFill>
        </w:rPr>
        <w:t>）达标排放；喷漆废气经</w:t>
      </w:r>
      <w:r>
        <w:rPr>
          <w:rFonts w:hint="eastAsia" w:ascii="Times New Roman" w:hAnsi="Times New Roman" w:eastAsia="宋体" w:cs="Times New Roman"/>
          <w:bCs w:val="0"/>
          <w:color w:val="000000" w:themeColor="text1"/>
          <w:sz w:val="24"/>
          <w:szCs w:val="24"/>
          <w14:textFill>
            <w14:solidFill>
              <w14:schemeClr w14:val="tx1"/>
            </w14:solidFill>
          </w14:textFill>
        </w:rPr>
        <w:t>水帘柜+过滤棉+二级活性炭吸附装置</w:t>
      </w:r>
      <w:r>
        <w:rPr>
          <w:rFonts w:hint="eastAsia" w:eastAsia="宋体"/>
          <w:color w:val="000000" w:themeColor="text1"/>
          <w:lang w:val="en-US" w:eastAsia="zh-CN"/>
          <w14:textFill>
            <w14:solidFill>
              <w14:schemeClr w14:val="tx1"/>
            </w14:solidFill>
          </w14:textFill>
        </w:rPr>
        <w:t>处理后通过20m高排气筒（3#）、（4#）；打磨废气经过布袋除尘器通过20m高排气筒（2#）达标排放。</w:t>
      </w:r>
    </w:p>
    <w:p w14:paraId="245CA415">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噪声：本项目噪声主要是</w:t>
      </w:r>
      <w:r>
        <w:rPr>
          <w:rFonts w:hint="eastAsia" w:eastAsia="宋体"/>
          <w:color w:val="000000" w:themeColor="text1"/>
          <w:lang w:val="en-US" w:eastAsia="zh-CN"/>
          <w14:textFill>
            <w14:solidFill>
              <w14:schemeClr w14:val="tx1"/>
            </w14:solidFill>
          </w14:textFill>
        </w:rPr>
        <w:t>为各类生产设备。建设项目通过选用低噪声设备、基础减振、厂房隔声、合理布局，设备摆放距厂界不低于十米、厂区周围设立绿化带、加强设备维护以及厂区绿化等措施</w:t>
      </w:r>
      <w:r>
        <w:rPr>
          <w:rFonts w:eastAsia="宋体"/>
          <w:color w:val="000000" w:themeColor="text1"/>
          <w14:textFill>
            <w14:solidFill>
              <w14:schemeClr w14:val="tx1"/>
            </w14:solidFill>
          </w14:textFill>
        </w:rPr>
        <w:t>。</w:t>
      </w:r>
    </w:p>
    <w:p w14:paraId="1E46A619">
      <w:pPr>
        <w:adjustRightInd w:val="0"/>
        <w:snapToGrid w:val="0"/>
        <w:spacing w:line="500" w:lineRule="exact"/>
        <w:ind w:firstLine="480" w:firstLineChars="200"/>
      </w:pPr>
      <w:r>
        <w:rPr>
          <w:rFonts w:eastAsia="宋体"/>
          <w:color w:val="000000" w:themeColor="text1"/>
          <w14:textFill>
            <w14:solidFill>
              <w14:schemeClr w14:val="tx1"/>
            </w14:solidFill>
          </w14:textFill>
        </w:rPr>
        <w:t>固体废物：本项目</w:t>
      </w:r>
      <w:r>
        <w:rPr>
          <w:rFonts w:hint="eastAsia" w:eastAsia="宋体"/>
          <w:color w:val="000000" w:themeColor="text1"/>
          <w:lang w:val="en-US" w:eastAsia="zh-CN"/>
          <w14:textFill>
            <w14:solidFill>
              <w14:schemeClr w14:val="tx1"/>
            </w14:solidFill>
          </w14:textFill>
        </w:rPr>
        <w:t>一般固（液）体废物有</w:t>
      </w:r>
      <w:r>
        <w:rPr>
          <w:rFonts w:hint="eastAsia" w:eastAsia="宋体" w:cs="Times New Roman"/>
          <w:color w:val="auto"/>
          <w:spacing w:val="10"/>
          <w:kern w:val="2"/>
          <w:sz w:val="24"/>
          <w:szCs w:val="22"/>
          <w:lang w:val="en-US" w:eastAsia="zh-CN" w:bidi="ar-SA"/>
        </w:rPr>
        <w:t>废木料、除尘器粉尘和</w:t>
      </w:r>
      <w:r>
        <w:rPr>
          <w:rFonts w:hint="default" w:ascii="Times New Roman" w:hAnsi="Times New Roman" w:eastAsia="宋体" w:cs="Times New Roman"/>
          <w:b w:val="0"/>
          <w:bCs w:val="0"/>
          <w:color w:val="auto"/>
          <w:kern w:val="0"/>
          <w:sz w:val="24"/>
          <w:szCs w:val="24"/>
          <w:lang w:val="en-US" w:eastAsia="zh-CN" w:bidi="ar-SA"/>
        </w:rPr>
        <w:t>生活垃圾</w:t>
      </w:r>
      <w:r>
        <w:rPr>
          <w:rFonts w:hint="eastAsia" w:eastAsia="宋体"/>
          <w:color w:val="000000" w:themeColor="text1"/>
          <w:lang w:val="en-US" w:eastAsia="zh-CN"/>
          <w14:textFill>
            <w14:solidFill>
              <w14:schemeClr w14:val="tx1"/>
            </w14:solidFill>
          </w14:textFill>
        </w:rPr>
        <w:t>，其中，生活垃圾由环卫清运；</w:t>
      </w:r>
      <w:r>
        <w:rPr>
          <w:rFonts w:hint="eastAsia" w:eastAsia="宋体" w:cs="Times New Roman"/>
          <w:color w:val="auto"/>
          <w:spacing w:val="10"/>
          <w:kern w:val="2"/>
          <w:sz w:val="24"/>
          <w:szCs w:val="22"/>
          <w:lang w:val="en-US" w:eastAsia="zh-CN" w:bidi="ar-SA"/>
        </w:rPr>
        <w:t>废木料、除尘器粉尘、废皮革</w:t>
      </w:r>
      <w:r>
        <w:rPr>
          <w:rFonts w:hint="eastAsia" w:eastAsia="宋体"/>
          <w:color w:val="000000" w:themeColor="text1"/>
          <w:lang w:val="en-US" w:eastAsia="zh-CN"/>
          <w14:textFill>
            <w14:solidFill>
              <w14:schemeClr w14:val="tx1"/>
            </w14:solidFill>
          </w14:textFill>
        </w:rPr>
        <w:t>收集后外售综合利用；危险固（液）体废物包括</w:t>
      </w:r>
      <w:r>
        <w:rPr>
          <w:rFonts w:hint="default" w:ascii="Times New Roman" w:hAnsi="Times New Roman" w:eastAsia="宋体" w:cs="Times New Roman"/>
          <w:color w:val="auto"/>
          <w:sz w:val="24"/>
          <w:szCs w:val="24"/>
          <w:lang w:val="en-US" w:eastAsia="zh-CN"/>
        </w:rPr>
        <w:t>漆渣</w:t>
      </w:r>
      <w:r>
        <w:rPr>
          <w:rFonts w:hint="eastAsia" w:ascii="Times New Roman" w:hAnsi="Times New Roman" w:eastAsia="宋体" w:cs="Times New Roman"/>
          <w:color w:val="auto"/>
          <w:sz w:val="24"/>
          <w:szCs w:val="24"/>
          <w:lang w:val="en-US" w:eastAsia="zh-CN"/>
        </w:rPr>
        <w:t>、</w:t>
      </w:r>
      <w:r>
        <w:rPr>
          <w:rFonts w:hint="eastAsia" w:eastAsia="宋体" w:cs="Times New Roman"/>
          <w:color w:val="auto"/>
          <w:sz w:val="24"/>
          <w:szCs w:val="24"/>
          <w:lang w:val="en-US" w:eastAsia="zh-CN"/>
        </w:rPr>
        <w:t>废包装桶，包装桶</w:t>
      </w:r>
      <w:r>
        <w:rPr>
          <w:rFonts w:hint="eastAsia" w:eastAsia="宋体"/>
          <w:color w:val="000000" w:themeColor="text1"/>
          <w:lang w:val="en-US" w:eastAsia="zh-CN"/>
          <w14:textFill>
            <w14:solidFill>
              <w14:schemeClr w14:val="tx1"/>
            </w14:solidFill>
          </w14:textFill>
        </w:rPr>
        <w:t>委托沫阳恒升环境科技有限公司处置，漆渣委托江苏开拓者环保材料有限公司处置。</w:t>
      </w:r>
    </w:p>
    <w:p w14:paraId="0DDD0172">
      <w:pPr>
        <w:adjustRightInd w:val="0"/>
        <w:snapToGrid w:val="0"/>
        <w:spacing w:line="500" w:lineRule="exact"/>
        <w:outlineLvl w:val="2"/>
        <w:rPr>
          <w:rFonts w:eastAsia="宋体"/>
          <w:b/>
          <w:bCs/>
          <w:color w:val="000000" w:themeColor="text1"/>
          <w14:textFill>
            <w14:solidFill>
              <w14:schemeClr w14:val="tx1"/>
            </w14:solidFill>
          </w14:textFill>
        </w:rPr>
      </w:pPr>
      <w:bookmarkStart w:id="91" w:name="3.2.5土壤环境敏感度"/>
      <w:bookmarkEnd w:id="91"/>
      <w:bookmarkStart w:id="92" w:name="_Toc7070"/>
      <w:bookmarkStart w:id="93" w:name="_Toc19141"/>
      <w:bookmarkStart w:id="94" w:name="_Toc6964"/>
      <w:r>
        <w:rPr>
          <w:rFonts w:hint="eastAsia" w:eastAsia="宋体"/>
          <w:b/>
          <w:bCs/>
          <w:color w:val="000000" w:themeColor="text1"/>
          <w14:textFill>
            <w14:solidFill>
              <w14:schemeClr w14:val="tx1"/>
            </w14:solidFill>
          </w14:textFill>
        </w:rPr>
        <w:t>3.2.4</w:t>
      </w:r>
      <w:r>
        <w:rPr>
          <w:rFonts w:eastAsia="宋体"/>
          <w:b/>
          <w:bCs/>
          <w:color w:val="000000" w:themeColor="text1"/>
          <w14:textFill>
            <w14:solidFill>
              <w14:schemeClr w14:val="tx1"/>
            </w14:solidFill>
          </w14:textFill>
        </w:rPr>
        <w:t>土壤环境敏感度</w:t>
      </w:r>
      <w:bookmarkEnd w:id="92"/>
      <w:bookmarkEnd w:id="93"/>
      <w:bookmarkEnd w:id="94"/>
    </w:p>
    <w:p w14:paraId="3EDACA89">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本项目位于南通市</w:t>
      </w:r>
      <w:r>
        <w:rPr>
          <w:rFonts w:hint="eastAsia" w:eastAsia="宋体"/>
          <w:color w:val="000000" w:themeColor="text1"/>
          <w:lang w:eastAsia="zh-CN"/>
          <w14:textFill>
            <w14:solidFill>
              <w14:schemeClr w14:val="tx1"/>
            </w14:solidFill>
          </w14:textFill>
        </w:rPr>
        <w:t>海安市老坝港滨海新区金港大道68号</w:t>
      </w:r>
      <w:r>
        <w:rPr>
          <w:rFonts w:eastAsia="宋体"/>
          <w:color w:val="000000" w:themeColor="text1"/>
          <w14:textFill>
            <w14:solidFill>
              <w14:schemeClr w14:val="tx1"/>
            </w14:solidFill>
          </w14:textFill>
        </w:rPr>
        <w:t>，本项目周边50m范围内无居民等敏感点，本项目属于不敏感土壤环境。</w:t>
      </w:r>
    </w:p>
    <w:p w14:paraId="2A9BCAB6">
      <w:pPr>
        <w:pStyle w:val="3"/>
        <w:adjustRightInd w:val="0"/>
        <w:snapToGrid w:val="0"/>
        <w:spacing w:line="500" w:lineRule="exact"/>
        <w:rPr>
          <w:rFonts w:eastAsia="宋体"/>
          <w:sz w:val="24"/>
          <w:szCs w:val="24"/>
        </w:rPr>
      </w:pPr>
      <w:bookmarkStart w:id="95" w:name="_Toc32010"/>
      <w:bookmarkStart w:id="96" w:name="_Toc16295"/>
      <w:bookmarkStart w:id="97" w:name="_Toc24977"/>
      <w:bookmarkStart w:id="98" w:name="_Toc4967"/>
      <w:r>
        <w:rPr>
          <w:rFonts w:eastAsia="宋体"/>
          <w:sz w:val="24"/>
          <w:szCs w:val="24"/>
        </w:rPr>
        <w:t>3.3风险物质识别</w:t>
      </w:r>
      <w:bookmarkEnd w:id="95"/>
      <w:bookmarkEnd w:id="96"/>
      <w:bookmarkEnd w:id="97"/>
      <w:bookmarkEnd w:id="98"/>
    </w:p>
    <w:p w14:paraId="17AF059A">
      <w:pPr>
        <w:adjustRightInd w:val="0"/>
        <w:snapToGrid w:val="0"/>
        <w:spacing w:line="500" w:lineRule="exact"/>
        <w:ind w:firstLine="480" w:firstLineChars="200"/>
        <w:rPr>
          <w:rFonts w:ascii="宋体" w:hAnsi="宋体" w:eastAsia="宋体" w:cs="宋体"/>
        </w:rPr>
      </w:pPr>
      <w:r>
        <w:rPr>
          <w:rFonts w:hint="eastAsia" w:ascii="宋体" w:hAnsi="宋体" w:eastAsia="宋体" w:cs="宋体"/>
        </w:rPr>
        <w:t>对企业所涉及的环境风险物质的名称、数量、贮存方式、位置等进行调查，并对照《企业突发环境事件环境风险分级方法</w:t>
      </w:r>
      <w:r>
        <w:rPr>
          <w:rFonts w:eastAsia="宋体"/>
        </w:rPr>
        <w:t>（HJ941-2018）</w:t>
      </w:r>
      <w:r>
        <w:rPr>
          <w:rFonts w:hint="eastAsia" w:ascii="宋体" w:hAnsi="宋体" w:eastAsia="宋体" w:cs="宋体"/>
        </w:rPr>
        <w:t>》附录</w:t>
      </w:r>
      <w:r>
        <w:rPr>
          <w:rFonts w:eastAsia="宋体"/>
        </w:rPr>
        <w:t>A</w:t>
      </w:r>
      <w:r>
        <w:rPr>
          <w:rFonts w:hint="eastAsia" w:ascii="宋体" w:hAnsi="宋体" w:eastAsia="宋体" w:cs="宋体"/>
        </w:rPr>
        <w:t>突发环境事件风险物质及临界量清单，识别企业环境风险物质，涉及原辅材料、能源、产品、中间品、“三废”污染物统计情况见表</w:t>
      </w:r>
      <w:r>
        <w:rPr>
          <w:rFonts w:eastAsia="宋体"/>
        </w:rPr>
        <w:t>3</w:t>
      </w:r>
      <w:r>
        <w:rPr>
          <w:rFonts w:hint="eastAsia" w:eastAsia="宋体"/>
        </w:rPr>
        <w:t>-7</w:t>
      </w:r>
      <w:r>
        <w:rPr>
          <w:rFonts w:eastAsia="宋体"/>
        </w:rPr>
        <w:t>。涉环境风险物质危险特性见表3</w:t>
      </w:r>
      <w:r>
        <w:rPr>
          <w:rFonts w:hint="eastAsia" w:eastAsia="宋体"/>
        </w:rPr>
        <w:t>-9</w:t>
      </w:r>
      <w:r>
        <w:rPr>
          <w:rFonts w:hint="eastAsia" w:ascii="宋体" w:hAnsi="宋体" w:eastAsia="宋体" w:cs="宋体"/>
        </w:rPr>
        <w:t>。</w:t>
      </w:r>
    </w:p>
    <w:p w14:paraId="418E8463">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3-7</w:t>
      </w:r>
      <w:r>
        <w:rPr>
          <w:rFonts w:eastAsiaTheme="minorEastAsia"/>
          <w:b/>
          <w:color w:val="000000" w:themeColor="text1"/>
          <w14:textFill>
            <w14:solidFill>
              <w14:schemeClr w14:val="tx1"/>
            </w14:solidFill>
          </w14:textFill>
        </w:rPr>
        <w:t>公司</w:t>
      </w:r>
      <w:r>
        <w:rPr>
          <w:rFonts w:hint="eastAsia" w:eastAsiaTheme="minorEastAsia"/>
          <w:b/>
          <w:color w:val="000000" w:themeColor="text1"/>
          <w14:textFill>
            <w14:solidFill>
              <w14:schemeClr w14:val="tx1"/>
            </w14:solidFill>
          </w14:textFill>
        </w:rPr>
        <w:t>生产所涉及的各类</w:t>
      </w:r>
      <w:r>
        <w:rPr>
          <w:rFonts w:eastAsiaTheme="minorEastAsia"/>
          <w:b/>
          <w:color w:val="000000" w:themeColor="text1"/>
          <w14:textFill>
            <w14:solidFill>
              <w14:schemeClr w14:val="tx1"/>
            </w14:solidFill>
          </w14:textFill>
        </w:rPr>
        <w:t>物质</w:t>
      </w:r>
      <w:r>
        <w:rPr>
          <w:rFonts w:hint="eastAsia" w:eastAsiaTheme="minorEastAsia"/>
          <w:b/>
          <w:color w:val="000000" w:themeColor="text1"/>
          <w14:textFill>
            <w14:solidFill>
              <w14:schemeClr w14:val="tx1"/>
            </w14:solidFill>
          </w14:textFill>
        </w:rPr>
        <w:t>统计</w:t>
      </w:r>
      <w:r>
        <w:rPr>
          <w:rFonts w:eastAsiaTheme="minorEastAsia"/>
          <w:b/>
          <w:color w:val="000000" w:themeColor="text1"/>
          <w14:textFill>
            <w14:solidFill>
              <w14:schemeClr w14:val="tx1"/>
            </w14:solidFill>
          </w14:textFill>
        </w:rPr>
        <w:t>情况表</w:t>
      </w:r>
    </w:p>
    <w:tbl>
      <w:tblPr>
        <w:tblStyle w:val="3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029"/>
        <w:gridCol w:w="2695"/>
        <w:gridCol w:w="1355"/>
        <w:gridCol w:w="1074"/>
        <w:gridCol w:w="942"/>
        <w:gridCol w:w="760"/>
        <w:gridCol w:w="1057"/>
      </w:tblGrid>
      <w:tr w14:paraId="4939D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Align w:val="center"/>
          </w:tcPr>
          <w:p w14:paraId="0C1CF860">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类型</w:t>
            </w:r>
          </w:p>
        </w:tc>
        <w:tc>
          <w:tcPr>
            <w:tcW w:w="548" w:type="pct"/>
            <w:vAlign w:val="center"/>
          </w:tcPr>
          <w:p w14:paraId="4871860C">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物质名称</w:t>
            </w:r>
          </w:p>
        </w:tc>
        <w:tc>
          <w:tcPr>
            <w:tcW w:w="1436" w:type="pct"/>
            <w:vAlign w:val="center"/>
          </w:tcPr>
          <w:p w14:paraId="61A313A2">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规格/成分</w:t>
            </w:r>
          </w:p>
        </w:tc>
        <w:tc>
          <w:tcPr>
            <w:tcW w:w="722" w:type="pct"/>
            <w:vAlign w:val="center"/>
          </w:tcPr>
          <w:p w14:paraId="5B207EE7">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年耗量t</w:t>
            </w:r>
          </w:p>
        </w:tc>
        <w:tc>
          <w:tcPr>
            <w:tcW w:w="572" w:type="pct"/>
            <w:vAlign w:val="center"/>
          </w:tcPr>
          <w:p w14:paraId="5453CD55">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zh-CN" w:eastAsia="zh-CN" w:bidi="ar-SA"/>
              </w:rPr>
            </w:pPr>
            <w:r>
              <w:rPr>
                <w:rFonts w:hint="default" w:ascii="Times New Roman" w:hAnsi="Times New Roman" w:eastAsia="宋体" w:cs="Times New Roman"/>
                <w:b/>
                <w:bCs w:val="0"/>
                <w:color w:val="auto"/>
                <w:kern w:val="2"/>
                <w:sz w:val="21"/>
                <w:szCs w:val="21"/>
                <w:highlight w:val="none"/>
                <w:lang w:val="zh-CN" w:eastAsia="zh-CN" w:bidi="ar-SA"/>
              </w:rPr>
              <w:t>最大</w:t>
            </w:r>
            <w:r>
              <w:rPr>
                <w:rFonts w:hint="default" w:ascii="Times New Roman" w:hAnsi="Times New Roman" w:eastAsia="宋体" w:cs="Times New Roman"/>
                <w:b/>
                <w:bCs w:val="0"/>
                <w:color w:val="auto"/>
                <w:kern w:val="2"/>
                <w:sz w:val="21"/>
                <w:szCs w:val="21"/>
                <w:highlight w:val="none"/>
                <w:lang w:val="en-US" w:eastAsia="zh-CN" w:bidi="ar-SA"/>
              </w:rPr>
              <w:t>存在</w:t>
            </w:r>
            <w:r>
              <w:rPr>
                <w:rFonts w:hint="default" w:ascii="Times New Roman" w:hAnsi="Times New Roman" w:eastAsia="宋体" w:cs="Times New Roman"/>
                <w:b/>
                <w:bCs w:val="0"/>
                <w:color w:val="auto"/>
                <w:kern w:val="2"/>
                <w:sz w:val="21"/>
                <w:szCs w:val="21"/>
                <w:highlight w:val="none"/>
                <w:lang w:val="zh-CN" w:eastAsia="zh-CN" w:bidi="ar-SA"/>
              </w:rPr>
              <w:t>量t</w:t>
            </w:r>
          </w:p>
        </w:tc>
        <w:tc>
          <w:tcPr>
            <w:tcW w:w="502" w:type="pct"/>
            <w:vAlign w:val="center"/>
          </w:tcPr>
          <w:p w14:paraId="20DD8EF4">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zh-CN" w:eastAsia="zh-CN" w:bidi="ar-SA"/>
              </w:rPr>
            </w:pPr>
            <w:r>
              <w:rPr>
                <w:rFonts w:hint="default" w:ascii="Times New Roman" w:hAnsi="Times New Roman" w:eastAsia="宋体" w:cs="Times New Roman"/>
                <w:b/>
                <w:bCs w:val="0"/>
                <w:color w:val="auto"/>
                <w:kern w:val="2"/>
                <w:sz w:val="21"/>
                <w:szCs w:val="21"/>
                <w:highlight w:val="none"/>
                <w:lang w:val="en-US" w:eastAsia="zh-CN" w:bidi="ar-SA"/>
              </w:rPr>
              <w:t>包装</w:t>
            </w:r>
            <w:r>
              <w:rPr>
                <w:rFonts w:hint="default" w:ascii="Times New Roman" w:hAnsi="Times New Roman" w:eastAsia="宋体" w:cs="Times New Roman"/>
                <w:b/>
                <w:bCs w:val="0"/>
                <w:color w:val="auto"/>
                <w:kern w:val="2"/>
                <w:sz w:val="21"/>
                <w:szCs w:val="21"/>
                <w:highlight w:val="none"/>
                <w:lang w:val="zh-CN" w:eastAsia="zh-CN" w:bidi="ar-SA"/>
              </w:rPr>
              <w:t>方式</w:t>
            </w:r>
          </w:p>
        </w:tc>
        <w:tc>
          <w:tcPr>
            <w:tcW w:w="405" w:type="pct"/>
            <w:vAlign w:val="center"/>
          </w:tcPr>
          <w:p w14:paraId="4FEC4AAC">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zh-CN" w:eastAsia="zh-CN" w:bidi="ar-SA"/>
              </w:rPr>
            </w:pPr>
            <w:r>
              <w:rPr>
                <w:rFonts w:hint="default" w:ascii="Times New Roman" w:hAnsi="Times New Roman" w:eastAsia="宋体" w:cs="Times New Roman"/>
                <w:b/>
                <w:bCs w:val="0"/>
                <w:color w:val="auto"/>
                <w:kern w:val="2"/>
                <w:sz w:val="21"/>
                <w:szCs w:val="21"/>
                <w:highlight w:val="none"/>
                <w:lang w:val="zh-CN" w:eastAsia="zh-CN" w:bidi="ar-SA"/>
              </w:rPr>
              <w:t>贮存地点</w:t>
            </w:r>
          </w:p>
        </w:tc>
        <w:tc>
          <w:tcPr>
            <w:tcW w:w="563" w:type="pct"/>
            <w:vAlign w:val="center"/>
          </w:tcPr>
          <w:p w14:paraId="2A531C9D">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环境风险物质类型</w:t>
            </w:r>
          </w:p>
        </w:tc>
      </w:tr>
      <w:tr w14:paraId="5A2957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Merge w:val="restart"/>
            <w:vAlign w:val="center"/>
          </w:tcPr>
          <w:p w14:paraId="70AA17E9">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原辅材料</w:t>
            </w:r>
          </w:p>
        </w:tc>
        <w:tc>
          <w:tcPr>
            <w:tcW w:w="548" w:type="pct"/>
            <w:vAlign w:val="center"/>
          </w:tcPr>
          <w:p w14:paraId="319A15F8">
            <w:pPr>
              <w:adjustRightInd w:val="0"/>
              <w:snapToGrid w:val="0"/>
              <w:jc w:val="center"/>
              <w:rPr>
                <w:rFonts w:hint="eastAsia" w:ascii="Times New Roman" w:hAnsi="Times New Roman" w:eastAsia="宋体" w:cs="Times New Roman"/>
                <w:color w:val="auto"/>
                <w:kern w:val="2"/>
                <w:sz w:val="21"/>
                <w:szCs w:val="28"/>
                <w:lang w:val="en-US" w:eastAsia="zh-CN"/>
              </w:rPr>
            </w:pPr>
            <w:r>
              <w:rPr>
                <w:rFonts w:hint="eastAsia"/>
                <w:color w:val="auto"/>
                <w:sz w:val="21"/>
                <w:szCs w:val="21"/>
              </w:rPr>
              <w:t>实木</w:t>
            </w:r>
          </w:p>
        </w:tc>
        <w:tc>
          <w:tcPr>
            <w:tcW w:w="1436" w:type="pct"/>
            <w:shd w:val="clear" w:color="auto" w:fill="auto"/>
            <w:vAlign w:val="center"/>
          </w:tcPr>
          <w:p w14:paraId="0A079E33">
            <w:pPr>
              <w:adjustRightInd w:val="0"/>
              <w:snapToGrid w:val="0"/>
              <w:jc w:val="center"/>
              <w:rPr>
                <w:rFonts w:hint="default" w:ascii="Times New Roman" w:hAnsi="Times New Roman" w:eastAsia="仿宋_GB2312" w:cs="Times New Roman"/>
                <w:color w:val="auto"/>
                <w:kern w:val="2"/>
                <w:sz w:val="21"/>
                <w:szCs w:val="21"/>
                <w:lang w:val="en-US" w:eastAsia="zh-CN" w:bidi="ar-SA"/>
              </w:rPr>
            </w:pPr>
            <w:r>
              <w:rPr>
                <w:rFonts w:hint="eastAsia"/>
                <w:color w:val="auto"/>
                <w:sz w:val="21"/>
                <w:szCs w:val="21"/>
              </w:rPr>
              <w:t>黑胡桃木、榉木、樱桃木等</w:t>
            </w:r>
          </w:p>
        </w:tc>
        <w:tc>
          <w:tcPr>
            <w:tcW w:w="722" w:type="pct"/>
            <w:vAlign w:val="center"/>
          </w:tcPr>
          <w:p w14:paraId="0637A4AF">
            <w:pPr>
              <w:adjustRightInd w:val="0"/>
              <w:snapToGrid w:val="0"/>
              <w:jc w:val="center"/>
              <w:rPr>
                <w:rFonts w:hint="default" w:ascii="Times New Roman" w:hAnsi="Times New Roman" w:eastAsia="宋体" w:cs="Times New Roman"/>
                <w:color w:val="auto"/>
                <w:kern w:val="2"/>
                <w:sz w:val="21"/>
                <w:szCs w:val="28"/>
                <w:lang w:val="en-US" w:eastAsia="zh-CN"/>
              </w:rPr>
            </w:pPr>
            <w:r>
              <w:rPr>
                <w:rFonts w:hint="eastAsia"/>
                <w:color w:val="auto"/>
                <w:sz w:val="21"/>
                <w:szCs w:val="21"/>
              </w:rPr>
              <w:t>6000m</w:t>
            </w:r>
            <w:r>
              <w:rPr>
                <w:rFonts w:hint="eastAsia"/>
                <w:color w:val="auto"/>
                <w:sz w:val="21"/>
                <w:szCs w:val="21"/>
                <w:vertAlign w:val="superscript"/>
              </w:rPr>
              <w:t>3</w:t>
            </w:r>
          </w:p>
        </w:tc>
        <w:tc>
          <w:tcPr>
            <w:tcW w:w="572" w:type="pct"/>
            <w:vAlign w:val="center"/>
          </w:tcPr>
          <w:p w14:paraId="1D812F74">
            <w:pPr>
              <w:autoSpaceDE w:val="0"/>
              <w:autoSpaceDN w:val="0"/>
              <w:adjustRightInd w:val="0"/>
              <w:jc w:val="center"/>
              <w:rPr>
                <w:rFonts w:hint="default" w:ascii="Times New Roman" w:hAnsi="Times New Roman" w:eastAsia="宋体" w:cs="Times New Roman"/>
                <w:color w:val="auto"/>
                <w:kern w:val="2"/>
                <w:sz w:val="21"/>
                <w:szCs w:val="28"/>
                <w:lang w:val="en-US" w:eastAsia="zh-CN"/>
              </w:rPr>
            </w:pPr>
            <w:r>
              <w:rPr>
                <w:rFonts w:hint="eastAsia"/>
                <w:color w:val="auto"/>
                <w:sz w:val="21"/>
                <w:szCs w:val="21"/>
              </w:rPr>
              <w:t>600m</w:t>
            </w:r>
            <w:r>
              <w:rPr>
                <w:rFonts w:hint="eastAsia"/>
                <w:color w:val="auto"/>
                <w:sz w:val="21"/>
                <w:szCs w:val="21"/>
                <w:vertAlign w:val="superscript"/>
              </w:rPr>
              <w:t>3</w:t>
            </w:r>
          </w:p>
        </w:tc>
        <w:tc>
          <w:tcPr>
            <w:tcW w:w="502" w:type="pct"/>
            <w:shd w:val="clear" w:color="auto" w:fill="auto"/>
            <w:vAlign w:val="center"/>
          </w:tcPr>
          <w:p w14:paraId="3B2875B7">
            <w:pPr>
              <w:adjustRightInd w:val="0"/>
              <w:snapToGrid w:val="0"/>
              <w:jc w:val="center"/>
              <w:rPr>
                <w:rFonts w:hint="default" w:ascii="Times New Roman" w:hAnsi="Times New Roman" w:eastAsia="仿宋_GB2312" w:cs="Times New Roman"/>
                <w:color w:val="auto"/>
                <w:kern w:val="2"/>
                <w:sz w:val="21"/>
                <w:szCs w:val="21"/>
                <w:lang w:val="en-US" w:eastAsia="zh-CN" w:bidi="ar-SA"/>
              </w:rPr>
            </w:pPr>
            <w:r>
              <w:rPr>
                <w:rFonts w:hint="eastAsia"/>
                <w:color w:val="auto"/>
                <w:sz w:val="21"/>
                <w:szCs w:val="21"/>
              </w:rPr>
              <w:t>散装</w:t>
            </w:r>
          </w:p>
        </w:tc>
        <w:tc>
          <w:tcPr>
            <w:tcW w:w="405" w:type="pct"/>
            <w:shd w:val="clear" w:color="auto" w:fill="auto"/>
            <w:vAlign w:val="center"/>
          </w:tcPr>
          <w:p w14:paraId="0A268271">
            <w:pPr>
              <w:adjustRightInd w:val="0"/>
              <w:snapToGrid w:val="0"/>
              <w:jc w:val="center"/>
              <w:rPr>
                <w:rFonts w:hint="default" w:ascii="Times New Roman" w:hAnsi="Times New Roman" w:eastAsia="仿宋_GB2312" w:cs="Times New Roman"/>
                <w:color w:val="auto"/>
                <w:kern w:val="2"/>
                <w:sz w:val="21"/>
                <w:szCs w:val="21"/>
                <w:lang w:val="en-US" w:eastAsia="zh-CN" w:bidi="ar-SA"/>
              </w:rPr>
            </w:pPr>
            <w:r>
              <w:rPr>
                <w:rFonts w:hint="eastAsia"/>
                <w:color w:val="auto"/>
                <w:sz w:val="21"/>
                <w:szCs w:val="21"/>
              </w:rPr>
              <w:t>仓库</w:t>
            </w:r>
          </w:p>
        </w:tc>
        <w:tc>
          <w:tcPr>
            <w:tcW w:w="563" w:type="pct"/>
            <w:vAlign w:val="center"/>
          </w:tcPr>
          <w:p w14:paraId="68D60557">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198FF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3" w:hRule="atLeast"/>
          <w:tblHeader/>
          <w:jc w:val="center"/>
        </w:trPr>
        <w:tc>
          <w:tcPr>
            <w:tcW w:w="249" w:type="pct"/>
            <w:vMerge w:val="continue"/>
            <w:vAlign w:val="center"/>
          </w:tcPr>
          <w:p w14:paraId="3A588F74">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48" w:type="pct"/>
            <w:vAlign w:val="center"/>
          </w:tcPr>
          <w:p w14:paraId="7C054F4B">
            <w:pPr>
              <w:adjustRightInd w:val="0"/>
              <w:snapToGrid w:val="0"/>
              <w:jc w:val="center"/>
              <w:rPr>
                <w:rFonts w:hint="eastAsia" w:ascii="Times New Roman" w:hAnsi="Times New Roman" w:eastAsia="宋体" w:cs="Times New Roman"/>
                <w:kern w:val="2"/>
                <w:sz w:val="21"/>
                <w:szCs w:val="21"/>
                <w:lang w:val="en-US" w:eastAsia="zh-CN"/>
              </w:rPr>
            </w:pPr>
            <w:r>
              <w:rPr>
                <w:color w:val="auto"/>
                <w:sz w:val="21"/>
                <w:szCs w:val="21"/>
              </w:rPr>
              <w:t>白乳胶</w:t>
            </w:r>
          </w:p>
        </w:tc>
        <w:tc>
          <w:tcPr>
            <w:tcW w:w="1436" w:type="pct"/>
            <w:shd w:val="clear" w:color="auto" w:fill="auto"/>
            <w:vAlign w:val="center"/>
          </w:tcPr>
          <w:p w14:paraId="7BAD66C0">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color w:val="auto"/>
                <w:sz w:val="21"/>
                <w:szCs w:val="21"/>
              </w:rPr>
              <w:t>聚醋酸乙烯酯、聚乙烯醇、邻苯二甲酸二丁酯、辛醇、过硫酸铵、水</w:t>
            </w:r>
          </w:p>
        </w:tc>
        <w:tc>
          <w:tcPr>
            <w:tcW w:w="722" w:type="pct"/>
            <w:vAlign w:val="center"/>
          </w:tcPr>
          <w:p w14:paraId="11659AD5">
            <w:pPr>
              <w:adjustRightInd w:val="0"/>
              <w:snapToGrid w:val="0"/>
              <w:jc w:val="center"/>
              <w:rPr>
                <w:rFonts w:hint="eastAsia" w:ascii="Times New Roman" w:hAnsi="Times New Roman" w:eastAsia="宋体" w:cs="Times New Roman"/>
                <w:kern w:val="2"/>
                <w:sz w:val="21"/>
                <w:szCs w:val="21"/>
                <w:lang w:val="en-US" w:bidi="ar-SA"/>
              </w:rPr>
            </w:pPr>
            <w:r>
              <w:rPr>
                <w:rFonts w:hint="eastAsia"/>
                <w:color w:val="auto"/>
                <w:sz w:val="21"/>
                <w:szCs w:val="21"/>
              </w:rPr>
              <w:t>1t</w:t>
            </w:r>
          </w:p>
        </w:tc>
        <w:tc>
          <w:tcPr>
            <w:tcW w:w="572" w:type="pct"/>
            <w:vAlign w:val="center"/>
          </w:tcPr>
          <w:p w14:paraId="12041AB5">
            <w:pPr>
              <w:widowControl/>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0.1t</w:t>
            </w:r>
          </w:p>
        </w:tc>
        <w:tc>
          <w:tcPr>
            <w:tcW w:w="502" w:type="pct"/>
            <w:shd w:val="clear" w:color="auto" w:fill="auto"/>
            <w:vAlign w:val="center"/>
          </w:tcPr>
          <w:p w14:paraId="166D148F">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25kg桶装</w:t>
            </w:r>
          </w:p>
        </w:tc>
        <w:tc>
          <w:tcPr>
            <w:tcW w:w="405" w:type="pct"/>
            <w:shd w:val="clear" w:color="auto" w:fill="auto"/>
            <w:vAlign w:val="center"/>
          </w:tcPr>
          <w:p w14:paraId="4104EC65">
            <w:pPr>
              <w:adjustRightInd w:val="0"/>
              <w:snapToGrid w:val="0"/>
              <w:jc w:val="center"/>
              <w:rPr>
                <w:rFonts w:hint="default" w:ascii="Times New Roman" w:hAnsi="Times New Roman" w:eastAsia="仿宋_GB2312" w:cs="Times New Roman"/>
                <w:color w:val="auto"/>
                <w:kern w:val="2"/>
                <w:sz w:val="21"/>
                <w:szCs w:val="21"/>
                <w:lang w:val="zh-CN" w:eastAsia="zh-CN" w:bidi="ar-SA"/>
              </w:rPr>
            </w:pPr>
            <w:r>
              <w:rPr>
                <w:rFonts w:hint="eastAsia"/>
                <w:color w:val="auto"/>
                <w:sz w:val="21"/>
                <w:szCs w:val="21"/>
              </w:rPr>
              <w:t>仓库</w:t>
            </w:r>
          </w:p>
        </w:tc>
        <w:tc>
          <w:tcPr>
            <w:tcW w:w="563" w:type="pct"/>
            <w:vAlign w:val="center"/>
          </w:tcPr>
          <w:p w14:paraId="7D13FA16">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kern w:val="2"/>
                <w:sz w:val="21"/>
                <w:szCs w:val="21"/>
                <w:lang w:val="en-US" w:eastAsia="zh-CN" w:bidi="ar-SA"/>
              </w:rPr>
              <w:t>涉气、涉水</w:t>
            </w:r>
          </w:p>
        </w:tc>
      </w:tr>
      <w:tr w14:paraId="71EA6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3" w:hRule="atLeast"/>
          <w:tblHeader/>
          <w:jc w:val="center"/>
        </w:trPr>
        <w:tc>
          <w:tcPr>
            <w:tcW w:w="249" w:type="pct"/>
            <w:vMerge w:val="continue"/>
            <w:vAlign w:val="center"/>
          </w:tcPr>
          <w:p w14:paraId="691BF08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48" w:type="pct"/>
            <w:vAlign w:val="center"/>
          </w:tcPr>
          <w:p w14:paraId="331605B8">
            <w:pPr>
              <w:adjustRightInd w:val="0"/>
              <w:snapToGrid w:val="0"/>
              <w:jc w:val="center"/>
              <w:rPr>
                <w:rFonts w:hint="eastAsia" w:ascii="Times New Roman" w:hAnsi="Times New Roman" w:eastAsia="宋体" w:cs="Times New Roman"/>
                <w:kern w:val="2"/>
                <w:sz w:val="21"/>
                <w:szCs w:val="21"/>
                <w:lang w:val="en-US" w:eastAsia="zh-CN"/>
              </w:rPr>
            </w:pPr>
            <w:r>
              <w:rPr>
                <w:color w:val="auto"/>
                <w:sz w:val="21"/>
                <w:szCs w:val="21"/>
              </w:rPr>
              <w:t>水性底漆</w:t>
            </w:r>
          </w:p>
        </w:tc>
        <w:tc>
          <w:tcPr>
            <w:tcW w:w="1436" w:type="pct"/>
            <w:shd w:val="clear" w:color="auto" w:fill="auto"/>
            <w:vAlign w:val="center"/>
          </w:tcPr>
          <w:p w14:paraId="769E5CBF">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color w:val="auto"/>
                <w:sz w:val="21"/>
                <w:szCs w:val="21"/>
              </w:rPr>
              <w:t>水性丙烯酸乳液、消泡剂、润湿剂、流变助剂、粉料、二丙二醇甲醚、二丙二醇丁醚、乙二醇醚及其脂类和水</w:t>
            </w:r>
          </w:p>
        </w:tc>
        <w:tc>
          <w:tcPr>
            <w:tcW w:w="722" w:type="pct"/>
            <w:vAlign w:val="center"/>
          </w:tcPr>
          <w:p w14:paraId="31F77180">
            <w:pPr>
              <w:adjustRightInd w:val="0"/>
              <w:snapToGrid w:val="0"/>
              <w:jc w:val="center"/>
              <w:rPr>
                <w:rFonts w:hint="eastAsia" w:hAnsi="Times New Roman" w:eastAsia="宋体" w:cs="Times New Roman"/>
                <w:kern w:val="2"/>
                <w:sz w:val="21"/>
                <w:szCs w:val="21"/>
                <w:lang w:val="en-US" w:bidi="ar-SA"/>
              </w:rPr>
            </w:pPr>
            <w:r>
              <w:rPr>
                <w:rFonts w:hint="eastAsia"/>
                <w:color w:val="FF0000"/>
                <w:sz w:val="21"/>
                <w:szCs w:val="21"/>
                <w:lang w:val="en-US" w:eastAsia="zh-CN"/>
              </w:rPr>
              <w:t>8.57</w:t>
            </w:r>
            <w:r>
              <w:rPr>
                <w:rFonts w:hint="eastAsia"/>
                <w:color w:val="FF0000"/>
                <w:sz w:val="21"/>
                <w:szCs w:val="21"/>
              </w:rPr>
              <w:t>t</w:t>
            </w:r>
          </w:p>
        </w:tc>
        <w:tc>
          <w:tcPr>
            <w:tcW w:w="572" w:type="pct"/>
            <w:vAlign w:val="center"/>
          </w:tcPr>
          <w:p w14:paraId="5771767A">
            <w:pPr>
              <w:widowControl/>
              <w:adjustRightInd w:val="0"/>
              <w:snapToGrid w:val="0"/>
              <w:jc w:val="center"/>
              <w:rPr>
                <w:rFonts w:hint="eastAsia" w:hAnsi="Times New Roman" w:eastAsia="宋体" w:cs="Times New Roman"/>
                <w:kern w:val="2"/>
                <w:sz w:val="21"/>
                <w:szCs w:val="21"/>
                <w:lang w:val="en-US" w:bidi="ar-SA"/>
              </w:rPr>
            </w:pPr>
            <w:r>
              <w:rPr>
                <w:rFonts w:hint="eastAsia" w:eastAsia="宋体" w:cs="Times New Roman"/>
                <w:kern w:val="2"/>
                <w:sz w:val="21"/>
                <w:szCs w:val="21"/>
                <w:lang w:val="en-US" w:eastAsia="zh-CN" w:bidi="ar-SA"/>
              </w:rPr>
              <w:t>0.857</w:t>
            </w:r>
            <w:r>
              <w:rPr>
                <w:rFonts w:hint="eastAsia" w:hAnsi="Times New Roman" w:eastAsia="宋体" w:cs="Times New Roman"/>
                <w:kern w:val="2"/>
                <w:sz w:val="21"/>
                <w:szCs w:val="21"/>
                <w:lang w:val="en-US" w:bidi="ar-SA"/>
              </w:rPr>
              <w:t>t</w:t>
            </w:r>
          </w:p>
        </w:tc>
        <w:tc>
          <w:tcPr>
            <w:tcW w:w="502" w:type="pct"/>
            <w:shd w:val="clear" w:color="auto" w:fill="auto"/>
            <w:vAlign w:val="center"/>
          </w:tcPr>
          <w:p w14:paraId="2C69DF49">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25kg桶装</w:t>
            </w:r>
          </w:p>
        </w:tc>
        <w:tc>
          <w:tcPr>
            <w:tcW w:w="405" w:type="pct"/>
            <w:shd w:val="clear" w:color="auto" w:fill="auto"/>
            <w:vAlign w:val="center"/>
          </w:tcPr>
          <w:p w14:paraId="7253E5AE">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仓库</w:t>
            </w:r>
          </w:p>
        </w:tc>
        <w:tc>
          <w:tcPr>
            <w:tcW w:w="563" w:type="pct"/>
            <w:vAlign w:val="center"/>
          </w:tcPr>
          <w:p w14:paraId="6E6E8655">
            <w:pPr>
              <w:jc w:val="center"/>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kern w:val="2"/>
                <w:sz w:val="21"/>
                <w:szCs w:val="21"/>
                <w:lang w:val="en-US" w:eastAsia="zh-CN" w:bidi="ar-SA"/>
              </w:rPr>
              <w:t>涉气、涉水</w:t>
            </w:r>
          </w:p>
        </w:tc>
      </w:tr>
      <w:tr w14:paraId="12544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3" w:hRule="atLeast"/>
          <w:tblHeader/>
          <w:jc w:val="center"/>
        </w:trPr>
        <w:tc>
          <w:tcPr>
            <w:tcW w:w="249" w:type="pct"/>
            <w:vMerge w:val="continue"/>
            <w:vAlign w:val="center"/>
          </w:tcPr>
          <w:p w14:paraId="6DE3312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48" w:type="pct"/>
            <w:vAlign w:val="center"/>
          </w:tcPr>
          <w:p w14:paraId="360D0D55">
            <w:pPr>
              <w:adjustRightInd w:val="0"/>
              <w:snapToGrid w:val="0"/>
              <w:jc w:val="center"/>
              <w:rPr>
                <w:rFonts w:hint="eastAsia" w:ascii="Times New Roman" w:hAnsi="Times New Roman" w:eastAsia="宋体" w:cs="Times New Roman"/>
                <w:sz w:val="21"/>
                <w:szCs w:val="21"/>
                <w:lang w:val="en-US" w:eastAsia="zh-CN"/>
              </w:rPr>
            </w:pPr>
            <w:r>
              <w:rPr>
                <w:color w:val="auto"/>
                <w:sz w:val="21"/>
                <w:szCs w:val="21"/>
              </w:rPr>
              <w:t>水性面漆</w:t>
            </w:r>
          </w:p>
        </w:tc>
        <w:tc>
          <w:tcPr>
            <w:tcW w:w="1436" w:type="pct"/>
            <w:shd w:val="clear" w:color="auto" w:fill="auto"/>
            <w:vAlign w:val="center"/>
          </w:tcPr>
          <w:p w14:paraId="6875D46B">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color w:val="auto"/>
                <w:sz w:val="21"/>
                <w:szCs w:val="21"/>
              </w:rPr>
              <w:t>水性丙烯酸乳液、水性聚氨酯乳液、消泡剂、润湿剂、流变助剂、消光粉、二丙二醇甲醚、二丙二醇丁醚、乙二醇醚及其脂类和水</w:t>
            </w:r>
          </w:p>
        </w:tc>
        <w:tc>
          <w:tcPr>
            <w:tcW w:w="722" w:type="pct"/>
            <w:vAlign w:val="center"/>
          </w:tcPr>
          <w:p w14:paraId="2F0BE17B">
            <w:pPr>
              <w:adjustRightInd w:val="0"/>
              <w:snapToGrid w:val="0"/>
              <w:jc w:val="center"/>
              <w:rPr>
                <w:rFonts w:hint="eastAsia" w:hAnsi="Times New Roman" w:eastAsia="宋体" w:cs="Times New Roman"/>
                <w:kern w:val="2"/>
                <w:sz w:val="21"/>
                <w:szCs w:val="21"/>
                <w:lang w:val="en-US" w:bidi="ar-SA"/>
              </w:rPr>
            </w:pPr>
            <w:r>
              <w:rPr>
                <w:rFonts w:hint="eastAsia"/>
                <w:color w:val="FF0000"/>
                <w:sz w:val="21"/>
                <w:szCs w:val="21"/>
                <w:lang w:val="en-US" w:eastAsia="zh-CN"/>
              </w:rPr>
              <w:t>5.02</w:t>
            </w:r>
            <w:r>
              <w:rPr>
                <w:rFonts w:hint="eastAsia"/>
                <w:color w:val="FF0000"/>
                <w:sz w:val="21"/>
                <w:szCs w:val="21"/>
              </w:rPr>
              <w:t>t</w:t>
            </w:r>
          </w:p>
        </w:tc>
        <w:tc>
          <w:tcPr>
            <w:tcW w:w="572" w:type="pct"/>
            <w:vAlign w:val="center"/>
          </w:tcPr>
          <w:p w14:paraId="7D5A5380">
            <w:pPr>
              <w:widowControl/>
              <w:adjustRightInd w:val="0"/>
              <w:snapToGrid w:val="0"/>
              <w:jc w:val="center"/>
              <w:rPr>
                <w:rFonts w:hint="eastAsia" w:hAnsi="Times New Roman" w:eastAsia="宋体" w:cs="Times New Roman"/>
                <w:kern w:val="2"/>
                <w:sz w:val="21"/>
                <w:szCs w:val="21"/>
                <w:lang w:val="en-US" w:bidi="ar-SA"/>
              </w:rPr>
            </w:pPr>
            <w:r>
              <w:rPr>
                <w:rFonts w:hint="eastAsia" w:eastAsia="宋体" w:cs="Times New Roman"/>
                <w:kern w:val="2"/>
                <w:sz w:val="21"/>
                <w:szCs w:val="21"/>
                <w:lang w:val="en-US" w:eastAsia="zh-CN" w:bidi="ar-SA"/>
              </w:rPr>
              <w:t>0.502</w:t>
            </w:r>
            <w:r>
              <w:rPr>
                <w:rFonts w:hint="eastAsia" w:hAnsi="Times New Roman" w:eastAsia="宋体" w:cs="Times New Roman"/>
                <w:kern w:val="2"/>
                <w:sz w:val="21"/>
                <w:szCs w:val="21"/>
                <w:lang w:val="en-US" w:bidi="ar-SA"/>
              </w:rPr>
              <w:t>t</w:t>
            </w:r>
          </w:p>
        </w:tc>
        <w:tc>
          <w:tcPr>
            <w:tcW w:w="502" w:type="pct"/>
            <w:shd w:val="clear" w:color="auto" w:fill="auto"/>
            <w:vAlign w:val="center"/>
          </w:tcPr>
          <w:p w14:paraId="73E9A9B8">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25kg桶装</w:t>
            </w:r>
          </w:p>
        </w:tc>
        <w:tc>
          <w:tcPr>
            <w:tcW w:w="405" w:type="pct"/>
            <w:shd w:val="clear" w:color="auto" w:fill="auto"/>
            <w:vAlign w:val="center"/>
          </w:tcPr>
          <w:p w14:paraId="6AF3FBF9">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仓库</w:t>
            </w:r>
          </w:p>
        </w:tc>
        <w:tc>
          <w:tcPr>
            <w:tcW w:w="563" w:type="pct"/>
            <w:vAlign w:val="center"/>
          </w:tcPr>
          <w:p w14:paraId="5286FF6F">
            <w:pPr>
              <w:jc w:val="center"/>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kern w:val="2"/>
                <w:sz w:val="21"/>
                <w:szCs w:val="21"/>
                <w:lang w:val="en-US" w:eastAsia="zh-CN" w:bidi="ar-SA"/>
              </w:rPr>
              <w:t>涉气、涉水</w:t>
            </w:r>
          </w:p>
        </w:tc>
      </w:tr>
      <w:tr w14:paraId="1BB5EC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3" w:hRule="atLeast"/>
          <w:tblHeader/>
          <w:jc w:val="center"/>
        </w:trPr>
        <w:tc>
          <w:tcPr>
            <w:tcW w:w="249" w:type="pct"/>
            <w:vMerge w:val="continue"/>
            <w:vAlign w:val="center"/>
          </w:tcPr>
          <w:p w14:paraId="271C08BE">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48" w:type="pct"/>
            <w:vAlign w:val="center"/>
          </w:tcPr>
          <w:p w14:paraId="7F899E2E">
            <w:pPr>
              <w:adjustRightInd w:val="0"/>
              <w:snapToGrid w:val="0"/>
              <w:jc w:val="center"/>
              <w:rPr>
                <w:rFonts w:hint="eastAsia" w:ascii="Times New Roman" w:hAnsi="Times New Roman" w:eastAsia="宋体" w:cs="Times New Roman"/>
                <w:sz w:val="21"/>
                <w:szCs w:val="21"/>
                <w:lang w:val="en-US" w:eastAsia="zh-CN"/>
              </w:rPr>
            </w:pPr>
            <w:r>
              <w:rPr>
                <w:rFonts w:hint="eastAsia"/>
                <w:color w:val="auto"/>
                <w:sz w:val="21"/>
                <w:szCs w:val="21"/>
              </w:rPr>
              <w:t>水性清面</w:t>
            </w:r>
            <w:r>
              <w:rPr>
                <w:color w:val="auto"/>
                <w:sz w:val="21"/>
                <w:szCs w:val="21"/>
              </w:rPr>
              <w:t>漆</w:t>
            </w:r>
            <w:r>
              <w:rPr>
                <w:rFonts w:hint="eastAsia"/>
                <w:color w:val="auto"/>
                <w:sz w:val="21"/>
                <w:szCs w:val="21"/>
                <w:lang w:eastAsia="zh-CN"/>
              </w:rPr>
              <w:t>（修色用）</w:t>
            </w:r>
          </w:p>
        </w:tc>
        <w:tc>
          <w:tcPr>
            <w:tcW w:w="1436" w:type="pct"/>
            <w:shd w:val="clear" w:color="auto" w:fill="auto"/>
            <w:vAlign w:val="center"/>
          </w:tcPr>
          <w:p w14:paraId="7A5224A2">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color w:val="auto"/>
                <w:sz w:val="21"/>
                <w:szCs w:val="21"/>
              </w:rPr>
              <w:t>水性丙烯酸乳液、水性聚氨酯乳液、消泡剂、润湿剂、流变助剂、消光粉、二丙二醇甲醚、二丙二醇丁醚、乙二醇醚及其脂类和水</w:t>
            </w:r>
          </w:p>
        </w:tc>
        <w:tc>
          <w:tcPr>
            <w:tcW w:w="722" w:type="pct"/>
            <w:vAlign w:val="center"/>
          </w:tcPr>
          <w:p w14:paraId="4352952D">
            <w:pPr>
              <w:adjustRightInd w:val="0"/>
              <w:snapToGrid w:val="0"/>
              <w:jc w:val="center"/>
              <w:rPr>
                <w:rFonts w:hint="eastAsia" w:hAnsi="Times New Roman" w:eastAsia="宋体" w:cs="Times New Roman"/>
                <w:kern w:val="2"/>
                <w:sz w:val="21"/>
                <w:szCs w:val="21"/>
                <w:lang w:val="en-US" w:bidi="ar-SA"/>
              </w:rPr>
            </w:pPr>
            <w:r>
              <w:rPr>
                <w:rFonts w:hint="eastAsia"/>
                <w:color w:val="FF0000"/>
                <w:sz w:val="21"/>
                <w:szCs w:val="21"/>
              </w:rPr>
              <w:t>1.</w:t>
            </w:r>
            <w:r>
              <w:rPr>
                <w:rFonts w:hint="eastAsia"/>
                <w:color w:val="FF0000"/>
                <w:sz w:val="21"/>
                <w:szCs w:val="21"/>
                <w:lang w:val="en-US" w:eastAsia="zh-CN"/>
              </w:rPr>
              <w:t>09</w:t>
            </w:r>
            <w:r>
              <w:rPr>
                <w:rFonts w:hint="eastAsia"/>
                <w:color w:val="FF0000"/>
                <w:sz w:val="21"/>
                <w:szCs w:val="21"/>
              </w:rPr>
              <w:t>t</w:t>
            </w:r>
          </w:p>
        </w:tc>
        <w:tc>
          <w:tcPr>
            <w:tcW w:w="572" w:type="pct"/>
            <w:vAlign w:val="center"/>
          </w:tcPr>
          <w:p w14:paraId="5C3D6119">
            <w:pPr>
              <w:widowControl/>
              <w:adjustRightInd w:val="0"/>
              <w:snapToGrid w:val="0"/>
              <w:jc w:val="center"/>
              <w:rPr>
                <w:rFonts w:hint="default"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0.109t</w:t>
            </w:r>
          </w:p>
        </w:tc>
        <w:tc>
          <w:tcPr>
            <w:tcW w:w="502" w:type="pct"/>
            <w:shd w:val="clear" w:color="auto" w:fill="auto"/>
            <w:vAlign w:val="center"/>
          </w:tcPr>
          <w:p w14:paraId="78AE3D16">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25kg桶装</w:t>
            </w:r>
          </w:p>
        </w:tc>
        <w:tc>
          <w:tcPr>
            <w:tcW w:w="405" w:type="pct"/>
            <w:shd w:val="clear" w:color="auto" w:fill="auto"/>
            <w:vAlign w:val="center"/>
          </w:tcPr>
          <w:p w14:paraId="0F72A07F">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仓库</w:t>
            </w:r>
          </w:p>
        </w:tc>
        <w:tc>
          <w:tcPr>
            <w:tcW w:w="563" w:type="pct"/>
            <w:vAlign w:val="center"/>
          </w:tcPr>
          <w:p w14:paraId="1B2D0ADD">
            <w:pPr>
              <w:jc w:val="center"/>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kern w:val="2"/>
                <w:sz w:val="21"/>
                <w:szCs w:val="21"/>
                <w:lang w:val="en-US" w:eastAsia="zh-CN" w:bidi="ar-SA"/>
              </w:rPr>
              <w:t>涉气、涉水</w:t>
            </w:r>
          </w:p>
        </w:tc>
      </w:tr>
      <w:tr w14:paraId="0AB14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3" w:hRule="atLeast"/>
          <w:tblHeader/>
          <w:jc w:val="center"/>
        </w:trPr>
        <w:tc>
          <w:tcPr>
            <w:tcW w:w="249" w:type="pct"/>
            <w:vMerge w:val="continue"/>
            <w:vAlign w:val="center"/>
          </w:tcPr>
          <w:p w14:paraId="435BB201">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48" w:type="pct"/>
            <w:vAlign w:val="center"/>
          </w:tcPr>
          <w:p w14:paraId="75170C7C">
            <w:pPr>
              <w:adjustRightInd w:val="0"/>
              <w:snapToGrid w:val="0"/>
              <w:jc w:val="center"/>
              <w:rPr>
                <w:rFonts w:hint="eastAsia" w:ascii="Times New Roman" w:hAnsi="Times New Roman" w:eastAsia="宋体" w:cs="Times New Roman"/>
                <w:sz w:val="21"/>
                <w:szCs w:val="21"/>
                <w:lang w:val="en-US" w:eastAsia="zh-CN"/>
              </w:rPr>
            </w:pPr>
            <w:r>
              <w:rPr>
                <w:color w:val="auto"/>
                <w:sz w:val="21"/>
                <w:szCs w:val="21"/>
              </w:rPr>
              <w:t>固化剂</w:t>
            </w:r>
          </w:p>
        </w:tc>
        <w:tc>
          <w:tcPr>
            <w:tcW w:w="1436" w:type="pct"/>
            <w:shd w:val="clear" w:color="auto" w:fill="auto"/>
            <w:vAlign w:val="center"/>
          </w:tcPr>
          <w:p w14:paraId="7BE9F1BC">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color w:val="auto"/>
                <w:sz w:val="21"/>
                <w:szCs w:val="21"/>
              </w:rPr>
              <w:t>异氰酸酯均聚物（固份）、丙二醇甲醚醋酸酯</w:t>
            </w:r>
          </w:p>
        </w:tc>
        <w:tc>
          <w:tcPr>
            <w:tcW w:w="722" w:type="pct"/>
            <w:vAlign w:val="center"/>
          </w:tcPr>
          <w:p w14:paraId="31EDF2E0">
            <w:pPr>
              <w:adjustRightInd w:val="0"/>
              <w:snapToGrid w:val="0"/>
              <w:jc w:val="center"/>
              <w:rPr>
                <w:rFonts w:hint="eastAsia" w:hAnsi="Times New Roman" w:eastAsia="宋体" w:cs="Times New Roman"/>
                <w:kern w:val="2"/>
                <w:sz w:val="21"/>
                <w:szCs w:val="21"/>
                <w:lang w:val="en-US" w:bidi="ar-SA"/>
              </w:rPr>
            </w:pPr>
            <w:r>
              <w:rPr>
                <w:rFonts w:hint="eastAsia"/>
                <w:color w:val="FF0000"/>
                <w:sz w:val="21"/>
                <w:szCs w:val="21"/>
                <w:lang w:val="en-US" w:eastAsia="zh-CN"/>
              </w:rPr>
              <w:t>2.09</w:t>
            </w:r>
            <w:r>
              <w:rPr>
                <w:rFonts w:hint="eastAsia"/>
                <w:color w:val="FF0000"/>
                <w:sz w:val="21"/>
                <w:szCs w:val="21"/>
              </w:rPr>
              <w:t>t</w:t>
            </w:r>
          </w:p>
        </w:tc>
        <w:tc>
          <w:tcPr>
            <w:tcW w:w="572" w:type="pct"/>
            <w:vAlign w:val="center"/>
          </w:tcPr>
          <w:p w14:paraId="416CAD79">
            <w:pPr>
              <w:widowControl/>
              <w:adjustRightInd w:val="0"/>
              <w:snapToGrid w:val="0"/>
              <w:jc w:val="center"/>
              <w:rPr>
                <w:rFonts w:hint="default"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0.209t</w:t>
            </w:r>
          </w:p>
        </w:tc>
        <w:tc>
          <w:tcPr>
            <w:tcW w:w="502" w:type="pct"/>
            <w:shd w:val="clear" w:color="auto" w:fill="auto"/>
            <w:vAlign w:val="center"/>
          </w:tcPr>
          <w:p w14:paraId="5FF1F3C6">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25kg桶装</w:t>
            </w:r>
          </w:p>
        </w:tc>
        <w:tc>
          <w:tcPr>
            <w:tcW w:w="405" w:type="pct"/>
            <w:shd w:val="clear" w:color="auto" w:fill="auto"/>
            <w:vAlign w:val="center"/>
          </w:tcPr>
          <w:p w14:paraId="7B02288B">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仓库</w:t>
            </w:r>
          </w:p>
        </w:tc>
        <w:tc>
          <w:tcPr>
            <w:tcW w:w="563" w:type="pct"/>
            <w:vAlign w:val="center"/>
          </w:tcPr>
          <w:p w14:paraId="7F27D8AE">
            <w:pPr>
              <w:jc w:val="center"/>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kern w:val="2"/>
                <w:sz w:val="21"/>
                <w:szCs w:val="21"/>
                <w:lang w:val="en-US" w:eastAsia="zh-CN" w:bidi="ar-SA"/>
              </w:rPr>
              <w:t>涉气、涉水</w:t>
            </w:r>
          </w:p>
        </w:tc>
      </w:tr>
      <w:tr w14:paraId="3BC36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3" w:hRule="atLeast"/>
          <w:tblHeader/>
          <w:jc w:val="center"/>
        </w:trPr>
        <w:tc>
          <w:tcPr>
            <w:tcW w:w="249" w:type="pct"/>
            <w:vMerge w:val="continue"/>
            <w:vAlign w:val="center"/>
          </w:tcPr>
          <w:p w14:paraId="44B93E5F">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48" w:type="pct"/>
            <w:vAlign w:val="center"/>
          </w:tcPr>
          <w:p w14:paraId="02978790">
            <w:pPr>
              <w:adjustRightInd w:val="0"/>
              <w:snapToGrid w:val="0"/>
              <w:jc w:val="center"/>
              <w:rPr>
                <w:rFonts w:hint="eastAsia" w:ascii="Times New Roman" w:hAnsi="Times New Roman" w:eastAsia="宋体" w:cs="Times New Roman"/>
                <w:sz w:val="21"/>
                <w:szCs w:val="21"/>
                <w:lang w:val="en-US" w:eastAsia="zh-CN"/>
              </w:rPr>
            </w:pPr>
            <w:r>
              <w:rPr>
                <w:rFonts w:hint="eastAsia"/>
                <w:color w:val="auto"/>
                <w:sz w:val="21"/>
                <w:szCs w:val="21"/>
              </w:rPr>
              <w:t>色精</w:t>
            </w:r>
          </w:p>
        </w:tc>
        <w:tc>
          <w:tcPr>
            <w:tcW w:w="1436" w:type="pct"/>
            <w:shd w:val="clear" w:color="auto" w:fill="auto"/>
            <w:vAlign w:val="center"/>
          </w:tcPr>
          <w:p w14:paraId="324C62F7">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color w:val="auto"/>
                <w:sz w:val="21"/>
                <w:szCs w:val="21"/>
              </w:rPr>
              <w:t>颜料</w:t>
            </w:r>
          </w:p>
        </w:tc>
        <w:tc>
          <w:tcPr>
            <w:tcW w:w="722" w:type="pct"/>
            <w:vAlign w:val="center"/>
          </w:tcPr>
          <w:p w14:paraId="5B194398">
            <w:pPr>
              <w:adjustRightInd w:val="0"/>
              <w:snapToGrid w:val="0"/>
              <w:jc w:val="center"/>
              <w:rPr>
                <w:rFonts w:hint="default" w:hAnsi="Times New Roman" w:eastAsia="宋体" w:cs="Times New Roman"/>
                <w:kern w:val="2"/>
                <w:sz w:val="21"/>
                <w:szCs w:val="21"/>
                <w:lang w:val="en-US" w:eastAsia="zh-CN" w:bidi="ar-SA"/>
              </w:rPr>
            </w:pPr>
            <w:r>
              <w:rPr>
                <w:rFonts w:hint="eastAsia"/>
                <w:color w:val="auto"/>
                <w:sz w:val="21"/>
                <w:szCs w:val="21"/>
              </w:rPr>
              <w:t>0.12t</w:t>
            </w:r>
          </w:p>
        </w:tc>
        <w:tc>
          <w:tcPr>
            <w:tcW w:w="572" w:type="pct"/>
            <w:vAlign w:val="center"/>
          </w:tcPr>
          <w:p w14:paraId="42C21F80">
            <w:pPr>
              <w:widowControl/>
              <w:adjustRightInd w:val="0"/>
              <w:snapToGrid w:val="0"/>
              <w:jc w:val="center"/>
              <w:rPr>
                <w:rFonts w:hint="default"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0.012t</w:t>
            </w:r>
          </w:p>
        </w:tc>
        <w:tc>
          <w:tcPr>
            <w:tcW w:w="502" w:type="pct"/>
            <w:shd w:val="clear" w:color="auto" w:fill="auto"/>
            <w:vAlign w:val="center"/>
          </w:tcPr>
          <w:p w14:paraId="2CBA38E4">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25kg桶装</w:t>
            </w:r>
          </w:p>
        </w:tc>
        <w:tc>
          <w:tcPr>
            <w:tcW w:w="405" w:type="pct"/>
            <w:shd w:val="clear" w:color="auto" w:fill="auto"/>
            <w:vAlign w:val="center"/>
          </w:tcPr>
          <w:p w14:paraId="21C5C484">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仓库</w:t>
            </w:r>
          </w:p>
        </w:tc>
        <w:tc>
          <w:tcPr>
            <w:tcW w:w="563" w:type="pct"/>
            <w:vAlign w:val="center"/>
          </w:tcPr>
          <w:p w14:paraId="075B626C">
            <w:pPr>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不涉及</w:t>
            </w:r>
          </w:p>
        </w:tc>
      </w:tr>
      <w:tr w14:paraId="1D128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3" w:hRule="atLeast"/>
          <w:tblHeader/>
          <w:jc w:val="center"/>
        </w:trPr>
        <w:tc>
          <w:tcPr>
            <w:tcW w:w="249" w:type="pct"/>
            <w:vMerge w:val="continue"/>
            <w:vAlign w:val="center"/>
          </w:tcPr>
          <w:p w14:paraId="518ACD70">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48" w:type="pct"/>
            <w:vAlign w:val="center"/>
          </w:tcPr>
          <w:p w14:paraId="307DBC6C">
            <w:pPr>
              <w:adjustRightInd w:val="0"/>
              <w:snapToGrid w:val="0"/>
              <w:jc w:val="center"/>
              <w:rPr>
                <w:rFonts w:hint="eastAsia" w:ascii="Times New Roman" w:hAnsi="Times New Roman" w:eastAsia="宋体" w:cs="Times New Roman"/>
                <w:sz w:val="21"/>
                <w:szCs w:val="21"/>
                <w:lang w:val="en-US" w:eastAsia="zh-CN"/>
              </w:rPr>
            </w:pPr>
            <w:r>
              <w:rPr>
                <w:rFonts w:hint="eastAsia"/>
                <w:color w:val="auto"/>
                <w:sz w:val="21"/>
                <w:szCs w:val="21"/>
              </w:rPr>
              <w:t>热熔胶</w:t>
            </w:r>
          </w:p>
        </w:tc>
        <w:tc>
          <w:tcPr>
            <w:tcW w:w="1436" w:type="pct"/>
            <w:shd w:val="clear" w:color="auto" w:fill="auto"/>
            <w:vAlign w:val="center"/>
          </w:tcPr>
          <w:p w14:paraId="4C599F2F">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w:t>
            </w:r>
          </w:p>
        </w:tc>
        <w:tc>
          <w:tcPr>
            <w:tcW w:w="722" w:type="pct"/>
            <w:vAlign w:val="center"/>
          </w:tcPr>
          <w:p w14:paraId="4AE7042B">
            <w:pPr>
              <w:adjustRightInd w:val="0"/>
              <w:snapToGrid w:val="0"/>
              <w:jc w:val="center"/>
              <w:rPr>
                <w:rFonts w:hint="eastAsia" w:hAnsi="Times New Roman" w:eastAsia="宋体" w:cs="Times New Roman"/>
                <w:kern w:val="2"/>
                <w:sz w:val="21"/>
                <w:szCs w:val="21"/>
                <w:lang w:val="en-US" w:bidi="ar-SA"/>
              </w:rPr>
            </w:pPr>
            <w:r>
              <w:rPr>
                <w:rFonts w:hint="eastAsia"/>
                <w:color w:val="auto"/>
                <w:sz w:val="21"/>
                <w:szCs w:val="21"/>
              </w:rPr>
              <w:t>0.5t</w:t>
            </w:r>
          </w:p>
        </w:tc>
        <w:tc>
          <w:tcPr>
            <w:tcW w:w="572" w:type="pct"/>
            <w:vAlign w:val="center"/>
          </w:tcPr>
          <w:p w14:paraId="350A9C03">
            <w:pPr>
              <w:widowControl/>
              <w:adjustRightInd w:val="0"/>
              <w:snapToGrid w:val="0"/>
              <w:jc w:val="center"/>
              <w:rPr>
                <w:rFonts w:hint="eastAsia" w:hAnsi="Times New Roman" w:eastAsia="宋体" w:cs="Times New Roman"/>
                <w:kern w:val="2"/>
                <w:sz w:val="21"/>
                <w:szCs w:val="21"/>
                <w:lang w:val="en-US" w:bidi="ar-SA"/>
              </w:rPr>
            </w:pPr>
            <w:r>
              <w:rPr>
                <w:rFonts w:hint="eastAsia" w:eastAsia="宋体" w:cs="Times New Roman"/>
                <w:kern w:val="2"/>
                <w:sz w:val="21"/>
                <w:szCs w:val="21"/>
                <w:lang w:val="en-US" w:eastAsia="zh-CN" w:bidi="ar-SA"/>
              </w:rPr>
              <w:t>0.05</w:t>
            </w:r>
            <w:r>
              <w:rPr>
                <w:rFonts w:hint="eastAsia" w:hAnsi="Times New Roman" w:eastAsia="宋体" w:cs="Times New Roman"/>
                <w:kern w:val="2"/>
                <w:sz w:val="21"/>
                <w:szCs w:val="21"/>
                <w:lang w:val="en-US" w:bidi="ar-SA"/>
              </w:rPr>
              <w:t>t</w:t>
            </w:r>
          </w:p>
        </w:tc>
        <w:tc>
          <w:tcPr>
            <w:tcW w:w="502" w:type="pct"/>
            <w:shd w:val="clear" w:color="auto" w:fill="auto"/>
            <w:vAlign w:val="center"/>
          </w:tcPr>
          <w:p w14:paraId="39F08335">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袋装</w:t>
            </w:r>
          </w:p>
        </w:tc>
        <w:tc>
          <w:tcPr>
            <w:tcW w:w="405" w:type="pct"/>
            <w:shd w:val="clear" w:color="auto" w:fill="auto"/>
            <w:vAlign w:val="center"/>
          </w:tcPr>
          <w:p w14:paraId="55B6686C">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仓库</w:t>
            </w:r>
          </w:p>
        </w:tc>
        <w:tc>
          <w:tcPr>
            <w:tcW w:w="563" w:type="pct"/>
            <w:vAlign w:val="center"/>
          </w:tcPr>
          <w:p w14:paraId="09F71929">
            <w:pPr>
              <w:jc w:val="center"/>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kern w:val="2"/>
                <w:sz w:val="21"/>
                <w:szCs w:val="21"/>
                <w:lang w:val="en-US" w:eastAsia="zh-CN" w:bidi="ar-SA"/>
              </w:rPr>
              <w:t>涉气、涉水</w:t>
            </w:r>
          </w:p>
        </w:tc>
      </w:tr>
      <w:tr w14:paraId="4AAB8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3" w:hRule="atLeast"/>
          <w:tblHeader/>
          <w:jc w:val="center"/>
        </w:trPr>
        <w:tc>
          <w:tcPr>
            <w:tcW w:w="249" w:type="pct"/>
            <w:vMerge w:val="continue"/>
            <w:vAlign w:val="center"/>
          </w:tcPr>
          <w:p w14:paraId="3FE5A1A1">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48" w:type="pct"/>
            <w:vAlign w:val="center"/>
          </w:tcPr>
          <w:p w14:paraId="0EE0894A">
            <w:pPr>
              <w:adjustRightInd w:val="0"/>
              <w:snapToGrid w:val="0"/>
              <w:jc w:val="center"/>
              <w:rPr>
                <w:rFonts w:hint="eastAsia" w:ascii="Times New Roman" w:hAnsi="Times New Roman" w:eastAsia="宋体" w:cs="Times New Roman"/>
                <w:sz w:val="21"/>
                <w:szCs w:val="21"/>
                <w:lang w:val="en-US" w:eastAsia="zh-CN"/>
              </w:rPr>
            </w:pPr>
            <w:r>
              <w:rPr>
                <w:color w:val="auto"/>
                <w:sz w:val="21"/>
                <w:szCs w:val="21"/>
              </w:rPr>
              <w:t>封边条</w:t>
            </w:r>
          </w:p>
        </w:tc>
        <w:tc>
          <w:tcPr>
            <w:tcW w:w="1436" w:type="pct"/>
            <w:shd w:val="clear" w:color="auto" w:fill="auto"/>
            <w:vAlign w:val="center"/>
          </w:tcPr>
          <w:p w14:paraId="3268FEB4">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color w:val="auto"/>
                <w:sz w:val="21"/>
                <w:szCs w:val="21"/>
              </w:rPr>
              <w:t>聚氯乙烯树脂</w:t>
            </w:r>
          </w:p>
        </w:tc>
        <w:tc>
          <w:tcPr>
            <w:tcW w:w="722" w:type="pct"/>
            <w:vAlign w:val="center"/>
          </w:tcPr>
          <w:p w14:paraId="0194B788">
            <w:pPr>
              <w:adjustRightInd w:val="0"/>
              <w:snapToGrid w:val="0"/>
              <w:jc w:val="center"/>
              <w:rPr>
                <w:rFonts w:hint="eastAsia" w:hAnsi="Times New Roman" w:eastAsia="宋体" w:cs="Times New Roman"/>
                <w:kern w:val="2"/>
                <w:sz w:val="21"/>
                <w:szCs w:val="21"/>
                <w:lang w:val="en-US" w:bidi="ar-SA"/>
              </w:rPr>
            </w:pPr>
            <w:r>
              <w:rPr>
                <w:color w:val="auto"/>
                <w:sz w:val="21"/>
                <w:szCs w:val="21"/>
              </w:rPr>
              <w:t>2t</w:t>
            </w:r>
          </w:p>
        </w:tc>
        <w:tc>
          <w:tcPr>
            <w:tcW w:w="572" w:type="pct"/>
            <w:vAlign w:val="center"/>
          </w:tcPr>
          <w:p w14:paraId="29CA45F6">
            <w:pPr>
              <w:widowControl/>
              <w:adjustRightInd w:val="0"/>
              <w:snapToGrid w:val="0"/>
              <w:jc w:val="center"/>
              <w:rPr>
                <w:rFonts w:hint="default"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0.2t</w:t>
            </w:r>
          </w:p>
        </w:tc>
        <w:tc>
          <w:tcPr>
            <w:tcW w:w="502" w:type="pct"/>
            <w:shd w:val="clear" w:color="auto" w:fill="auto"/>
            <w:vAlign w:val="center"/>
          </w:tcPr>
          <w:p w14:paraId="06FA209B">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袋装</w:t>
            </w:r>
          </w:p>
        </w:tc>
        <w:tc>
          <w:tcPr>
            <w:tcW w:w="405" w:type="pct"/>
            <w:shd w:val="clear" w:color="auto" w:fill="auto"/>
            <w:vAlign w:val="center"/>
          </w:tcPr>
          <w:p w14:paraId="4B76BE50">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仓库</w:t>
            </w:r>
          </w:p>
        </w:tc>
        <w:tc>
          <w:tcPr>
            <w:tcW w:w="563" w:type="pct"/>
            <w:vAlign w:val="center"/>
          </w:tcPr>
          <w:p w14:paraId="0BCF5CEE">
            <w:pPr>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不涉及</w:t>
            </w:r>
          </w:p>
        </w:tc>
      </w:tr>
      <w:tr w14:paraId="60191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Merge w:val="continue"/>
            <w:vAlign w:val="center"/>
          </w:tcPr>
          <w:p w14:paraId="3EE7DCFD">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48" w:type="pct"/>
            <w:vAlign w:val="center"/>
          </w:tcPr>
          <w:p w14:paraId="07A06543">
            <w:pPr>
              <w:adjustRightInd w:val="0"/>
              <w:snapToGrid w:val="0"/>
              <w:jc w:val="center"/>
              <w:rPr>
                <w:rFonts w:hint="eastAsia" w:ascii="Times New Roman" w:hAnsi="Times New Roman" w:eastAsia="宋体" w:cs="Times New Roman"/>
                <w:kern w:val="2"/>
                <w:sz w:val="21"/>
                <w:szCs w:val="21"/>
                <w:lang w:val="en-US" w:eastAsia="zh-CN" w:bidi="ar-SA"/>
              </w:rPr>
            </w:pPr>
            <w:r>
              <w:rPr>
                <w:color w:val="auto"/>
                <w:sz w:val="21"/>
                <w:szCs w:val="21"/>
              </w:rPr>
              <w:t>五金配件</w:t>
            </w:r>
          </w:p>
        </w:tc>
        <w:tc>
          <w:tcPr>
            <w:tcW w:w="1436" w:type="pct"/>
            <w:shd w:val="clear" w:color="auto" w:fill="auto"/>
            <w:vAlign w:val="center"/>
          </w:tcPr>
          <w:p w14:paraId="0C681A5D">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color w:val="auto"/>
                <w:sz w:val="21"/>
                <w:szCs w:val="21"/>
              </w:rPr>
              <w:t>拉手、沙发脚等金属制件</w:t>
            </w:r>
          </w:p>
        </w:tc>
        <w:tc>
          <w:tcPr>
            <w:tcW w:w="722" w:type="pct"/>
            <w:vAlign w:val="center"/>
          </w:tcPr>
          <w:p w14:paraId="3C680F00">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color w:val="auto"/>
                <w:sz w:val="21"/>
                <w:szCs w:val="21"/>
              </w:rPr>
              <w:t>5t</w:t>
            </w:r>
          </w:p>
        </w:tc>
        <w:tc>
          <w:tcPr>
            <w:tcW w:w="572" w:type="pct"/>
            <w:vAlign w:val="center"/>
          </w:tcPr>
          <w:p w14:paraId="125619DD">
            <w:pPr>
              <w:widowControl/>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0.5</w:t>
            </w:r>
            <w:r>
              <w:rPr>
                <w:rFonts w:hint="eastAsia" w:ascii="Times New Roman" w:hAnsi="Times New Roman" w:eastAsia="宋体" w:cs="Times New Roman"/>
                <w:kern w:val="2"/>
                <w:sz w:val="21"/>
                <w:szCs w:val="21"/>
                <w:lang w:bidi="ar-SA"/>
              </w:rPr>
              <w:t>t</w:t>
            </w:r>
          </w:p>
        </w:tc>
        <w:tc>
          <w:tcPr>
            <w:tcW w:w="502" w:type="pct"/>
            <w:shd w:val="clear" w:color="auto" w:fill="auto"/>
            <w:vAlign w:val="center"/>
          </w:tcPr>
          <w:p w14:paraId="79EDE10A">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箱装</w:t>
            </w:r>
          </w:p>
        </w:tc>
        <w:tc>
          <w:tcPr>
            <w:tcW w:w="405" w:type="pct"/>
            <w:shd w:val="clear" w:color="auto" w:fill="auto"/>
            <w:vAlign w:val="center"/>
          </w:tcPr>
          <w:p w14:paraId="4AC59099">
            <w:pPr>
              <w:adjustRightInd w:val="0"/>
              <w:snapToGrid w:val="0"/>
              <w:jc w:val="center"/>
              <w:rPr>
                <w:rFonts w:hint="default" w:ascii="Times New Roman" w:hAnsi="Times New Roman" w:eastAsia="仿宋_GB2312" w:cs="Times New Roman"/>
                <w:color w:val="auto"/>
                <w:kern w:val="2"/>
                <w:sz w:val="21"/>
                <w:szCs w:val="21"/>
                <w:lang w:val="zh-CN" w:eastAsia="zh-CN" w:bidi="ar-SA"/>
              </w:rPr>
            </w:pPr>
            <w:r>
              <w:rPr>
                <w:rFonts w:hint="eastAsia"/>
                <w:color w:val="auto"/>
                <w:sz w:val="21"/>
                <w:szCs w:val="21"/>
              </w:rPr>
              <w:t>仓库</w:t>
            </w:r>
          </w:p>
        </w:tc>
        <w:tc>
          <w:tcPr>
            <w:tcW w:w="563" w:type="pct"/>
            <w:vAlign w:val="center"/>
          </w:tcPr>
          <w:p w14:paraId="11D25F40">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kern w:val="2"/>
                <w:sz w:val="21"/>
                <w:szCs w:val="21"/>
                <w:lang w:val="en-US" w:eastAsia="zh-CN" w:bidi="ar-SA"/>
              </w:rPr>
              <w:t>不涉及</w:t>
            </w:r>
          </w:p>
        </w:tc>
      </w:tr>
      <w:tr w14:paraId="52754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8" w:hRule="atLeast"/>
          <w:tblHeader/>
          <w:jc w:val="center"/>
        </w:trPr>
        <w:tc>
          <w:tcPr>
            <w:tcW w:w="249" w:type="pct"/>
            <w:vMerge w:val="continue"/>
            <w:vAlign w:val="center"/>
          </w:tcPr>
          <w:p w14:paraId="19B3BEC6">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48" w:type="pct"/>
            <w:vAlign w:val="center"/>
          </w:tcPr>
          <w:p w14:paraId="70FA1175">
            <w:pPr>
              <w:adjustRightInd w:val="0"/>
              <w:snapToGrid w:val="0"/>
              <w:jc w:val="center"/>
              <w:rPr>
                <w:rFonts w:hint="eastAsia" w:ascii="Times New Roman" w:hAnsi="Times New Roman" w:eastAsia="宋体" w:cs="Times New Roman"/>
                <w:kern w:val="2"/>
                <w:sz w:val="21"/>
                <w:szCs w:val="21"/>
                <w:lang w:val="en-US" w:eastAsia="zh-CN"/>
              </w:rPr>
            </w:pPr>
            <w:r>
              <w:rPr>
                <w:rFonts w:hint="eastAsia"/>
                <w:color w:val="auto"/>
                <w:sz w:val="21"/>
                <w:szCs w:val="21"/>
              </w:rPr>
              <w:t>漆雾凝聚剂</w:t>
            </w:r>
          </w:p>
        </w:tc>
        <w:tc>
          <w:tcPr>
            <w:tcW w:w="1436" w:type="pct"/>
            <w:shd w:val="clear" w:color="auto" w:fill="auto"/>
            <w:vAlign w:val="center"/>
          </w:tcPr>
          <w:p w14:paraId="1216EFE1">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w:t>
            </w:r>
          </w:p>
        </w:tc>
        <w:tc>
          <w:tcPr>
            <w:tcW w:w="722" w:type="pct"/>
            <w:vAlign w:val="center"/>
          </w:tcPr>
          <w:p w14:paraId="1D9E296D">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color w:val="auto"/>
                <w:sz w:val="21"/>
                <w:szCs w:val="21"/>
              </w:rPr>
              <w:t xml:space="preserve">0.2t </w:t>
            </w:r>
          </w:p>
        </w:tc>
        <w:tc>
          <w:tcPr>
            <w:tcW w:w="572" w:type="pct"/>
            <w:vAlign w:val="center"/>
          </w:tcPr>
          <w:p w14:paraId="284CD10A">
            <w:pPr>
              <w:widowControl/>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0.02</w:t>
            </w:r>
            <w:r>
              <w:rPr>
                <w:rFonts w:hint="eastAsia" w:ascii="Times New Roman" w:hAnsi="Times New Roman" w:eastAsia="宋体" w:cs="Times New Roman"/>
                <w:kern w:val="2"/>
                <w:sz w:val="21"/>
                <w:szCs w:val="21"/>
                <w:lang w:bidi="ar-SA"/>
              </w:rPr>
              <w:t>t</w:t>
            </w:r>
          </w:p>
        </w:tc>
        <w:tc>
          <w:tcPr>
            <w:tcW w:w="502" w:type="pct"/>
            <w:shd w:val="clear" w:color="auto" w:fill="auto"/>
            <w:vAlign w:val="center"/>
          </w:tcPr>
          <w:p w14:paraId="3108A56B">
            <w:pPr>
              <w:adjustRightInd w:val="0"/>
              <w:snapToGrid w:val="0"/>
              <w:jc w:val="center"/>
              <w:rPr>
                <w:rFonts w:hint="eastAsia" w:ascii="Times New Roman" w:hAnsi="Times New Roman" w:eastAsia="仿宋_GB2312" w:cs="Times New Roman"/>
                <w:color w:val="auto"/>
                <w:kern w:val="2"/>
                <w:sz w:val="21"/>
                <w:szCs w:val="21"/>
                <w:lang w:val="en-US" w:eastAsia="zh-CN" w:bidi="ar-SA"/>
              </w:rPr>
            </w:pPr>
            <w:r>
              <w:rPr>
                <w:rFonts w:hint="eastAsia"/>
                <w:color w:val="auto"/>
                <w:sz w:val="21"/>
                <w:szCs w:val="21"/>
              </w:rPr>
              <w:t>桶装</w:t>
            </w:r>
          </w:p>
        </w:tc>
        <w:tc>
          <w:tcPr>
            <w:tcW w:w="405" w:type="pct"/>
            <w:shd w:val="clear" w:color="auto" w:fill="auto"/>
            <w:vAlign w:val="center"/>
          </w:tcPr>
          <w:p w14:paraId="6B0B000F">
            <w:pPr>
              <w:adjustRightInd w:val="0"/>
              <w:snapToGrid w:val="0"/>
              <w:jc w:val="center"/>
              <w:rPr>
                <w:rFonts w:hint="default" w:ascii="Times New Roman" w:hAnsi="Times New Roman" w:eastAsia="仿宋_GB2312" w:cs="Times New Roman"/>
                <w:color w:val="auto"/>
                <w:kern w:val="2"/>
                <w:sz w:val="21"/>
                <w:szCs w:val="21"/>
                <w:lang w:val="en-US" w:eastAsia="zh-CN" w:bidi="ar-SA"/>
              </w:rPr>
            </w:pPr>
            <w:r>
              <w:rPr>
                <w:rFonts w:hint="eastAsia"/>
                <w:color w:val="auto"/>
                <w:sz w:val="21"/>
                <w:szCs w:val="21"/>
              </w:rPr>
              <w:t>仓库</w:t>
            </w:r>
          </w:p>
        </w:tc>
        <w:tc>
          <w:tcPr>
            <w:tcW w:w="563" w:type="pct"/>
            <w:vAlign w:val="center"/>
          </w:tcPr>
          <w:p w14:paraId="212FCC6C">
            <w:pPr>
              <w:jc w:val="center"/>
              <w:rPr>
                <w:rFonts w:hint="eastAsia" w:eastAsia="宋体" w:cs="Times New Roman"/>
                <w:b w:val="0"/>
                <w:bCs/>
                <w:color w:val="auto"/>
                <w:sz w:val="21"/>
                <w:szCs w:val="21"/>
                <w:highlight w:val="none"/>
                <w:lang w:val="en-US" w:eastAsia="zh-CN"/>
              </w:rPr>
            </w:pPr>
            <w:r>
              <w:rPr>
                <w:rFonts w:hint="eastAsia" w:ascii="Times New Roman" w:hAnsi="Times New Roman" w:eastAsia="宋体" w:cs="Times New Roman"/>
                <w:kern w:val="2"/>
                <w:sz w:val="21"/>
                <w:szCs w:val="21"/>
                <w:lang w:val="en-US" w:eastAsia="zh-CN" w:bidi="ar-SA"/>
              </w:rPr>
              <w:t>涉气、涉水</w:t>
            </w:r>
          </w:p>
        </w:tc>
      </w:tr>
      <w:tr w14:paraId="71BF3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Align w:val="center"/>
          </w:tcPr>
          <w:p w14:paraId="795A140B">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废气</w:t>
            </w:r>
          </w:p>
        </w:tc>
        <w:tc>
          <w:tcPr>
            <w:tcW w:w="548" w:type="pct"/>
            <w:vAlign w:val="center"/>
          </w:tcPr>
          <w:p w14:paraId="33AC275F">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有组织废气</w:t>
            </w:r>
          </w:p>
        </w:tc>
        <w:tc>
          <w:tcPr>
            <w:tcW w:w="1436" w:type="pct"/>
            <w:vAlign w:val="center"/>
          </w:tcPr>
          <w:p w14:paraId="1258EFFA">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颗粒物、</w:t>
            </w:r>
            <w:r>
              <w:rPr>
                <w:rFonts w:hint="eastAsia" w:eastAsia="宋体" w:cs="Times New Roman"/>
                <w:b w:val="0"/>
                <w:bCs/>
                <w:color w:val="auto"/>
                <w:kern w:val="2"/>
                <w:sz w:val="21"/>
                <w:szCs w:val="21"/>
                <w:highlight w:val="none"/>
                <w:lang w:val="en-US" w:eastAsia="zh-CN" w:bidi="ar-SA"/>
              </w:rPr>
              <w:t>挥发性有机物</w:t>
            </w:r>
          </w:p>
        </w:tc>
        <w:tc>
          <w:tcPr>
            <w:tcW w:w="722" w:type="pct"/>
            <w:vAlign w:val="center"/>
          </w:tcPr>
          <w:p w14:paraId="078D398F">
            <w:pPr>
              <w:pStyle w:val="143"/>
              <w:spacing w:before="0"/>
              <w:ind w:left="0" w:right="0"/>
              <w:rPr>
                <w:rFonts w:hint="default" w:ascii="Times New Roman"/>
                <w:sz w:val="21"/>
                <w:lang w:val="en-US" w:eastAsia="zh-CN"/>
              </w:rPr>
            </w:pPr>
            <w:r>
              <w:rPr>
                <w:rFonts w:hint="default" w:ascii="Times New Roman"/>
                <w:sz w:val="21"/>
                <w:lang w:val="en-US" w:eastAsia="zh-CN"/>
              </w:rPr>
              <w:t>/</w:t>
            </w:r>
          </w:p>
        </w:tc>
        <w:tc>
          <w:tcPr>
            <w:tcW w:w="572" w:type="pct"/>
            <w:vAlign w:val="center"/>
          </w:tcPr>
          <w:p w14:paraId="26AF8348">
            <w:pPr>
              <w:pStyle w:val="143"/>
              <w:spacing w:before="0"/>
              <w:ind w:left="0" w:right="0"/>
              <w:rPr>
                <w:rFonts w:hint="default" w:ascii="Times New Roman"/>
                <w:sz w:val="21"/>
                <w:lang w:val="zh-CN" w:eastAsia="zh-CN"/>
              </w:rPr>
            </w:pPr>
            <w:r>
              <w:rPr>
                <w:rFonts w:hint="default" w:ascii="Times New Roman"/>
                <w:sz w:val="21"/>
                <w:lang w:val="en-US" w:eastAsia="zh-CN"/>
              </w:rPr>
              <w:t>/</w:t>
            </w:r>
          </w:p>
        </w:tc>
        <w:tc>
          <w:tcPr>
            <w:tcW w:w="502" w:type="pct"/>
            <w:vAlign w:val="center"/>
          </w:tcPr>
          <w:p w14:paraId="635C873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405" w:type="pct"/>
            <w:vAlign w:val="center"/>
          </w:tcPr>
          <w:p w14:paraId="53AB7CF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563" w:type="pct"/>
            <w:vAlign w:val="center"/>
          </w:tcPr>
          <w:p w14:paraId="6E7D0DAC">
            <w:pPr>
              <w:jc w:val="center"/>
              <w:rPr>
                <w:rFonts w:hint="default" w:ascii="Times New Roman" w:hAnsi="Times New Roman" w:eastAsia="宋体" w:cs="Times New Roman"/>
                <w:b w:val="0"/>
                <w:bCs/>
                <w:color w:val="auto"/>
                <w:sz w:val="21"/>
                <w:szCs w:val="21"/>
                <w:highlight w:val="none"/>
              </w:rPr>
            </w:pPr>
            <w:r>
              <w:rPr>
                <w:rFonts w:hint="eastAsia" w:ascii="Times New Roman" w:hAnsi="Times New Roman" w:eastAsia="宋体" w:cs="Times New Roman"/>
                <w:kern w:val="2"/>
                <w:sz w:val="21"/>
                <w:szCs w:val="21"/>
                <w:lang w:val="en-US" w:eastAsia="zh-CN" w:bidi="ar-SA"/>
              </w:rPr>
              <w:t>涉气、涉水</w:t>
            </w:r>
          </w:p>
        </w:tc>
      </w:tr>
      <w:tr w14:paraId="375A8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Align w:val="center"/>
          </w:tcPr>
          <w:p w14:paraId="688D3C4F">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产品</w:t>
            </w:r>
          </w:p>
        </w:tc>
        <w:tc>
          <w:tcPr>
            <w:tcW w:w="548" w:type="pct"/>
            <w:vAlign w:val="center"/>
          </w:tcPr>
          <w:p w14:paraId="17194380">
            <w:pPr>
              <w:jc w:val="center"/>
              <w:rPr>
                <w:rFonts w:hint="default" w:ascii="Times New Roman" w:hAnsi="Times New Roman" w:eastAsia="宋体" w:cs="Times New Roman"/>
                <w:kern w:val="2"/>
                <w:sz w:val="24"/>
                <w:szCs w:val="24"/>
                <w:lang w:val="en-US" w:eastAsia="zh-CN" w:bidi="ar-SA"/>
              </w:rPr>
            </w:pPr>
            <w:r>
              <w:rPr>
                <w:rFonts w:hint="eastAsia"/>
                <w:color w:val="auto"/>
                <w:sz w:val="21"/>
                <w:szCs w:val="21"/>
              </w:rPr>
              <w:t>柜子</w:t>
            </w:r>
            <w:r>
              <w:rPr>
                <w:rFonts w:hint="eastAsia"/>
                <w:color w:val="auto"/>
                <w:sz w:val="21"/>
                <w:szCs w:val="21"/>
                <w:lang w:eastAsia="zh-CN"/>
              </w:rPr>
              <w:t>、</w:t>
            </w:r>
            <w:r>
              <w:rPr>
                <w:rFonts w:hint="eastAsia"/>
                <w:color w:val="auto"/>
                <w:sz w:val="21"/>
                <w:szCs w:val="21"/>
              </w:rPr>
              <w:t>床</w:t>
            </w:r>
            <w:r>
              <w:rPr>
                <w:rFonts w:hint="eastAsia"/>
                <w:color w:val="auto"/>
                <w:sz w:val="21"/>
                <w:szCs w:val="21"/>
                <w:lang w:eastAsia="zh-CN"/>
              </w:rPr>
              <w:t>、</w:t>
            </w:r>
            <w:r>
              <w:rPr>
                <w:rFonts w:hint="eastAsia"/>
                <w:color w:val="auto"/>
                <w:sz w:val="21"/>
                <w:szCs w:val="21"/>
              </w:rPr>
              <w:t>椅子</w:t>
            </w:r>
            <w:r>
              <w:rPr>
                <w:rFonts w:hint="eastAsia"/>
                <w:color w:val="auto"/>
                <w:sz w:val="21"/>
                <w:szCs w:val="21"/>
                <w:lang w:eastAsia="zh-CN"/>
              </w:rPr>
              <w:t>、</w:t>
            </w:r>
            <w:r>
              <w:rPr>
                <w:rFonts w:hint="eastAsia"/>
                <w:color w:val="auto"/>
                <w:sz w:val="21"/>
                <w:szCs w:val="21"/>
              </w:rPr>
              <w:t>其他家具</w:t>
            </w:r>
          </w:p>
        </w:tc>
        <w:tc>
          <w:tcPr>
            <w:tcW w:w="1436" w:type="pct"/>
            <w:vAlign w:val="center"/>
          </w:tcPr>
          <w:p w14:paraId="78A48041">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lang w:val="en-US" w:eastAsia="zh-CN"/>
              </w:rPr>
              <w:t>/</w:t>
            </w:r>
          </w:p>
        </w:tc>
        <w:tc>
          <w:tcPr>
            <w:tcW w:w="722" w:type="pct"/>
            <w:vAlign w:val="center"/>
          </w:tcPr>
          <w:p w14:paraId="71EBF627">
            <w:pPr>
              <w:pStyle w:val="143"/>
              <w:spacing w:before="0"/>
              <w:ind w:left="0" w:right="0"/>
              <w:rPr>
                <w:rFonts w:hint="default" w:ascii="Times New Roman"/>
                <w:sz w:val="21"/>
                <w:lang w:val="en-US" w:eastAsia="zh-CN"/>
              </w:rPr>
            </w:pPr>
            <w:r>
              <w:rPr>
                <w:rFonts w:hint="eastAsia" w:ascii="Times New Roman"/>
                <w:sz w:val="21"/>
                <w:lang w:val="en-US" w:eastAsia="zh-CN"/>
              </w:rPr>
              <w:t>5000件</w:t>
            </w:r>
          </w:p>
        </w:tc>
        <w:tc>
          <w:tcPr>
            <w:tcW w:w="572" w:type="pct"/>
            <w:vAlign w:val="center"/>
          </w:tcPr>
          <w:p w14:paraId="6E1F48B2">
            <w:pPr>
              <w:pStyle w:val="143"/>
              <w:spacing w:before="0"/>
              <w:ind w:left="0" w:right="0"/>
              <w:rPr>
                <w:rFonts w:hint="default" w:ascii="Times New Roman"/>
                <w:sz w:val="21"/>
                <w:lang w:val="en-US" w:eastAsia="zh-CN"/>
              </w:rPr>
            </w:pPr>
            <w:r>
              <w:rPr>
                <w:rFonts w:hint="eastAsia" w:ascii="Times New Roman"/>
                <w:sz w:val="21"/>
                <w:lang w:val="en-US" w:eastAsia="zh-CN"/>
              </w:rPr>
              <w:t>5000件</w:t>
            </w:r>
          </w:p>
        </w:tc>
        <w:tc>
          <w:tcPr>
            <w:tcW w:w="502" w:type="pct"/>
            <w:vAlign w:val="center"/>
          </w:tcPr>
          <w:p w14:paraId="62F48BCA">
            <w:pPr>
              <w:pStyle w:val="143"/>
              <w:spacing w:before="0"/>
              <w:ind w:left="0" w:leftChars="0"/>
              <w:jc w:val="center"/>
              <w:rPr>
                <w:rFonts w:hint="default"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lang w:val="en-US" w:eastAsia="zh-CN"/>
              </w:rPr>
              <w:t>散装</w:t>
            </w:r>
          </w:p>
        </w:tc>
        <w:tc>
          <w:tcPr>
            <w:tcW w:w="405" w:type="pct"/>
            <w:vAlign w:val="center"/>
          </w:tcPr>
          <w:p w14:paraId="4F451C0B">
            <w:pPr>
              <w:pStyle w:val="143"/>
              <w:spacing w:before="0"/>
              <w:ind w:left="0" w:leftChars="0" w:right="0" w:rightChars="0"/>
              <w:rPr>
                <w:rFonts w:hint="default"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lang w:val="en-US" w:eastAsia="zh-CN"/>
              </w:rPr>
              <w:t>成品仓库</w:t>
            </w:r>
          </w:p>
        </w:tc>
        <w:tc>
          <w:tcPr>
            <w:tcW w:w="563" w:type="pct"/>
            <w:vAlign w:val="center"/>
          </w:tcPr>
          <w:p w14:paraId="27ED85B1">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7505F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Align w:val="center"/>
          </w:tcPr>
          <w:p w14:paraId="168F1845">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废气</w:t>
            </w:r>
          </w:p>
        </w:tc>
        <w:tc>
          <w:tcPr>
            <w:tcW w:w="548" w:type="pct"/>
            <w:vAlign w:val="center"/>
          </w:tcPr>
          <w:p w14:paraId="2149D272">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有组织废气</w:t>
            </w:r>
          </w:p>
        </w:tc>
        <w:tc>
          <w:tcPr>
            <w:tcW w:w="1436" w:type="pct"/>
            <w:vAlign w:val="center"/>
          </w:tcPr>
          <w:p w14:paraId="0394DAFD">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颗粒物、挥发性有机物</w:t>
            </w:r>
          </w:p>
        </w:tc>
        <w:tc>
          <w:tcPr>
            <w:tcW w:w="722" w:type="pct"/>
            <w:vAlign w:val="center"/>
          </w:tcPr>
          <w:p w14:paraId="334F4499">
            <w:pPr>
              <w:pStyle w:val="143"/>
              <w:spacing w:before="0"/>
              <w:ind w:left="0" w:right="0"/>
              <w:rPr>
                <w:rFonts w:hint="default" w:ascii="Times New Roman"/>
                <w:sz w:val="21"/>
                <w:lang w:val="en-US" w:eastAsia="zh-CN"/>
              </w:rPr>
            </w:pPr>
            <w:r>
              <w:rPr>
                <w:rFonts w:hint="default" w:ascii="Times New Roman"/>
                <w:sz w:val="21"/>
                <w:lang w:val="en-US" w:eastAsia="zh-CN"/>
              </w:rPr>
              <w:t>/</w:t>
            </w:r>
          </w:p>
        </w:tc>
        <w:tc>
          <w:tcPr>
            <w:tcW w:w="572" w:type="pct"/>
            <w:vAlign w:val="center"/>
          </w:tcPr>
          <w:p w14:paraId="2DB52E9E">
            <w:pPr>
              <w:pStyle w:val="143"/>
              <w:spacing w:before="0"/>
              <w:ind w:left="0" w:right="0"/>
              <w:rPr>
                <w:rFonts w:hint="default" w:ascii="Times New Roman"/>
                <w:sz w:val="21"/>
                <w:lang w:val="en-US" w:eastAsia="zh-CN"/>
              </w:rPr>
            </w:pPr>
            <w:r>
              <w:rPr>
                <w:rFonts w:hint="default" w:ascii="Times New Roman"/>
                <w:sz w:val="21"/>
                <w:lang w:val="en-US" w:eastAsia="zh-CN"/>
              </w:rPr>
              <w:t>/</w:t>
            </w:r>
          </w:p>
        </w:tc>
        <w:tc>
          <w:tcPr>
            <w:tcW w:w="502" w:type="pct"/>
            <w:vAlign w:val="center"/>
          </w:tcPr>
          <w:p w14:paraId="462054A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405" w:type="pct"/>
            <w:vAlign w:val="center"/>
          </w:tcPr>
          <w:p w14:paraId="0C80B1EA">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563" w:type="pct"/>
            <w:vAlign w:val="center"/>
          </w:tcPr>
          <w:p w14:paraId="465096DB">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w:t>
            </w:r>
          </w:p>
        </w:tc>
      </w:tr>
      <w:tr w14:paraId="1A569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Align w:val="center"/>
          </w:tcPr>
          <w:p w14:paraId="0CE74202">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废水</w:t>
            </w:r>
          </w:p>
        </w:tc>
        <w:tc>
          <w:tcPr>
            <w:tcW w:w="548" w:type="pct"/>
            <w:vAlign w:val="center"/>
          </w:tcPr>
          <w:p w14:paraId="051A5F42">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水帘</w:t>
            </w:r>
            <w:r>
              <w:rPr>
                <w:rFonts w:hint="default" w:ascii="Times New Roman" w:hAnsi="Times New Roman" w:eastAsia="宋体" w:cs="Times New Roman"/>
                <w:kern w:val="2"/>
                <w:sz w:val="21"/>
                <w:szCs w:val="21"/>
                <w:lang w:val="en-US" w:eastAsia="zh-CN" w:bidi="ar-SA"/>
              </w:rPr>
              <w:t>废水</w:t>
            </w:r>
          </w:p>
        </w:tc>
        <w:tc>
          <w:tcPr>
            <w:tcW w:w="1436" w:type="pct"/>
            <w:vAlign w:val="center"/>
          </w:tcPr>
          <w:p w14:paraId="70B1963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pH、COD、SS、NH3-N、TP、TN</w:t>
            </w:r>
          </w:p>
        </w:tc>
        <w:tc>
          <w:tcPr>
            <w:tcW w:w="722" w:type="pct"/>
            <w:vAlign w:val="center"/>
          </w:tcPr>
          <w:p w14:paraId="4BC33CE6">
            <w:pPr>
              <w:pStyle w:val="143"/>
              <w:spacing w:before="0"/>
              <w:ind w:left="0" w:right="0"/>
              <w:rPr>
                <w:rFonts w:hint="default" w:ascii="Times New Roman"/>
                <w:sz w:val="21"/>
                <w:lang w:val="en-US" w:eastAsia="zh-CN"/>
              </w:rPr>
            </w:pPr>
            <w:r>
              <w:rPr>
                <w:rFonts w:hint="default" w:ascii="Times New Roman"/>
                <w:sz w:val="21"/>
                <w:lang w:val="en-US" w:eastAsia="zh-CN"/>
              </w:rPr>
              <w:t>/</w:t>
            </w:r>
          </w:p>
        </w:tc>
        <w:tc>
          <w:tcPr>
            <w:tcW w:w="572" w:type="pct"/>
            <w:vAlign w:val="center"/>
          </w:tcPr>
          <w:p w14:paraId="323A5B15">
            <w:pPr>
              <w:pStyle w:val="143"/>
              <w:spacing w:before="0"/>
              <w:ind w:left="0" w:right="0"/>
              <w:rPr>
                <w:rFonts w:hint="default" w:ascii="Times New Roman"/>
                <w:sz w:val="21"/>
                <w:lang w:val="en-US" w:eastAsia="zh-CN"/>
              </w:rPr>
            </w:pPr>
            <w:r>
              <w:rPr>
                <w:rFonts w:hint="default" w:ascii="Times New Roman"/>
                <w:sz w:val="21"/>
                <w:lang w:val="en-US" w:eastAsia="zh-CN"/>
              </w:rPr>
              <w:t>4t</w:t>
            </w:r>
          </w:p>
        </w:tc>
        <w:tc>
          <w:tcPr>
            <w:tcW w:w="502" w:type="pct"/>
            <w:vAlign w:val="center"/>
          </w:tcPr>
          <w:p w14:paraId="18701612">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405" w:type="pct"/>
            <w:vAlign w:val="center"/>
          </w:tcPr>
          <w:p w14:paraId="75629575">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563" w:type="pct"/>
            <w:vAlign w:val="center"/>
          </w:tcPr>
          <w:p w14:paraId="1BF77302">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涉水</w:t>
            </w:r>
          </w:p>
        </w:tc>
      </w:tr>
      <w:tr w14:paraId="6020CC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Merge w:val="restart"/>
            <w:vAlign w:val="center"/>
          </w:tcPr>
          <w:p w14:paraId="32B09F38">
            <w:pPr>
              <w:widowControl w:val="0"/>
              <w:spacing w:line="240" w:lineRule="auto"/>
              <w:ind w:left="0" w:leftChars="0" w:firstLine="0" w:firstLineChars="0"/>
              <w:jc w:val="center"/>
              <w:rPr>
                <w:rFonts w:hint="default"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危废</w:t>
            </w:r>
          </w:p>
        </w:tc>
        <w:tc>
          <w:tcPr>
            <w:tcW w:w="548" w:type="pct"/>
            <w:vAlign w:val="center"/>
          </w:tcPr>
          <w:p w14:paraId="085484F8">
            <w:pPr>
              <w:jc w:val="center"/>
              <w:rPr>
                <w:rFonts w:hint="eastAsia" w:ascii="Times New Roman" w:hAnsi="Times New Roman" w:eastAsia="宋体" w:cs="Times New Roman"/>
                <w:kern w:val="2"/>
                <w:sz w:val="21"/>
                <w:szCs w:val="21"/>
                <w:lang w:val="en-US" w:eastAsia="zh-CN" w:bidi="ar-SA"/>
              </w:rPr>
            </w:pPr>
            <w:r>
              <w:rPr>
                <w:rFonts w:hint="default" w:ascii="宋体" w:hAnsi="宋体" w:eastAsia="宋体" w:cs="Times New Roman"/>
                <w:color w:val="000000"/>
                <w:kern w:val="0"/>
                <w:sz w:val="21"/>
                <w:szCs w:val="21"/>
                <w:lang w:val="en-US" w:eastAsia="zh-CN" w:bidi="ar-SA"/>
              </w:rPr>
              <w:t>漆渣</w:t>
            </w:r>
          </w:p>
        </w:tc>
        <w:tc>
          <w:tcPr>
            <w:tcW w:w="1436" w:type="pct"/>
            <w:vAlign w:val="center"/>
          </w:tcPr>
          <w:p w14:paraId="4FE18C9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kern w:val="0"/>
                <w:sz w:val="21"/>
                <w:szCs w:val="21"/>
                <w:lang w:val="en-US" w:eastAsia="zh-CN" w:bidi="zh-CN"/>
              </w:rPr>
              <w:t>有机物</w:t>
            </w:r>
          </w:p>
        </w:tc>
        <w:tc>
          <w:tcPr>
            <w:tcW w:w="722" w:type="pct"/>
            <w:vAlign w:val="center"/>
          </w:tcPr>
          <w:p w14:paraId="05CC204E">
            <w:pPr>
              <w:pStyle w:val="143"/>
              <w:spacing w:before="0"/>
              <w:ind w:left="0" w:leftChars="0" w:right="0" w:rightChars="0"/>
              <w:rPr>
                <w:rFonts w:hint="default" w:ascii="Times New Roman" w:hAnsi="仿宋" w:eastAsia="仿宋" w:cs="仿宋"/>
                <w:kern w:val="0"/>
                <w:sz w:val="21"/>
                <w:szCs w:val="22"/>
                <w:lang w:val="en-US" w:eastAsia="zh-CN" w:bidi="zh-CN"/>
              </w:rPr>
            </w:pPr>
            <w:r>
              <w:rPr>
                <w:rFonts w:hint="eastAsia" w:ascii="Times New Roman"/>
                <w:sz w:val="21"/>
                <w:lang w:val="en-US" w:eastAsia="zh-CN"/>
              </w:rPr>
              <w:t>6</w:t>
            </w:r>
          </w:p>
        </w:tc>
        <w:tc>
          <w:tcPr>
            <w:tcW w:w="572" w:type="pct"/>
            <w:vAlign w:val="center"/>
          </w:tcPr>
          <w:p w14:paraId="1DF291FF">
            <w:pPr>
              <w:pStyle w:val="143"/>
              <w:spacing w:before="0"/>
              <w:ind w:left="0" w:leftChars="0" w:right="0" w:rightChars="0"/>
              <w:rPr>
                <w:rFonts w:hint="default" w:ascii="Times New Roman" w:hAnsi="仿宋" w:eastAsia="仿宋" w:cs="仿宋"/>
                <w:kern w:val="0"/>
                <w:sz w:val="21"/>
                <w:szCs w:val="22"/>
                <w:lang w:val="en-US" w:eastAsia="zh-CN" w:bidi="zh-CN"/>
              </w:rPr>
            </w:pPr>
            <w:r>
              <w:rPr>
                <w:rFonts w:hint="eastAsia" w:ascii="Times New Roman"/>
                <w:sz w:val="21"/>
                <w:lang w:val="en-US" w:eastAsia="zh-CN"/>
              </w:rPr>
              <w:t>6</w:t>
            </w:r>
          </w:p>
        </w:tc>
        <w:tc>
          <w:tcPr>
            <w:tcW w:w="502" w:type="pct"/>
            <w:vAlign w:val="center"/>
          </w:tcPr>
          <w:p w14:paraId="08E33445">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z w:val="21"/>
                <w:szCs w:val="21"/>
                <w:lang w:val="en-US" w:eastAsia="zh-CN"/>
              </w:rPr>
              <w:t>袋装</w:t>
            </w:r>
          </w:p>
        </w:tc>
        <w:tc>
          <w:tcPr>
            <w:tcW w:w="405" w:type="pct"/>
            <w:vAlign w:val="center"/>
          </w:tcPr>
          <w:p w14:paraId="11EC569A">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危废仓库</w:t>
            </w:r>
          </w:p>
        </w:tc>
        <w:tc>
          <w:tcPr>
            <w:tcW w:w="563" w:type="pct"/>
            <w:vAlign w:val="center"/>
          </w:tcPr>
          <w:p w14:paraId="4CE7B554">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r w14:paraId="4E8E5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Merge w:val="continue"/>
            <w:vAlign w:val="center"/>
          </w:tcPr>
          <w:p w14:paraId="6717E574">
            <w:pPr>
              <w:widowControl w:val="0"/>
              <w:spacing w:line="240" w:lineRule="auto"/>
              <w:ind w:left="0" w:leftChars="0" w:firstLine="0" w:firstLineChars="0"/>
              <w:jc w:val="center"/>
              <w:rPr>
                <w:rFonts w:hint="eastAsia" w:eastAsia="宋体" w:cs="Times New Roman"/>
                <w:b w:val="0"/>
                <w:bCs/>
                <w:color w:val="auto"/>
                <w:kern w:val="2"/>
                <w:sz w:val="21"/>
                <w:szCs w:val="21"/>
                <w:highlight w:val="none"/>
                <w:lang w:val="en-US" w:eastAsia="zh-CN" w:bidi="ar-SA"/>
              </w:rPr>
            </w:pPr>
          </w:p>
        </w:tc>
        <w:tc>
          <w:tcPr>
            <w:tcW w:w="548" w:type="pct"/>
            <w:vAlign w:val="center"/>
          </w:tcPr>
          <w:p w14:paraId="7D84FA7F">
            <w:pPr>
              <w:jc w:val="center"/>
              <w:rPr>
                <w:rFonts w:hint="default" w:ascii="宋体" w:hAnsi="宋体" w:eastAsia="宋体" w:cs="Times New Roman"/>
                <w:color w:val="000000"/>
                <w:kern w:val="0"/>
                <w:sz w:val="21"/>
                <w:szCs w:val="21"/>
                <w:lang w:val="en-US" w:eastAsia="zh-CN" w:bidi="ar-SA"/>
              </w:rPr>
            </w:pPr>
            <w:r>
              <w:rPr>
                <w:rFonts w:hint="eastAsia" w:ascii="宋体" w:eastAsia="宋体" w:cs="Times New Roman"/>
                <w:color w:val="000000"/>
                <w:kern w:val="0"/>
                <w:sz w:val="21"/>
                <w:szCs w:val="21"/>
                <w:lang w:val="en-US" w:eastAsia="zh-CN" w:bidi="ar-SA"/>
              </w:rPr>
              <w:t>废包装桶</w:t>
            </w:r>
          </w:p>
        </w:tc>
        <w:tc>
          <w:tcPr>
            <w:tcW w:w="1436" w:type="pct"/>
            <w:vAlign w:val="center"/>
          </w:tcPr>
          <w:p w14:paraId="7FCA250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kern w:val="0"/>
                <w:sz w:val="21"/>
                <w:szCs w:val="21"/>
                <w:lang w:val="en-US" w:eastAsia="zh-CN" w:bidi="zh-CN"/>
              </w:rPr>
              <w:t>有机物</w:t>
            </w:r>
          </w:p>
        </w:tc>
        <w:tc>
          <w:tcPr>
            <w:tcW w:w="722" w:type="pct"/>
            <w:vAlign w:val="center"/>
          </w:tcPr>
          <w:p w14:paraId="1B2D7EE3">
            <w:pPr>
              <w:pStyle w:val="143"/>
              <w:spacing w:before="0"/>
              <w:ind w:left="0" w:leftChars="0" w:right="0" w:rightChars="0"/>
              <w:rPr>
                <w:rFonts w:hint="default" w:ascii="Times New Roman" w:hAnsi="仿宋" w:eastAsia="仿宋" w:cs="仿宋"/>
                <w:kern w:val="0"/>
                <w:sz w:val="21"/>
                <w:szCs w:val="22"/>
                <w:lang w:val="en-US" w:eastAsia="zh-CN" w:bidi="zh-CN"/>
              </w:rPr>
            </w:pPr>
            <w:r>
              <w:rPr>
                <w:rFonts w:hint="eastAsia" w:ascii="Times New Roman"/>
                <w:sz w:val="21"/>
                <w:lang w:val="en-US" w:eastAsia="zh-CN"/>
              </w:rPr>
              <w:t>2</w:t>
            </w:r>
          </w:p>
        </w:tc>
        <w:tc>
          <w:tcPr>
            <w:tcW w:w="572" w:type="pct"/>
            <w:vAlign w:val="center"/>
          </w:tcPr>
          <w:p w14:paraId="7B5820D4">
            <w:pPr>
              <w:pStyle w:val="143"/>
              <w:spacing w:before="0"/>
              <w:ind w:left="0" w:leftChars="0" w:right="0" w:rightChars="0"/>
              <w:rPr>
                <w:rFonts w:hint="default" w:ascii="Times New Roman" w:hAnsi="仿宋" w:eastAsia="仿宋" w:cs="仿宋"/>
                <w:kern w:val="0"/>
                <w:sz w:val="21"/>
                <w:szCs w:val="22"/>
                <w:lang w:val="en-US" w:eastAsia="zh-CN" w:bidi="zh-CN"/>
              </w:rPr>
            </w:pPr>
            <w:r>
              <w:rPr>
                <w:rFonts w:hint="eastAsia" w:ascii="Times New Roman"/>
                <w:sz w:val="21"/>
                <w:lang w:val="en-US" w:eastAsia="zh-CN"/>
              </w:rPr>
              <w:t>2</w:t>
            </w:r>
          </w:p>
        </w:tc>
        <w:tc>
          <w:tcPr>
            <w:tcW w:w="502" w:type="pct"/>
            <w:vAlign w:val="center"/>
          </w:tcPr>
          <w:p w14:paraId="34F39D44">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sz w:val="21"/>
                <w:szCs w:val="21"/>
                <w:lang w:val="en-US" w:eastAsia="zh-CN"/>
              </w:rPr>
              <w:t>袋</w:t>
            </w:r>
            <w:r>
              <w:rPr>
                <w:rFonts w:hint="default" w:ascii="Times New Roman" w:hAnsi="Times New Roman" w:eastAsia="宋体" w:cs="Times New Roman"/>
                <w:sz w:val="21"/>
                <w:szCs w:val="21"/>
                <w:lang w:val="en-US" w:eastAsia="zh-CN"/>
              </w:rPr>
              <w:t>装</w:t>
            </w:r>
          </w:p>
        </w:tc>
        <w:tc>
          <w:tcPr>
            <w:tcW w:w="405" w:type="pct"/>
            <w:vAlign w:val="center"/>
          </w:tcPr>
          <w:p w14:paraId="4346BBD5">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危废仓库</w:t>
            </w:r>
          </w:p>
        </w:tc>
        <w:tc>
          <w:tcPr>
            <w:tcW w:w="563" w:type="pct"/>
            <w:vAlign w:val="center"/>
          </w:tcPr>
          <w:p w14:paraId="464EB6D9">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r w14:paraId="44465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Merge w:val="continue"/>
            <w:vAlign w:val="center"/>
          </w:tcPr>
          <w:p w14:paraId="1BBAB48D">
            <w:pPr>
              <w:widowControl w:val="0"/>
              <w:spacing w:line="240" w:lineRule="auto"/>
              <w:ind w:left="0" w:leftChars="0" w:firstLine="0" w:firstLineChars="0"/>
              <w:jc w:val="center"/>
              <w:rPr>
                <w:rFonts w:hint="eastAsia" w:eastAsia="宋体" w:cs="Times New Roman"/>
                <w:b w:val="0"/>
                <w:bCs/>
                <w:color w:val="auto"/>
                <w:kern w:val="2"/>
                <w:sz w:val="21"/>
                <w:szCs w:val="21"/>
                <w:highlight w:val="none"/>
                <w:lang w:val="en-US" w:eastAsia="zh-CN" w:bidi="ar-SA"/>
              </w:rPr>
            </w:pPr>
          </w:p>
        </w:tc>
        <w:tc>
          <w:tcPr>
            <w:tcW w:w="548" w:type="pct"/>
            <w:vAlign w:val="center"/>
          </w:tcPr>
          <w:p w14:paraId="3AF34D26">
            <w:pPr>
              <w:jc w:val="center"/>
              <w:rPr>
                <w:rFonts w:hint="default" w:ascii="宋体" w:eastAsia="宋体" w:cs="Times New Roman"/>
                <w:color w:val="000000"/>
                <w:kern w:val="0"/>
                <w:sz w:val="21"/>
                <w:szCs w:val="21"/>
                <w:lang w:val="en-US" w:eastAsia="zh-CN" w:bidi="ar-SA"/>
              </w:rPr>
            </w:pPr>
            <w:r>
              <w:rPr>
                <w:rFonts w:hint="eastAsia" w:ascii="宋体" w:eastAsia="宋体" w:cs="Times New Roman"/>
                <w:color w:val="000000"/>
                <w:kern w:val="0"/>
                <w:sz w:val="21"/>
                <w:szCs w:val="21"/>
                <w:lang w:val="en-US" w:eastAsia="zh-CN" w:bidi="ar-SA"/>
              </w:rPr>
              <w:t>废活性炭</w:t>
            </w:r>
          </w:p>
        </w:tc>
        <w:tc>
          <w:tcPr>
            <w:tcW w:w="1436" w:type="pct"/>
            <w:vAlign w:val="center"/>
          </w:tcPr>
          <w:p w14:paraId="33F02DE5">
            <w:pPr>
              <w:widowControl w:val="0"/>
              <w:spacing w:line="240" w:lineRule="auto"/>
              <w:ind w:left="0" w:leftChars="0" w:firstLine="0" w:firstLineChars="0"/>
              <w:jc w:val="center"/>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bidi="zh-CN"/>
              </w:rPr>
              <w:t>有机物</w:t>
            </w:r>
          </w:p>
        </w:tc>
        <w:tc>
          <w:tcPr>
            <w:tcW w:w="722" w:type="pct"/>
            <w:vAlign w:val="center"/>
          </w:tcPr>
          <w:p w14:paraId="3CC7A247">
            <w:pPr>
              <w:pStyle w:val="143"/>
              <w:spacing w:before="0"/>
              <w:ind w:left="0" w:leftChars="0" w:right="0" w:rightChars="0"/>
              <w:rPr>
                <w:rFonts w:hint="default" w:ascii="Times New Roman"/>
                <w:sz w:val="21"/>
                <w:lang w:val="en-US" w:eastAsia="zh-CN"/>
              </w:rPr>
            </w:pPr>
            <w:r>
              <w:rPr>
                <w:rFonts w:hint="eastAsia" w:ascii="Times New Roman"/>
                <w:sz w:val="21"/>
                <w:lang w:val="en-US" w:eastAsia="zh-CN"/>
              </w:rPr>
              <w:t>2</w:t>
            </w:r>
          </w:p>
        </w:tc>
        <w:tc>
          <w:tcPr>
            <w:tcW w:w="572" w:type="pct"/>
            <w:vAlign w:val="center"/>
          </w:tcPr>
          <w:p w14:paraId="05DB3794">
            <w:pPr>
              <w:pStyle w:val="143"/>
              <w:spacing w:before="0"/>
              <w:ind w:left="0" w:leftChars="0" w:right="0" w:rightChars="0"/>
              <w:rPr>
                <w:rFonts w:hint="default" w:ascii="Times New Roman"/>
                <w:sz w:val="21"/>
                <w:lang w:val="en-US" w:eastAsia="zh-CN"/>
              </w:rPr>
            </w:pPr>
            <w:r>
              <w:rPr>
                <w:rFonts w:hint="eastAsia" w:ascii="Times New Roman"/>
                <w:sz w:val="21"/>
                <w:lang w:val="en-US" w:eastAsia="zh-CN"/>
              </w:rPr>
              <w:t>2</w:t>
            </w:r>
          </w:p>
        </w:tc>
        <w:tc>
          <w:tcPr>
            <w:tcW w:w="502" w:type="pct"/>
            <w:vAlign w:val="center"/>
          </w:tcPr>
          <w:p w14:paraId="7A45DF52">
            <w:pPr>
              <w:jc w:val="center"/>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sz w:val="21"/>
                <w:szCs w:val="21"/>
                <w:lang w:val="en-US" w:eastAsia="zh-CN"/>
              </w:rPr>
              <w:t>袋</w:t>
            </w:r>
            <w:r>
              <w:rPr>
                <w:rFonts w:hint="default" w:ascii="Times New Roman" w:hAnsi="Times New Roman" w:eastAsia="宋体" w:cs="Times New Roman"/>
                <w:sz w:val="21"/>
                <w:szCs w:val="21"/>
                <w:lang w:val="en-US" w:eastAsia="zh-CN"/>
              </w:rPr>
              <w:t>装</w:t>
            </w:r>
          </w:p>
        </w:tc>
        <w:tc>
          <w:tcPr>
            <w:tcW w:w="405" w:type="pct"/>
            <w:vAlign w:val="center"/>
          </w:tcPr>
          <w:p w14:paraId="0368DA97">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危废仓库</w:t>
            </w:r>
          </w:p>
        </w:tc>
        <w:tc>
          <w:tcPr>
            <w:tcW w:w="563" w:type="pct"/>
            <w:vAlign w:val="center"/>
          </w:tcPr>
          <w:p w14:paraId="36341890">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r w14:paraId="16DB9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Merge w:val="continue"/>
            <w:vAlign w:val="center"/>
          </w:tcPr>
          <w:p w14:paraId="015B9C3E">
            <w:pPr>
              <w:widowControl w:val="0"/>
              <w:spacing w:line="240" w:lineRule="auto"/>
              <w:ind w:left="0" w:leftChars="0" w:firstLine="0" w:firstLineChars="0"/>
              <w:jc w:val="center"/>
              <w:rPr>
                <w:rFonts w:hint="eastAsia" w:eastAsia="宋体" w:cs="Times New Roman"/>
                <w:b w:val="0"/>
                <w:bCs/>
                <w:color w:val="auto"/>
                <w:kern w:val="2"/>
                <w:sz w:val="21"/>
                <w:szCs w:val="21"/>
                <w:highlight w:val="none"/>
                <w:lang w:val="en-US" w:eastAsia="zh-CN" w:bidi="ar-SA"/>
              </w:rPr>
            </w:pPr>
          </w:p>
        </w:tc>
        <w:tc>
          <w:tcPr>
            <w:tcW w:w="548" w:type="pct"/>
            <w:vAlign w:val="center"/>
          </w:tcPr>
          <w:p w14:paraId="0CE07E6A">
            <w:pPr>
              <w:jc w:val="center"/>
              <w:rPr>
                <w:rFonts w:hint="eastAsia" w:ascii="宋体" w:eastAsia="宋体" w:cs="Times New Roman"/>
                <w:color w:val="000000"/>
                <w:kern w:val="0"/>
                <w:sz w:val="21"/>
                <w:szCs w:val="21"/>
                <w:lang w:val="en-US" w:eastAsia="zh-CN" w:bidi="ar-SA"/>
              </w:rPr>
            </w:pPr>
            <w:r>
              <w:rPr>
                <w:rFonts w:hint="eastAsia"/>
                <w:color w:val="000000"/>
                <w:sz w:val="21"/>
                <w:szCs w:val="21"/>
              </w:rPr>
              <w:t>废过滤棉</w:t>
            </w:r>
          </w:p>
        </w:tc>
        <w:tc>
          <w:tcPr>
            <w:tcW w:w="1436" w:type="pct"/>
            <w:vAlign w:val="center"/>
          </w:tcPr>
          <w:p w14:paraId="51440EEF">
            <w:pPr>
              <w:widowControl w:val="0"/>
              <w:spacing w:line="240" w:lineRule="auto"/>
              <w:ind w:left="0" w:leftChars="0" w:firstLine="0" w:firstLineChars="0"/>
              <w:jc w:val="center"/>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bidi="zh-CN"/>
              </w:rPr>
              <w:t>有机物</w:t>
            </w:r>
          </w:p>
        </w:tc>
        <w:tc>
          <w:tcPr>
            <w:tcW w:w="722" w:type="pct"/>
            <w:vAlign w:val="center"/>
          </w:tcPr>
          <w:p w14:paraId="4114F6E3">
            <w:pPr>
              <w:pStyle w:val="143"/>
              <w:spacing w:before="0"/>
              <w:ind w:left="0" w:leftChars="0" w:right="0" w:rightChars="0"/>
              <w:rPr>
                <w:rFonts w:hint="default" w:ascii="Times New Roman"/>
                <w:sz w:val="21"/>
                <w:lang w:val="en-US" w:eastAsia="zh-CN"/>
              </w:rPr>
            </w:pPr>
            <w:r>
              <w:rPr>
                <w:rFonts w:hint="eastAsia" w:ascii="Times New Roman"/>
                <w:sz w:val="21"/>
                <w:lang w:val="en-US" w:eastAsia="zh-CN"/>
              </w:rPr>
              <w:t>2</w:t>
            </w:r>
          </w:p>
        </w:tc>
        <w:tc>
          <w:tcPr>
            <w:tcW w:w="572" w:type="pct"/>
            <w:vAlign w:val="center"/>
          </w:tcPr>
          <w:p w14:paraId="1CE0AC73">
            <w:pPr>
              <w:pStyle w:val="143"/>
              <w:spacing w:before="0"/>
              <w:ind w:left="0" w:leftChars="0" w:right="0" w:rightChars="0"/>
              <w:rPr>
                <w:rFonts w:hint="default" w:ascii="Times New Roman"/>
                <w:sz w:val="21"/>
                <w:lang w:val="en-US" w:eastAsia="zh-CN"/>
              </w:rPr>
            </w:pPr>
            <w:r>
              <w:rPr>
                <w:rFonts w:hint="eastAsia" w:ascii="Times New Roman"/>
                <w:sz w:val="21"/>
                <w:lang w:val="en-US" w:eastAsia="zh-CN"/>
              </w:rPr>
              <w:t>2</w:t>
            </w:r>
          </w:p>
        </w:tc>
        <w:tc>
          <w:tcPr>
            <w:tcW w:w="502" w:type="pct"/>
            <w:vAlign w:val="center"/>
          </w:tcPr>
          <w:p w14:paraId="4E63FB4C">
            <w:pPr>
              <w:jc w:val="center"/>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sz w:val="21"/>
                <w:szCs w:val="21"/>
                <w:lang w:val="en-US" w:eastAsia="zh-CN"/>
              </w:rPr>
              <w:t>袋</w:t>
            </w:r>
            <w:r>
              <w:rPr>
                <w:rFonts w:hint="default" w:ascii="Times New Roman" w:hAnsi="Times New Roman" w:eastAsia="宋体" w:cs="Times New Roman"/>
                <w:sz w:val="21"/>
                <w:szCs w:val="21"/>
                <w:lang w:val="en-US" w:eastAsia="zh-CN"/>
              </w:rPr>
              <w:t>装</w:t>
            </w:r>
          </w:p>
        </w:tc>
        <w:tc>
          <w:tcPr>
            <w:tcW w:w="405" w:type="pct"/>
            <w:vAlign w:val="center"/>
          </w:tcPr>
          <w:p w14:paraId="1EF2CE47">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危废仓库</w:t>
            </w:r>
          </w:p>
        </w:tc>
        <w:tc>
          <w:tcPr>
            <w:tcW w:w="563" w:type="pct"/>
            <w:vAlign w:val="center"/>
          </w:tcPr>
          <w:p w14:paraId="5EFAECB4">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bl>
    <w:p w14:paraId="1E99C946">
      <w:pPr>
        <w:pStyle w:val="4"/>
      </w:pPr>
    </w:p>
    <w:p w14:paraId="2EC60C7B">
      <w:pPr>
        <w:snapToGrid w:val="0"/>
        <w:spacing w:line="500" w:lineRule="exact"/>
        <w:jc w:val="center"/>
        <w:rPr>
          <w:rFonts w:eastAsiaTheme="minorEastAsia"/>
          <w:b/>
        </w:rPr>
      </w:pPr>
      <w:bookmarkStart w:id="99" w:name="_Toc32621"/>
      <w:bookmarkStart w:id="100" w:name="_Toc7621"/>
      <w:r>
        <w:rPr>
          <w:rFonts w:eastAsiaTheme="minorEastAsia"/>
          <w:b/>
        </w:rPr>
        <w:t>表</w:t>
      </w:r>
      <w:r>
        <w:rPr>
          <w:rFonts w:hint="eastAsia" w:eastAsiaTheme="minorEastAsia"/>
          <w:b/>
        </w:rPr>
        <w:t>3-8</w:t>
      </w:r>
      <w:r>
        <w:rPr>
          <w:rFonts w:hint="eastAsia" w:eastAsiaTheme="minorEastAsia"/>
          <w:b/>
          <w:color w:val="000000" w:themeColor="text1"/>
          <w14:textFill>
            <w14:solidFill>
              <w14:schemeClr w14:val="tx1"/>
            </w14:solidFill>
          </w14:textFill>
        </w:rPr>
        <w:t>公司原辅料理化性质</w:t>
      </w:r>
    </w:p>
    <w:tbl>
      <w:tblPr>
        <w:tblStyle w:val="38"/>
        <w:tblW w:w="501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85"/>
        <w:gridCol w:w="1383"/>
        <w:gridCol w:w="4979"/>
        <w:gridCol w:w="755"/>
        <w:gridCol w:w="1624"/>
      </w:tblGrid>
      <w:tr w14:paraId="64783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3" w:type="pct"/>
            <w:noWrap w:val="0"/>
            <w:vAlign w:val="center"/>
          </w:tcPr>
          <w:p w14:paraId="21C983AB">
            <w:pPr>
              <w:ind w:left="24" w:leftChars="10" w:right="24" w:rightChars="10"/>
              <w:jc w:val="center"/>
              <w:rPr>
                <w:b/>
                <w:bCs/>
                <w:color w:val="auto"/>
                <w:sz w:val="21"/>
                <w:szCs w:val="21"/>
              </w:rPr>
            </w:pPr>
            <w:bookmarkStart w:id="101" w:name="_Toc24544"/>
            <w:bookmarkStart w:id="102" w:name="_Toc31109"/>
            <w:r>
              <w:rPr>
                <w:b/>
                <w:bCs/>
                <w:color w:val="auto"/>
                <w:sz w:val="21"/>
                <w:szCs w:val="21"/>
              </w:rPr>
              <w:t>序号</w:t>
            </w:r>
          </w:p>
        </w:tc>
        <w:tc>
          <w:tcPr>
            <w:tcW w:w="749" w:type="pct"/>
            <w:noWrap w:val="0"/>
            <w:vAlign w:val="center"/>
          </w:tcPr>
          <w:p w14:paraId="055EE3B1">
            <w:pPr>
              <w:ind w:left="24" w:leftChars="10" w:right="24" w:rightChars="10"/>
              <w:jc w:val="center"/>
              <w:rPr>
                <w:b/>
                <w:bCs/>
                <w:color w:val="auto"/>
                <w:sz w:val="21"/>
                <w:szCs w:val="21"/>
              </w:rPr>
            </w:pPr>
            <w:r>
              <w:rPr>
                <w:b/>
                <w:bCs/>
                <w:color w:val="auto"/>
                <w:sz w:val="21"/>
                <w:szCs w:val="21"/>
              </w:rPr>
              <w:t>物料名称</w:t>
            </w:r>
          </w:p>
        </w:tc>
        <w:tc>
          <w:tcPr>
            <w:tcW w:w="2697" w:type="pct"/>
            <w:noWrap w:val="0"/>
            <w:vAlign w:val="center"/>
          </w:tcPr>
          <w:p w14:paraId="3C89ADB0">
            <w:pPr>
              <w:ind w:left="24" w:leftChars="10" w:right="24" w:rightChars="10"/>
              <w:jc w:val="center"/>
              <w:rPr>
                <w:b/>
                <w:bCs/>
                <w:color w:val="auto"/>
                <w:sz w:val="21"/>
                <w:szCs w:val="21"/>
              </w:rPr>
            </w:pPr>
            <w:r>
              <w:rPr>
                <w:b/>
                <w:bCs/>
                <w:color w:val="auto"/>
                <w:sz w:val="21"/>
                <w:szCs w:val="21"/>
              </w:rPr>
              <w:t>理化特性</w:t>
            </w:r>
          </w:p>
        </w:tc>
        <w:tc>
          <w:tcPr>
            <w:tcW w:w="409" w:type="pct"/>
            <w:noWrap w:val="0"/>
            <w:vAlign w:val="center"/>
          </w:tcPr>
          <w:p w14:paraId="73CAC1D7">
            <w:pPr>
              <w:ind w:left="24" w:leftChars="10" w:right="24" w:rightChars="10"/>
              <w:jc w:val="center"/>
              <w:rPr>
                <w:b/>
                <w:bCs/>
                <w:color w:val="auto"/>
                <w:sz w:val="21"/>
                <w:szCs w:val="21"/>
                <w:highlight w:val="yellow"/>
              </w:rPr>
            </w:pPr>
            <w:r>
              <w:rPr>
                <w:b/>
                <w:bCs/>
                <w:color w:val="auto"/>
                <w:sz w:val="21"/>
                <w:szCs w:val="21"/>
              </w:rPr>
              <w:t>燃烧爆炸性</w:t>
            </w:r>
          </w:p>
        </w:tc>
        <w:tc>
          <w:tcPr>
            <w:tcW w:w="880" w:type="pct"/>
            <w:noWrap w:val="0"/>
            <w:vAlign w:val="center"/>
          </w:tcPr>
          <w:p w14:paraId="521DA726">
            <w:pPr>
              <w:ind w:left="24" w:leftChars="10" w:right="24" w:rightChars="10"/>
              <w:jc w:val="center"/>
              <w:rPr>
                <w:b/>
                <w:bCs/>
                <w:color w:val="auto"/>
                <w:sz w:val="21"/>
                <w:szCs w:val="21"/>
              </w:rPr>
            </w:pPr>
            <w:r>
              <w:rPr>
                <w:b/>
                <w:bCs/>
                <w:color w:val="auto"/>
                <w:sz w:val="21"/>
                <w:szCs w:val="21"/>
              </w:rPr>
              <w:t>毒性毒理</w:t>
            </w:r>
          </w:p>
        </w:tc>
      </w:tr>
      <w:tr w14:paraId="05554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3" w:type="pct"/>
            <w:noWrap w:val="0"/>
            <w:vAlign w:val="center"/>
          </w:tcPr>
          <w:p w14:paraId="090145AD">
            <w:pPr>
              <w:ind w:left="24" w:leftChars="10" w:right="24" w:rightChars="10"/>
              <w:jc w:val="center"/>
              <w:rPr>
                <w:b/>
                <w:bCs/>
                <w:color w:val="auto"/>
                <w:sz w:val="21"/>
                <w:szCs w:val="21"/>
              </w:rPr>
            </w:pPr>
            <w:r>
              <w:rPr>
                <w:rFonts w:hint="eastAsia"/>
                <w:b/>
                <w:bCs/>
                <w:color w:val="auto"/>
                <w:sz w:val="21"/>
                <w:szCs w:val="21"/>
              </w:rPr>
              <w:t>1</w:t>
            </w:r>
          </w:p>
        </w:tc>
        <w:tc>
          <w:tcPr>
            <w:tcW w:w="749" w:type="pct"/>
            <w:noWrap w:val="0"/>
            <w:vAlign w:val="center"/>
          </w:tcPr>
          <w:p w14:paraId="3D643D03">
            <w:pPr>
              <w:ind w:left="24" w:leftChars="10" w:right="24" w:rightChars="10"/>
              <w:jc w:val="center"/>
              <w:rPr>
                <w:color w:val="auto"/>
                <w:sz w:val="21"/>
                <w:szCs w:val="21"/>
              </w:rPr>
            </w:pPr>
            <w:r>
              <w:rPr>
                <w:rFonts w:hint="eastAsia"/>
                <w:color w:val="auto"/>
                <w:sz w:val="21"/>
                <w:szCs w:val="21"/>
              </w:rPr>
              <w:t>水性底漆</w:t>
            </w:r>
          </w:p>
        </w:tc>
        <w:tc>
          <w:tcPr>
            <w:tcW w:w="2697" w:type="pct"/>
            <w:noWrap w:val="0"/>
            <w:vAlign w:val="center"/>
          </w:tcPr>
          <w:p w14:paraId="1DE60EF2">
            <w:pPr>
              <w:ind w:left="24" w:leftChars="10" w:right="24" w:rightChars="10"/>
              <w:jc w:val="center"/>
              <w:rPr>
                <w:rFonts w:hint="eastAsia"/>
                <w:color w:val="auto"/>
                <w:sz w:val="21"/>
                <w:szCs w:val="21"/>
              </w:rPr>
            </w:pPr>
            <w:r>
              <w:rPr>
                <w:rFonts w:hint="eastAsia"/>
                <w:color w:val="auto"/>
                <w:sz w:val="21"/>
                <w:szCs w:val="21"/>
              </w:rPr>
              <w:t>由</w:t>
            </w:r>
            <w:r>
              <w:rPr>
                <w:color w:val="auto"/>
                <w:sz w:val="21"/>
                <w:szCs w:val="21"/>
              </w:rPr>
              <w:t>水性丙烯酸乳液、消泡剂、润湿剂、流变助剂、粉料、二丙二醇甲醚、二丙二醇丁醚、乙二醇醚及其脂类和水</w:t>
            </w:r>
            <w:r>
              <w:rPr>
                <w:rFonts w:hint="eastAsia"/>
                <w:color w:val="auto"/>
                <w:sz w:val="21"/>
                <w:szCs w:val="21"/>
              </w:rPr>
              <w:t>组成</w:t>
            </w:r>
            <w:r>
              <w:rPr>
                <w:color w:val="auto"/>
                <w:sz w:val="21"/>
                <w:szCs w:val="21"/>
              </w:rPr>
              <w:t>，</w:t>
            </w:r>
            <w:r>
              <w:rPr>
                <w:rFonts w:hint="eastAsia"/>
                <w:color w:val="auto"/>
                <w:sz w:val="21"/>
                <w:szCs w:val="21"/>
              </w:rPr>
              <w:t>可溶于水、微溶于醇类、酮类溶剂</w:t>
            </w:r>
          </w:p>
        </w:tc>
        <w:tc>
          <w:tcPr>
            <w:tcW w:w="409" w:type="pct"/>
            <w:noWrap w:val="0"/>
            <w:vAlign w:val="center"/>
          </w:tcPr>
          <w:p w14:paraId="6E90FEEA">
            <w:pPr>
              <w:ind w:left="24" w:leftChars="10" w:right="24" w:rightChars="10"/>
              <w:jc w:val="center"/>
              <w:rPr>
                <w:color w:val="auto"/>
                <w:sz w:val="21"/>
                <w:szCs w:val="21"/>
              </w:rPr>
            </w:pPr>
            <w:r>
              <w:rPr>
                <w:rFonts w:hint="eastAsia"/>
                <w:color w:val="auto"/>
                <w:sz w:val="21"/>
                <w:szCs w:val="21"/>
              </w:rPr>
              <w:t>不燃、不爆</w:t>
            </w:r>
          </w:p>
        </w:tc>
        <w:tc>
          <w:tcPr>
            <w:tcW w:w="880" w:type="pct"/>
            <w:noWrap w:val="0"/>
            <w:vAlign w:val="center"/>
          </w:tcPr>
          <w:p w14:paraId="10B12D96">
            <w:pPr>
              <w:ind w:left="24" w:leftChars="10" w:right="24" w:rightChars="10"/>
              <w:jc w:val="center"/>
              <w:rPr>
                <w:color w:val="auto"/>
                <w:sz w:val="21"/>
                <w:szCs w:val="21"/>
              </w:rPr>
            </w:pPr>
            <w:r>
              <w:rPr>
                <w:rFonts w:hint="eastAsia"/>
                <w:color w:val="auto"/>
                <w:sz w:val="21"/>
                <w:szCs w:val="21"/>
              </w:rPr>
              <w:t>急性毒性</w:t>
            </w:r>
            <w:r>
              <w:rPr>
                <w:color w:val="auto"/>
                <w:sz w:val="21"/>
                <w:szCs w:val="21"/>
              </w:rPr>
              <w:t>：无资料；</w:t>
            </w:r>
          </w:p>
          <w:p w14:paraId="71ED1B25">
            <w:pPr>
              <w:pStyle w:val="4"/>
              <w:spacing w:before="0" w:after="0" w:line="240" w:lineRule="auto"/>
              <w:rPr>
                <w:rFonts w:hint="eastAsia"/>
                <w:b w:val="0"/>
                <w:bCs w:val="0"/>
                <w:color w:val="auto"/>
              </w:rPr>
            </w:pPr>
            <w:r>
              <w:rPr>
                <w:rFonts w:hint="eastAsia"/>
                <w:b w:val="0"/>
                <w:bCs w:val="0"/>
                <w:color w:val="auto"/>
                <w:sz w:val="21"/>
                <w:szCs w:val="21"/>
              </w:rPr>
              <w:t>刺激性</w:t>
            </w:r>
            <w:r>
              <w:rPr>
                <w:b w:val="0"/>
                <w:bCs w:val="0"/>
                <w:color w:val="auto"/>
                <w:sz w:val="21"/>
                <w:szCs w:val="21"/>
              </w:rPr>
              <w:t>：</w:t>
            </w:r>
            <w:r>
              <w:rPr>
                <w:rFonts w:hint="eastAsia"/>
                <w:b w:val="0"/>
                <w:bCs w:val="0"/>
                <w:color w:val="auto"/>
                <w:sz w:val="21"/>
                <w:szCs w:val="21"/>
              </w:rPr>
              <w:t>对眼睛、皮肤有一定的刺激性</w:t>
            </w:r>
          </w:p>
        </w:tc>
      </w:tr>
      <w:tr w14:paraId="6D321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3" w:type="pct"/>
            <w:noWrap w:val="0"/>
            <w:vAlign w:val="center"/>
          </w:tcPr>
          <w:p w14:paraId="77A50EEC">
            <w:pPr>
              <w:ind w:left="24" w:leftChars="10" w:right="24" w:rightChars="10"/>
              <w:jc w:val="center"/>
              <w:rPr>
                <w:b/>
                <w:bCs/>
                <w:color w:val="auto"/>
                <w:sz w:val="21"/>
                <w:szCs w:val="21"/>
              </w:rPr>
            </w:pPr>
            <w:r>
              <w:rPr>
                <w:rFonts w:hint="eastAsia"/>
                <w:b/>
                <w:bCs/>
                <w:color w:val="auto"/>
                <w:sz w:val="21"/>
                <w:szCs w:val="21"/>
              </w:rPr>
              <w:t>2</w:t>
            </w:r>
          </w:p>
        </w:tc>
        <w:tc>
          <w:tcPr>
            <w:tcW w:w="749" w:type="pct"/>
            <w:noWrap w:val="0"/>
            <w:vAlign w:val="center"/>
          </w:tcPr>
          <w:p w14:paraId="74710CFF">
            <w:pPr>
              <w:ind w:left="24" w:leftChars="10" w:right="24" w:rightChars="10"/>
              <w:jc w:val="center"/>
              <w:rPr>
                <w:rFonts w:hint="eastAsia"/>
                <w:color w:val="auto"/>
                <w:sz w:val="21"/>
                <w:szCs w:val="21"/>
              </w:rPr>
            </w:pPr>
            <w:r>
              <w:rPr>
                <w:rFonts w:hint="eastAsia"/>
                <w:color w:val="auto"/>
                <w:sz w:val="21"/>
                <w:szCs w:val="21"/>
              </w:rPr>
              <w:t>水性面漆</w:t>
            </w:r>
          </w:p>
        </w:tc>
        <w:tc>
          <w:tcPr>
            <w:tcW w:w="2697" w:type="pct"/>
            <w:noWrap w:val="0"/>
            <w:vAlign w:val="center"/>
          </w:tcPr>
          <w:p w14:paraId="34633BF8">
            <w:pPr>
              <w:ind w:left="24" w:leftChars="10" w:right="24" w:rightChars="10"/>
              <w:jc w:val="center"/>
              <w:rPr>
                <w:color w:val="auto"/>
                <w:sz w:val="21"/>
                <w:szCs w:val="21"/>
              </w:rPr>
            </w:pPr>
            <w:r>
              <w:rPr>
                <w:rFonts w:hint="eastAsia"/>
                <w:color w:val="auto"/>
                <w:sz w:val="21"/>
                <w:szCs w:val="21"/>
              </w:rPr>
              <w:t>由</w:t>
            </w:r>
            <w:r>
              <w:rPr>
                <w:color w:val="auto"/>
                <w:sz w:val="21"/>
                <w:szCs w:val="21"/>
              </w:rPr>
              <w:t>水性丙烯酸乳液、消泡剂、润湿剂、流变助剂、消光粉、二丙二醇甲醚、二丙二醇丁醚、乙二醇醚及其脂类和水</w:t>
            </w:r>
            <w:r>
              <w:rPr>
                <w:rFonts w:hint="eastAsia"/>
                <w:color w:val="auto"/>
                <w:sz w:val="21"/>
                <w:szCs w:val="21"/>
              </w:rPr>
              <w:t>组成，可溶于水、微溶于醇类、酮类溶剂</w:t>
            </w:r>
          </w:p>
        </w:tc>
        <w:tc>
          <w:tcPr>
            <w:tcW w:w="409" w:type="pct"/>
            <w:noWrap w:val="0"/>
            <w:vAlign w:val="center"/>
          </w:tcPr>
          <w:p w14:paraId="50A29F97">
            <w:pPr>
              <w:ind w:left="24" w:leftChars="10" w:right="24" w:rightChars="10"/>
              <w:jc w:val="center"/>
              <w:rPr>
                <w:color w:val="auto"/>
                <w:sz w:val="21"/>
                <w:szCs w:val="21"/>
              </w:rPr>
            </w:pPr>
            <w:r>
              <w:rPr>
                <w:rFonts w:hint="eastAsia"/>
                <w:color w:val="auto"/>
                <w:sz w:val="21"/>
                <w:szCs w:val="21"/>
              </w:rPr>
              <w:t>不燃、不爆</w:t>
            </w:r>
          </w:p>
        </w:tc>
        <w:tc>
          <w:tcPr>
            <w:tcW w:w="880" w:type="pct"/>
            <w:noWrap w:val="0"/>
            <w:vAlign w:val="center"/>
          </w:tcPr>
          <w:p w14:paraId="6AFF4B54">
            <w:pPr>
              <w:ind w:left="24" w:leftChars="10" w:right="24" w:rightChars="10"/>
              <w:jc w:val="center"/>
              <w:rPr>
                <w:color w:val="auto"/>
                <w:sz w:val="21"/>
                <w:szCs w:val="21"/>
              </w:rPr>
            </w:pPr>
            <w:r>
              <w:rPr>
                <w:rFonts w:hint="eastAsia"/>
                <w:color w:val="auto"/>
                <w:sz w:val="21"/>
                <w:szCs w:val="21"/>
              </w:rPr>
              <w:t>急性毒性</w:t>
            </w:r>
            <w:r>
              <w:rPr>
                <w:color w:val="auto"/>
                <w:sz w:val="21"/>
                <w:szCs w:val="21"/>
              </w:rPr>
              <w:t>：无资料；</w:t>
            </w:r>
          </w:p>
          <w:p w14:paraId="25259919">
            <w:pPr>
              <w:ind w:left="24" w:leftChars="10" w:right="24" w:rightChars="10"/>
              <w:jc w:val="center"/>
              <w:rPr>
                <w:color w:val="auto"/>
                <w:sz w:val="21"/>
                <w:szCs w:val="21"/>
              </w:rPr>
            </w:pPr>
            <w:r>
              <w:rPr>
                <w:rFonts w:hint="eastAsia"/>
                <w:color w:val="auto"/>
                <w:sz w:val="21"/>
                <w:szCs w:val="21"/>
              </w:rPr>
              <w:t>刺激性</w:t>
            </w:r>
            <w:r>
              <w:rPr>
                <w:color w:val="auto"/>
                <w:sz w:val="21"/>
                <w:szCs w:val="21"/>
              </w:rPr>
              <w:t>：</w:t>
            </w:r>
            <w:r>
              <w:rPr>
                <w:rFonts w:hint="eastAsia"/>
                <w:color w:val="auto"/>
                <w:sz w:val="21"/>
                <w:szCs w:val="21"/>
              </w:rPr>
              <w:t>对眼睛、皮肤有一定的刺激性</w:t>
            </w:r>
          </w:p>
        </w:tc>
      </w:tr>
      <w:tr w14:paraId="6880C4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3" w:type="pct"/>
            <w:noWrap w:val="0"/>
            <w:vAlign w:val="center"/>
          </w:tcPr>
          <w:p w14:paraId="53D7CB81">
            <w:pPr>
              <w:adjustRightInd w:val="0"/>
              <w:snapToGrid w:val="0"/>
              <w:ind w:left="24" w:leftChars="10" w:right="24" w:rightChars="10"/>
              <w:jc w:val="center"/>
              <w:rPr>
                <w:rFonts w:hint="eastAsia"/>
                <w:bCs/>
                <w:color w:val="auto"/>
                <w:sz w:val="21"/>
                <w:szCs w:val="21"/>
              </w:rPr>
            </w:pPr>
            <w:r>
              <w:rPr>
                <w:bCs/>
                <w:color w:val="auto"/>
                <w:sz w:val="21"/>
                <w:szCs w:val="21"/>
              </w:rPr>
              <w:t>3</w:t>
            </w:r>
          </w:p>
        </w:tc>
        <w:tc>
          <w:tcPr>
            <w:tcW w:w="749" w:type="pct"/>
            <w:noWrap w:val="0"/>
            <w:vAlign w:val="center"/>
          </w:tcPr>
          <w:p w14:paraId="1E5A5C3A">
            <w:pPr>
              <w:adjustRightInd w:val="0"/>
              <w:ind w:left="24" w:leftChars="10" w:right="24" w:rightChars="10"/>
              <w:jc w:val="center"/>
              <w:textAlignment w:val="baseline"/>
              <w:rPr>
                <w:bCs/>
                <w:color w:val="auto"/>
                <w:sz w:val="21"/>
                <w:szCs w:val="21"/>
              </w:rPr>
            </w:pPr>
            <w:r>
              <w:rPr>
                <w:bCs/>
                <w:color w:val="auto"/>
                <w:sz w:val="21"/>
                <w:szCs w:val="21"/>
              </w:rPr>
              <w:t>水性丙烯酸聚合物</w:t>
            </w:r>
            <w:r>
              <w:rPr>
                <w:rFonts w:hint="eastAsia"/>
                <w:bCs/>
                <w:color w:val="auto"/>
                <w:sz w:val="21"/>
                <w:szCs w:val="21"/>
                <w:lang w:eastAsia="zh-CN"/>
              </w:rPr>
              <w:t>（</w:t>
            </w:r>
            <w:r>
              <w:rPr>
                <w:bCs/>
                <w:color w:val="auto"/>
                <w:sz w:val="21"/>
                <w:szCs w:val="21"/>
              </w:rPr>
              <w:t>C</w:t>
            </w:r>
            <w:r>
              <w:rPr>
                <w:bCs/>
                <w:color w:val="auto"/>
                <w:sz w:val="21"/>
                <w:szCs w:val="21"/>
                <w:vertAlign w:val="subscript"/>
              </w:rPr>
              <w:t>3</w:t>
            </w:r>
            <w:r>
              <w:rPr>
                <w:bCs/>
                <w:color w:val="auto"/>
                <w:sz w:val="21"/>
                <w:szCs w:val="21"/>
              </w:rPr>
              <w:t>H</w:t>
            </w:r>
            <w:r>
              <w:rPr>
                <w:bCs/>
                <w:color w:val="auto"/>
                <w:sz w:val="21"/>
                <w:szCs w:val="21"/>
                <w:vertAlign w:val="subscript"/>
              </w:rPr>
              <w:t>4</w:t>
            </w:r>
            <w:r>
              <w:rPr>
                <w:bCs/>
                <w:color w:val="auto"/>
                <w:sz w:val="21"/>
                <w:szCs w:val="21"/>
              </w:rPr>
              <w:t>O</w:t>
            </w:r>
            <w:r>
              <w:rPr>
                <w:bCs/>
                <w:color w:val="auto"/>
                <w:sz w:val="21"/>
                <w:szCs w:val="21"/>
                <w:vertAlign w:val="subscript"/>
              </w:rPr>
              <w:t>2</w:t>
            </w:r>
            <w:r>
              <w:rPr>
                <w:rFonts w:hint="eastAsia"/>
                <w:bCs/>
                <w:color w:val="auto"/>
                <w:sz w:val="21"/>
                <w:szCs w:val="21"/>
                <w:lang w:eastAsia="zh-CN"/>
              </w:rPr>
              <w:t>）</w:t>
            </w:r>
            <w:r>
              <w:rPr>
                <w:bCs/>
                <w:color w:val="auto"/>
                <w:sz w:val="21"/>
                <w:szCs w:val="21"/>
                <w:vertAlign w:val="subscript"/>
              </w:rPr>
              <w:t>n</w:t>
            </w:r>
          </w:p>
        </w:tc>
        <w:tc>
          <w:tcPr>
            <w:tcW w:w="2697" w:type="pct"/>
            <w:noWrap w:val="0"/>
            <w:vAlign w:val="center"/>
          </w:tcPr>
          <w:p w14:paraId="1654243D">
            <w:pPr>
              <w:adjustRightInd w:val="0"/>
              <w:snapToGrid w:val="0"/>
              <w:ind w:left="24" w:leftChars="10" w:right="24" w:rightChars="10"/>
              <w:jc w:val="center"/>
              <w:rPr>
                <w:bCs/>
                <w:color w:val="auto"/>
                <w:sz w:val="21"/>
                <w:szCs w:val="21"/>
              </w:rPr>
            </w:pPr>
            <w:r>
              <w:rPr>
                <w:bCs/>
                <w:color w:val="auto"/>
                <w:sz w:val="21"/>
                <w:szCs w:val="21"/>
              </w:rPr>
              <w:t>丙烯酸及其系列多种单体，加入助剂聚合成为乳液。固体含量约45%，水分含量约49%，残留单体分子、助剂约6%。</w:t>
            </w:r>
          </w:p>
        </w:tc>
        <w:tc>
          <w:tcPr>
            <w:tcW w:w="409" w:type="pct"/>
            <w:noWrap w:val="0"/>
            <w:vAlign w:val="center"/>
          </w:tcPr>
          <w:p w14:paraId="655BB188">
            <w:pPr>
              <w:ind w:left="24" w:leftChars="10" w:right="24" w:rightChars="10"/>
              <w:jc w:val="center"/>
              <w:rPr>
                <w:bCs/>
                <w:color w:val="auto"/>
                <w:sz w:val="21"/>
                <w:szCs w:val="21"/>
              </w:rPr>
            </w:pPr>
            <w:r>
              <w:rPr>
                <w:bCs/>
                <w:color w:val="auto"/>
                <w:sz w:val="21"/>
                <w:szCs w:val="21"/>
              </w:rPr>
              <w:t>/</w:t>
            </w:r>
          </w:p>
        </w:tc>
        <w:tc>
          <w:tcPr>
            <w:tcW w:w="880" w:type="pct"/>
            <w:noWrap w:val="0"/>
            <w:vAlign w:val="center"/>
          </w:tcPr>
          <w:p w14:paraId="7336A66B">
            <w:pPr>
              <w:ind w:left="24" w:leftChars="10" w:right="24" w:rightChars="10"/>
              <w:jc w:val="center"/>
              <w:rPr>
                <w:bCs/>
                <w:color w:val="auto"/>
                <w:sz w:val="21"/>
                <w:szCs w:val="21"/>
              </w:rPr>
            </w:pPr>
            <w:r>
              <w:rPr>
                <w:bCs/>
                <w:color w:val="auto"/>
                <w:sz w:val="21"/>
                <w:szCs w:val="21"/>
              </w:rPr>
              <w:t>无资料</w:t>
            </w:r>
          </w:p>
        </w:tc>
      </w:tr>
      <w:tr w14:paraId="51DC8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3" w:type="pct"/>
            <w:noWrap w:val="0"/>
            <w:vAlign w:val="center"/>
          </w:tcPr>
          <w:p w14:paraId="32A42F74">
            <w:pPr>
              <w:adjustRightInd w:val="0"/>
              <w:snapToGrid w:val="0"/>
              <w:ind w:left="24" w:leftChars="10" w:right="24" w:rightChars="10"/>
              <w:jc w:val="center"/>
              <w:rPr>
                <w:rFonts w:hint="eastAsia"/>
                <w:bCs/>
                <w:color w:val="auto"/>
                <w:sz w:val="21"/>
                <w:szCs w:val="21"/>
              </w:rPr>
            </w:pPr>
            <w:r>
              <w:rPr>
                <w:bCs/>
                <w:color w:val="auto"/>
                <w:sz w:val="21"/>
                <w:szCs w:val="21"/>
              </w:rPr>
              <w:t>4</w:t>
            </w:r>
          </w:p>
        </w:tc>
        <w:tc>
          <w:tcPr>
            <w:tcW w:w="749" w:type="pct"/>
            <w:noWrap w:val="0"/>
            <w:vAlign w:val="center"/>
          </w:tcPr>
          <w:p w14:paraId="6EB94AD1">
            <w:pPr>
              <w:adjustRightInd w:val="0"/>
              <w:ind w:left="24" w:leftChars="10" w:right="24" w:rightChars="10"/>
              <w:jc w:val="center"/>
              <w:textAlignment w:val="baseline"/>
              <w:rPr>
                <w:bCs/>
                <w:color w:val="auto"/>
                <w:sz w:val="21"/>
                <w:szCs w:val="21"/>
              </w:rPr>
            </w:pPr>
            <w:r>
              <w:rPr>
                <w:bCs/>
                <w:color w:val="auto"/>
                <w:sz w:val="21"/>
                <w:szCs w:val="21"/>
              </w:rPr>
              <w:t>二丙二醇甲醚C</w:t>
            </w:r>
            <w:r>
              <w:rPr>
                <w:bCs/>
                <w:color w:val="auto"/>
                <w:sz w:val="21"/>
                <w:szCs w:val="21"/>
                <w:vertAlign w:val="subscript"/>
              </w:rPr>
              <w:t>7</w:t>
            </w:r>
            <w:r>
              <w:rPr>
                <w:bCs/>
                <w:color w:val="auto"/>
                <w:sz w:val="21"/>
                <w:szCs w:val="21"/>
              </w:rPr>
              <w:t>H</w:t>
            </w:r>
            <w:r>
              <w:rPr>
                <w:bCs/>
                <w:color w:val="auto"/>
                <w:sz w:val="21"/>
                <w:szCs w:val="21"/>
                <w:vertAlign w:val="subscript"/>
              </w:rPr>
              <w:t>16</w:t>
            </w:r>
            <w:r>
              <w:rPr>
                <w:bCs/>
                <w:color w:val="auto"/>
                <w:sz w:val="21"/>
                <w:szCs w:val="21"/>
              </w:rPr>
              <w:t>O</w:t>
            </w:r>
            <w:r>
              <w:rPr>
                <w:bCs/>
                <w:color w:val="auto"/>
                <w:sz w:val="21"/>
                <w:szCs w:val="21"/>
                <w:vertAlign w:val="subscript"/>
              </w:rPr>
              <w:t>3</w:t>
            </w:r>
          </w:p>
        </w:tc>
        <w:tc>
          <w:tcPr>
            <w:tcW w:w="2697" w:type="pct"/>
            <w:noWrap w:val="0"/>
            <w:vAlign w:val="center"/>
          </w:tcPr>
          <w:p w14:paraId="332B928E">
            <w:pPr>
              <w:adjustRightInd w:val="0"/>
              <w:snapToGrid w:val="0"/>
              <w:ind w:left="24" w:leftChars="10" w:right="24" w:rightChars="10"/>
              <w:jc w:val="center"/>
              <w:rPr>
                <w:bCs/>
                <w:color w:val="auto"/>
                <w:sz w:val="21"/>
                <w:szCs w:val="21"/>
              </w:rPr>
            </w:pPr>
            <w:r>
              <w:rPr>
                <w:bCs/>
                <w:color w:val="auto"/>
                <w:sz w:val="21"/>
                <w:szCs w:val="21"/>
              </w:rPr>
              <w:t>无色透明液体，醚味，低毒性，</w:t>
            </w:r>
            <w:r>
              <w:rPr>
                <w:rFonts w:hint="eastAsia"/>
                <w:bCs/>
                <w:color w:val="auto"/>
                <w:sz w:val="21"/>
                <w:szCs w:val="21"/>
                <w:lang w:eastAsia="zh-CN"/>
              </w:rPr>
              <w:t>低黏度</w:t>
            </w:r>
            <w:r>
              <w:rPr>
                <w:bCs/>
                <w:color w:val="auto"/>
                <w:sz w:val="21"/>
                <w:szCs w:val="21"/>
              </w:rPr>
              <w:t>，熔点-83℃，沸点187.2℃，闪点82℃，与水和多种有机溶剂混溶，遇明火、高热可燃。</w:t>
            </w:r>
          </w:p>
        </w:tc>
        <w:tc>
          <w:tcPr>
            <w:tcW w:w="409" w:type="pct"/>
            <w:noWrap w:val="0"/>
            <w:vAlign w:val="center"/>
          </w:tcPr>
          <w:p w14:paraId="757FC72C">
            <w:pPr>
              <w:ind w:left="24" w:leftChars="10" w:right="24" w:rightChars="10"/>
              <w:jc w:val="center"/>
              <w:rPr>
                <w:bCs/>
                <w:color w:val="auto"/>
                <w:sz w:val="21"/>
                <w:szCs w:val="21"/>
              </w:rPr>
            </w:pPr>
            <w:r>
              <w:rPr>
                <w:bCs/>
                <w:color w:val="auto"/>
                <w:sz w:val="21"/>
                <w:szCs w:val="21"/>
              </w:rPr>
              <w:t>可燃</w:t>
            </w:r>
          </w:p>
        </w:tc>
        <w:tc>
          <w:tcPr>
            <w:tcW w:w="880" w:type="pct"/>
            <w:noWrap w:val="0"/>
            <w:vAlign w:val="center"/>
          </w:tcPr>
          <w:p w14:paraId="7A9C7BE0">
            <w:pPr>
              <w:ind w:left="24" w:leftChars="10" w:right="24" w:rightChars="10"/>
              <w:jc w:val="center"/>
              <w:rPr>
                <w:bCs/>
                <w:color w:val="auto"/>
                <w:sz w:val="21"/>
                <w:szCs w:val="21"/>
              </w:rPr>
            </w:pPr>
            <w:r>
              <w:rPr>
                <w:bCs/>
                <w:color w:val="auto"/>
                <w:sz w:val="21"/>
                <w:szCs w:val="21"/>
              </w:rPr>
              <w:t>LD50:5500 mg/kg</w:t>
            </w:r>
            <w:r>
              <w:rPr>
                <w:rFonts w:hint="eastAsia"/>
                <w:bCs/>
                <w:color w:val="auto"/>
                <w:sz w:val="21"/>
                <w:szCs w:val="21"/>
                <w:lang w:eastAsia="zh-CN"/>
              </w:rPr>
              <w:t>（</w:t>
            </w:r>
            <w:r>
              <w:rPr>
                <w:bCs/>
                <w:color w:val="auto"/>
                <w:sz w:val="21"/>
                <w:szCs w:val="21"/>
              </w:rPr>
              <w:t>大鼠经口</w:t>
            </w:r>
            <w:r>
              <w:rPr>
                <w:rFonts w:hint="eastAsia"/>
                <w:bCs/>
                <w:color w:val="auto"/>
                <w:sz w:val="21"/>
                <w:szCs w:val="21"/>
                <w:lang w:eastAsia="zh-CN"/>
              </w:rPr>
              <w:t>）</w:t>
            </w:r>
          </w:p>
        </w:tc>
      </w:tr>
      <w:tr w14:paraId="24EC14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3" w:type="pct"/>
            <w:noWrap w:val="0"/>
            <w:vAlign w:val="center"/>
          </w:tcPr>
          <w:p w14:paraId="1DD6CCFA">
            <w:pPr>
              <w:adjustRightInd w:val="0"/>
              <w:snapToGrid w:val="0"/>
              <w:ind w:left="24" w:leftChars="10" w:right="24" w:rightChars="10"/>
              <w:jc w:val="center"/>
              <w:rPr>
                <w:rFonts w:hint="eastAsia"/>
                <w:bCs/>
                <w:color w:val="auto"/>
                <w:sz w:val="21"/>
                <w:szCs w:val="21"/>
              </w:rPr>
            </w:pPr>
            <w:r>
              <w:rPr>
                <w:bCs/>
                <w:color w:val="auto"/>
                <w:sz w:val="21"/>
                <w:szCs w:val="21"/>
              </w:rPr>
              <w:t>5</w:t>
            </w:r>
          </w:p>
        </w:tc>
        <w:tc>
          <w:tcPr>
            <w:tcW w:w="749" w:type="pct"/>
            <w:noWrap w:val="0"/>
            <w:vAlign w:val="center"/>
          </w:tcPr>
          <w:p w14:paraId="1054FC1B">
            <w:pPr>
              <w:adjustRightInd w:val="0"/>
              <w:ind w:left="24" w:leftChars="10" w:right="24" w:rightChars="10"/>
              <w:jc w:val="center"/>
              <w:textAlignment w:val="baseline"/>
              <w:rPr>
                <w:bCs/>
                <w:color w:val="auto"/>
                <w:sz w:val="21"/>
                <w:szCs w:val="21"/>
              </w:rPr>
            </w:pPr>
            <w:r>
              <w:rPr>
                <w:bCs/>
                <w:color w:val="auto"/>
                <w:sz w:val="21"/>
                <w:szCs w:val="21"/>
              </w:rPr>
              <w:t>二丙二醇丁醚C</w:t>
            </w:r>
            <w:r>
              <w:rPr>
                <w:bCs/>
                <w:color w:val="auto"/>
                <w:sz w:val="21"/>
                <w:szCs w:val="21"/>
                <w:vertAlign w:val="subscript"/>
              </w:rPr>
              <w:t>10</w:t>
            </w:r>
            <w:r>
              <w:rPr>
                <w:bCs/>
                <w:color w:val="auto"/>
                <w:sz w:val="21"/>
                <w:szCs w:val="21"/>
              </w:rPr>
              <w:t>H</w:t>
            </w:r>
            <w:r>
              <w:rPr>
                <w:bCs/>
                <w:color w:val="auto"/>
                <w:sz w:val="21"/>
                <w:szCs w:val="21"/>
                <w:vertAlign w:val="subscript"/>
              </w:rPr>
              <w:t>22</w:t>
            </w:r>
            <w:r>
              <w:rPr>
                <w:bCs/>
                <w:color w:val="auto"/>
                <w:sz w:val="21"/>
                <w:szCs w:val="21"/>
              </w:rPr>
              <w:t>O</w:t>
            </w:r>
            <w:r>
              <w:rPr>
                <w:bCs/>
                <w:color w:val="auto"/>
                <w:sz w:val="21"/>
                <w:szCs w:val="21"/>
                <w:vertAlign w:val="subscript"/>
              </w:rPr>
              <w:t>3</w:t>
            </w:r>
          </w:p>
        </w:tc>
        <w:tc>
          <w:tcPr>
            <w:tcW w:w="2697" w:type="pct"/>
            <w:noWrap w:val="0"/>
            <w:vAlign w:val="center"/>
          </w:tcPr>
          <w:p w14:paraId="3439DCA5">
            <w:pPr>
              <w:adjustRightInd w:val="0"/>
              <w:snapToGrid w:val="0"/>
              <w:ind w:left="24" w:leftChars="10" w:right="24" w:rightChars="10"/>
              <w:jc w:val="center"/>
              <w:rPr>
                <w:bCs/>
                <w:color w:val="auto"/>
                <w:sz w:val="21"/>
                <w:szCs w:val="21"/>
              </w:rPr>
            </w:pPr>
            <w:r>
              <w:rPr>
                <w:bCs/>
                <w:color w:val="auto"/>
                <w:sz w:val="21"/>
                <w:szCs w:val="21"/>
              </w:rPr>
              <w:t>无色液体，溶于水。沸点222-232℃，密度0.913g/mLat25°C，闪点205°F，用作涂料助剂。</w:t>
            </w:r>
          </w:p>
        </w:tc>
        <w:tc>
          <w:tcPr>
            <w:tcW w:w="409" w:type="pct"/>
            <w:noWrap w:val="0"/>
            <w:vAlign w:val="center"/>
          </w:tcPr>
          <w:p w14:paraId="15790581">
            <w:pPr>
              <w:ind w:left="24" w:leftChars="10" w:right="24" w:rightChars="10"/>
              <w:jc w:val="center"/>
              <w:rPr>
                <w:bCs/>
                <w:color w:val="auto"/>
                <w:sz w:val="21"/>
                <w:szCs w:val="21"/>
              </w:rPr>
            </w:pPr>
            <w:r>
              <w:rPr>
                <w:bCs/>
                <w:color w:val="auto"/>
                <w:sz w:val="21"/>
                <w:szCs w:val="21"/>
              </w:rPr>
              <w:t>可燃</w:t>
            </w:r>
          </w:p>
        </w:tc>
        <w:tc>
          <w:tcPr>
            <w:tcW w:w="880" w:type="pct"/>
            <w:noWrap w:val="0"/>
            <w:vAlign w:val="center"/>
          </w:tcPr>
          <w:p w14:paraId="69F137A8">
            <w:pPr>
              <w:ind w:left="24" w:leftChars="10" w:right="24" w:rightChars="10"/>
              <w:jc w:val="center"/>
              <w:rPr>
                <w:bCs/>
                <w:color w:val="auto"/>
                <w:sz w:val="21"/>
                <w:szCs w:val="21"/>
              </w:rPr>
            </w:pPr>
            <w:r>
              <w:rPr>
                <w:bCs/>
                <w:color w:val="auto"/>
                <w:sz w:val="21"/>
                <w:szCs w:val="21"/>
              </w:rPr>
              <w:t>LD50:1620mg/kg</w:t>
            </w:r>
            <w:r>
              <w:rPr>
                <w:rFonts w:hint="eastAsia"/>
                <w:bCs/>
                <w:color w:val="auto"/>
                <w:sz w:val="21"/>
                <w:szCs w:val="21"/>
                <w:lang w:eastAsia="zh-CN"/>
              </w:rPr>
              <w:t>（</w:t>
            </w:r>
            <w:r>
              <w:rPr>
                <w:bCs/>
                <w:color w:val="auto"/>
                <w:sz w:val="21"/>
                <w:szCs w:val="21"/>
              </w:rPr>
              <w:t>大鼠经口</w:t>
            </w:r>
            <w:r>
              <w:rPr>
                <w:rFonts w:hint="eastAsia"/>
                <w:bCs/>
                <w:color w:val="auto"/>
                <w:sz w:val="21"/>
                <w:szCs w:val="21"/>
                <w:lang w:eastAsia="zh-CN"/>
              </w:rPr>
              <w:t>）</w:t>
            </w:r>
          </w:p>
        </w:tc>
      </w:tr>
      <w:tr w14:paraId="6315B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3" w:type="pct"/>
            <w:noWrap w:val="0"/>
            <w:vAlign w:val="center"/>
          </w:tcPr>
          <w:p w14:paraId="3B41FD72">
            <w:pPr>
              <w:adjustRightInd w:val="0"/>
              <w:snapToGrid w:val="0"/>
              <w:ind w:left="24" w:leftChars="10" w:right="24" w:rightChars="10"/>
              <w:jc w:val="center"/>
              <w:rPr>
                <w:rFonts w:hint="eastAsia"/>
                <w:bCs/>
                <w:color w:val="auto"/>
                <w:sz w:val="21"/>
                <w:szCs w:val="21"/>
              </w:rPr>
            </w:pPr>
            <w:r>
              <w:rPr>
                <w:bCs/>
                <w:color w:val="auto"/>
                <w:sz w:val="21"/>
                <w:szCs w:val="21"/>
              </w:rPr>
              <w:t>6</w:t>
            </w:r>
          </w:p>
        </w:tc>
        <w:tc>
          <w:tcPr>
            <w:tcW w:w="749" w:type="pct"/>
            <w:noWrap w:val="0"/>
            <w:vAlign w:val="center"/>
          </w:tcPr>
          <w:p w14:paraId="3881D4CD">
            <w:pPr>
              <w:adjustRightInd w:val="0"/>
              <w:ind w:left="24" w:leftChars="10" w:right="24" w:rightChars="10"/>
              <w:jc w:val="center"/>
              <w:textAlignment w:val="baseline"/>
              <w:rPr>
                <w:bCs/>
                <w:color w:val="auto"/>
                <w:sz w:val="21"/>
                <w:szCs w:val="21"/>
              </w:rPr>
            </w:pPr>
            <w:r>
              <w:rPr>
                <w:bCs/>
                <w:color w:val="auto"/>
                <w:sz w:val="21"/>
                <w:szCs w:val="21"/>
              </w:rPr>
              <w:t>乙二醇醚</w:t>
            </w:r>
          </w:p>
        </w:tc>
        <w:tc>
          <w:tcPr>
            <w:tcW w:w="2697" w:type="pct"/>
            <w:noWrap w:val="0"/>
            <w:vAlign w:val="center"/>
          </w:tcPr>
          <w:p w14:paraId="314F230E">
            <w:pPr>
              <w:adjustRightInd w:val="0"/>
              <w:snapToGrid w:val="0"/>
              <w:ind w:left="24" w:leftChars="10" w:right="24" w:rightChars="10"/>
              <w:jc w:val="center"/>
              <w:rPr>
                <w:bCs/>
                <w:color w:val="auto"/>
                <w:sz w:val="21"/>
                <w:szCs w:val="21"/>
              </w:rPr>
            </w:pPr>
            <w:r>
              <w:rPr>
                <w:bCs/>
                <w:color w:val="auto"/>
                <w:sz w:val="21"/>
                <w:szCs w:val="21"/>
              </w:rPr>
              <w:t>无色液体，几乎无气味。相对密度(水=1):0.94，熔点：-70℃，沸点：135.1℃，闪点：43℃，与水相溶，可溶于醇等多数有机溶剂。稳定性：稳定。</w:t>
            </w:r>
          </w:p>
        </w:tc>
        <w:tc>
          <w:tcPr>
            <w:tcW w:w="409" w:type="pct"/>
            <w:noWrap w:val="0"/>
            <w:vAlign w:val="center"/>
          </w:tcPr>
          <w:p w14:paraId="036CFB09">
            <w:pPr>
              <w:ind w:left="24" w:leftChars="10" w:right="24" w:rightChars="10"/>
              <w:jc w:val="center"/>
              <w:rPr>
                <w:bCs/>
                <w:color w:val="auto"/>
                <w:sz w:val="21"/>
                <w:szCs w:val="21"/>
              </w:rPr>
            </w:pPr>
            <w:r>
              <w:rPr>
                <w:bCs/>
                <w:color w:val="auto"/>
                <w:sz w:val="21"/>
                <w:szCs w:val="21"/>
              </w:rPr>
              <w:t>可燃</w:t>
            </w:r>
          </w:p>
        </w:tc>
        <w:tc>
          <w:tcPr>
            <w:tcW w:w="880" w:type="pct"/>
            <w:noWrap w:val="0"/>
            <w:vAlign w:val="center"/>
          </w:tcPr>
          <w:p w14:paraId="4105B4C9">
            <w:pPr>
              <w:ind w:left="24" w:leftChars="10" w:right="24" w:rightChars="10"/>
              <w:jc w:val="center"/>
              <w:rPr>
                <w:bCs/>
                <w:color w:val="auto"/>
                <w:sz w:val="21"/>
                <w:szCs w:val="21"/>
              </w:rPr>
            </w:pPr>
            <w:r>
              <w:rPr>
                <w:bCs/>
                <w:color w:val="auto"/>
                <w:sz w:val="21"/>
                <w:szCs w:val="21"/>
              </w:rPr>
              <w:t>LD50：3460 mg/kg</w:t>
            </w:r>
            <w:r>
              <w:rPr>
                <w:rFonts w:hint="eastAsia"/>
                <w:bCs/>
                <w:color w:val="auto"/>
                <w:sz w:val="21"/>
                <w:szCs w:val="21"/>
                <w:lang w:eastAsia="zh-CN"/>
              </w:rPr>
              <w:t>（</w:t>
            </w:r>
            <w:r>
              <w:rPr>
                <w:bCs/>
                <w:color w:val="auto"/>
                <w:sz w:val="21"/>
                <w:szCs w:val="21"/>
              </w:rPr>
              <w:t>大鼠经口</w:t>
            </w:r>
            <w:r>
              <w:rPr>
                <w:rFonts w:hint="eastAsia"/>
                <w:bCs/>
                <w:color w:val="auto"/>
                <w:sz w:val="21"/>
                <w:szCs w:val="21"/>
                <w:lang w:eastAsia="zh-CN"/>
              </w:rPr>
              <w:t>）</w:t>
            </w:r>
            <w:r>
              <w:rPr>
                <w:bCs/>
                <w:color w:val="auto"/>
                <w:sz w:val="21"/>
                <w:szCs w:val="21"/>
              </w:rPr>
              <w:t>、LC50：7360mg/m</w:t>
            </w:r>
            <w:r>
              <w:rPr>
                <w:bCs/>
                <w:color w:val="auto"/>
                <w:sz w:val="21"/>
                <w:szCs w:val="21"/>
                <w:vertAlign w:val="superscript"/>
              </w:rPr>
              <w:t>3</w:t>
            </w:r>
            <w:r>
              <w:rPr>
                <w:bCs/>
                <w:color w:val="auto"/>
                <w:sz w:val="21"/>
                <w:szCs w:val="21"/>
              </w:rPr>
              <w:t>，7小时</w:t>
            </w:r>
            <w:r>
              <w:rPr>
                <w:rFonts w:hint="eastAsia"/>
                <w:bCs/>
                <w:color w:val="auto"/>
                <w:sz w:val="21"/>
                <w:szCs w:val="21"/>
                <w:lang w:eastAsia="zh-CN"/>
              </w:rPr>
              <w:t>（</w:t>
            </w:r>
            <w:r>
              <w:rPr>
                <w:bCs/>
                <w:color w:val="auto"/>
                <w:sz w:val="21"/>
                <w:szCs w:val="21"/>
              </w:rPr>
              <w:t>大鼠吸入</w:t>
            </w:r>
            <w:r>
              <w:rPr>
                <w:rFonts w:hint="eastAsia"/>
                <w:bCs/>
                <w:color w:val="auto"/>
                <w:sz w:val="21"/>
                <w:szCs w:val="21"/>
                <w:lang w:eastAsia="zh-CN"/>
              </w:rPr>
              <w:t>）</w:t>
            </w:r>
          </w:p>
        </w:tc>
      </w:tr>
      <w:tr w14:paraId="475CB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3" w:type="pct"/>
            <w:noWrap w:val="0"/>
            <w:vAlign w:val="center"/>
          </w:tcPr>
          <w:p w14:paraId="61A6D191">
            <w:pPr>
              <w:adjustRightInd w:val="0"/>
              <w:snapToGrid w:val="0"/>
              <w:ind w:left="24" w:leftChars="10" w:right="24" w:rightChars="10"/>
              <w:jc w:val="center"/>
              <w:rPr>
                <w:rFonts w:hint="eastAsia"/>
                <w:bCs/>
                <w:color w:val="auto"/>
                <w:sz w:val="21"/>
                <w:szCs w:val="21"/>
              </w:rPr>
            </w:pPr>
            <w:r>
              <w:rPr>
                <w:bCs/>
                <w:color w:val="auto"/>
                <w:sz w:val="21"/>
                <w:szCs w:val="21"/>
              </w:rPr>
              <w:t>7</w:t>
            </w:r>
          </w:p>
        </w:tc>
        <w:tc>
          <w:tcPr>
            <w:tcW w:w="749" w:type="pct"/>
            <w:noWrap w:val="0"/>
            <w:vAlign w:val="center"/>
          </w:tcPr>
          <w:p w14:paraId="5B661C6E">
            <w:pPr>
              <w:adjustRightInd w:val="0"/>
              <w:snapToGrid w:val="0"/>
              <w:ind w:left="24" w:leftChars="10" w:right="24" w:rightChars="10"/>
              <w:jc w:val="center"/>
              <w:rPr>
                <w:bCs/>
                <w:color w:val="auto"/>
                <w:sz w:val="21"/>
                <w:szCs w:val="21"/>
              </w:rPr>
            </w:pPr>
            <w:r>
              <w:rPr>
                <w:bCs/>
                <w:color w:val="auto"/>
                <w:sz w:val="21"/>
                <w:szCs w:val="21"/>
              </w:rPr>
              <w:t>异氰酸酯均聚物</w:t>
            </w:r>
            <w:r>
              <w:rPr>
                <w:rFonts w:hint="eastAsia"/>
                <w:bCs/>
                <w:color w:val="auto"/>
                <w:sz w:val="21"/>
                <w:szCs w:val="21"/>
                <w:lang w:eastAsia="zh-CN"/>
              </w:rPr>
              <w:t>（</w:t>
            </w:r>
            <w:r>
              <w:rPr>
                <w:bCs/>
                <w:color w:val="auto"/>
                <w:sz w:val="21"/>
                <w:szCs w:val="21"/>
              </w:rPr>
              <w:t>C</w:t>
            </w:r>
            <w:r>
              <w:rPr>
                <w:bCs/>
                <w:color w:val="auto"/>
                <w:sz w:val="21"/>
                <w:szCs w:val="21"/>
                <w:vertAlign w:val="subscript"/>
              </w:rPr>
              <w:t>3</w:t>
            </w:r>
            <w:r>
              <w:rPr>
                <w:bCs/>
                <w:color w:val="auto"/>
                <w:sz w:val="21"/>
                <w:szCs w:val="21"/>
              </w:rPr>
              <w:t>H</w:t>
            </w:r>
            <w:r>
              <w:rPr>
                <w:bCs/>
                <w:color w:val="auto"/>
                <w:sz w:val="21"/>
                <w:szCs w:val="21"/>
                <w:vertAlign w:val="subscript"/>
              </w:rPr>
              <w:t>4</w:t>
            </w:r>
            <w:r>
              <w:rPr>
                <w:bCs/>
                <w:color w:val="auto"/>
                <w:sz w:val="21"/>
                <w:szCs w:val="21"/>
              </w:rPr>
              <w:t>O</w:t>
            </w:r>
            <w:r>
              <w:rPr>
                <w:bCs/>
                <w:color w:val="auto"/>
                <w:sz w:val="21"/>
                <w:szCs w:val="21"/>
                <w:vertAlign w:val="subscript"/>
              </w:rPr>
              <w:t>2</w:t>
            </w:r>
            <w:r>
              <w:rPr>
                <w:rFonts w:hint="eastAsia"/>
                <w:bCs/>
                <w:color w:val="auto"/>
                <w:sz w:val="21"/>
                <w:szCs w:val="21"/>
                <w:lang w:eastAsia="zh-CN"/>
              </w:rPr>
              <w:t>）</w:t>
            </w:r>
            <w:r>
              <w:rPr>
                <w:bCs/>
                <w:color w:val="auto"/>
                <w:sz w:val="21"/>
                <w:szCs w:val="21"/>
              </w:rPr>
              <w:t>n</w:t>
            </w:r>
          </w:p>
        </w:tc>
        <w:tc>
          <w:tcPr>
            <w:tcW w:w="2697" w:type="pct"/>
            <w:noWrap w:val="0"/>
            <w:vAlign w:val="center"/>
          </w:tcPr>
          <w:p w14:paraId="2D243561">
            <w:pPr>
              <w:adjustRightInd w:val="0"/>
              <w:snapToGrid w:val="0"/>
              <w:ind w:left="24" w:leftChars="10" w:right="24" w:rightChars="10"/>
              <w:jc w:val="center"/>
              <w:rPr>
                <w:bCs/>
                <w:color w:val="auto"/>
                <w:sz w:val="21"/>
                <w:szCs w:val="21"/>
              </w:rPr>
            </w:pPr>
            <w:r>
              <w:rPr>
                <w:bCs/>
                <w:color w:val="auto"/>
                <w:sz w:val="21"/>
                <w:szCs w:val="21"/>
              </w:rPr>
              <w:t>无色有强烈气味液体，密度1.13，闪点50℃，溶于酯类、酮类、芳烃类溶剂</w:t>
            </w:r>
          </w:p>
        </w:tc>
        <w:tc>
          <w:tcPr>
            <w:tcW w:w="409" w:type="pct"/>
            <w:noWrap w:val="0"/>
            <w:vAlign w:val="center"/>
          </w:tcPr>
          <w:p w14:paraId="59431E2F">
            <w:pPr>
              <w:shd w:val="clear" w:color="auto" w:fill="FFFFFF"/>
              <w:adjustRightInd w:val="0"/>
              <w:snapToGrid w:val="0"/>
              <w:ind w:left="24" w:leftChars="10" w:right="24" w:rightChars="10"/>
              <w:jc w:val="center"/>
              <w:rPr>
                <w:bCs/>
                <w:color w:val="auto"/>
                <w:sz w:val="21"/>
                <w:szCs w:val="21"/>
              </w:rPr>
            </w:pPr>
            <w:r>
              <w:rPr>
                <w:bCs/>
                <w:color w:val="auto"/>
                <w:sz w:val="21"/>
                <w:szCs w:val="21"/>
              </w:rPr>
              <w:t>/</w:t>
            </w:r>
          </w:p>
        </w:tc>
        <w:tc>
          <w:tcPr>
            <w:tcW w:w="880" w:type="pct"/>
            <w:noWrap w:val="0"/>
            <w:vAlign w:val="center"/>
          </w:tcPr>
          <w:p w14:paraId="57029139">
            <w:pPr>
              <w:shd w:val="clear" w:color="auto" w:fill="FFFFFF"/>
              <w:adjustRightInd w:val="0"/>
              <w:snapToGrid w:val="0"/>
              <w:ind w:left="24" w:leftChars="10" w:right="24" w:rightChars="10"/>
              <w:jc w:val="center"/>
              <w:rPr>
                <w:bCs/>
                <w:color w:val="auto"/>
                <w:sz w:val="21"/>
                <w:szCs w:val="21"/>
              </w:rPr>
            </w:pPr>
            <w:r>
              <w:rPr>
                <w:bCs/>
                <w:color w:val="auto"/>
                <w:sz w:val="21"/>
                <w:szCs w:val="21"/>
              </w:rPr>
              <w:t>无资料</w:t>
            </w:r>
          </w:p>
        </w:tc>
      </w:tr>
      <w:tr w14:paraId="41C04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3" w:type="pct"/>
            <w:noWrap w:val="0"/>
            <w:vAlign w:val="center"/>
          </w:tcPr>
          <w:p w14:paraId="728F2AD9">
            <w:pPr>
              <w:adjustRightInd w:val="0"/>
              <w:snapToGrid w:val="0"/>
              <w:ind w:left="24" w:leftChars="10" w:right="24" w:rightChars="10"/>
              <w:jc w:val="center"/>
              <w:rPr>
                <w:rFonts w:hint="eastAsia"/>
                <w:bCs/>
                <w:color w:val="auto"/>
                <w:sz w:val="21"/>
                <w:szCs w:val="21"/>
              </w:rPr>
            </w:pPr>
            <w:r>
              <w:rPr>
                <w:bCs/>
                <w:color w:val="auto"/>
                <w:sz w:val="21"/>
                <w:szCs w:val="21"/>
              </w:rPr>
              <w:t>8</w:t>
            </w:r>
          </w:p>
        </w:tc>
        <w:tc>
          <w:tcPr>
            <w:tcW w:w="749" w:type="pct"/>
            <w:noWrap w:val="0"/>
            <w:vAlign w:val="center"/>
          </w:tcPr>
          <w:p w14:paraId="1CA6A467">
            <w:pPr>
              <w:adjustRightInd w:val="0"/>
              <w:snapToGrid w:val="0"/>
              <w:ind w:left="24" w:leftChars="10" w:right="24" w:rightChars="10"/>
              <w:jc w:val="center"/>
              <w:rPr>
                <w:bCs/>
                <w:color w:val="auto"/>
                <w:sz w:val="21"/>
                <w:szCs w:val="21"/>
              </w:rPr>
            </w:pPr>
            <w:r>
              <w:rPr>
                <w:bCs/>
                <w:color w:val="auto"/>
                <w:sz w:val="21"/>
                <w:szCs w:val="21"/>
              </w:rPr>
              <w:t>丙二醇甲醚醋酸酯C</w:t>
            </w:r>
            <w:r>
              <w:rPr>
                <w:bCs/>
                <w:color w:val="auto"/>
                <w:sz w:val="21"/>
                <w:szCs w:val="21"/>
                <w:vertAlign w:val="subscript"/>
              </w:rPr>
              <w:t>6</w:t>
            </w:r>
            <w:r>
              <w:rPr>
                <w:bCs/>
                <w:color w:val="auto"/>
                <w:sz w:val="21"/>
                <w:szCs w:val="21"/>
              </w:rPr>
              <w:t>H</w:t>
            </w:r>
            <w:r>
              <w:rPr>
                <w:bCs/>
                <w:color w:val="auto"/>
                <w:sz w:val="21"/>
                <w:szCs w:val="21"/>
                <w:vertAlign w:val="subscript"/>
              </w:rPr>
              <w:t>12</w:t>
            </w:r>
            <w:r>
              <w:rPr>
                <w:bCs/>
                <w:color w:val="auto"/>
                <w:sz w:val="21"/>
                <w:szCs w:val="21"/>
              </w:rPr>
              <w:t>O</w:t>
            </w:r>
            <w:r>
              <w:rPr>
                <w:bCs/>
                <w:color w:val="auto"/>
                <w:sz w:val="21"/>
                <w:szCs w:val="21"/>
                <w:vertAlign w:val="subscript"/>
              </w:rPr>
              <w:t>3</w:t>
            </w:r>
          </w:p>
        </w:tc>
        <w:tc>
          <w:tcPr>
            <w:tcW w:w="2697" w:type="pct"/>
            <w:noWrap w:val="0"/>
            <w:vAlign w:val="center"/>
          </w:tcPr>
          <w:p w14:paraId="110328CD">
            <w:pPr>
              <w:adjustRightInd w:val="0"/>
              <w:snapToGrid w:val="0"/>
              <w:ind w:left="24" w:leftChars="10" w:right="24" w:rightChars="10"/>
              <w:jc w:val="center"/>
              <w:rPr>
                <w:bCs/>
                <w:color w:val="auto"/>
                <w:sz w:val="21"/>
                <w:szCs w:val="21"/>
              </w:rPr>
            </w:pPr>
            <w:r>
              <w:rPr>
                <w:bCs/>
                <w:color w:val="auto"/>
                <w:sz w:val="21"/>
                <w:szCs w:val="21"/>
              </w:rPr>
              <w:t>无色吸湿液体，有特殊气味，是一种高级溶剂，溶于水。相对密度0.96，熔点-87℃，沸点146℃，闪点42℃（开杯），高于42℃能与空气形成爆炸性混合物</w:t>
            </w:r>
          </w:p>
        </w:tc>
        <w:tc>
          <w:tcPr>
            <w:tcW w:w="409" w:type="pct"/>
            <w:noWrap w:val="0"/>
            <w:vAlign w:val="center"/>
          </w:tcPr>
          <w:p w14:paraId="0EC9A820">
            <w:pPr>
              <w:ind w:left="24" w:leftChars="10" w:right="24" w:rightChars="10"/>
              <w:jc w:val="center"/>
              <w:rPr>
                <w:bCs/>
                <w:color w:val="auto"/>
                <w:sz w:val="21"/>
                <w:szCs w:val="21"/>
              </w:rPr>
            </w:pPr>
            <w:r>
              <w:rPr>
                <w:bCs/>
                <w:color w:val="auto"/>
                <w:sz w:val="21"/>
                <w:szCs w:val="21"/>
              </w:rPr>
              <w:t>可燃</w:t>
            </w:r>
          </w:p>
        </w:tc>
        <w:tc>
          <w:tcPr>
            <w:tcW w:w="880" w:type="pct"/>
            <w:noWrap w:val="0"/>
            <w:vAlign w:val="center"/>
          </w:tcPr>
          <w:p w14:paraId="58B874EE">
            <w:pPr>
              <w:adjustRightInd w:val="0"/>
              <w:snapToGrid w:val="0"/>
              <w:ind w:left="24" w:leftChars="10" w:right="24" w:rightChars="10"/>
              <w:jc w:val="center"/>
              <w:rPr>
                <w:bCs/>
                <w:color w:val="auto"/>
                <w:sz w:val="21"/>
                <w:szCs w:val="21"/>
              </w:rPr>
            </w:pPr>
            <w:r>
              <w:rPr>
                <w:bCs/>
                <w:color w:val="auto"/>
                <w:sz w:val="21"/>
                <w:szCs w:val="21"/>
              </w:rPr>
              <w:t>LD50：5620 mg/kg</w:t>
            </w:r>
            <w:r>
              <w:rPr>
                <w:rFonts w:hint="eastAsia"/>
                <w:bCs/>
                <w:color w:val="auto"/>
                <w:sz w:val="21"/>
                <w:szCs w:val="21"/>
                <w:lang w:eastAsia="zh-CN"/>
              </w:rPr>
              <w:t>（</w:t>
            </w:r>
            <w:r>
              <w:rPr>
                <w:bCs/>
                <w:color w:val="auto"/>
                <w:sz w:val="21"/>
                <w:szCs w:val="21"/>
              </w:rPr>
              <w:t>大鼠经口</w:t>
            </w:r>
            <w:r>
              <w:rPr>
                <w:rFonts w:hint="eastAsia"/>
                <w:bCs/>
                <w:color w:val="auto"/>
                <w:sz w:val="21"/>
                <w:szCs w:val="21"/>
                <w:lang w:eastAsia="zh-CN"/>
              </w:rPr>
              <w:t>）</w:t>
            </w:r>
            <w:r>
              <w:rPr>
                <w:bCs/>
                <w:color w:val="auto"/>
                <w:sz w:val="21"/>
                <w:szCs w:val="21"/>
              </w:rPr>
              <w:t>；</w:t>
            </w:r>
            <w:r>
              <w:rPr>
                <w:bCs/>
                <w:color w:val="auto"/>
                <w:sz w:val="21"/>
                <w:szCs w:val="21"/>
              </w:rPr>
              <w:br w:type="textWrapping"/>
            </w:r>
            <w:r>
              <w:rPr>
                <w:bCs/>
                <w:color w:val="auto"/>
                <w:sz w:val="21"/>
                <w:szCs w:val="21"/>
              </w:rPr>
              <w:t>LC50：5760mg/m</w:t>
            </w:r>
            <w:r>
              <w:rPr>
                <w:bCs/>
                <w:color w:val="auto"/>
                <w:sz w:val="21"/>
                <w:szCs w:val="21"/>
                <w:vertAlign w:val="superscript"/>
              </w:rPr>
              <w:t>3</w:t>
            </w:r>
            <w:r>
              <w:rPr>
                <w:bCs/>
                <w:color w:val="auto"/>
                <w:sz w:val="21"/>
                <w:szCs w:val="21"/>
              </w:rPr>
              <w:t>，8小时</w:t>
            </w:r>
            <w:r>
              <w:rPr>
                <w:rFonts w:hint="eastAsia"/>
                <w:bCs/>
                <w:color w:val="auto"/>
                <w:sz w:val="21"/>
                <w:szCs w:val="21"/>
                <w:lang w:eastAsia="zh-CN"/>
              </w:rPr>
              <w:t>（</w:t>
            </w:r>
            <w:r>
              <w:rPr>
                <w:bCs/>
                <w:color w:val="auto"/>
                <w:sz w:val="21"/>
                <w:szCs w:val="21"/>
              </w:rPr>
              <w:t>大鼠吸入</w:t>
            </w:r>
            <w:r>
              <w:rPr>
                <w:rFonts w:hint="eastAsia"/>
                <w:bCs/>
                <w:color w:val="auto"/>
                <w:sz w:val="21"/>
                <w:szCs w:val="21"/>
                <w:lang w:eastAsia="zh-CN"/>
              </w:rPr>
              <w:t>）</w:t>
            </w:r>
          </w:p>
        </w:tc>
      </w:tr>
      <w:tr w14:paraId="233DE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3" w:type="pct"/>
            <w:noWrap w:val="0"/>
            <w:vAlign w:val="center"/>
          </w:tcPr>
          <w:p w14:paraId="454C8B9B">
            <w:pPr>
              <w:autoSpaceDE w:val="0"/>
              <w:autoSpaceDN w:val="0"/>
              <w:adjustRightInd w:val="0"/>
              <w:ind w:left="24" w:leftChars="10" w:right="24" w:rightChars="10"/>
              <w:jc w:val="center"/>
              <w:rPr>
                <w:rFonts w:hint="eastAsia"/>
                <w:bCs/>
                <w:color w:val="auto"/>
                <w:sz w:val="21"/>
                <w:szCs w:val="21"/>
              </w:rPr>
            </w:pPr>
            <w:r>
              <w:rPr>
                <w:color w:val="auto"/>
                <w:kern w:val="0"/>
                <w:sz w:val="21"/>
                <w:szCs w:val="21"/>
              </w:rPr>
              <w:t>9</w:t>
            </w:r>
          </w:p>
        </w:tc>
        <w:tc>
          <w:tcPr>
            <w:tcW w:w="749" w:type="pct"/>
            <w:noWrap w:val="0"/>
            <w:vAlign w:val="center"/>
          </w:tcPr>
          <w:p w14:paraId="6FB543D2">
            <w:pPr>
              <w:autoSpaceDE w:val="0"/>
              <w:autoSpaceDN w:val="0"/>
              <w:adjustRightInd w:val="0"/>
              <w:ind w:left="24" w:leftChars="10" w:right="24" w:rightChars="10"/>
              <w:jc w:val="center"/>
              <w:rPr>
                <w:bCs/>
                <w:color w:val="auto"/>
                <w:sz w:val="21"/>
                <w:szCs w:val="21"/>
              </w:rPr>
            </w:pPr>
            <w:r>
              <w:rPr>
                <w:color w:val="auto"/>
                <w:kern w:val="0"/>
                <w:sz w:val="21"/>
                <w:szCs w:val="21"/>
              </w:rPr>
              <w:t>聚乙酸乙烯酯</w:t>
            </w:r>
          </w:p>
        </w:tc>
        <w:tc>
          <w:tcPr>
            <w:tcW w:w="2697" w:type="pct"/>
            <w:noWrap w:val="0"/>
            <w:vAlign w:val="center"/>
          </w:tcPr>
          <w:p w14:paraId="2EC0501B">
            <w:pPr>
              <w:autoSpaceDE w:val="0"/>
              <w:autoSpaceDN w:val="0"/>
              <w:adjustRightInd w:val="0"/>
              <w:ind w:left="24" w:leftChars="10" w:right="24" w:rightChars="10"/>
              <w:jc w:val="center"/>
              <w:rPr>
                <w:bCs/>
                <w:color w:val="auto"/>
                <w:sz w:val="21"/>
                <w:szCs w:val="21"/>
              </w:rPr>
            </w:pPr>
            <w:r>
              <w:rPr>
                <w:color w:val="auto"/>
                <w:kern w:val="0"/>
                <w:sz w:val="21"/>
                <w:szCs w:val="21"/>
              </w:rPr>
              <w:t>CAS号为9003-20-7，分子式为C4H6O2，醋酸乙</w:t>
            </w:r>
            <w:r>
              <w:rPr>
                <w:color w:val="auto"/>
                <w:kern w:val="0"/>
                <w:sz w:val="21"/>
                <w:szCs w:val="21"/>
              </w:rPr>
              <w:fldChar w:fldCharType="begin"/>
            </w:r>
            <w:r>
              <w:rPr>
                <w:color w:val="auto"/>
                <w:kern w:val="0"/>
                <w:sz w:val="21"/>
                <w:szCs w:val="21"/>
              </w:rPr>
              <w:instrText xml:space="preserve"> HYPERLINK "https://baike.so.com/doc/3833079-4024973.html" \t "_blank" </w:instrText>
            </w:r>
            <w:r>
              <w:rPr>
                <w:color w:val="auto"/>
                <w:kern w:val="0"/>
                <w:sz w:val="21"/>
                <w:szCs w:val="21"/>
              </w:rPr>
              <w:fldChar w:fldCharType="separate"/>
            </w:r>
            <w:r>
              <w:rPr>
                <w:color w:val="auto"/>
                <w:kern w:val="0"/>
                <w:sz w:val="21"/>
                <w:szCs w:val="21"/>
              </w:rPr>
              <w:t>烯</w:t>
            </w:r>
            <w:r>
              <w:rPr>
                <w:color w:val="auto"/>
                <w:kern w:val="0"/>
                <w:sz w:val="21"/>
                <w:szCs w:val="21"/>
              </w:rPr>
              <w:fldChar w:fldCharType="end"/>
            </w:r>
            <w:r>
              <w:rPr>
                <w:color w:val="auto"/>
                <w:kern w:val="0"/>
                <w:sz w:val="21"/>
                <w:szCs w:val="21"/>
              </w:rPr>
              <w:t>酯经聚合生成的聚合物。是无定形聚合物，外观透明、溶于</w:t>
            </w:r>
            <w:r>
              <w:rPr>
                <w:color w:val="auto"/>
                <w:kern w:val="0"/>
                <w:sz w:val="21"/>
                <w:szCs w:val="21"/>
              </w:rPr>
              <w:fldChar w:fldCharType="begin"/>
            </w:r>
            <w:r>
              <w:rPr>
                <w:color w:val="auto"/>
                <w:kern w:val="0"/>
                <w:sz w:val="21"/>
                <w:szCs w:val="21"/>
              </w:rPr>
              <w:instrText xml:space="preserve"> HYPERLINK "https://baike.so.com/doc/3194557-3366490.html" \t "_blank" </w:instrText>
            </w:r>
            <w:r>
              <w:rPr>
                <w:color w:val="auto"/>
                <w:kern w:val="0"/>
                <w:sz w:val="21"/>
                <w:szCs w:val="21"/>
              </w:rPr>
              <w:fldChar w:fldCharType="separate"/>
            </w:r>
            <w:r>
              <w:rPr>
                <w:color w:val="auto"/>
                <w:kern w:val="0"/>
                <w:sz w:val="21"/>
                <w:szCs w:val="21"/>
              </w:rPr>
              <w:t>苯</w:t>
            </w:r>
            <w:r>
              <w:rPr>
                <w:color w:val="auto"/>
                <w:kern w:val="0"/>
                <w:sz w:val="21"/>
                <w:szCs w:val="21"/>
              </w:rPr>
              <w:fldChar w:fldCharType="end"/>
            </w:r>
            <w:r>
              <w:rPr>
                <w:color w:val="auto"/>
                <w:kern w:val="0"/>
                <w:sz w:val="21"/>
                <w:szCs w:val="21"/>
              </w:rPr>
              <w:t>、丙酮和</w:t>
            </w:r>
            <w:r>
              <w:rPr>
                <w:color w:val="auto"/>
                <w:kern w:val="0"/>
                <w:sz w:val="21"/>
                <w:szCs w:val="21"/>
              </w:rPr>
              <w:fldChar w:fldCharType="begin"/>
            </w:r>
            <w:r>
              <w:rPr>
                <w:color w:val="auto"/>
                <w:kern w:val="0"/>
                <w:sz w:val="21"/>
                <w:szCs w:val="21"/>
              </w:rPr>
              <w:instrText xml:space="preserve"> HYPERLINK "https://baike.so.com/doc/3328269-3505240.html" \t "_blank" </w:instrText>
            </w:r>
            <w:r>
              <w:rPr>
                <w:color w:val="auto"/>
                <w:kern w:val="0"/>
                <w:sz w:val="21"/>
                <w:szCs w:val="21"/>
              </w:rPr>
              <w:fldChar w:fldCharType="separate"/>
            </w:r>
            <w:r>
              <w:rPr>
                <w:color w:val="auto"/>
                <w:kern w:val="0"/>
                <w:sz w:val="21"/>
                <w:szCs w:val="21"/>
              </w:rPr>
              <w:t>三氯甲烷</w:t>
            </w:r>
            <w:r>
              <w:rPr>
                <w:color w:val="auto"/>
                <w:kern w:val="0"/>
                <w:sz w:val="21"/>
                <w:szCs w:val="21"/>
              </w:rPr>
              <w:fldChar w:fldCharType="end"/>
            </w:r>
            <w:r>
              <w:rPr>
                <w:color w:val="auto"/>
                <w:kern w:val="0"/>
                <w:sz w:val="21"/>
                <w:szCs w:val="21"/>
              </w:rPr>
              <w:t>等溶剂。密度（g/mL,25/4℃）</w:t>
            </w:r>
            <w:r>
              <w:rPr>
                <w:rFonts w:hint="eastAsia"/>
                <w:color w:val="auto"/>
                <w:kern w:val="0"/>
                <w:sz w:val="21"/>
                <w:szCs w:val="21"/>
                <w:lang w:eastAsia="zh-CN"/>
              </w:rPr>
              <w:t>：</w:t>
            </w:r>
            <w:r>
              <w:rPr>
                <w:color w:val="auto"/>
                <w:kern w:val="0"/>
                <w:sz w:val="21"/>
                <w:szCs w:val="21"/>
              </w:rPr>
              <w:t>1.191， 熔点（ºC）</w:t>
            </w:r>
            <w:r>
              <w:rPr>
                <w:rFonts w:hint="eastAsia"/>
                <w:color w:val="auto"/>
                <w:kern w:val="0"/>
                <w:sz w:val="21"/>
                <w:szCs w:val="21"/>
                <w:lang w:eastAsia="zh-CN"/>
              </w:rPr>
              <w:t>：</w:t>
            </w:r>
            <w:r>
              <w:rPr>
                <w:color w:val="auto"/>
                <w:kern w:val="0"/>
                <w:sz w:val="21"/>
                <w:szCs w:val="21"/>
              </w:rPr>
              <w:t>60， 加热到250℃以上会分解出醋酸。</w:t>
            </w:r>
          </w:p>
        </w:tc>
        <w:tc>
          <w:tcPr>
            <w:tcW w:w="409" w:type="pct"/>
            <w:noWrap w:val="0"/>
            <w:vAlign w:val="center"/>
          </w:tcPr>
          <w:p w14:paraId="7C3B1EE1">
            <w:pPr>
              <w:autoSpaceDE w:val="0"/>
              <w:autoSpaceDN w:val="0"/>
              <w:adjustRightInd w:val="0"/>
              <w:ind w:left="24" w:leftChars="10" w:right="24" w:rightChars="10"/>
              <w:jc w:val="center"/>
              <w:rPr>
                <w:bCs/>
                <w:color w:val="auto"/>
                <w:sz w:val="21"/>
                <w:szCs w:val="21"/>
              </w:rPr>
            </w:pPr>
            <w:r>
              <w:rPr>
                <w:color w:val="auto"/>
                <w:kern w:val="0"/>
                <w:sz w:val="21"/>
                <w:szCs w:val="21"/>
              </w:rPr>
              <w:t>可燃</w:t>
            </w:r>
          </w:p>
        </w:tc>
        <w:tc>
          <w:tcPr>
            <w:tcW w:w="880" w:type="pct"/>
            <w:noWrap w:val="0"/>
            <w:vAlign w:val="center"/>
          </w:tcPr>
          <w:p w14:paraId="33F07FDD">
            <w:pPr>
              <w:autoSpaceDE w:val="0"/>
              <w:autoSpaceDN w:val="0"/>
              <w:adjustRightInd w:val="0"/>
              <w:ind w:left="24" w:leftChars="10" w:right="24" w:rightChars="10"/>
              <w:jc w:val="center"/>
              <w:rPr>
                <w:bCs/>
                <w:color w:val="auto"/>
                <w:sz w:val="21"/>
                <w:szCs w:val="21"/>
              </w:rPr>
            </w:pPr>
            <w:r>
              <w:rPr>
                <w:color w:val="auto"/>
                <w:kern w:val="0"/>
                <w:sz w:val="21"/>
                <w:szCs w:val="21"/>
              </w:rPr>
              <w:t>大鼠经口LD</w:t>
            </w:r>
            <w:r>
              <w:rPr>
                <w:rFonts w:hint="eastAsia"/>
                <w:color w:val="auto"/>
                <w:kern w:val="0"/>
                <w:sz w:val="21"/>
                <w:szCs w:val="21"/>
                <w:lang w:eastAsia="zh-CN"/>
              </w:rPr>
              <w:t>：</w:t>
            </w:r>
            <w:r>
              <w:rPr>
                <w:color w:val="auto"/>
                <w:kern w:val="0"/>
                <w:sz w:val="21"/>
                <w:szCs w:val="21"/>
              </w:rPr>
              <w:t>25mg/kg</w:t>
            </w:r>
          </w:p>
        </w:tc>
      </w:tr>
      <w:tr w14:paraId="7AB28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3" w:type="pct"/>
            <w:noWrap w:val="0"/>
            <w:vAlign w:val="center"/>
          </w:tcPr>
          <w:p w14:paraId="6BB7218A">
            <w:pPr>
              <w:autoSpaceDE w:val="0"/>
              <w:autoSpaceDN w:val="0"/>
              <w:adjustRightInd w:val="0"/>
              <w:ind w:left="24" w:leftChars="10" w:right="24" w:rightChars="10"/>
              <w:jc w:val="center"/>
              <w:rPr>
                <w:color w:val="auto"/>
                <w:kern w:val="0"/>
                <w:sz w:val="21"/>
                <w:szCs w:val="21"/>
              </w:rPr>
            </w:pPr>
            <w:r>
              <w:rPr>
                <w:color w:val="auto"/>
                <w:kern w:val="0"/>
                <w:sz w:val="21"/>
                <w:szCs w:val="21"/>
              </w:rPr>
              <w:t>10</w:t>
            </w:r>
          </w:p>
        </w:tc>
        <w:tc>
          <w:tcPr>
            <w:tcW w:w="749" w:type="pct"/>
            <w:noWrap w:val="0"/>
            <w:vAlign w:val="center"/>
          </w:tcPr>
          <w:p w14:paraId="779BB68F">
            <w:pPr>
              <w:autoSpaceDE w:val="0"/>
              <w:autoSpaceDN w:val="0"/>
              <w:adjustRightInd w:val="0"/>
              <w:ind w:left="24" w:leftChars="10" w:right="24" w:rightChars="10"/>
              <w:jc w:val="center"/>
              <w:rPr>
                <w:color w:val="auto"/>
                <w:kern w:val="0"/>
                <w:sz w:val="21"/>
                <w:szCs w:val="21"/>
              </w:rPr>
            </w:pPr>
            <w:r>
              <w:rPr>
                <w:color w:val="auto"/>
                <w:kern w:val="0"/>
                <w:sz w:val="21"/>
                <w:szCs w:val="21"/>
              </w:rPr>
              <w:t>聚乙烯醇</w:t>
            </w:r>
          </w:p>
          <w:p w14:paraId="0541B590">
            <w:pPr>
              <w:autoSpaceDE w:val="0"/>
              <w:autoSpaceDN w:val="0"/>
              <w:adjustRightInd w:val="0"/>
              <w:ind w:left="24" w:leftChars="10" w:right="24" w:rightChars="10"/>
              <w:jc w:val="center"/>
              <w:rPr>
                <w:color w:val="auto"/>
                <w:kern w:val="0"/>
                <w:sz w:val="21"/>
                <w:szCs w:val="21"/>
              </w:rPr>
            </w:pPr>
            <w:r>
              <w:rPr>
                <w:color w:val="auto"/>
                <w:kern w:val="0"/>
                <w:sz w:val="21"/>
                <w:szCs w:val="21"/>
              </w:rPr>
              <w:t>(C</w:t>
            </w:r>
            <w:r>
              <w:rPr>
                <w:color w:val="auto"/>
                <w:kern w:val="0"/>
                <w:sz w:val="21"/>
                <w:szCs w:val="21"/>
                <w:vertAlign w:val="subscript"/>
              </w:rPr>
              <w:t>2</w:t>
            </w:r>
            <w:r>
              <w:rPr>
                <w:color w:val="auto"/>
                <w:kern w:val="0"/>
                <w:sz w:val="21"/>
                <w:szCs w:val="21"/>
              </w:rPr>
              <w:t>H</w:t>
            </w:r>
            <w:r>
              <w:rPr>
                <w:color w:val="auto"/>
                <w:kern w:val="0"/>
                <w:sz w:val="21"/>
                <w:szCs w:val="21"/>
                <w:vertAlign w:val="subscript"/>
              </w:rPr>
              <w:t>4</w:t>
            </w:r>
            <w:r>
              <w:rPr>
                <w:color w:val="auto"/>
                <w:kern w:val="0"/>
                <w:sz w:val="21"/>
                <w:szCs w:val="21"/>
              </w:rPr>
              <w:t>O</w:t>
            </w:r>
            <w:r>
              <w:rPr>
                <w:rFonts w:hint="eastAsia"/>
                <w:bCs/>
                <w:color w:val="auto"/>
                <w:sz w:val="21"/>
                <w:szCs w:val="21"/>
                <w:lang w:eastAsia="zh-CN"/>
              </w:rPr>
              <w:t>）</w:t>
            </w:r>
            <w:r>
              <w:rPr>
                <w:color w:val="auto"/>
                <w:kern w:val="0"/>
                <w:sz w:val="21"/>
                <w:szCs w:val="21"/>
              </w:rPr>
              <w:t>n</w:t>
            </w:r>
          </w:p>
        </w:tc>
        <w:tc>
          <w:tcPr>
            <w:tcW w:w="2697" w:type="pct"/>
            <w:noWrap w:val="0"/>
            <w:vAlign w:val="center"/>
          </w:tcPr>
          <w:p w14:paraId="2E1F5A38">
            <w:pPr>
              <w:autoSpaceDE w:val="0"/>
              <w:autoSpaceDN w:val="0"/>
              <w:adjustRightInd w:val="0"/>
              <w:ind w:left="24" w:leftChars="10" w:right="24" w:rightChars="10"/>
              <w:jc w:val="center"/>
              <w:rPr>
                <w:color w:val="auto"/>
                <w:kern w:val="0"/>
                <w:sz w:val="21"/>
                <w:szCs w:val="21"/>
              </w:rPr>
            </w:pPr>
            <w:r>
              <w:rPr>
                <w:color w:val="auto"/>
                <w:kern w:val="0"/>
                <w:sz w:val="21"/>
                <w:szCs w:val="21"/>
              </w:rPr>
              <w:t>白色固体，无毒无味、无污染，可在80-90℃</w:t>
            </w:r>
            <w:r>
              <w:rPr>
                <w:color w:val="auto"/>
                <w:kern w:val="0"/>
                <w:sz w:val="21"/>
                <w:szCs w:val="21"/>
              </w:rPr>
              <w:fldChar w:fldCharType="begin"/>
            </w:r>
            <w:r>
              <w:rPr>
                <w:color w:val="auto"/>
                <w:kern w:val="0"/>
                <w:sz w:val="21"/>
                <w:szCs w:val="21"/>
              </w:rPr>
              <w:instrText xml:space="preserve">HYPERLINK "http://www.ichemistry.cn/chemistry/7732-18-5.htm" \t "_blank"</w:instrText>
            </w:r>
            <w:r>
              <w:rPr>
                <w:color w:val="auto"/>
                <w:kern w:val="0"/>
                <w:sz w:val="21"/>
                <w:szCs w:val="21"/>
              </w:rPr>
              <w:fldChar w:fldCharType="separate"/>
            </w:r>
            <w:r>
              <w:rPr>
                <w:color w:val="auto"/>
                <w:kern w:val="0"/>
                <w:sz w:val="21"/>
                <w:szCs w:val="21"/>
              </w:rPr>
              <w:t>水</w:t>
            </w:r>
            <w:r>
              <w:rPr>
                <w:color w:val="auto"/>
                <w:kern w:val="0"/>
                <w:sz w:val="21"/>
                <w:szCs w:val="21"/>
              </w:rPr>
              <w:fldChar w:fldCharType="end"/>
            </w:r>
            <w:r>
              <w:rPr>
                <w:color w:val="auto"/>
                <w:kern w:val="0"/>
                <w:sz w:val="21"/>
                <w:szCs w:val="21"/>
              </w:rPr>
              <w:t>中溶解，可燃，具有刺激性。</w:t>
            </w:r>
          </w:p>
        </w:tc>
        <w:tc>
          <w:tcPr>
            <w:tcW w:w="409" w:type="pct"/>
            <w:noWrap w:val="0"/>
            <w:vAlign w:val="center"/>
          </w:tcPr>
          <w:p w14:paraId="6668BBFC">
            <w:pPr>
              <w:autoSpaceDE w:val="0"/>
              <w:autoSpaceDN w:val="0"/>
              <w:adjustRightInd w:val="0"/>
              <w:ind w:left="24" w:leftChars="10" w:right="24" w:rightChars="10"/>
              <w:jc w:val="center"/>
              <w:rPr>
                <w:color w:val="auto"/>
                <w:kern w:val="0"/>
                <w:sz w:val="21"/>
                <w:szCs w:val="21"/>
              </w:rPr>
            </w:pPr>
            <w:r>
              <w:rPr>
                <w:color w:val="auto"/>
                <w:kern w:val="0"/>
                <w:sz w:val="21"/>
                <w:szCs w:val="21"/>
              </w:rPr>
              <w:t>/</w:t>
            </w:r>
          </w:p>
        </w:tc>
        <w:tc>
          <w:tcPr>
            <w:tcW w:w="880" w:type="pct"/>
            <w:noWrap w:val="0"/>
            <w:vAlign w:val="center"/>
          </w:tcPr>
          <w:p w14:paraId="63D83193">
            <w:pPr>
              <w:autoSpaceDE w:val="0"/>
              <w:autoSpaceDN w:val="0"/>
              <w:adjustRightInd w:val="0"/>
              <w:ind w:left="24" w:leftChars="10" w:right="24" w:rightChars="10"/>
              <w:jc w:val="center"/>
              <w:rPr>
                <w:color w:val="auto"/>
                <w:kern w:val="0"/>
                <w:sz w:val="21"/>
                <w:szCs w:val="21"/>
              </w:rPr>
            </w:pPr>
            <w:r>
              <w:rPr>
                <w:color w:val="auto"/>
                <w:kern w:val="0"/>
                <w:sz w:val="21"/>
                <w:szCs w:val="21"/>
              </w:rPr>
              <w:t>无资料</w:t>
            </w:r>
          </w:p>
        </w:tc>
      </w:tr>
      <w:tr w14:paraId="74516A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3" w:type="pct"/>
            <w:noWrap w:val="0"/>
            <w:vAlign w:val="center"/>
          </w:tcPr>
          <w:p w14:paraId="0C78EB32">
            <w:pPr>
              <w:autoSpaceDE w:val="0"/>
              <w:autoSpaceDN w:val="0"/>
              <w:adjustRightInd w:val="0"/>
              <w:ind w:left="24" w:leftChars="10" w:right="24" w:rightChars="10"/>
              <w:jc w:val="center"/>
              <w:rPr>
                <w:color w:val="auto"/>
                <w:kern w:val="0"/>
                <w:sz w:val="21"/>
                <w:szCs w:val="21"/>
              </w:rPr>
            </w:pPr>
            <w:r>
              <w:rPr>
                <w:color w:val="auto"/>
                <w:kern w:val="0"/>
                <w:sz w:val="21"/>
                <w:szCs w:val="21"/>
              </w:rPr>
              <w:t>11</w:t>
            </w:r>
          </w:p>
        </w:tc>
        <w:tc>
          <w:tcPr>
            <w:tcW w:w="749" w:type="pct"/>
            <w:noWrap w:val="0"/>
            <w:vAlign w:val="center"/>
          </w:tcPr>
          <w:p w14:paraId="7F5A4B26">
            <w:pPr>
              <w:autoSpaceDE w:val="0"/>
              <w:autoSpaceDN w:val="0"/>
              <w:adjustRightInd w:val="0"/>
              <w:ind w:left="24" w:leftChars="10" w:right="24" w:rightChars="10"/>
              <w:jc w:val="center"/>
              <w:rPr>
                <w:color w:val="auto"/>
                <w:kern w:val="0"/>
                <w:sz w:val="21"/>
                <w:szCs w:val="21"/>
              </w:rPr>
            </w:pPr>
            <w:r>
              <w:rPr>
                <w:color w:val="auto"/>
                <w:kern w:val="0"/>
                <w:sz w:val="21"/>
                <w:szCs w:val="21"/>
              </w:rPr>
              <w:t>邻苯二甲酸二丁酯</w:t>
            </w:r>
          </w:p>
          <w:p w14:paraId="3DE2D42F">
            <w:pPr>
              <w:autoSpaceDE w:val="0"/>
              <w:autoSpaceDN w:val="0"/>
              <w:adjustRightInd w:val="0"/>
              <w:ind w:left="24" w:leftChars="10" w:right="24" w:rightChars="10"/>
              <w:jc w:val="center"/>
              <w:rPr>
                <w:color w:val="auto"/>
                <w:kern w:val="0"/>
                <w:sz w:val="21"/>
                <w:szCs w:val="21"/>
              </w:rPr>
            </w:pPr>
            <w:r>
              <w:rPr>
                <w:color w:val="auto"/>
                <w:kern w:val="0"/>
                <w:sz w:val="21"/>
                <w:szCs w:val="21"/>
              </w:rPr>
              <w:t>C</w:t>
            </w:r>
            <w:r>
              <w:rPr>
                <w:color w:val="auto"/>
                <w:kern w:val="0"/>
                <w:sz w:val="21"/>
                <w:szCs w:val="21"/>
                <w:vertAlign w:val="subscript"/>
              </w:rPr>
              <w:t>16</w:t>
            </w:r>
            <w:r>
              <w:rPr>
                <w:color w:val="auto"/>
                <w:kern w:val="0"/>
                <w:sz w:val="21"/>
                <w:szCs w:val="21"/>
              </w:rPr>
              <w:t>H</w:t>
            </w:r>
            <w:r>
              <w:rPr>
                <w:color w:val="auto"/>
                <w:kern w:val="0"/>
                <w:sz w:val="21"/>
                <w:szCs w:val="21"/>
                <w:vertAlign w:val="subscript"/>
              </w:rPr>
              <w:t>22</w:t>
            </w:r>
            <w:r>
              <w:rPr>
                <w:color w:val="auto"/>
                <w:kern w:val="0"/>
                <w:sz w:val="21"/>
                <w:szCs w:val="21"/>
              </w:rPr>
              <w:t>O</w:t>
            </w:r>
            <w:r>
              <w:rPr>
                <w:color w:val="auto"/>
                <w:kern w:val="0"/>
                <w:sz w:val="21"/>
                <w:szCs w:val="21"/>
                <w:vertAlign w:val="subscript"/>
              </w:rPr>
              <w:t>4</w:t>
            </w:r>
          </w:p>
        </w:tc>
        <w:tc>
          <w:tcPr>
            <w:tcW w:w="2697" w:type="pct"/>
            <w:noWrap w:val="0"/>
            <w:vAlign w:val="center"/>
          </w:tcPr>
          <w:p w14:paraId="6323775E">
            <w:pPr>
              <w:autoSpaceDE w:val="0"/>
              <w:autoSpaceDN w:val="0"/>
              <w:adjustRightInd w:val="0"/>
              <w:ind w:left="24" w:leftChars="10" w:right="24" w:rightChars="10"/>
              <w:jc w:val="center"/>
              <w:rPr>
                <w:color w:val="auto"/>
                <w:kern w:val="0"/>
                <w:sz w:val="21"/>
                <w:szCs w:val="21"/>
              </w:rPr>
            </w:pPr>
            <w:r>
              <w:rPr>
                <w:color w:val="auto"/>
                <w:kern w:val="0"/>
                <w:sz w:val="21"/>
                <w:szCs w:val="21"/>
              </w:rPr>
              <w:t>无色油状液体，易溶于</w:t>
            </w:r>
            <w:r>
              <w:rPr>
                <w:color w:val="auto"/>
                <w:kern w:val="0"/>
                <w:sz w:val="21"/>
                <w:szCs w:val="21"/>
              </w:rPr>
              <w:fldChar w:fldCharType="begin"/>
            </w:r>
            <w:r>
              <w:rPr>
                <w:color w:val="auto"/>
                <w:kern w:val="0"/>
                <w:sz w:val="21"/>
                <w:szCs w:val="21"/>
              </w:rPr>
              <w:instrText xml:space="preserve">HYPERLINK "http://www.ichemistry.cn/chemistry/64-17-5.htm" \t "_blank"</w:instrText>
            </w:r>
            <w:r>
              <w:rPr>
                <w:color w:val="auto"/>
                <w:kern w:val="0"/>
                <w:sz w:val="21"/>
                <w:szCs w:val="21"/>
              </w:rPr>
              <w:fldChar w:fldCharType="separate"/>
            </w:r>
            <w:r>
              <w:rPr>
                <w:color w:val="auto"/>
                <w:kern w:val="0"/>
                <w:sz w:val="21"/>
                <w:szCs w:val="21"/>
              </w:rPr>
              <w:t>乙醇</w:t>
            </w:r>
            <w:r>
              <w:rPr>
                <w:color w:val="auto"/>
                <w:kern w:val="0"/>
                <w:sz w:val="21"/>
                <w:szCs w:val="21"/>
              </w:rPr>
              <w:fldChar w:fldCharType="end"/>
            </w:r>
            <w:r>
              <w:rPr>
                <w:color w:val="auto"/>
                <w:kern w:val="0"/>
                <w:sz w:val="21"/>
                <w:szCs w:val="21"/>
              </w:rPr>
              <w:t>、</w:t>
            </w:r>
            <w:r>
              <w:rPr>
                <w:color w:val="auto"/>
                <w:kern w:val="0"/>
                <w:sz w:val="21"/>
                <w:szCs w:val="21"/>
              </w:rPr>
              <w:fldChar w:fldCharType="begin"/>
            </w:r>
            <w:r>
              <w:rPr>
                <w:color w:val="auto"/>
                <w:kern w:val="0"/>
                <w:sz w:val="21"/>
                <w:szCs w:val="21"/>
              </w:rPr>
              <w:instrText xml:space="preserve">HYPERLINK "http://www.ichemistry.cn/chemistry/60-29-7.htm" \t "_blank"</w:instrText>
            </w:r>
            <w:r>
              <w:rPr>
                <w:color w:val="auto"/>
                <w:kern w:val="0"/>
                <w:sz w:val="21"/>
                <w:szCs w:val="21"/>
              </w:rPr>
              <w:fldChar w:fldCharType="separate"/>
            </w:r>
            <w:r>
              <w:rPr>
                <w:color w:val="auto"/>
                <w:kern w:val="0"/>
                <w:sz w:val="21"/>
                <w:szCs w:val="21"/>
              </w:rPr>
              <w:t>乙醚</w:t>
            </w:r>
            <w:r>
              <w:rPr>
                <w:color w:val="auto"/>
                <w:kern w:val="0"/>
                <w:sz w:val="21"/>
                <w:szCs w:val="21"/>
              </w:rPr>
              <w:fldChar w:fldCharType="end"/>
            </w:r>
            <w:r>
              <w:rPr>
                <w:color w:val="auto"/>
                <w:kern w:val="0"/>
                <w:sz w:val="21"/>
                <w:szCs w:val="21"/>
              </w:rPr>
              <w:t>、</w:t>
            </w:r>
            <w:r>
              <w:rPr>
                <w:color w:val="auto"/>
                <w:kern w:val="0"/>
                <w:sz w:val="21"/>
                <w:szCs w:val="21"/>
              </w:rPr>
              <w:fldChar w:fldCharType="begin"/>
            </w:r>
            <w:r>
              <w:rPr>
                <w:color w:val="auto"/>
                <w:kern w:val="0"/>
                <w:sz w:val="21"/>
                <w:szCs w:val="21"/>
              </w:rPr>
              <w:instrText xml:space="preserve">HYPERLINK "http://www.ichemistry.cn/chemistry/67-64-1.htm" \t "_blank"</w:instrText>
            </w:r>
            <w:r>
              <w:rPr>
                <w:color w:val="auto"/>
                <w:kern w:val="0"/>
                <w:sz w:val="21"/>
                <w:szCs w:val="21"/>
              </w:rPr>
              <w:fldChar w:fldCharType="separate"/>
            </w:r>
            <w:r>
              <w:rPr>
                <w:color w:val="auto"/>
                <w:kern w:val="0"/>
                <w:sz w:val="21"/>
                <w:szCs w:val="21"/>
              </w:rPr>
              <w:t>丙酮</w:t>
            </w:r>
            <w:r>
              <w:rPr>
                <w:color w:val="auto"/>
                <w:kern w:val="0"/>
                <w:sz w:val="21"/>
                <w:szCs w:val="21"/>
              </w:rPr>
              <w:fldChar w:fldCharType="end"/>
            </w:r>
            <w:r>
              <w:rPr>
                <w:color w:val="auto"/>
                <w:kern w:val="0"/>
                <w:sz w:val="21"/>
                <w:szCs w:val="21"/>
              </w:rPr>
              <w:t>和</w:t>
            </w:r>
            <w:r>
              <w:rPr>
                <w:color w:val="auto"/>
                <w:kern w:val="0"/>
                <w:sz w:val="21"/>
                <w:szCs w:val="21"/>
              </w:rPr>
              <w:fldChar w:fldCharType="begin"/>
            </w:r>
            <w:r>
              <w:rPr>
                <w:color w:val="auto"/>
                <w:kern w:val="0"/>
                <w:sz w:val="21"/>
                <w:szCs w:val="21"/>
              </w:rPr>
              <w:instrText xml:space="preserve">HYPERLINK "http://www.ichemistry.cn/chemistry/71-43-2.htm" \t "_blank"</w:instrText>
            </w:r>
            <w:r>
              <w:rPr>
                <w:color w:val="auto"/>
                <w:kern w:val="0"/>
                <w:sz w:val="21"/>
                <w:szCs w:val="21"/>
              </w:rPr>
              <w:fldChar w:fldCharType="separate"/>
            </w:r>
            <w:r>
              <w:rPr>
                <w:color w:val="auto"/>
                <w:kern w:val="0"/>
                <w:sz w:val="21"/>
                <w:szCs w:val="21"/>
              </w:rPr>
              <w:t>苯</w:t>
            </w:r>
            <w:r>
              <w:rPr>
                <w:color w:val="auto"/>
                <w:kern w:val="0"/>
                <w:sz w:val="21"/>
                <w:szCs w:val="21"/>
              </w:rPr>
              <w:fldChar w:fldCharType="end"/>
            </w:r>
            <w:r>
              <w:rPr>
                <w:color w:val="auto"/>
                <w:kern w:val="0"/>
                <w:sz w:val="21"/>
                <w:szCs w:val="21"/>
              </w:rPr>
              <w:t>。熔点-35°C，沸点340°C，密度1.043g/mLat25°C，闪点340°F，易燃。</w:t>
            </w:r>
          </w:p>
        </w:tc>
        <w:tc>
          <w:tcPr>
            <w:tcW w:w="409" w:type="pct"/>
            <w:noWrap w:val="0"/>
            <w:vAlign w:val="center"/>
          </w:tcPr>
          <w:p w14:paraId="26EF6160">
            <w:pPr>
              <w:autoSpaceDE w:val="0"/>
              <w:autoSpaceDN w:val="0"/>
              <w:adjustRightInd w:val="0"/>
              <w:ind w:left="24" w:leftChars="10" w:right="24" w:rightChars="10"/>
              <w:jc w:val="center"/>
              <w:rPr>
                <w:color w:val="auto"/>
                <w:kern w:val="0"/>
                <w:sz w:val="21"/>
                <w:szCs w:val="21"/>
              </w:rPr>
            </w:pPr>
            <w:r>
              <w:rPr>
                <w:color w:val="auto"/>
                <w:kern w:val="0"/>
                <w:sz w:val="21"/>
                <w:szCs w:val="21"/>
              </w:rPr>
              <w:t>/</w:t>
            </w:r>
          </w:p>
        </w:tc>
        <w:tc>
          <w:tcPr>
            <w:tcW w:w="880" w:type="pct"/>
            <w:noWrap w:val="0"/>
            <w:vAlign w:val="center"/>
          </w:tcPr>
          <w:p w14:paraId="4725EDB5">
            <w:pPr>
              <w:autoSpaceDE w:val="0"/>
              <w:autoSpaceDN w:val="0"/>
              <w:adjustRightInd w:val="0"/>
              <w:ind w:left="24" w:leftChars="10" w:right="24" w:rightChars="10"/>
              <w:jc w:val="center"/>
              <w:rPr>
                <w:color w:val="auto"/>
                <w:kern w:val="0"/>
                <w:sz w:val="21"/>
                <w:szCs w:val="21"/>
              </w:rPr>
            </w:pPr>
            <w:r>
              <w:rPr>
                <w:color w:val="auto"/>
                <w:kern w:val="0"/>
                <w:sz w:val="21"/>
                <w:szCs w:val="21"/>
              </w:rPr>
              <w:t>LD</w:t>
            </w:r>
            <w:r>
              <w:rPr>
                <w:color w:val="auto"/>
                <w:kern w:val="0"/>
                <w:sz w:val="21"/>
                <w:szCs w:val="21"/>
                <w:vertAlign w:val="subscript"/>
              </w:rPr>
              <w:t>50</w:t>
            </w:r>
            <w:r>
              <w:rPr>
                <w:color w:val="auto"/>
                <w:kern w:val="0"/>
                <w:sz w:val="21"/>
                <w:szCs w:val="21"/>
              </w:rPr>
              <w:t>：大鼠经口：8000mg/kg</w:t>
            </w:r>
          </w:p>
          <w:p w14:paraId="11D616BA">
            <w:pPr>
              <w:autoSpaceDE w:val="0"/>
              <w:autoSpaceDN w:val="0"/>
              <w:adjustRightInd w:val="0"/>
              <w:ind w:left="24" w:leftChars="10" w:right="24" w:rightChars="10"/>
              <w:jc w:val="center"/>
              <w:rPr>
                <w:color w:val="auto"/>
                <w:kern w:val="0"/>
                <w:sz w:val="21"/>
                <w:szCs w:val="21"/>
              </w:rPr>
            </w:pPr>
            <w:r>
              <w:rPr>
                <w:color w:val="auto"/>
                <w:kern w:val="0"/>
                <w:sz w:val="21"/>
                <w:szCs w:val="21"/>
              </w:rPr>
              <w:t>LC</w:t>
            </w:r>
            <w:r>
              <w:rPr>
                <w:color w:val="auto"/>
                <w:kern w:val="0"/>
                <w:sz w:val="21"/>
                <w:szCs w:val="21"/>
                <w:vertAlign w:val="subscript"/>
              </w:rPr>
              <w:t>50</w:t>
            </w:r>
            <w:r>
              <w:rPr>
                <w:color w:val="auto"/>
                <w:kern w:val="0"/>
                <w:sz w:val="21"/>
                <w:szCs w:val="21"/>
              </w:rPr>
              <w:t>：小鼠吸入：25mg/L</w:t>
            </w:r>
            <w:r>
              <w:rPr>
                <w:rFonts w:hint="eastAsia"/>
                <w:color w:val="auto"/>
                <w:kern w:val="0"/>
                <w:sz w:val="21"/>
                <w:szCs w:val="21"/>
                <w:lang w:eastAsia="zh-CN"/>
              </w:rPr>
              <w:t>（</w:t>
            </w:r>
            <w:r>
              <w:rPr>
                <w:color w:val="auto"/>
                <w:kern w:val="0"/>
                <w:sz w:val="21"/>
                <w:szCs w:val="21"/>
              </w:rPr>
              <w:t>气溶胶</w:t>
            </w:r>
            <w:r>
              <w:rPr>
                <w:rFonts w:hint="eastAsia"/>
                <w:color w:val="auto"/>
                <w:kern w:val="0"/>
                <w:sz w:val="21"/>
                <w:szCs w:val="21"/>
                <w:lang w:eastAsia="zh-CN"/>
              </w:rPr>
              <w:t>）</w:t>
            </w:r>
          </w:p>
        </w:tc>
      </w:tr>
      <w:tr w14:paraId="35200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3" w:type="pct"/>
            <w:noWrap w:val="0"/>
            <w:vAlign w:val="center"/>
          </w:tcPr>
          <w:p w14:paraId="3D5A4F15">
            <w:pPr>
              <w:autoSpaceDE w:val="0"/>
              <w:autoSpaceDN w:val="0"/>
              <w:adjustRightInd w:val="0"/>
              <w:ind w:left="24" w:leftChars="10" w:right="24" w:rightChars="10"/>
              <w:jc w:val="center"/>
              <w:rPr>
                <w:color w:val="auto"/>
                <w:kern w:val="0"/>
                <w:sz w:val="21"/>
                <w:szCs w:val="21"/>
              </w:rPr>
            </w:pPr>
            <w:r>
              <w:rPr>
                <w:color w:val="auto"/>
                <w:kern w:val="0"/>
                <w:sz w:val="21"/>
                <w:szCs w:val="21"/>
              </w:rPr>
              <w:t>12</w:t>
            </w:r>
          </w:p>
        </w:tc>
        <w:tc>
          <w:tcPr>
            <w:tcW w:w="749" w:type="pct"/>
            <w:noWrap w:val="0"/>
            <w:vAlign w:val="center"/>
          </w:tcPr>
          <w:p w14:paraId="02E7EBE3">
            <w:pPr>
              <w:autoSpaceDE w:val="0"/>
              <w:autoSpaceDN w:val="0"/>
              <w:adjustRightInd w:val="0"/>
              <w:ind w:left="24" w:leftChars="10" w:right="24" w:rightChars="10"/>
              <w:jc w:val="center"/>
              <w:rPr>
                <w:color w:val="auto"/>
                <w:kern w:val="0"/>
                <w:sz w:val="21"/>
                <w:szCs w:val="21"/>
              </w:rPr>
            </w:pPr>
            <w:r>
              <w:rPr>
                <w:color w:val="auto"/>
                <w:kern w:val="0"/>
                <w:sz w:val="21"/>
                <w:szCs w:val="21"/>
              </w:rPr>
              <w:t>辛醇</w:t>
            </w:r>
          </w:p>
          <w:p w14:paraId="638D24DD">
            <w:pPr>
              <w:autoSpaceDE w:val="0"/>
              <w:autoSpaceDN w:val="0"/>
              <w:adjustRightInd w:val="0"/>
              <w:ind w:left="24" w:leftChars="10" w:right="24" w:rightChars="10"/>
              <w:jc w:val="center"/>
              <w:rPr>
                <w:color w:val="auto"/>
                <w:kern w:val="0"/>
                <w:sz w:val="21"/>
                <w:szCs w:val="21"/>
              </w:rPr>
            </w:pPr>
            <w:r>
              <w:rPr>
                <w:color w:val="auto"/>
                <w:kern w:val="0"/>
                <w:sz w:val="21"/>
                <w:szCs w:val="21"/>
              </w:rPr>
              <w:t>C</w:t>
            </w:r>
            <w:r>
              <w:rPr>
                <w:color w:val="auto"/>
                <w:kern w:val="0"/>
                <w:sz w:val="21"/>
                <w:szCs w:val="21"/>
                <w:vertAlign w:val="subscript"/>
              </w:rPr>
              <w:t>8</w:t>
            </w:r>
            <w:r>
              <w:rPr>
                <w:color w:val="auto"/>
                <w:kern w:val="0"/>
                <w:sz w:val="21"/>
                <w:szCs w:val="21"/>
              </w:rPr>
              <w:t>H</w:t>
            </w:r>
            <w:r>
              <w:rPr>
                <w:color w:val="auto"/>
                <w:kern w:val="0"/>
                <w:sz w:val="21"/>
                <w:szCs w:val="21"/>
                <w:vertAlign w:val="subscript"/>
              </w:rPr>
              <w:t>18</w:t>
            </w:r>
            <w:r>
              <w:rPr>
                <w:color w:val="auto"/>
                <w:kern w:val="0"/>
                <w:sz w:val="21"/>
                <w:szCs w:val="21"/>
              </w:rPr>
              <w:t>O</w:t>
            </w:r>
          </w:p>
        </w:tc>
        <w:tc>
          <w:tcPr>
            <w:tcW w:w="2697" w:type="pct"/>
            <w:noWrap w:val="0"/>
            <w:vAlign w:val="center"/>
          </w:tcPr>
          <w:p w14:paraId="02CA5431">
            <w:pPr>
              <w:autoSpaceDE w:val="0"/>
              <w:autoSpaceDN w:val="0"/>
              <w:adjustRightInd w:val="0"/>
              <w:ind w:left="24" w:leftChars="10" w:right="24" w:rightChars="10"/>
              <w:jc w:val="center"/>
              <w:rPr>
                <w:color w:val="auto"/>
                <w:kern w:val="0"/>
                <w:sz w:val="21"/>
                <w:szCs w:val="21"/>
              </w:rPr>
            </w:pPr>
            <w:r>
              <w:rPr>
                <w:color w:val="auto"/>
                <w:kern w:val="0"/>
                <w:sz w:val="21"/>
                <w:szCs w:val="21"/>
              </w:rPr>
              <w:t>无色油状液体，熔点-16.3℃，沸点194.45℃，相对密度0.8270（20/4℃），闪点81℃。能与</w:t>
            </w:r>
            <w:r>
              <w:rPr>
                <w:color w:val="auto"/>
                <w:kern w:val="0"/>
                <w:sz w:val="21"/>
                <w:szCs w:val="21"/>
              </w:rPr>
              <w:fldChar w:fldCharType="begin"/>
            </w:r>
            <w:r>
              <w:rPr>
                <w:color w:val="auto"/>
                <w:kern w:val="0"/>
                <w:sz w:val="21"/>
                <w:szCs w:val="21"/>
              </w:rPr>
              <w:instrText xml:space="preserve">HYPERLINK "http://www.ichemistry.cn/chemistry/64-17-5.htm" \t "_blank"</w:instrText>
            </w:r>
            <w:r>
              <w:rPr>
                <w:color w:val="auto"/>
                <w:kern w:val="0"/>
                <w:sz w:val="21"/>
                <w:szCs w:val="21"/>
              </w:rPr>
              <w:fldChar w:fldCharType="separate"/>
            </w:r>
            <w:r>
              <w:rPr>
                <w:color w:val="auto"/>
                <w:kern w:val="0"/>
                <w:sz w:val="21"/>
                <w:szCs w:val="21"/>
              </w:rPr>
              <w:t>乙醇</w:t>
            </w:r>
            <w:r>
              <w:rPr>
                <w:color w:val="auto"/>
                <w:kern w:val="0"/>
                <w:sz w:val="21"/>
                <w:szCs w:val="21"/>
              </w:rPr>
              <w:fldChar w:fldCharType="end"/>
            </w:r>
            <w:r>
              <w:rPr>
                <w:color w:val="auto"/>
                <w:kern w:val="0"/>
                <w:sz w:val="21"/>
                <w:szCs w:val="21"/>
              </w:rPr>
              <w:t>、</w:t>
            </w:r>
            <w:r>
              <w:rPr>
                <w:color w:val="auto"/>
                <w:kern w:val="0"/>
                <w:sz w:val="21"/>
                <w:szCs w:val="21"/>
              </w:rPr>
              <w:fldChar w:fldCharType="begin"/>
            </w:r>
            <w:r>
              <w:rPr>
                <w:color w:val="auto"/>
                <w:kern w:val="0"/>
                <w:sz w:val="21"/>
                <w:szCs w:val="21"/>
              </w:rPr>
              <w:instrText xml:space="preserve">HYPERLINK "http://www.ichemistry.cn/chemistry/60-29-7.htm" \t "_blank"</w:instrText>
            </w:r>
            <w:r>
              <w:rPr>
                <w:color w:val="auto"/>
                <w:kern w:val="0"/>
                <w:sz w:val="21"/>
                <w:szCs w:val="21"/>
              </w:rPr>
              <w:fldChar w:fldCharType="separate"/>
            </w:r>
            <w:r>
              <w:rPr>
                <w:color w:val="auto"/>
                <w:kern w:val="0"/>
                <w:sz w:val="21"/>
                <w:szCs w:val="21"/>
              </w:rPr>
              <w:t>乙醚</w:t>
            </w:r>
            <w:r>
              <w:rPr>
                <w:color w:val="auto"/>
                <w:kern w:val="0"/>
                <w:sz w:val="21"/>
                <w:szCs w:val="21"/>
              </w:rPr>
              <w:fldChar w:fldCharType="end"/>
            </w:r>
            <w:r>
              <w:rPr>
                <w:color w:val="auto"/>
                <w:kern w:val="0"/>
                <w:sz w:val="21"/>
                <w:szCs w:val="21"/>
              </w:rPr>
              <w:t>和</w:t>
            </w:r>
            <w:r>
              <w:rPr>
                <w:color w:val="auto"/>
                <w:kern w:val="0"/>
                <w:sz w:val="21"/>
                <w:szCs w:val="21"/>
              </w:rPr>
              <w:fldChar w:fldCharType="begin"/>
            </w:r>
            <w:r>
              <w:rPr>
                <w:color w:val="auto"/>
                <w:kern w:val="0"/>
                <w:sz w:val="21"/>
                <w:szCs w:val="21"/>
              </w:rPr>
              <w:instrText xml:space="preserve">HYPERLINK "http://www.ichemistry.cn/chemistry/67-66-3.htm" \t "_blank"</w:instrText>
            </w:r>
            <w:r>
              <w:rPr>
                <w:color w:val="auto"/>
                <w:kern w:val="0"/>
                <w:sz w:val="21"/>
                <w:szCs w:val="21"/>
              </w:rPr>
              <w:fldChar w:fldCharType="separate"/>
            </w:r>
            <w:r>
              <w:rPr>
                <w:color w:val="auto"/>
                <w:kern w:val="0"/>
                <w:sz w:val="21"/>
                <w:szCs w:val="21"/>
              </w:rPr>
              <w:t>氯仿</w:t>
            </w:r>
            <w:r>
              <w:rPr>
                <w:color w:val="auto"/>
                <w:kern w:val="0"/>
                <w:sz w:val="21"/>
                <w:szCs w:val="21"/>
              </w:rPr>
              <w:fldChar w:fldCharType="end"/>
            </w:r>
            <w:r>
              <w:rPr>
                <w:color w:val="auto"/>
                <w:kern w:val="0"/>
                <w:sz w:val="21"/>
                <w:szCs w:val="21"/>
              </w:rPr>
              <w:t>混溶，不溶于</w:t>
            </w:r>
            <w:r>
              <w:rPr>
                <w:color w:val="auto"/>
                <w:kern w:val="0"/>
                <w:sz w:val="21"/>
                <w:szCs w:val="21"/>
              </w:rPr>
              <w:fldChar w:fldCharType="begin"/>
            </w:r>
            <w:r>
              <w:rPr>
                <w:color w:val="auto"/>
                <w:kern w:val="0"/>
                <w:sz w:val="21"/>
                <w:szCs w:val="21"/>
              </w:rPr>
              <w:instrText xml:space="preserve">HYPERLINK "http://www.ichemistry.cn/chemistry/7732-18-5.htm" \t "_blank"</w:instrText>
            </w:r>
            <w:r>
              <w:rPr>
                <w:color w:val="auto"/>
                <w:kern w:val="0"/>
                <w:sz w:val="21"/>
                <w:szCs w:val="21"/>
              </w:rPr>
              <w:fldChar w:fldCharType="separate"/>
            </w:r>
            <w:r>
              <w:rPr>
                <w:color w:val="auto"/>
                <w:kern w:val="0"/>
                <w:sz w:val="21"/>
                <w:szCs w:val="21"/>
              </w:rPr>
              <w:t>水</w:t>
            </w:r>
            <w:r>
              <w:rPr>
                <w:color w:val="auto"/>
                <w:kern w:val="0"/>
                <w:sz w:val="21"/>
                <w:szCs w:val="21"/>
              </w:rPr>
              <w:fldChar w:fldCharType="end"/>
            </w:r>
            <w:r>
              <w:rPr>
                <w:color w:val="auto"/>
                <w:kern w:val="0"/>
                <w:sz w:val="21"/>
                <w:szCs w:val="21"/>
              </w:rPr>
              <w:t>。遇明火、强氧化剂易爆。</w:t>
            </w:r>
          </w:p>
        </w:tc>
        <w:tc>
          <w:tcPr>
            <w:tcW w:w="409" w:type="pct"/>
            <w:noWrap w:val="0"/>
            <w:vAlign w:val="center"/>
          </w:tcPr>
          <w:p w14:paraId="5F5EC096">
            <w:pPr>
              <w:autoSpaceDE w:val="0"/>
              <w:autoSpaceDN w:val="0"/>
              <w:adjustRightInd w:val="0"/>
              <w:ind w:left="24" w:leftChars="10" w:right="24" w:rightChars="10"/>
              <w:jc w:val="center"/>
              <w:rPr>
                <w:color w:val="auto"/>
                <w:kern w:val="0"/>
                <w:sz w:val="21"/>
                <w:szCs w:val="21"/>
              </w:rPr>
            </w:pPr>
            <w:r>
              <w:rPr>
                <w:color w:val="auto"/>
                <w:kern w:val="0"/>
                <w:sz w:val="21"/>
                <w:szCs w:val="21"/>
              </w:rPr>
              <w:t>/</w:t>
            </w:r>
          </w:p>
        </w:tc>
        <w:tc>
          <w:tcPr>
            <w:tcW w:w="880" w:type="pct"/>
            <w:noWrap w:val="0"/>
            <w:vAlign w:val="center"/>
          </w:tcPr>
          <w:p w14:paraId="43D49550">
            <w:pPr>
              <w:autoSpaceDE w:val="0"/>
              <w:autoSpaceDN w:val="0"/>
              <w:adjustRightInd w:val="0"/>
              <w:ind w:left="24" w:leftChars="10" w:right="24" w:rightChars="10"/>
              <w:jc w:val="center"/>
              <w:rPr>
                <w:color w:val="auto"/>
                <w:kern w:val="0"/>
                <w:sz w:val="21"/>
                <w:szCs w:val="21"/>
              </w:rPr>
            </w:pPr>
            <w:r>
              <w:rPr>
                <w:color w:val="auto"/>
                <w:kern w:val="0"/>
                <w:sz w:val="21"/>
                <w:szCs w:val="21"/>
              </w:rPr>
              <w:t>LD</w:t>
            </w:r>
            <w:r>
              <w:rPr>
                <w:color w:val="auto"/>
                <w:kern w:val="0"/>
                <w:sz w:val="21"/>
                <w:szCs w:val="21"/>
                <w:vertAlign w:val="subscript"/>
              </w:rPr>
              <w:t>50</w:t>
            </w:r>
            <w:r>
              <w:rPr>
                <w:color w:val="auto"/>
                <w:kern w:val="0"/>
                <w:sz w:val="21"/>
                <w:szCs w:val="21"/>
              </w:rPr>
              <w:t>：1790mg/kg</w:t>
            </w:r>
            <w:r>
              <w:rPr>
                <w:rFonts w:hint="eastAsia"/>
                <w:color w:val="auto"/>
                <w:kern w:val="0"/>
                <w:sz w:val="21"/>
                <w:szCs w:val="21"/>
                <w:lang w:eastAsia="zh-CN"/>
              </w:rPr>
              <w:t>（</w:t>
            </w:r>
            <w:r>
              <w:rPr>
                <w:color w:val="auto"/>
                <w:kern w:val="0"/>
                <w:sz w:val="21"/>
                <w:szCs w:val="21"/>
              </w:rPr>
              <w:t>小鼠经口</w:t>
            </w:r>
            <w:r>
              <w:rPr>
                <w:rFonts w:hint="eastAsia"/>
                <w:color w:val="auto"/>
                <w:kern w:val="0"/>
                <w:sz w:val="21"/>
                <w:szCs w:val="21"/>
                <w:lang w:eastAsia="zh-CN"/>
              </w:rPr>
              <w:t>）；</w:t>
            </w:r>
            <w:r>
              <w:rPr>
                <w:color w:val="auto"/>
                <w:kern w:val="0"/>
                <w:sz w:val="21"/>
                <w:szCs w:val="21"/>
              </w:rPr>
              <w:t>3200mg/kg</w:t>
            </w:r>
            <w:r>
              <w:rPr>
                <w:rFonts w:hint="eastAsia"/>
                <w:color w:val="auto"/>
                <w:kern w:val="0"/>
                <w:sz w:val="21"/>
                <w:szCs w:val="21"/>
                <w:lang w:eastAsia="zh-CN"/>
              </w:rPr>
              <w:t>（</w:t>
            </w:r>
            <w:r>
              <w:rPr>
                <w:color w:val="auto"/>
                <w:kern w:val="0"/>
                <w:sz w:val="21"/>
                <w:szCs w:val="21"/>
              </w:rPr>
              <w:t>大鼠经口</w:t>
            </w:r>
            <w:r>
              <w:rPr>
                <w:rFonts w:hint="eastAsia"/>
                <w:color w:val="auto"/>
                <w:kern w:val="0"/>
                <w:sz w:val="21"/>
                <w:szCs w:val="21"/>
                <w:lang w:eastAsia="zh-CN"/>
              </w:rPr>
              <w:t>）</w:t>
            </w:r>
          </w:p>
        </w:tc>
      </w:tr>
      <w:tr w14:paraId="181C5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3" w:type="pct"/>
            <w:noWrap w:val="0"/>
            <w:vAlign w:val="center"/>
          </w:tcPr>
          <w:p w14:paraId="63C2A929">
            <w:pPr>
              <w:autoSpaceDE w:val="0"/>
              <w:autoSpaceDN w:val="0"/>
              <w:adjustRightInd w:val="0"/>
              <w:ind w:left="24" w:leftChars="10" w:right="24" w:rightChars="10"/>
              <w:jc w:val="center"/>
              <w:rPr>
                <w:color w:val="auto"/>
                <w:kern w:val="0"/>
                <w:sz w:val="21"/>
                <w:szCs w:val="21"/>
              </w:rPr>
            </w:pPr>
            <w:r>
              <w:rPr>
                <w:color w:val="auto"/>
                <w:kern w:val="0"/>
                <w:sz w:val="21"/>
                <w:szCs w:val="21"/>
              </w:rPr>
              <w:t>13</w:t>
            </w:r>
          </w:p>
        </w:tc>
        <w:tc>
          <w:tcPr>
            <w:tcW w:w="749" w:type="pct"/>
            <w:noWrap w:val="0"/>
            <w:vAlign w:val="center"/>
          </w:tcPr>
          <w:p w14:paraId="0A25F0A4">
            <w:pPr>
              <w:autoSpaceDE w:val="0"/>
              <w:autoSpaceDN w:val="0"/>
              <w:adjustRightInd w:val="0"/>
              <w:ind w:left="24" w:leftChars="10" w:right="24" w:rightChars="10"/>
              <w:jc w:val="center"/>
              <w:rPr>
                <w:color w:val="auto"/>
                <w:kern w:val="0"/>
                <w:sz w:val="21"/>
                <w:szCs w:val="21"/>
              </w:rPr>
            </w:pPr>
            <w:r>
              <w:rPr>
                <w:color w:val="auto"/>
                <w:kern w:val="0"/>
                <w:sz w:val="21"/>
                <w:szCs w:val="21"/>
              </w:rPr>
              <w:t>过硫酸铵</w:t>
            </w:r>
          </w:p>
          <w:p w14:paraId="5B36BE58">
            <w:pPr>
              <w:autoSpaceDE w:val="0"/>
              <w:autoSpaceDN w:val="0"/>
              <w:adjustRightInd w:val="0"/>
              <w:ind w:left="24" w:leftChars="10" w:right="24" w:rightChars="10"/>
              <w:jc w:val="center"/>
              <w:rPr>
                <w:color w:val="auto"/>
                <w:kern w:val="0"/>
                <w:sz w:val="21"/>
                <w:szCs w:val="21"/>
              </w:rPr>
            </w:pPr>
            <w:r>
              <w:rPr>
                <w:color w:val="auto"/>
                <w:kern w:val="0"/>
                <w:sz w:val="21"/>
                <w:szCs w:val="21"/>
              </w:rPr>
              <w:t>H</w:t>
            </w:r>
            <w:r>
              <w:rPr>
                <w:color w:val="auto"/>
                <w:kern w:val="0"/>
                <w:sz w:val="21"/>
                <w:szCs w:val="21"/>
                <w:vertAlign w:val="subscript"/>
              </w:rPr>
              <w:t>8</w:t>
            </w:r>
            <w:r>
              <w:rPr>
                <w:color w:val="auto"/>
                <w:kern w:val="0"/>
                <w:sz w:val="21"/>
                <w:szCs w:val="21"/>
              </w:rPr>
              <w:t>N</w:t>
            </w:r>
            <w:r>
              <w:rPr>
                <w:color w:val="auto"/>
                <w:kern w:val="0"/>
                <w:sz w:val="21"/>
                <w:szCs w:val="21"/>
                <w:vertAlign w:val="subscript"/>
              </w:rPr>
              <w:t>2</w:t>
            </w:r>
            <w:r>
              <w:rPr>
                <w:color w:val="auto"/>
                <w:kern w:val="0"/>
                <w:sz w:val="21"/>
                <w:szCs w:val="21"/>
              </w:rPr>
              <w:t>O</w:t>
            </w:r>
            <w:r>
              <w:rPr>
                <w:color w:val="auto"/>
                <w:kern w:val="0"/>
                <w:sz w:val="21"/>
                <w:szCs w:val="21"/>
                <w:vertAlign w:val="subscript"/>
              </w:rPr>
              <w:t>8</w:t>
            </w:r>
            <w:r>
              <w:rPr>
                <w:color w:val="auto"/>
                <w:kern w:val="0"/>
                <w:sz w:val="21"/>
                <w:szCs w:val="21"/>
              </w:rPr>
              <w:t>S</w:t>
            </w:r>
            <w:r>
              <w:rPr>
                <w:color w:val="auto"/>
                <w:kern w:val="0"/>
                <w:sz w:val="21"/>
                <w:szCs w:val="21"/>
                <w:vertAlign w:val="subscript"/>
              </w:rPr>
              <w:t>2</w:t>
            </w:r>
          </w:p>
        </w:tc>
        <w:tc>
          <w:tcPr>
            <w:tcW w:w="2697" w:type="pct"/>
            <w:noWrap w:val="0"/>
            <w:vAlign w:val="center"/>
          </w:tcPr>
          <w:p w14:paraId="74277F1E">
            <w:pPr>
              <w:autoSpaceDE w:val="0"/>
              <w:autoSpaceDN w:val="0"/>
              <w:adjustRightInd w:val="0"/>
              <w:ind w:left="24" w:leftChars="10" w:right="24" w:rightChars="10"/>
              <w:jc w:val="center"/>
              <w:rPr>
                <w:color w:val="auto"/>
                <w:kern w:val="0"/>
                <w:sz w:val="21"/>
                <w:szCs w:val="21"/>
              </w:rPr>
            </w:pPr>
            <w:r>
              <w:rPr>
                <w:color w:val="auto"/>
                <w:kern w:val="0"/>
                <w:sz w:val="21"/>
                <w:szCs w:val="21"/>
              </w:rPr>
              <w:t>白色粉末，无味。干燥纯品</w:t>
            </w:r>
            <w:r>
              <w:rPr>
                <w:color w:val="auto"/>
                <w:kern w:val="0"/>
                <w:sz w:val="21"/>
                <w:szCs w:val="21"/>
              </w:rPr>
              <w:fldChar w:fldCharType="begin"/>
            </w:r>
            <w:r>
              <w:rPr>
                <w:color w:val="auto"/>
                <w:kern w:val="0"/>
                <w:sz w:val="21"/>
                <w:szCs w:val="21"/>
              </w:rPr>
              <w:instrText xml:space="preserve">HYPERLINK "http://baike.so.com/doc/93322-98561.html" \t "_blank"</w:instrText>
            </w:r>
            <w:r>
              <w:rPr>
                <w:color w:val="auto"/>
                <w:kern w:val="0"/>
                <w:sz w:val="21"/>
                <w:szCs w:val="21"/>
              </w:rPr>
              <w:fldChar w:fldCharType="separate"/>
            </w:r>
            <w:r>
              <w:rPr>
                <w:color w:val="auto"/>
                <w:kern w:val="0"/>
                <w:sz w:val="21"/>
                <w:szCs w:val="21"/>
              </w:rPr>
              <w:t>稳定</w:t>
            </w:r>
            <w:r>
              <w:rPr>
                <w:color w:val="auto"/>
                <w:kern w:val="0"/>
                <w:sz w:val="21"/>
                <w:szCs w:val="21"/>
              </w:rPr>
              <w:fldChar w:fldCharType="end"/>
            </w:r>
            <w:r>
              <w:rPr>
                <w:color w:val="auto"/>
                <w:kern w:val="0"/>
                <w:sz w:val="21"/>
                <w:szCs w:val="21"/>
              </w:rPr>
              <w:t>，受潮时分解出含</w:t>
            </w:r>
            <w:r>
              <w:rPr>
                <w:color w:val="auto"/>
                <w:kern w:val="0"/>
                <w:sz w:val="21"/>
                <w:szCs w:val="21"/>
              </w:rPr>
              <w:fldChar w:fldCharType="begin"/>
            </w:r>
            <w:r>
              <w:rPr>
                <w:color w:val="auto"/>
                <w:kern w:val="0"/>
                <w:sz w:val="21"/>
                <w:szCs w:val="21"/>
              </w:rPr>
              <w:instrText xml:space="preserve">HYPERLINK "http://baike.so.com/doc/1460041-1543686.html" \t "_blank"</w:instrText>
            </w:r>
            <w:r>
              <w:rPr>
                <w:color w:val="auto"/>
                <w:kern w:val="0"/>
                <w:sz w:val="21"/>
                <w:szCs w:val="21"/>
              </w:rPr>
              <w:fldChar w:fldCharType="separate"/>
            </w:r>
            <w:r>
              <w:rPr>
                <w:color w:val="auto"/>
                <w:kern w:val="0"/>
                <w:sz w:val="21"/>
                <w:szCs w:val="21"/>
              </w:rPr>
              <w:t>臭氧</w:t>
            </w:r>
            <w:r>
              <w:rPr>
                <w:color w:val="auto"/>
                <w:kern w:val="0"/>
                <w:sz w:val="21"/>
                <w:szCs w:val="21"/>
              </w:rPr>
              <w:fldChar w:fldCharType="end"/>
            </w:r>
            <w:r>
              <w:rPr>
                <w:color w:val="auto"/>
                <w:kern w:val="0"/>
                <w:sz w:val="21"/>
                <w:szCs w:val="21"/>
              </w:rPr>
              <w:t>的氧，加热则分解出氧气而成为焦硫酸铵。易溶于水，水溶液呈酸性。</w:t>
            </w:r>
          </w:p>
        </w:tc>
        <w:tc>
          <w:tcPr>
            <w:tcW w:w="409" w:type="pct"/>
            <w:noWrap w:val="0"/>
            <w:vAlign w:val="center"/>
          </w:tcPr>
          <w:p w14:paraId="0372A38A">
            <w:pPr>
              <w:autoSpaceDE w:val="0"/>
              <w:autoSpaceDN w:val="0"/>
              <w:adjustRightInd w:val="0"/>
              <w:ind w:left="24" w:leftChars="10" w:right="24" w:rightChars="10"/>
              <w:jc w:val="center"/>
              <w:rPr>
                <w:color w:val="auto"/>
                <w:kern w:val="0"/>
                <w:sz w:val="21"/>
                <w:szCs w:val="21"/>
              </w:rPr>
            </w:pPr>
            <w:r>
              <w:rPr>
                <w:color w:val="auto"/>
                <w:kern w:val="0"/>
                <w:sz w:val="21"/>
                <w:szCs w:val="21"/>
              </w:rPr>
              <w:t>第5.1类氧化剂</w:t>
            </w:r>
          </w:p>
        </w:tc>
        <w:tc>
          <w:tcPr>
            <w:tcW w:w="880" w:type="pct"/>
            <w:noWrap w:val="0"/>
            <w:vAlign w:val="center"/>
          </w:tcPr>
          <w:p w14:paraId="2ACE960B">
            <w:pPr>
              <w:autoSpaceDE w:val="0"/>
              <w:autoSpaceDN w:val="0"/>
              <w:adjustRightInd w:val="0"/>
              <w:ind w:left="24" w:leftChars="10" w:right="24" w:rightChars="10"/>
              <w:jc w:val="center"/>
              <w:rPr>
                <w:color w:val="auto"/>
                <w:kern w:val="0"/>
                <w:sz w:val="21"/>
                <w:szCs w:val="21"/>
              </w:rPr>
            </w:pPr>
            <w:r>
              <w:rPr>
                <w:color w:val="auto"/>
                <w:kern w:val="0"/>
                <w:sz w:val="21"/>
                <w:szCs w:val="21"/>
              </w:rPr>
              <w:t>LD</w:t>
            </w:r>
            <w:r>
              <w:rPr>
                <w:color w:val="auto"/>
                <w:kern w:val="0"/>
                <w:sz w:val="21"/>
                <w:szCs w:val="21"/>
                <w:vertAlign w:val="subscript"/>
              </w:rPr>
              <w:t>50</w:t>
            </w:r>
            <w:r>
              <w:rPr>
                <w:color w:val="auto"/>
                <w:kern w:val="0"/>
                <w:sz w:val="21"/>
                <w:szCs w:val="21"/>
              </w:rPr>
              <w:t>：820mg/kg</w:t>
            </w:r>
            <w:r>
              <w:rPr>
                <w:rFonts w:hint="eastAsia"/>
                <w:color w:val="auto"/>
                <w:kern w:val="0"/>
                <w:sz w:val="21"/>
                <w:szCs w:val="21"/>
                <w:lang w:eastAsia="zh-CN"/>
              </w:rPr>
              <w:t>（</w:t>
            </w:r>
            <w:r>
              <w:rPr>
                <w:color w:val="auto"/>
                <w:kern w:val="0"/>
                <w:sz w:val="21"/>
                <w:szCs w:val="21"/>
              </w:rPr>
              <w:t>大鼠经口</w:t>
            </w:r>
            <w:r>
              <w:rPr>
                <w:rFonts w:hint="eastAsia"/>
                <w:color w:val="auto"/>
                <w:kern w:val="0"/>
                <w:sz w:val="21"/>
                <w:szCs w:val="21"/>
                <w:lang w:eastAsia="zh-CN"/>
              </w:rPr>
              <w:t>）</w:t>
            </w:r>
          </w:p>
        </w:tc>
      </w:tr>
    </w:tbl>
    <w:p w14:paraId="52C00125">
      <w:pPr>
        <w:pStyle w:val="3"/>
        <w:adjustRightInd w:val="0"/>
        <w:snapToGrid w:val="0"/>
        <w:spacing w:line="480" w:lineRule="exact"/>
        <w:rPr>
          <w:rFonts w:eastAsia="宋体"/>
          <w:sz w:val="24"/>
          <w:szCs w:val="24"/>
        </w:rPr>
      </w:pPr>
      <w:r>
        <w:rPr>
          <w:rFonts w:eastAsia="宋体"/>
          <w:sz w:val="24"/>
          <w:szCs w:val="24"/>
        </w:rPr>
        <w:t>3.4</w:t>
      </w:r>
      <w:r>
        <w:rPr>
          <w:rFonts w:hint="eastAsia" w:eastAsia="宋体"/>
          <w:sz w:val="24"/>
          <w:szCs w:val="24"/>
        </w:rPr>
        <w:t>环境</w:t>
      </w:r>
      <w:bookmarkEnd w:id="99"/>
      <w:r>
        <w:rPr>
          <w:rFonts w:hint="eastAsia" w:eastAsia="宋体"/>
          <w:sz w:val="24"/>
          <w:szCs w:val="24"/>
        </w:rPr>
        <w:t>风险单元识别</w:t>
      </w:r>
      <w:bookmarkEnd w:id="101"/>
      <w:bookmarkEnd w:id="102"/>
    </w:p>
    <w:p w14:paraId="5DEE9012">
      <w:pPr>
        <w:pStyle w:val="13"/>
        <w:spacing w:after="0" w:line="500" w:lineRule="exact"/>
        <w:ind w:firstLine="480" w:firstLineChars="200"/>
        <w:rPr>
          <w:rFonts w:eastAsia="宋体"/>
        </w:rPr>
      </w:pPr>
      <w:r>
        <w:rPr>
          <w:rFonts w:eastAsia="宋体"/>
        </w:rPr>
        <w:t>环境风险单元指长期或短期生产、加工、使用或储存环境风险物质的一个（套）生产装置、设施（贮存容器、管道等）及环保处理设施或同属一个企业且边缘距离小于500米的几个（套）生产装置、设施或场所。</w:t>
      </w:r>
    </w:p>
    <w:p w14:paraId="791CB868">
      <w:pPr>
        <w:pStyle w:val="13"/>
        <w:spacing w:after="0" w:line="500" w:lineRule="exact"/>
        <w:ind w:firstLine="480" w:firstLineChars="200"/>
        <w:rPr>
          <w:rFonts w:eastAsia="宋体"/>
        </w:rPr>
      </w:pPr>
      <w:r>
        <w:rPr>
          <w:rFonts w:eastAsia="宋体"/>
        </w:rPr>
        <w:t>公司环境风险单元有</w:t>
      </w:r>
      <w:r>
        <w:rPr>
          <w:rFonts w:hint="eastAsia" w:eastAsia="宋体"/>
        </w:rPr>
        <w:t>油漆仓库</w:t>
      </w:r>
      <w:r>
        <w:rPr>
          <w:rFonts w:eastAsia="宋体"/>
        </w:rPr>
        <w:t>、</w:t>
      </w:r>
      <w:r>
        <w:rPr>
          <w:rFonts w:hint="eastAsia" w:eastAsia="宋体"/>
        </w:rPr>
        <w:t>生产车间、</w:t>
      </w:r>
      <w:r>
        <w:rPr>
          <w:rFonts w:eastAsia="宋体"/>
        </w:rPr>
        <w:t>危废仓库</w:t>
      </w:r>
      <w:r>
        <w:rPr>
          <w:rFonts w:hint="eastAsia" w:eastAsia="宋体"/>
        </w:rPr>
        <w:t>等</w:t>
      </w:r>
      <w:r>
        <w:rPr>
          <w:rFonts w:eastAsia="宋体"/>
        </w:rPr>
        <w:t>，根据环保部《企业突发环境事件风险分级方法》（HJ941-2018），重要环境风险单元识别见表3-</w:t>
      </w:r>
      <w:r>
        <w:rPr>
          <w:rFonts w:hint="eastAsia" w:eastAsia="宋体"/>
        </w:rPr>
        <w:t>9</w:t>
      </w:r>
      <w:r>
        <w:rPr>
          <w:rFonts w:eastAsia="宋体"/>
        </w:rPr>
        <w:t>。</w:t>
      </w:r>
    </w:p>
    <w:p w14:paraId="3F18969F">
      <w:pPr>
        <w:snapToGrid w:val="0"/>
        <w:spacing w:line="500" w:lineRule="exact"/>
        <w:jc w:val="center"/>
        <w:rPr>
          <w:rFonts w:hint="eastAsia"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表3-</w:t>
      </w:r>
      <w:r>
        <w:rPr>
          <w:rFonts w:hint="eastAsia" w:eastAsia="宋体"/>
          <w:b/>
          <w:color w:val="000000" w:themeColor="text1"/>
          <w14:textFill>
            <w14:solidFill>
              <w14:schemeClr w14:val="tx1"/>
            </w14:solidFill>
          </w14:textFill>
        </w:rPr>
        <w:t>9重要环境风险单元识别表</w:t>
      </w:r>
    </w:p>
    <w:tbl>
      <w:tblPr>
        <w:tblStyle w:val="38"/>
        <w:tblW w:w="5110" w:type="pct"/>
        <w:tblInd w:w="28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284"/>
        <w:gridCol w:w="2137"/>
        <w:gridCol w:w="1546"/>
        <w:gridCol w:w="1416"/>
        <w:gridCol w:w="1326"/>
        <w:gridCol w:w="1693"/>
      </w:tblGrid>
      <w:tr w14:paraId="3C6BCC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83" w:type="pct"/>
            <w:tcBorders>
              <w:tl2br w:val="nil"/>
              <w:tr2bl w:val="nil"/>
            </w:tcBorders>
            <w:vAlign w:val="center"/>
          </w:tcPr>
          <w:p w14:paraId="12EB7093">
            <w:pPr>
              <w:pStyle w:val="143"/>
              <w:spacing w:before="0"/>
              <w:ind w:left="0" w:right="0"/>
              <w:rPr>
                <w:b/>
                <w:sz w:val="21"/>
              </w:rPr>
            </w:pPr>
            <w:r>
              <w:rPr>
                <w:b/>
                <w:sz w:val="21"/>
              </w:rPr>
              <w:t>环境风险</w:t>
            </w:r>
          </w:p>
          <w:p w14:paraId="5D006DFA">
            <w:pPr>
              <w:pStyle w:val="143"/>
              <w:spacing w:before="0" w:line="240" w:lineRule="auto"/>
              <w:ind w:left="0" w:right="0"/>
              <w:rPr>
                <w:b/>
                <w:sz w:val="21"/>
              </w:rPr>
            </w:pPr>
            <w:r>
              <w:rPr>
                <w:b/>
                <w:sz w:val="21"/>
              </w:rPr>
              <w:t>单元</w:t>
            </w:r>
          </w:p>
        </w:tc>
        <w:tc>
          <w:tcPr>
            <w:tcW w:w="1136" w:type="pct"/>
            <w:tcBorders>
              <w:tl2br w:val="nil"/>
              <w:tr2bl w:val="nil"/>
            </w:tcBorders>
            <w:vAlign w:val="center"/>
          </w:tcPr>
          <w:p w14:paraId="278718A9">
            <w:pPr>
              <w:pStyle w:val="143"/>
              <w:spacing w:before="0"/>
              <w:ind w:left="0" w:right="0"/>
              <w:rPr>
                <w:b/>
                <w:sz w:val="21"/>
              </w:rPr>
            </w:pPr>
            <w:r>
              <w:rPr>
                <w:b/>
                <w:sz w:val="21"/>
              </w:rPr>
              <w:t>风险物质名称</w:t>
            </w:r>
          </w:p>
        </w:tc>
        <w:tc>
          <w:tcPr>
            <w:tcW w:w="822" w:type="pct"/>
            <w:tcBorders>
              <w:tl2br w:val="nil"/>
              <w:tr2bl w:val="nil"/>
            </w:tcBorders>
            <w:vAlign w:val="center"/>
          </w:tcPr>
          <w:p w14:paraId="2DEA7EF8">
            <w:pPr>
              <w:pStyle w:val="143"/>
              <w:spacing w:before="0"/>
              <w:ind w:left="0"/>
              <w:jc w:val="center"/>
              <w:rPr>
                <w:b/>
                <w:sz w:val="21"/>
              </w:rPr>
            </w:pPr>
            <w:r>
              <w:rPr>
                <w:b/>
                <w:sz w:val="21"/>
              </w:rPr>
              <w:t>最大存在总</w:t>
            </w:r>
          </w:p>
          <w:p w14:paraId="50460912">
            <w:pPr>
              <w:pStyle w:val="143"/>
              <w:spacing w:before="0" w:line="240" w:lineRule="auto"/>
              <w:ind w:left="0"/>
              <w:jc w:val="center"/>
              <w:rPr>
                <w:b/>
                <w:sz w:val="21"/>
              </w:rPr>
            </w:pPr>
            <w:r>
              <w:rPr>
                <w:b/>
                <w:sz w:val="21"/>
              </w:rPr>
              <w:t>量</w:t>
            </w:r>
            <w:r>
              <w:rPr>
                <w:rFonts w:ascii="Times New Roman" w:eastAsia="Times New Roman"/>
                <w:b/>
                <w:sz w:val="21"/>
              </w:rPr>
              <w:t>qi</w:t>
            </w:r>
            <w:r>
              <w:rPr>
                <w:b/>
                <w:sz w:val="21"/>
              </w:rPr>
              <w:t>（</w:t>
            </w:r>
            <w:r>
              <w:rPr>
                <w:rFonts w:ascii="Times New Roman" w:eastAsia="Times New Roman"/>
                <w:b/>
                <w:sz w:val="21"/>
              </w:rPr>
              <w:t>t</w:t>
            </w:r>
            <w:r>
              <w:rPr>
                <w:b/>
                <w:sz w:val="21"/>
              </w:rPr>
              <w:t>）</w:t>
            </w:r>
          </w:p>
        </w:tc>
        <w:tc>
          <w:tcPr>
            <w:tcW w:w="752" w:type="pct"/>
            <w:tcBorders>
              <w:tl2br w:val="nil"/>
              <w:tr2bl w:val="nil"/>
            </w:tcBorders>
            <w:vAlign w:val="center"/>
          </w:tcPr>
          <w:p w14:paraId="2BAAA0B4">
            <w:pPr>
              <w:pStyle w:val="143"/>
              <w:spacing w:before="0"/>
              <w:ind w:left="0" w:right="0"/>
              <w:rPr>
                <w:rFonts w:ascii="Times New Roman" w:eastAsia="Times New Roman"/>
                <w:b/>
                <w:sz w:val="21"/>
              </w:rPr>
            </w:pPr>
            <w:r>
              <w:rPr>
                <w:b/>
                <w:sz w:val="21"/>
              </w:rPr>
              <w:t>临界量</w:t>
            </w:r>
            <w:r>
              <w:rPr>
                <w:rFonts w:ascii="Times New Roman" w:eastAsia="Times New Roman"/>
                <w:b/>
                <w:sz w:val="21"/>
              </w:rPr>
              <w:t>Qi</w:t>
            </w:r>
          </w:p>
          <w:p w14:paraId="67CFCE9B">
            <w:pPr>
              <w:pStyle w:val="143"/>
              <w:spacing w:before="0" w:line="240" w:lineRule="auto"/>
              <w:ind w:left="0" w:right="0"/>
              <w:rPr>
                <w:b/>
                <w:sz w:val="21"/>
              </w:rPr>
            </w:pPr>
            <w:r>
              <w:rPr>
                <w:b/>
                <w:sz w:val="21"/>
              </w:rPr>
              <w:t>（</w:t>
            </w:r>
            <w:r>
              <w:rPr>
                <w:rFonts w:ascii="Times New Roman" w:eastAsia="Times New Roman"/>
                <w:b/>
                <w:sz w:val="21"/>
              </w:rPr>
              <w:t>t</w:t>
            </w:r>
            <w:r>
              <w:rPr>
                <w:b/>
                <w:sz w:val="21"/>
              </w:rPr>
              <w:t>）</w:t>
            </w:r>
          </w:p>
        </w:tc>
        <w:tc>
          <w:tcPr>
            <w:tcW w:w="705" w:type="pct"/>
            <w:tcBorders>
              <w:tl2br w:val="nil"/>
              <w:tr2bl w:val="nil"/>
            </w:tcBorders>
            <w:vAlign w:val="center"/>
          </w:tcPr>
          <w:p w14:paraId="3AF7DFA9">
            <w:pPr>
              <w:pStyle w:val="143"/>
              <w:spacing w:before="0"/>
              <w:ind w:left="0"/>
              <w:jc w:val="center"/>
              <w:rPr>
                <w:rFonts w:ascii="Times New Roman"/>
                <w:b/>
                <w:sz w:val="21"/>
              </w:rPr>
            </w:pPr>
            <w:r>
              <w:rPr>
                <w:rFonts w:ascii="Times New Roman"/>
                <w:b/>
                <w:sz w:val="21"/>
              </w:rPr>
              <w:t>qi/Qi</w:t>
            </w:r>
          </w:p>
        </w:tc>
        <w:tc>
          <w:tcPr>
            <w:tcW w:w="900" w:type="pct"/>
            <w:tcBorders>
              <w:tl2br w:val="nil"/>
              <w:tr2bl w:val="nil"/>
            </w:tcBorders>
            <w:vAlign w:val="center"/>
          </w:tcPr>
          <w:p w14:paraId="096C7A8D">
            <w:pPr>
              <w:pStyle w:val="143"/>
              <w:spacing w:before="0"/>
              <w:ind w:left="0" w:right="0"/>
              <w:rPr>
                <w:b/>
                <w:sz w:val="21"/>
              </w:rPr>
            </w:pPr>
            <w:r>
              <w:rPr>
                <w:b/>
                <w:sz w:val="21"/>
              </w:rPr>
              <w:t>是否重要环境</w:t>
            </w:r>
          </w:p>
          <w:p w14:paraId="01F27A0F">
            <w:pPr>
              <w:pStyle w:val="143"/>
              <w:spacing w:before="0" w:line="240" w:lineRule="auto"/>
              <w:ind w:left="0" w:right="0"/>
              <w:rPr>
                <w:b/>
                <w:sz w:val="21"/>
              </w:rPr>
            </w:pPr>
            <w:r>
              <w:rPr>
                <w:b/>
                <w:sz w:val="21"/>
              </w:rPr>
              <w:t>风险单元</w:t>
            </w:r>
          </w:p>
        </w:tc>
      </w:tr>
      <w:tr w14:paraId="4FECB3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83" w:type="pct"/>
            <w:vMerge w:val="restart"/>
            <w:tcBorders>
              <w:tl2br w:val="nil"/>
              <w:tr2bl w:val="nil"/>
            </w:tcBorders>
            <w:vAlign w:val="center"/>
          </w:tcPr>
          <w:p w14:paraId="4F7D891D">
            <w:pPr>
              <w:pStyle w:val="143"/>
              <w:spacing w:before="0"/>
              <w:ind w:left="0" w:right="0"/>
              <w:rPr>
                <w:rFonts w:hint="eastAsia"/>
                <w:sz w:val="21"/>
                <w:lang w:val="en-US" w:eastAsia="zh-CN"/>
              </w:rPr>
            </w:pPr>
            <w:r>
              <w:rPr>
                <w:rFonts w:hint="eastAsia" w:ascii="Times New Roman" w:hAnsi="Times New Roman" w:eastAsia="宋体" w:cs="Times New Roman"/>
                <w:sz w:val="21"/>
                <w:szCs w:val="21"/>
                <w:lang w:val="en-US" w:eastAsia="zh-CN"/>
              </w:rPr>
              <w:t>油漆仓库</w:t>
            </w:r>
          </w:p>
        </w:tc>
        <w:tc>
          <w:tcPr>
            <w:tcW w:w="1136" w:type="pct"/>
            <w:tcBorders>
              <w:tl2br w:val="nil"/>
              <w:tr2bl w:val="nil"/>
            </w:tcBorders>
            <w:vAlign w:val="center"/>
          </w:tcPr>
          <w:p w14:paraId="191B60A6">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水性底漆</w:t>
            </w:r>
          </w:p>
        </w:tc>
        <w:tc>
          <w:tcPr>
            <w:tcW w:w="822" w:type="pct"/>
            <w:tcBorders>
              <w:tl2br w:val="nil"/>
              <w:tr2bl w:val="nil"/>
            </w:tcBorders>
            <w:vAlign w:val="center"/>
          </w:tcPr>
          <w:p w14:paraId="47AEDA86">
            <w:pPr>
              <w:pStyle w:val="143"/>
              <w:spacing w:before="0"/>
              <w:ind w:left="0" w:leftChars="0" w:right="0" w:rightChars="0"/>
              <w:rPr>
                <w:rFonts w:hint="default" w:ascii="Times New Roman"/>
                <w:sz w:val="21"/>
                <w:lang w:val="en-US" w:eastAsia="zh-CN"/>
              </w:rPr>
            </w:pPr>
            <w:r>
              <w:rPr>
                <w:rFonts w:hint="eastAsia" w:ascii="Times New Roman" w:hAnsi="Times New Roman" w:cs="Times New Roman"/>
                <w:sz w:val="21"/>
                <w:szCs w:val="21"/>
                <w:lang w:val="en-US" w:eastAsia="zh-CN"/>
              </w:rPr>
              <w:t>0.3</w:t>
            </w:r>
          </w:p>
        </w:tc>
        <w:tc>
          <w:tcPr>
            <w:tcW w:w="752" w:type="pct"/>
            <w:tcBorders>
              <w:tl2br w:val="nil"/>
              <w:tr2bl w:val="nil"/>
            </w:tcBorders>
            <w:vAlign w:val="center"/>
          </w:tcPr>
          <w:p w14:paraId="429B5BE8">
            <w:pPr>
              <w:pStyle w:val="143"/>
              <w:rPr>
                <w:rFonts w:hint="default" w:ascii="Times New Roman"/>
                <w:sz w:val="21"/>
                <w:lang w:val="en-US" w:eastAsia="zh-CN"/>
              </w:rPr>
            </w:pPr>
            <w:r>
              <w:rPr>
                <w:rFonts w:hint="eastAsia" w:ascii="Times New Roman"/>
                <w:sz w:val="21"/>
              </w:rPr>
              <w:t>100</w:t>
            </w:r>
          </w:p>
        </w:tc>
        <w:tc>
          <w:tcPr>
            <w:tcW w:w="705" w:type="pct"/>
            <w:tcBorders>
              <w:tl2br w:val="nil"/>
              <w:tr2bl w:val="nil"/>
            </w:tcBorders>
            <w:vAlign w:val="center"/>
          </w:tcPr>
          <w:p w14:paraId="71AC209E">
            <w:pPr>
              <w:pStyle w:val="143"/>
              <w:rPr>
                <w:rFonts w:hint="default" w:ascii="Times New Roman" w:eastAsia="宋体"/>
                <w:w w:val="100"/>
                <w:sz w:val="21"/>
                <w:lang w:val="en-US" w:eastAsia="zh-CN"/>
              </w:rPr>
            </w:pPr>
            <w:r>
              <w:rPr>
                <w:rFonts w:hint="eastAsia" w:ascii="Times New Roman"/>
                <w:sz w:val="18"/>
                <w:szCs w:val="18"/>
                <w:lang w:val="en-US" w:eastAsia="zh-CN"/>
              </w:rPr>
              <w:t>0.003</w:t>
            </w:r>
          </w:p>
        </w:tc>
        <w:tc>
          <w:tcPr>
            <w:tcW w:w="900" w:type="pct"/>
            <w:vMerge w:val="restart"/>
            <w:tcBorders>
              <w:tl2br w:val="nil"/>
              <w:tr2bl w:val="nil"/>
            </w:tcBorders>
            <w:vAlign w:val="center"/>
          </w:tcPr>
          <w:p w14:paraId="22707071">
            <w:pPr>
              <w:pStyle w:val="143"/>
              <w:ind w:left="0"/>
              <w:rPr>
                <w:rFonts w:hint="eastAsia" w:eastAsia="宋体"/>
                <w:w w:val="100"/>
                <w:sz w:val="21"/>
                <w:lang w:val="en-US" w:eastAsia="zh-CN"/>
              </w:rPr>
            </w:pPr>
            <w:r>
              <w:rPr>
                <w:rFonts w:hint="eastAsia"/>
                <w:w w:val="100"/>
                <w:sz w:val="21"/>
                <w:lang w:val="en-US" w:eastAsia="zh-CN"/>
              </w:rPr>
              <w:t>否</w:t>
            </w:r>
          </w:p>
        </w:tc>
      </w:tr>
      <w:tr w14:paraId="168F8E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83" w:type="pct"/>
            <w:vMerge w:val="continue"/>
            <w:tcBorders>
              <w:tl2br w:val="nil"/>
              <w:tr2bl w:val="nil"/>
            </w:tcBorders>
            <w:vAlign w:val="center"/>
          </w:tcPr>
          <w:p w14:paraId="613FF64B">
            <w:pPr>
              <w:pStyle w:val="143"/>
              <w:spacing w:before="0"/>
              <w:ind w:left="0" w:right="0"/>
              <w:rPr>
                <w:rFonts w:hint="eastAsia"/>
                <w:sz w:val="21"/>
                <w:lang w:val="en-US" w:eastAsia="zh-CN"/>
              </w:rPr>
            </w:pPr>
          </w:p>
        </w:tc>
        <w:tc>
          <w:tcPr>
            <w:tcW w:w="1136" w:type="pct"/>
            <w:tcBorders>
              <w:tl2br w:val="nil"/>
              <w:tr2bl w:val="nil"/>
            </w:tcBorders>
            <w:vAlign w:val="center"/>
          </w:tcPr>
          <w:p w14:paraId="6188D916">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水性面漆</w:t>
            </w:r>
          </w:p>
        </w:tc>
        <w:tc>
          <w:tcPr>
            <w:tcW w:w="822" w:type="pct"/>
            <w:tcBorders>
              <w:tl2br w:val="nil"/>
              <w:tr2bl w:val="nil"/>
            </w:tcBorders>
            <w:vAlign w:val="center"/>
          </w:tcPr>
          <w:p w14:paraId="4B5F756C">
            <w:pPr>
              <w:pStyle w:val="143"/>
              <w:spacing w:before="0"/>
              <w:ind w:left="0" w:leftChars="0" w:right="0" w:rightChars="0"/>
              <w:rPr>
                <w:rFonts w:hint="default" w:ascii="Times New Roman"/>
                <w:sz w:val="21"/>
                <w:lang w:val="en-US" w:eastAsia="zh-CN"/>
              </w:rPr>
            </w:pPr>
            <w:r>
              <w:rPr>
                <w:rFonts w:hint="eastAsia" w:ascii="Times New Roman" w:hAnsi="Times New Roman" w:cs="Times New Roman"/>
                <w:sz w:val="21"/>
                <w:szCs w:val="21"/>
                <w:lang w:val="en-US" w:eastAsia="zh-CN"/>
              </w:rPr>
              <w:t>0.35</w:t>
            </w:r>
          </w:p>
        </w:tc>
        <w:tc>
          <w:tcPr>
            <w:tcW w:w="752" w:type="pct"/>
            <w:tcBorders>
              <w:tl2br w:val="nil"/>
              <w:tr2bl w:val="nil"/>
            </w:tcBorders>
            <w:vAlign w:val="center"/>
          </w:tcPr>
          <w:p w14:paraId="7B17F3DE">
            <w:pPr>
              <w:pStyle w:val="143"/>
              <w:rPr>
                <w:rFonts w:hint="default" w:ascii="Times New Roman"/>
                <w:sz w:val="21"/>
                <w:lang w:val="en-US" w:eastAsia="zh-CN"/>
              </w:rPr>
            </w:pPr>
            <w:r>
              <w:rPr>
                <w:rFonts w:hint="eastAsia" w:ascii="Times New Roman"/>
                <w:sz w:val="21"/>
              </w:rPr>
              <w:t>100</w:t>
            </w:r>
          </w:p>
        </w:tc>
        <w:tc>
          <w:tcPr>
            <w:tcW w:w="705" w:type="pct"/>
            <w:tcBorders>
              <w:tl2br w:val="nil"/>
              <w:tr2bl w:val="nil"/>
            </w:tcBorders>
            <w:vAlign w:val="center"/>
          </w:tcPr>
          <w:p w14:paraId="492B40B6">
            <w:pPr>
              <w:pStyle w:val="143"/>
              <w:rPr>
                <w:rFonts w:hint="default" w:ascii="Times New Roman" w:eastAsia="宋体"/>
                <w:w w:val="100"/>
                <w:sz w:val="21"/>
                <w:lang w:val="en-US" w:eastAsia="zh-CN"/>
              </w:rPr>
            </w:pPr>
            <w:r>
              <w:rPr>
                <w:rFonts w:hint="eastAsia" w:ascii="Times New Roman"/>
                <w:sz w:val="18"/>
                <w:szCs w:val="18"/>
                <w:lang w:val="en-US" w:eastAsia="zh-CN"/>
              </w:rPr>
              <w:t>0.0035</w:t>
            </w:r>
          </w:p>
        </w:tc>
        <w:tc>
          <w:tcPr>
            <w:tcW w:w="900" w:type="pct"/>
            <w:vMerge w:val="continue"/>
            <w:tcBorders>
              <w:tl2br w:val="nil"/>
              <w:tr2bl w:val="nil"/>
            </w:tcBorders>
            <w:vAlign w:val="center"/>
          </w:tcPr>
          <w:p w14:paraId="37B05934">
            <w:pPr>
              <w:pStyle w:val="143"/>
              <w:ind w:left="0"/>
              <w:rPr>
                <w:rFonts w:hint="eastAsia"/>
                <w:w w:val="100"/>
                <w:sz w:val="21"/>
              </w:rPr>
            </w:pPr>
          </w:p>
        </w:tc>
      </w:tr>
      <w:tr w14:paraId="6B7EF6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394" w:type="pct"/>
            <w:gridSpan w:val="4"/>
            <w:tcBorders>
              <w:tl2br w:val="nil"/>
              <w:tr2bl w:val="nil"/>
            </w:tcBorders>
            <w:vAlign w:val="center"/>
          </w:tcPr>
          <w:p w14:paraId="4B7F150D">
            <w:pPr>
              <w:pStyle w:val="143"/>
              <w:spacing w:before="0"/>
              <w:ind w:left="0" w:right="0"/>
              <w:rPr>
                <w:rFonts w:ascii="Times New Roman" w:hAnsi="Times New Roman"/>
                <w:b/>
                <w:sz w:val="21"/>
              </w:rPr>
            </w:pPr>
            <w:r>
              <w:rPr>
                <w:rFonts w:ascii="Times New Roman" w:hAnsi="Times New Roman"/>
                <w:b/>
                <w:sz w:val="21"/>
              </w:rPr>
              <w:t>ΣQi/qi</w:t>
            </w:r>
          </w:p>
        </w:tc>
        <w:tc>
          <w:tcPr>
            <w:tcW w:w="705" w:type="pct"/>
            <w:tcBorders>
              <w:tl2br w:val="nil"/>
              <w:tr2bl w:val="nil"/>
            </w:tcBorders>
            <w:vAlign w:val="center"/>
          </w:tcPr>
          <w:p w14:paraId="21ADA948">
            <w:pPr>
              <w:jc w:val="center"/>
              <w:rPr>
                <w:rFonts w:hint="default" w:ascii="Times New Roman" w:eastAsia="宋体"/>
                <w:sz w:val="21"/>
                <w:lang w:val="en-US" w:eastAsia="zh-CN"/>
              </w:rPr>
            </w:pPr>
            <w:r>
              <w:rPr>
                <w:rFonts w:hint="eastAsia" w:eastAsia="宋体"/>
                <w:sz w:val="21"/>
                <w:szCs w:val="21"/>
                <w:lang w:val="en-US" w:eastAsia="zh-CN"/>
              </w:rPr>
              <w:t>0.0065</w:t>
            </w:r>
          </w:p>
        </w:tc>
        <w:tc>
          <w:tcPr>
            <w:tcW w:w="900" w:type="pct"/>
            <w:vMerge w:val="continue"/>
            <w:tcBorders>
              <w:tl2br w:val="nil"/>
              <w:tr2bl w:val="nil"/>
            </w:tcBorders>
            <w:vAlign w:val="center"/>
          </w:tcPr>
          <w:p w14:paraId="5E3BE1F3">
            <w:pPr>
              <w:jc w:val="center"/>
              <w:rPr>
                <w:rFonts w:hint="eastAsia" w:ascii="宋体" w:hAnsi="宋体" w:eastAsia="宋体" w:cs="宋体"/>
                <w:sz w:val="21"/>
                <w:szCs w:val="24"/>
              </w:rPr>
            </w:pPr>
          </w:p>
        </w:tc>
      </w:tr>
      <w:tr w14:paraId="2ADFB0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83" w:type="pct"/>
            <w:vMerge w:val="restart"/>
            <w:tcBorders>
              <w:tl2br w:val="nil"/>
              <w:tr2bl w:val="nil"/>
            </w:tcBorders>
            <w:vAlign w:val="center"/>
          </w:tcPr>
          <w:p w14:paraId="2F06581B">
            <w:pPr>
              <w:pStyle w:val="143"/>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生产车间</w:t>
            </w:r>
          </w:p>
        </w:tc>
        <w:tc>
          <w:tcPr>
            <w:tcW w:w="1136" w:type="pct"/>
            <w:tcBorders>
              <w:tl2br w:val="nil"/>
              <w:tr2bl w:val="nil"/>
            </w:tcBorders>
            <w:vAlign w:val="center"/>
          </w:tcPr>
          <w:p w14:paraId="15F04E0D">
            <w:pPr>
              <w:pStyle w:val="143"/>
              <w:spacing w:before="0"/>
              <w:ind w:left="0" w:leftChars="0" w:right="0" w:rightChars="0"/>
              <w:rPr>
                <w:rFonts w:hint="eastAsia" w:ascii="宋体" w:hAnsi="宋体" w:eastAsia="宋体" w:cs="宋体"/>
                <w:kern w:val="2"/>
                <w:sz w:val="21"/>
                <w:szCs w:val="24"/>
                <w:lang w:val="en-US" w:eastAsia="zh-CN" w:bidi="ar-SA"/>
              </w:rPr>
            </w:pPr>
            <w:r>
              <w:rPr>
                <w:rFonts w:hint="eastAsia" w:ascii="Times New Roman" w:hAnsi="Times New Roman" w:cs="Times New Roman"/>
                <w:sz w:val="21"/>
                <w:szCs w:val="21"/>
                <w:lang w:val="en-US" w:eastAsia="zh-CN"/>
              </w:rPr>
              <w:t>水性底漆</w:t>
            </w:r>
          </w:p>
        </w:tc>
        <w:tc>
          <w:tcPr>
            <w:tcW w:w="822" w:type="pct"/>
            <w:tcBorders>
              <w:tl2br w:val="nil"/>
              <w:tr2bl w:val="nil"/>
            </w:tcBorders>
            <w:vAlign w:val="center"/>
          </w:tcPr>
          <w:p w14:paraId="6A52E2CD">
            <w:pPr>
              <w:pStyle w:val="143"/>
              <w:rPr>
                <w:rFonts w:hint="default" w:ascii="Times New Roman" w:hAnsi="Times New Roman"/>
                <w:b w:val="0"/>
                <w:bCs/>
                <w:sz w:val="21"/>
                <w:lang w:val="en-US" w:eastAsia="zh-CN"/>
              </w:rPr>
            </w:pPr>
            <w:r>
              <w:rPr>
                <w:rFonts w:hint="eastAsia" w:ascii="Times New Roman" w:hAnsi="Times New Roman"/>
                <w:bCs/>
                <w:sz w:val="21"/>
                <w:lang w:val="en-US" w:eastAsia="zh-CN"/>
              </w:rPr>
              <w:t>0.3</w:t>
            </w:r>
          </w:p>
        </w:tc>
        <w:tc>
          <w:tcPr>
            <w:tcW w:w="752" w:type="pct"/>
            <w:tcBorders>
              <w:tl2br w:val="nil"/>
              <w:tr2bl w:val="nil"/>
            </w:tcBorders>
            <w:vAlign w:val="center"/>
          </w:tcPr>
          <w:p w14:paraId="6D16CB88">
            <w:pPr>
              <w:pStyle w:val="143"/>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100</w:t>
            </w:r>
          </w:p>
        </w:tc>
        <w:tc>
          <w:tcPr>
            <w:tcW w:w="705" w:type="pct"/>
            <w:tcBorders>
              <w:tl2br w:val="nil"/>
              <w:tr2bl w:val="nil"/>
            </w:tcBorders>
            <w:vAlign w:val="center"/>
          </w:tcPr>
          <w:p w14:paraId="54D4E86F">
            <w:pPr>
              <w:pStyle w:val="143"/>
              <w:rPr>
                <w:rFonts w:hint="default" w:ascii="Times New Roman"/>
                <w:w w:val="100"/>
                <w:sz w:val="21"/>
                <w:lang w:val="en-US" w:eastAsia="zh-CN"/>
              </w:rPr>
            </w:pPr>
            <w:r>
              <w:rPr>
                <w:rFonts w:hint="eastAsia" w:ascii="Times New Roman"/>
                <w:sz w:val="21"/>
                <w:lang w:val="en-US" w:eastAsia="zh-CN"/>
              </w:rPr>
              <w:t>0.003</w:t>
            </w:r>
          </w:p>
        </w:tc>
        <w:tc>
          <w:tcPr>
            <w:tcW w:w="900" w:type="pct"/>
            <w:vMerge w:val="restart"/>
            <w:tcBorders>
              <w:tl2br w:val="nil"/>
              <w:tr2bl w:val="nil"/>
            </w:tcBorders>
            <w:vAlign w:val="center"/>
          </w:tcPr>
          <w:p w14:paraId="3F140F49">
            <w:pPr>
              <w:jc w:val="center"/>
              <w:rPr>
                <w:rFonts w:hint="default"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2C88C7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83" w:type="pct"/>
            <w:vMerge w:val="continue"/>
            <w:tcBorders>
              <w:tl2br w:val="nil"/>
              <w:tr2bl w:val="nil"/>
            </w:tcBorders>
            <w:vAlign w:val="center"/>
          </w:tcPr>
          <w:p w14:paraId="76F96C93">
            <w:pPr>
              <w:pStyle w:val="143"/>
              <w:spacing w:before="0"/>
              <w:ind w:left="0" w:right="0"/>
              <w:rPr>
                <w:rFonts w:hint="eastAsia" w:ascii="Times New Roman" w:hAnsi="Times New Roman"/>
                <w:b w:val="0"/>
                <w:bCs/>
                <w:sz w:val="21"/>
                <w:lang w:val="en-US" w:eastAsia="zh-CN"/>
              </w:rPr>
            </w:pPr>
          </w:p>
        </w:tc>
        <w:tc>
          <w:tcPr>
            <w:tcW w:w="1136" w:type="pct"/>
            <w:tcBorders>
              <w:tl2br w:val="nil"/>
              <w:tr2bl w:val="nil"/>
            </w:tcBorders>
            <w:vAlign w:val="center"/>
          </w:tcPr>
          <w:p w14:paraId="737FF5F5">
            <w:pPr>
              <w:pStyle w:val="143"/>
              <w:spacing w:before="0"/>
              <w:ind w:left="0" w:leftChars="0" w:right="0" w:rightChars="0"/>
              <w:rPr>
                <w:rFonts w:hint="eastAsia" w:ascii="宋体" w:hAnsi="宋体" w:eastAsia="宋体" w:cs="宋体"/>
                <w:kern w:val="2"/>
                <w:sz w:val="21"/>
                <w:szCs w:val="24"/>
                <w:lang w:val="en-US" w:eastAsia="zh-CN" w:bidi="ar-SA"/>
              </w:rPr>
            </w:pPr>
            <w:r>
              <w:rPr>
                <w:rFonts w:hint="eastAsia" w:ascii="Times New Roman" w:hAnsi="Times New Roman" w:cs="Times New Roman"/>
                <w:sz w:val="21"/>
                <w:szCs w:val="21"/>
                <w:lang w:val="en-US" w:eastAsia="zh-CN"/>
              </w:rPr>
              <w:t>水性面漆</w:t>
            </w:r>
          </w:p>
        </w:tc>
        <w:tc>
          <w:tcPr>
            <w:tcW w:w="822" w:type="pct"/>
            <w:tcBorders>
              <w:tl2br w:val="nil"/>
              <w:tr2bl w:val="nil"/>
            </w:tcBorders>
            <w:vAlign w:val="center"/>
          </w:tcPr>
          <w:p w14:paraId="635C712A">
            <w:pPr>
              <w:pStyle w:val="143"/>
              <w:rPr>
                <w:rFonts w:hint="default" w:ascii="Times New Roman" w:hAnsi="Times New Roman"/>
                <w:b w:val="0"/>
                <w:bCs/>
                <w:sz w:val="21"/>
                <w:lang w:val="en-US" w:eastAsia="zh-CN"/>
              </w:rPr>
            </w:pPr>
            <w:r>
              <w:rPr>
                <w:rFonts w:hint="eastAsia" w:ascii="Times New Roman" w:hAnsi="Times New Roman"/>
                <w:bCs/>
                <w:sz w:val="21"/>
                <w:lang w:val="en-US" w:eastAsia="zh-CN"/>
              </w:rPr>
              <w:t>0.35</w:t>
            </w:r>
          </w:p>
        </w:tc>
        <w:tc>
          <w:tcPr>
            <w:tcW w:w="752" w:type="pct"/>
            <w:tcBorders>
              <w:tl2br w:val="nil"/>
              <w:tr2bl w:val="nil"/>
            </w:tcBorders>
            <w:vAlign w:val="center"/>
          </w:tcPr>
          <w:p w14:paraId="4A987C6D">
            <w:pPr>
              <w:pStyle w:val="143"/>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100</w:t>
            </w:r>
          </w:p>
        </w:tc>
        <w:tc>
          <w:tcPr>
            <w:tcW w:w="705" w:type="pct"/>
            <w:tcBorders>
              <w:tl2br w:val="nil"/>
              <w:tr2bl w:val="nil"/>
            </w:tcBorders>
            <w:vAlign w:val="center"/>
          </w:tcPr>
          <w:p w14:paraId="547E0980">
            <w:pPr>
              <w:pStyle w:val="143"/>
              <w:rPr>
                <w:rFonts w:hint="default" w:ascii="Times New Roman"/>
                <w:w w:val="100"/>
                <w:sz w:val="21"/>
                <w:lang w:val="en-US" w:eastAsia="zh-CN"/>
              </w:rPr>
            </w:pPr>
            <w:r>
              <w:rPr>
                <w:rFonts w:hint="eastAsia" w:ascii="Times New Roman"/>
                <w:sz w:val="21"/>
                <w:lang w:val="en-US" w:eastAsia="zh-CN"/>
              </w:rPr>
              <w:t>0.0035</w:t>
            </w:r>
          </w:p>
        </w:tc>
        <w:tc>
          <w:tcPr>
            <w:tcW w:w="900" w:type="pct"/>
            <w:vMerge w:val="continue"/>
            <w:tcBorders>
              <w:tl2br w:val="nil"/>
              <w:tr2bl w:val="nil"/>
            </w:tcBorders>
            <w:vAlign w:val="center"/>
          </w:tcPr>
          <w:p w14:paraId="0F6F54A6">
            <w:pPr>
              <w:jc w:val="center"/>
              <w:rPr>
                <w:rFonts w:hint="eastAsia" w:ascii="宋体" w:hAnsi="宋体" w:eastAsia="宋体" w:cs="宋体"/>
                <w:sz w:val="21"/>
                <w:szCs w:val="24"/>
                <w:lang w:val="en-US" w:eastAsia="zh-CN"/>
              </w:rPr>
            </w:pPr>
          </w:p>
        </w:tc>
      </w:tr>
      <w:tr w14:paraId="6E02D2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394" w:type="pct"/>
            <w:gridSpan w:val="4"/>
            <w:tcBorders>
              <w:tl2br w:val="nil"/>
              <w:tr2bl w:val="nil"/>
            </w:tcBorders>
            <w:vAlign w:val="center"/>
          </w:tcPr>
          <w:p w14:paraId="030A9F38">
            <w:pPr>
              <w:pStyle w:val="143"/>
              <w:spacing w:before="0"/>
              <w:ind w:left="0" w:right="0"/>
              <w:rPr>
                <w:rFonts w:hint="eastAsia" w:ascii="Times New Roman" w:hAnsi="Times New Roman"/>
                <w:b w:val="0"/>
                <w:bCs/>
                <w:sz w:val="21"/>
                <w:lang w:val="en-US" w:eastAsia="zh-CN"/>
              </w:rPr>
            </w:pPr>
            <w:r>
              <w:rPr>
                <w:rFonts w:ascii="Times New Roman" w:hAnsi="Times New Roman"/>
                <w:b/>
                <w:sz w:val="21"/>
              </w:rPr>
              <w:t>ΣQi/qi</w:t>
            </w:r>
          </w:p>
        </w:tc>
        <w:tc>
          <w:tcPr>
            <w:tcW w:w="705" w:type="pct"/>
            <w:tcBorders>
              <w:tl2br w:val="nil"/>
              <w:tr2bl w:val="nil"/>
            </w:tcBorders>
            <w:vAlign w:val="center"/>
          </w:tcPr>
          <w:p w14:paraId="6EE14F19">
            <w:pPr>
              <w:jc w:val="center"/>
              <w:rPr>
                <w:rFonts w:hint="default" w:ascii="Times New Roman"/>
                <w:w w:val="100"/>
                <w:sz w:val="21"/>
                <w:lang w:val="en-US" w:eastAsia="zh-CN"/>
              </w:rPr>
            </w:pPr>
            <w:r>
              <w:rPr>
                <w:rFonts w:hint="eastAsia" w:eastAsia="宋体"/>
                <w:sz w:val="21"/>
                <w:szCs w:val="21"/>
                <w:lang w:val="en-US" w:eastAsia="zh-CN"/>
              </w:rPr>
              <w:t>0.0065</w:t>
            </w:r>
          </w:p>
        </w:tc>
        <w:tc>
          <w:tcPr>
            <w:tcW w:w="900" w:type="pct"/>
            <w:vMerge w:val="continue"/>
            <w:tcBorders>
              <w:tl2br w:val="nil"/>
              <w:tr2bl w:val="nil"/>
            </w:tcBorders>
            <w:vAlign w:val="center"/>
          </w:tcPr>
          <w:p w14:paraId="7F94B6CD">
            <w:pPr>
              <w:jc w:val="center"/>
              <w:rPr>
                <w:rFonts w:hint="eastAsia" w:ascii="宋体" w:hAnsi="宋体" w:eastAsia="宋体" w:cs="宋体"/>
                <w:sz w:val="21"/>
                <w:szCs w:val="24"/>
                <w:lang w:val="en-US" w:eastAsia="zh-CN"/>
              </w:rPr>
            </w:pPr>
          </w:p>
        </w:tc>
      </w:tr>
      <w:tr w14:paraId="1B6C19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83" w:type="pct"/>
            <w:vMerge w:val="restart"/>
            <w:tcBorders>
              <w:tl2br w:val="nil"/>
              <w:tr2bl w:val="nil"/>
            </w:tcBorders>
            <w:vAlign w:val="center"/>
          </w:tcPr>
          <w:p w14:paraId="596FF062">
            <w:pPr>
              <w:jc w:val="center"/>
              <w:rPr>
                <w:sz w:val="2"/>
                <w:szCs w:val="2"/>
              </w:rPr>
            </w:pPr>
            <w:r>
              <w:rPr>
                <w:rFonts w:hint="eastAsia" w:ascii="Times New Roman" w:eastAsia="宋体"/>
                <w:sz w:val="21"/>
                <w:lang w:val="en-US" w:eastAsia="zh-CN"/>
              </w:rPr>
              <w:t>危废仓库</w:t>
            </w:r>
          </w:p>
        </w:tc>
        <w:tc>
          <w:tcPr>
            <w:tcW w:w="1136" w:type="pct"/>
            <w:tcBorders>
              <w:tl2br w:val="nil"/>
              <w:tr2bl w:val="nil"/>
            </w:tcBorders>
            <w:vAlign w:val="center"/>
          </w:tcPr>
          <w:p w14:paraId="3E88FEF1">
            <w:pPr>
              <w:pStyle w:val="34"/>
              <w:spacing w:line="240" w:lineRule="auto"/>
              <w:ind w:firstLine="0" w:firstLineChars="0"/>
              <w:jc w:val="center"/>
              <w:rPr>
                <w:rFonts w:hint="eastAsia"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rPr>
              <w:t>漆渣</w:t>
            </w:r>
          </w:p>
        </w:tc>
        <w:tc>
          <w:tcPr>
            <w:tcW w:w="822" w:type="pct"/>
            <w:tcBorders>
              <w:tl2br w:val="nil"/>
              <w:tr2bl w:val="nil"/>
            </w:tcBorders>
            <w:vAlign w:val="center"/>
          </w:tcPr>
          <w:p w14:paraId="2C120330">
            <w:pPr>
              <w:pStyle w:val="143"/>
              <w:spacing w:before="0"/>
              <w:ind w:left="0" w:leftChars="0" w:right="0" w:rightChars="0"/>
              <w:jc w:val="center"/>
              <w:rPr>
                <w:rFonts w:hint="default" w:ascii="Times New Roman"/>
                <w:sz w:val="21"/>
                <w:lang w:val="en-US" w:eastAsia="zh-CN"/>
              </w:rPr>
            </w:pPr>
            <w:r>
              <w:rPr>
                <w:rFonts w:hint="eastAsia" w:ascii="Times New Roman" w:hAnsi="Times New Roman" w:cs="Times New Roman"/>
                <w:bCs w:val="0"/>
                <w:sz w:val="21"/>
                <w:szCs w:val="21"/>
                <w:lang w:val="en-US" w:eastAsia="zh-CN"/>
              </w:rPr>
              <w:t>6</w:t>
            </w:r>
          </w:p>
        </w:tc>
        <w:tc>
          <w:tcPr>
            <w:tcW w:w="752" w:type="pct"/>
            <w:tcBorders>
              <w:tl2br w:val="nil"/>
              <w:tr2bl w:val="nil"/>
            </w:tcBorders>
            <w:vAlign w:val="center"/>
          </w:tcPr>
          <w:p w14:paraId="44A3FD30">
            <w:pPr>
              <w:pStyle w:val="143"/>
              <w:rPr>
                <w:rFonts w:hint="default" w:ascii="Times New Roman" w:eastAsia="宋体"/>
                <w:sz w:val="21"/>
                <w:lang w:val="en-US" w:eastAsia="zh-CN"/>
              </w:rPr>
            </w:pPr>
            <w:r>
              <w:rPr>
                <w:rFonts w:hint="eastAsia" w:ascii="Times New Roman"/>
                <w:sz w:val="21"/>
              </w:rPr>
              <w:t>50</w:t>
            </w:r>
          </w:p>
        </w:tc>
        <w:tc>
          <w:tcPr>
            <w:tcW w:w="705" w:type="pct"/>
            <w:tcBorders>
              <w:tl2br w:val="nil"/>
              <w:tr2bl w:val="nil"/>
            </w:tcBorders>
            <w:vAlign w:val="center"/>
          </w:tcPr>
          <w:p w14:paraId="315209E2">
            <w:pPr>
              <w:pStyle w:val="143"/>
              <w:rPr>
                <w:rFonts w:hint="default" w:ascii="Times New Roman" w:eastAsia="宋体"/>
                <w:sz w:val="21"/>
                <w:lang w:val="en-US" w:eastAsia="zh-CN"/>
              </w:rPr>
            </w:pPr>
            <w:r>
              <w:rPr>
                <w:rFonts w:hint="eastAsia" w:ascii="Times New Roman"/>
                <w:sz w:val="21"/>
                <w:lang w:val="en-US" w:eastAsia="zh-CN"/>
              </w:rPr>
              <w:t>0.12</w:t>
            </w:r>
          </w:p>
        </w:tc>
        <w:tc>
          <w:tcPr>
            <w:tcW w:w="900" w:type="pct"/>
            <w:vMerge w:val="continue"/>
            <w:tcBorders>
              <w:tl2br w:val="nil"/>
              <w:tr2bl w:val="nil"/>
            </w:tcBorders>
            <w:vAlign w:val="center"/>
          </w:tcPr>
          <w:p w14:paraId="0EB3C3AE">
            <w:pPr>
              <w:jc w:val="center"/>
              <w:rPr>
                <w:sz w:val="2"/>
                <w:szCs w:val="2"/>
              </w:rPr>
            </w:pPr>
          </w:p>
        </w:tc>
      </w:tr>
      <w:tr w14:paraId="5BB51E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83" w:type="pct"/>
            <w:vMerge w:val="continue"/>
            <w:tcBorders>
              <w:tl2br w:val="nil"/>
              <w:tr2bl w:val="nil"/>
            </w:tcBorders>
            <w:vAlign w:val="center"/>
          </w:tcPr>
          <w:p w14:paraId="29A839A7">
            <w:pPr>
              <w:jc w:val="center"/>
              <w:rPr>
                <w:sz w:val="2"/>
                <w:szCs w:val="2"/>
              </w:rPr>
            </w:pPr>
          </w:p>
        </w:tc>
        <w:tc>
          <w:tcPr>
            <w:tcW w:w="1136" w:type="pct"/>
            <w:tcBorders>
              <w:tl2br w:val="nil"/>
              <w:tr2bl w:val="nil"/>
            </w:tcBorders>
            <w:vAlign w:val="center"/>
          </w:tcPr>
          <w:p w14:paraId="41FA0A3B">
            <w:pPr>
              <w:pStyle w:val="34"/>
              <w:spacing w:line="240" w:lineRule="auto"/>
              <w:ind w:firstLine="0" w:firstLineChars="0"/>
              <w:jc w:val="center"/>
              <w:rPr>
                <w:rFonts w:hint="eastAsia" w:ascii="Times New Roman" w:hAnsi="Times New Roman" w:eastAsia="宋体" w:cs="Times New Roman"/>
                <w:kern w:val="0"/>
                <w:sz w:val="21"/>
                <w:szCs w:val="21"/>
                <w:lang w:val="en-US" w:eastAsia="zh-CN" w:bidi="zh-CN"/>
              </w:rPr>
            </w:pPr>
            <w:r>
              <w:rPr>
                <w:rFonts w:hint="eastAsia" w:ascii="Times New Roman" w:hAnsi="Times New Roman" w:eastAsia="宋体" w:cs="Times New Roman"/>
                <w:sz w:val="21"/>
                <w:szCs w:val="21"/>
                <w:lang w:val="en-US" w:eastAsia="zh-CN"/>
              </w:rPr>
              <w:t>废包装桶</w:t>
            </w:r>
          </w:p>
        </w:tc>
        <w:tc>
          <w:tcPr>
            <w:tcW w:w="822" w:type="pct"/>
            <w:tcBorders>
              <w:tl2br w:val="nil"/>
              <w:tr2bl w:val="nil"/>
            </w:tcBorders>
            <w:vAlign w:val="center"/>
          </w:tcPr>
          <w:p w14:paraId="5C17A39C">
            <w:pPr>
              <w:pStyle w:val="143"/>
              <w:spacing w:before="0"/>
              <w:ind w:left="0" w:leftChars="0" w:right="0" w:rightChars="0"/>
              <w:jc w:val="center"/>
              <w:rPr>
                <w:rFonts w:hint="default" w:ascii="Times New Roman"/>
                <w:sz w:val="21"/>
                <w:lang w:val="en-US" w:eastAsia="zh-CN"/>
              </w:rPr>
            </w:pPr>
            <w:r>
              <w:rPr>
                <w:rFonts w:hint="eastAsia" w:ascii="Times New Roman" w:hAnsi="Times New Roman" w:cs="Times New Roman"/>
                <w:bCs w:val="0"/>
                <w:sz w:val="21"/>
                <w:szCs w:val="21"/>
                <w:lang w:val="en-US" w:eastAsia="zh-CN"/>
              </w:rPr>
              <w:t>2</w:t>
            </w:r>
          </w:p>
        </w:tc>
        <w:tc>
          <w:tcPr>
            <w:tcW w:w="752" w:type="pct"/>
            <w:tcBorders>
              <w:tl2br w:val="nil"/>
              <w:tr2bl w:val="nil"/>
            </w:tcBorders>
            <w:vAlign w:val="center"/>
          </w:tcPr>
          <w:p w14:paraId="6F2C2881">
            <w:pPr>
              <w:pStyle w:val="143"/>
              <w:rPr>
                <w:rFonts w:hint="default" w:ascii="Times New Roman"/>
                <w:sz w:val="21"/>
                <w:lang w:val="en-US" w:eastAsia="zh-CN"/>
              </w:rPr>
            </w:pPr>
            <w:r>
              <w:rPr>
                <w:rFonts w:hint="eastAsia" w:ascii="Times New Roman"/>
                <w:sz w:val="21"/>
                <w:lang w:val="en-US" w:eastAsia="zh-CN"/>
              </w:rPr>
              <w:t>50</w:t>
            </w:r>
          </w:p>
        </w:tc>
        <w:tc>
          <w:tcPr>
            <w:tcW w:w="705" w:type="pct"/>
            <w:tcBorders>
              <w:tl2br w:val="nil"/>
              <w:tr2bl w:val="nil"/>
            </w:tcBorders>
            <w:vAlign w:val="center"/>
          </w:tcPr>
          <w:p w14:paraId="5A4C83E8">
            <w:pPr>
              <w:pStyle w:val="143"/>
              <w:rPr>
                <w:rFonts w:hint="default" w:ascii="Times New Roman" w:eastAsia="宋体"/>
                <w:w w:val="100"/>
                <w:sz w:val="21"/>
                <w:lang w:val="en-US" w:eastAsia="zh-CN"/>
              </w:rPr>
            </w:pPr>
            <w:r>
              <w:rPr>
                <w:rFonts w:hint="eastAsia" w:ascii="Times New Roman"/>
                <w:sz w:val="21"/>
                <w:lang w:val="en-US" w:eastAsia="zh-CN"/>
              </w:rPr>
              <w:t>0.04</w:t>
            </w:r>
          </w:p>
        </w:tc>
        <w:tc>
          <w:tcPr>
            <w:tcW w:w="900" w:type="pct"/>
            <w:vMerge w:val="continue"/>
            <w:tcBorders>
              <w:tl2br w:val="nil"/>
              <w:tr2bl w:val="nil"/>
            </w:tcBorders>
            <w:vAlign w:val="center"/>
          </w:tcPr>
          <w:p w14:paraId="35310448">
            <w:pPr>
              <w:jc w:val="center"/>
              <w:rPr>
                <w:sz w:val="2"/>
                <w:szCs w:val="2"/>
              </w:rPr>
            </w:pPr>
          </w:p>
        </w:tc>
      </w:tr>
      <w:tr w14:paraId="591D08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83" w:type="pct"/>
            <w:vMerge w:val="continue"/>
            <w:tcBorders>
              <w:tl2br w:val="nil"/>
              <w:tr2bl w:val="nil"/>
            </w:tcBorders>
            <w:vAlign w:val="center"/>
          </w:tcPr>
          <w:p w14:paraId="14070E2C">
            <w:pPr>
              <w:jc w:val="center"/>
              <w:rPr>
                <w:sz w:val="2"/>
                <w:szCs w:val="2"/>
              </w:rPr>
            </w:pPr>
          </w:p>
        </w:tc>
        <w:tc>
          <w:tcPr>
            <w:tcW w:w="1136" w:type="pct"/>
            <w:tcBorders>
              <w:tl2br w:val="nil"/>
              <w:tr2bl w:val="nil"/>
            </w:tcBorders>
            <w:vAlign w:val="center"/>
          </w:tcPr>
          <w:p w14:paraId="3ED6FCAC">
            <w:pPr>
              <w:pStyle w:val="34"/>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废活性炭</w:t>
            </w:r>
          </w:p>
        </w:tc>
        <w:tc>
          <w:tcPr>
            <w:tcW w:w="822" w:type="pct"/>
            <w:tcBorders>
              <w:tl2br w:val="nil"/>
              <w:tr2bl w:val="nil"/>
            </w:tcBorders>
            <w:vAlign w:val="center"/>
          </w:tcPr>
          <w:p w14:paraId="56D68827">
            <w:pPr>
              <w:pStyle w:val="143"/>
              <w:spacing w:before="0"/>
              <w:ind w:left="0" w:leftChars="0" w:right="0" w:rightChars="0"/>
              <w:jc w:val="center"/>
              <w:rPr>
                <w:rFonts w:hint="default" w:ascii="Times New Roman" w:hAnsi="Times New Roman" w:cs="Times New Roman"/>
                <w:bCs w:val="0"/>
                <w:sz w:val="21"/>
                <w:szCs w:val="21"/>
                <w:lang w:val="en-US" w:eastAsia="zh-CN"/>
              </w:rPr>
            </w:pPr>
            <w:r>
              <w:rPr>
                <w:rFonts w:hint="eastAsia" w:ascii="Times New Roman" w:hAnsi="Times New Roman" w:cs="Times New Roman"/>
                <w:bCs w:val="0"/>
                <w:sz w:val="21"/>
                <w:szCs w:val="21"/>
                <w:lang w:val="en-US" w:eastAsia="zh-CN"/>
              </w:rPr>
              <w:t>2</w:t>
            </w:r>
          </w:p>
        </w:tc>
        <w:tc>
          <w:tcPr>
            <w:tcW w:w="752" w:type="pct"/>
            <w:tcBorders>
              <w:tl2br w:val="nil"/>
              <w:tr2bl w:val="nil"/>
            </w:tcBorders>
            <w:vAlign w:val="center"/>
          </w:tcPr>
          <w:p w14:paraId="37A0BC53">
            <w:pPr>
              <w:pStyle w:val="143"/>
              <w:rPr>
                <w:rFonts w:hint="default" w:ascii="Times New Roman"/>
                <w:sz w:val="21"/>
                <w:lang w:val="en-US" w:eastAsia="zh-CN"/>
              </w:rPr>
            </w:pPr>
            <w:r>
              <w:rPr>
                <w:rFonts w:hint="eastAsia" w:ascii="Times New Roman"/>
                <w:sz w:val="21"/>
                <w:lang w:val="en-US" w:eastAsia="zh-CN"/>
              </w:rPr>
              <w:t>50</w:t>
            </w:r>
          </w:p>
        </w:tc>
        <w:tc>
          <w:tcPr>
            <w:tcW w:w="705" w:type="pct"/>
            <w:tcBorders>
              <w:tl2br w:val="nil"/>
              <w:tr2bl w:val="nil"/>
            </w:tcBorders>
            <w:vAlign w:val="center"/>
          </w:tcPr>
          <w:p w14:paraId="370B6ADA">
            <w:pPr>
              <w:pStyle w:val="143"/>
              <w:rPr>
                <w:rFonts w:hint="default" w:ascii="Times New Roman"/>
                <w:sz w:val="21"/>
                <w:lang w:val="en-US" w:eastAsia="zh-CN"/>
              </w:rPr>
            </w:pPr>
            <w:r>
              <w:rPr>
                <w:rFonts w:hint="eastAsia" w:ascii="Times New Roman"/>
                <w:sz w:val="21"/>
                <w:lang w:val="en-US" w:eastAsia="zh-CN"/>
              </w:rPr>
              <w:t>0.04</w:t>
            </w:r>
          </w:p>
        </w:tc>
        <w:tc>
          <w:tcPr>
            <w:tcW w:w="900" w:type="pct"/>
            <w:vMerge w:val="continue"/>
            <w:tcBorders>
              <w:tl2br w:val="nil"/>
              <w:tr2bl w:val="nil"/>
            </w:tcBorders>
            <w:vAlign w:val="center"/>
          </w:tcPr>
          <w:p w14:paraId="7F04F53A">
            <w:pPr>
              <w:jc w:val="center"/>
              <w:rPr>
                <w:sz w:val="2"/>
                <w:szCs w:val="2"/>
              </w:rPr>
            </w:pPr>
          </w:p>
        </w:tc>
      </w:tr>
      <w:tr w14:paraId="542191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83" w:type="pct"/>
            <w:vMerge w:val="continue"/>
            <w:tcBorders>
              <w:tl2br w:val="nil"/>
              <w:tr2bl w:val="nil"/>
            </w:tcBorders>
            <w:vAlign w:val="center"/>
          </w:tcPr>
          <w:p w14:paraId="67D0A48E">
            <w:pPr>
              <w:jc w:val="center"/>
              <w:rPr>
                <w:sz w:val="2"/>
                <w:szCs w:val="2"/>
              </w:rPr>
            </w:pPr>
          </w:p>
        </w:tc>
        <w:tc>
          <w:tcPr>
            <w:tcW w:w="1136" w:type="pct"/>
            <w:tcBorders>
              <w:tl2br w:val="nil"/>
              <w:tr2bl w:val="nil"/>
            </w:tcBorders>
            <w:vAlign w:val="center"/>
          </w:tcPr>
          <w:p w14:paraId="78ED5F4C">
            <w:pPr>
              <w:pStyle w:val="34"/>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废过滤棉</w:t>
            </w:r>
          </w:p>
        </w:tc>
        <w:tc>
          <w:tcPr>
            <w:tcW w:w="822" w:type="pct"/>
            <w:tcBorders>
              <w:tl2br w:val="nil"/>
              <w:tr2bl w:val="nil"/>
            </w:tcBorders>
            <w:vAlign w:val="center"/>
          </w:tcPr>
          <w:p w14:paraId="3D3693EF">
            <w:pPr>
              <w:pStyle w:val="143"/>
              <w:spacing w:before="0"/>
              <w:ind w:left="0" w:leftChars="0" w:right="0" w:rightChars="0"/>
              <w:jc w:val="center"/>
              <w:rPr>
                <w:rFonts w:hint="default" w:ascii="Times New Roman" w:hAnsi="Times New Roman" w:cs="Times New Roman"/>
                <w:bCs w:val="0"/>
                <w:sz w:val="21"/>
                <w:szCs w:val="21"/>
                <w:lang w:val="en-US" w:eastAsia="zh-CN"/>
              </w:rPr>
            </w:pPr>
            <w:r>
              <w:rPr>
                <w:rFonts w:hint="eastAsia" w:ascii="Times New Roman" w:hAnsi="Times New Roman" w:cs="Times New Roman"/>
                <w:bCs w:val="0"/>
                <w:sz w:val="21"/>
                <w:szCs w:val="21"/>
                <w:lang w:val="en-US" w:eastAsia="zh-CN"/>
              </w:rPr>
              <w:t>2</w:t>
            </w:r>
          </w:p>
        </w:tc>
        <w:tc>
          <w:tcPr>
            <w:tcW w:w="752" w:type="pct"/>
            <w:tcBorders>
              <w:tl2br w:val="nil"/>
              <w:tr2bl w:val="nil"/>
            </w:tcBorders>
            <w:vAlign w:val="center"/>
          </w:tcPr>
          <w:p w14:paraId="35CF0D2B">
            <w:pPr>
              <w:pStyle w:val="143"/>
              <w:rPr>
                <w:rFonts w:hint="default" w:ascii="Times New Roman"/>
                <w:sz w:val="21"/>
                <w:lang w:val="en-US" w:eastAsia="zh-CN"/>
              </w:rPr>
            </w:pPr>
            <w:r>
              <w:rPr>
                <w:rFonts w:hint="eastAsia" w:ascii="Times New Roman"/>
                <w:sz w:val="21"/>
                <w:lang w:val="en-US" w:eastAsia="zh-CN"/>
              </w:rPr>
              <w:t>50</w:t>
            </w:r>
          </w:p>
        </w:tc>
        <w:tc>
          <w:tcPr>
            <w:tcW w:w="705" w:type="pct"/>
            <w:tcBorders>
              <w:tl2br w:val="nil"/>
              <w:tr2bl w:val="nil"/>
            </w:tcBorders>
            <w:vAlign w:val="center"/>
          </w:tcPr>
          <w:p w14:paraId="55167340">
            <w:pPr>
              <w:pStyle w:val="143"/>
              <w:rPr>
                <w:rFonts w:hint="default" w:ascii="Times New Roman"/>
                <w:sz w:val="21"/>
                <w:lang w:val="en-US" w:eastAsia="zh-CN"/>
              </w:rPr>
            </w:pPr>
            <w:r>
              <w:rPr>
                <w:rFonts w:hint="eastAsia" w:ascii="Times New Roman"/>
                <w:sz w:val="21"/>
                <w:lang w:val="en-US" w:eastAsia="zh-CN"/>
              </w:rPr>
              <w:t>0.04</w:t>
            </w:r>
          </w:p>
        </w:tc>
        <w:tc>
          <w:tcPr>
            <w:tcW w:w="900" w:type="pct"/>
            <w:vMerge w:val="continue"/>
            <w:tcBorders>
              <w:tl2br w:val="nil"/>
              <w:tr2bl w:val="nil"/>
            </w:tcBorders>
            <w:vAlign w:val="center"/>
          </w:tcPr>
          <w:p w14:paraId="041F6D10">
            <w:pPr>
              <w:jc w:val="center"/>
              <w:rPr>
                <w:sz w:val="2"/>
                <w:szCs w:val="2"/>
              </w:rPr>
            </w:pPr>
          </w:p>
        </w:tc>
      </w:tr>
      <w:tr w14:paraId="6D88A3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394" w:type="pct"/>
            <w:gridSpan w:val="4"/>
            <w:tcBorders>
              <w:tl2br w:val="nil"/>
              <w:tr2bl w:val="nil"/>
            </w:tcBorders>
            <w:vAlign w:val="center"/>
          </w:tcPr>
          <w:p w14:paraId="375923F2">
            <w:pPr>
              <w:pStyle w:val="143"/>
              <w:spacing w:before="0"/>
              <w:ind w:left="0" w:right="0"/>
              <w:rPr>
                <w:rFonts w:ascii="Times New Roman" w:hAnsi="Times New Roman"/>
                <w:b/>
                <w:sz w:val="21"/>
              </w:rPr>
            </w:pPr>
            <w:r>
              <w:rPr>
                <w:rFonts w:ascii="Times New Roman" w:hAnsi="Times New Roman"/>
                <w:b/>
                <w:sz w:val="21"/>
              </w:rPr>
              <w:t>ΣQi/qi</w:t>
            </w:r>
          </w:p>
        </w:tc>
        <w:tc>
          <w:tcPr>
            <w:tcW w:w="705" w:type="pct"/>
            <w:tcBorders>
              <w:tl2br w:val="nil"/>
              <w:tr2bl w:val="nil"/>
            </w:tcBorders>
            <w:vAlign w:val="center"/>
          </w:tcPr>
          <w:p w14:paraId="64E333B7">
            <w:pPr>
              <w:pStyle w:val="143"/>
              <w:spacing w:before="0"/>
              <w:ind w:right="0" w:rightChars="0"/>
              <w:jc w:val="center"/>
              <w:rPr>
                <w:rFonts w:hint="default" w:ascii="Times New Roman" w:eastAsia="宋体"/>
                <w:sz w:val="21"/>
                <w:lang w:val="en-US" w:eastAsia="zh-CN"/>
              </w:rPr>
            </w:pPr>
            <w:r>
              <w:rPr>
                <w:rFonts w:hint="eastAsia" w:ascii="Times New Roman" w:hAnsi="Times New Roman" w:cs="Times New Roman"/>
                <w:kern w:val="2"/>
                <w:sz w:val="21"/>
                <w:szCs w:val="21"/>
                <w:lang w:val="en-US" w:eastAsia="zh-CN" w:bidi="ar-SA"/>
              </w:rPr>
              <w:t>0.293</w:t>
            </w:r>
          </w:p>
        </w:tc>
        <w:tc>
          <w:tcPr>
            <w:tcW w:w="900" w:type="pct"/>
            <w:vMerge w:val="continue"/>
            <w:tcBorders>
              <w:tl2br w:val="nil"/>
              <w:tr2bl w:val="nil"/>
            </w:tcBorders>
            <w:vAlign w:val="center"/>
          </w:tcPr>
          <w:p w14:paraId="694AE975">
            <w:pPr>
              <w:jc w:val="center"/>
              <w:rPr>
                <w:sz w:val="2"/>
                <w:szCs w:val="2"/>
              </w:rPr>
            </w:pPr>
          </w:p>
        </w:tc>
      </w:tr>
    </w:tbl>
    <w:p w14:paraId="62B95257">
      <w:pPr>
        <w:pStyle w:val="4"/>
      </w:pPr>
    </w:p>
    <w:p w14:paraId="0A539EFB">
      <w:pPr>
        <w:pStyle w:val="13"/>
        <w:spacing w:after="0" w:line="500" w:lineRule="exact"/>
        <w:ind w:firstLine="480" w:firstLineChars="200"/>
        <w:rPr>
          <w:rFonts w:eastAsia="宋体"/>
        </w:rPr>
      </w:pPr>
      <w:r>
        <w:rPr>
          <w:rFonts w:eastAsia="宋体"/>
        </w:rPr>
        <w:t>根据《企业事业单位突发环境事件应急预案评审工作指南》对于数量大于临界量的，应辨识重要环境风险单元。表3-</w:t>
      </w:r>
      <w:r>
        <w:rPr>
          <w:rFonts w:hint="eastAsia" w:eastAsia="宋体"/>
        </w:rPr>
        <w:t>9</w:t>
      </w:r>
      <w:r>
        <w:rPr>
          <w:rFonts w:eastAsia="宋体"/>
        </w:rPr>
        <w:t>中企业存在环境风险的</w:t>
      </w:r>
      <w:r>
        <w:rPr>
          <w:rFonts w:hint="eastAsia" w:eastAsia="宋体"/>
        </w:rPr>
        <w:t>油漆仓库、生产车间</w:t>
      </w:r>
      <w:r>
        <w:rPr>
          <w:rFonts w:eastAsia="宋体"/>
        </w:rPr>
        <w:t>、</w:t>
      </w:r>
      <w:r>
        <w:rPr>
          <w:rFonts w:hint="eastAsia" w:eastAsia="宋体"/>
          <w:lang w:eastAsia="zh-CN"/>
        </w:rPr>
        <w:t>回用水设施</w:t>
      </w:r>
      <w:r>
        <w:rPr>
          <w:rFonts w:hint="eastAsia" w:eastAsia="宋体"/>
        </w:rPr>
        <w:t>、</w:t>
      </w:r>
      <w:r>
        <w:rPr>
          <w:rFonts w:eastAsia="宋体"/>
        </w:rPr>
        <w:t>危废仓库Q值均小于1，企业不存在重要环境风险单元。</w:t>
      </w:r>
    </w:p>
    <w:p w14:paraId="6EB720A2">
      <w:pPr>
        <w:pStyle w:val="3"/>
        <w:adjustRightInd w:val="0"/>
        <w:snapToGrid w:val="0"/>
        <w:spacing w:line="480" w:lineRule="exact"/>
        <w:rPr>
          <w:rFonts w:eastAsia="宋体"/>
          <w:sz w:val="24"/>
          <w:szCs w:val="24"/>
        </w:rPr>
      </w:pPr>
      <w:bookmarkStart w:id="103" w:name="_Toc24134"/>
      <w:bookmarkStart w:id="104" w:name="_Toc32620"/>
      <w:bookmarkStart w:id="105" w:name="_Toc18985"/>
      <w:r>
        <w:rPr>
          <w:rFonts w:eastAsia="宋体"/>
          <w:sz w:val="24"/>
          <w:szCs w:val="24"/>
        </w:rPr>
        <w:t>3.</w:t>
      </w:r>
      <w:r>
        <w:rPr>
          <w:rFonts w:hint="eastAsia" w:eastAsia="宋体"/>
          <w:sz w:val="24"/>
          <w:szCs w:val="24"/>
        </w:rPr>
        <w:t>5</w:t>
      </w:r>
      <w:r>
        <w:rPr>
          <w:rFonts w:eastAsia="宋体"/>
          <w:sz w:val="24"/>
          <w:szCs w:val="24"/>
        </w:rPr>
        <w:t>生产工艺情况</w:t>
      </w:r>
      <w:bookmarkEnd w:id="100"/>
      <w:bookmarkEnd w:id="103"/>
      <w:bookmarkEnd w:id="104"/>
      <w:bookmarkEnd w:id="105"/>
    </w:p>
    <w:p w14:paraId="3084C432">
      <w:pPr>
        <w:adjustRightInd w:val="0"/>
        <w:snapToGrid w:val="0"/>
        <w:spacing w:line="500" w:lineRule="exact"/>
        <w:ind w:firstLine="480" w:firstLineChars="200"/>
        <w:rPr>
          <w:rFonts w:ascii="宋体" w:hAnsi="宋体" w:eastAsia="宋体" w:cs="宋体"/>
          <w:color w:val="000000" w:themeColor="text1"/>
          <w:sz w:val="28"/>
          <w:szCs w:val="28"/>
          <w14:textFill>
            <w14:solidFill>
              <w14:schemeClr w14:val="tx1"/>
            </w14:solidFill>
          </w14:textFill>
        </w:rPr>
      </w:pPr>
      <w:r>
        <w:rPr>
          <w:rFonts w:hint="eastAsia" w:eastAsiaTheme="minorEastAsia"/>
          <w:color w:val="000000" w:themeColor="text1"/>
          <w14:textFill>
            <w14:solidFill>
              <w14:schemeClr w14:val="tx1"/>
            </w14:solidFill>
          </w14:textFill>
        </w:rPr>
        <w:t>公司主要生产</w:t>
      </w:r>
      <w:r>
        <w:rPr>
          <w:rFonts w:hint="eastAsia" w:eastAsiaTheme="minorEastAsia"/>
          <w:color w:val="000000" w:themeColor="text1"/>
          <w:lang w:val="en-US" w:eastAsia="zh-CN"/>
          <w14:textFill>
            <w14:solidFill>
              <w14:schemeClr w14:val="tx1"/>
            </w14:solidFill>
          </w14:textFill>
        </w:rPr>
        <w:t>办公</w:t>
      </w:r>
      <w:r>
        <w:rPr>
          <w:rFonts w:hint="eastAsia" w:eastAsiaTheme="minorEastAsia"/>
          <w:color w:val="000000" w:themeColor="text1"/>
          <w14:textFill>
            <w14:solidFill>
              <w14:schemeClr w14:val="tx1"/>
            </w14:solidFill>
          </w14:textFill>
        </w:rPr>
        <w:t>家具，</w:t>
      </w:r>
      <w:r>
        <w:rPr>
          <w:rFonts w:eastAsiaTheme="minorEastAsia"/>
          <w:color w:val="000000" w:themeColor="text1"/>
          <w14:textFill>
            <w14:solidFill>
              <w14:schemeClr w14:val="tx1"/>
            </w14:solidFill>
          </w14:textFill>
        </w:rPr>
        <w:t>公司主要产品概况见表</w:t>
      </w:r>
      <w:r>
        <w:rPr>
          <w:rFonts w:hint="eastAsia" w:eastAsiaTheme="minorEastAsia"/>
          <w:color w:val="000000" w:themeColor="text1"/>
          <w14:textFill>
            <w14:solidFill>
              <w14:schemeClr w14:val="tx1"/>
            </w14:solidFill>
          </w14:textFill>
        </w:rPr>
        <w:t>3-10</w:t>
      </w:r>
      <w:r>
        <w:rPr>
          <w:rFonts w:hint="eastAsia" w:ascii="宋体" w:hAnsi="宋体" w:eastAsia="宋体" w:cs="宋体"/>
          <w:color w:val="000000" w:themeColor="text1"/>
          <w:sz w:val="28"/>
          <w:szCs w:val="28"/>
          <w14:textFill>
            <w14:solidFill>
              <w14:schemeClr w14:val="tx1"/>
            </w14:solidFill>
          </w14:textFill>
        </w:rPr>
        <w:t>。</w:t>
      </w:r>
    </w:p>
    <w:p w14:paraId="686A1D3B">
      <w:pPr>
        <w:snapToGrid w:val="0"/>
        <w:spacing w:line="500" w:lineRule="exact"/>
        <w:jc w:val="center"/>
        <w:rPr>
          <w:rFonts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表3-</w:t>
      </w:r>
      <w:r>
        <w:rPr>
          <w:rFonts w:hint="eastAsia" w:eastAsia="宋体"/>
          <w:b/>
          <w:color w:val="000000" w:themeColor="text1"/>
          <w14:textFill>
            <w14:solidFill>
              <w14:schemeClr w14:val="tx1"/>
            </w14:solidFill>
          </w14:textFill>
        </w:rPr>
        <w:t>10</w:t>
      </w:r>
      <w:r>
        <w:rPr>
          <w:rFonts w:eastAsia="宋体"/>
          <w:b/>
          <w:color w:val="000000" w:themeColor="text1"/>
          <w14:textFill>
            <w14:solidFill>
              <w14:schemeClr w14:val="tx1"/>
            </w14:solidFill>
          </w14:textFill>
        </w:rPr>
        <w:t>公司</w:t>
      </w:r>
      <w:r>
        <w:rPr>
          <w:rFonts w:hint="eastAsia" w:eastAsia="宋体"/>
          <w:b/>
          <w:color w:val="000000" w:themeColor="text1"/>
          <w14:textFill>
            <w14:solidFill>
              <w14:schemeClr w14:val="tx1"/>
            </w14:solidFill>
          </w14:textFill>
        </w:rPr>
        <w:t>现有</w:t>
      </w:r>
      <w:r>
        <w:rPr>
          <w:rFonts w:eastAsia="宋体"/>
          <w:b/>
          <w:color w:val="000000" w:themeColor="text1"/>
          <w14:textFill>
            <w14:solidFill>
              <w14:schemeClr w14:val="tx1"/>
            </w14:solidFill>
          </w14:textFill>
        </w:rPr>
        <w:t>产品概况</w:t>
      </w:r>
    </w:p>
    <w:tbl>
      <w:tblPr>
        <w:tblStyle w:val="38"/>
        <w:tblW w:w="481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196"/>
        <w:gridCol w:w="1846"/>
        <w:gridCol w:w="1799"/>
        <w:gridCol w:w="1801"/>
        <w:gridCol w:w="1216"/>
      </w:tblGrid>
      <w:tr w14:paraId="05004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1124" w:type="pct"/>
            <w:noWrap w:val="0"/>
            <w:vAlign w:val="center"/>
          </w:tcPr>
          <w:p w14:paraId="308F7CF5">
            <w:pPr>
              <w:jc w:val="center"/>
              <w:rPr>
                <w:b/>
                <w:bCs/>
                <w:color w:val="auto"/>
                <w:sz w:val="21"/>
                <w:szCs w:val="21"/>
              </w:rPr>
            </w:pPr>
            <w:bookmarkStart w:id="106" w:name="_Toc18085"/>
            <w:bookmarkStart w:id="107" w:name="_Toc11684"/>
            <w:bookmarkStart w:id="108" w:name="_Toc20743"/>
            <w:bookmarkStart w:id="109" w:name="_Toc32524"/>
            <w:r>
              <w:rPr>
                <w:b/>
                <w:bCs/>
                <w:color w:val="auto"/>
                <w:sz w:val="21"/>
                <w:szCs w:val="21"/>
              </w:rPr>
              <w:t>生产线名称</w:t>
            </w:r>
          </w:p>
        </w:tc>
        <w:tc>
          <w:tcPr>
            <w:tcW w:w="944" w:type="pct"/>
            <w:noWrap w:val="0"/>
            <w:vAlign w:val="center"/>
          </w:tcPr>
          <w:p w14:paraId="242475F9">
            <w:pPr>
              <w:jc w:val="center"/>
              <w:rPr>
                <w:b/>
                <w:bCs/>
                <w:color w:val="auto"/>
                <w:sz w:val="21"/>
                <w:szCs w:val="21"/>
              </w:rPr>
            </w:pPr>
            <w:r>
              <w:rPr>
                <w:b/>
                <w:bCs/>
                <w:color w:val="auto"/>
                <w:sz w:val="21"/>
                <w:szCs w:val="21"/>
              </w:rPr>
              <w:t>产品名称</w:t>
            </w:r>
          </w:p>
        </w:tc>
        <w:tc>
          <w:tcPr>
            <w:tcW w:w="920" w:type="pct"/>
            <w:noWrap w:val="0"/>
            <w:vAlign w:val="center"/>
          </w:tcPr>
          <w:p w14:paraId="44D6F2ED">
            <w:pPr>
              <w:jc w:val="center"/>
              <w:rPr>
                <w:b/>
                <w:bCs/>
                <w:color w:val="auto"/>
                <w:sz w:val="21"/>
                <w:szCs w:val="21"/>
              </w:rPr>
            </w:pPr>
            <w:r>
              <w:rPr>
                <w:b/>
                <w:bCs/>
                <w:color w:val="auto"/>
                <w:sz w:val="21"/>
                <w:szCs w:val="21"/>
              </w:rPr>
              <w:t>年设计生产能力</w:t>
            </w:r>
          </w:p>
        </w:tc>
        <w:tc>
          <w:tcPr>
            <w:tcW w:w="921" w:type="pct"/>
            <w:noWrap w:val="0"/>
            <w:vAlign w:val="center"/>
          </w:tcPr>
          <w:p w14:paraId="6EB85C08">
            <w:pPr>
              <w:jc w:val="center"/>
              <w:rPr>
                <w:rFonts w:hint="eastAsia"/>
                <w:b/>
                <w:bCs/>
                <w:color w:val="auto"/>
                <w:sz w:val="21"/>
                <w:szCs w:val="21"/>
              </w:rPr>
            </w:pPr>
            <w:r>
              <w:rPr>
                <w:b/>
                <w:bCs/>
                <w:color w:val="auto"/>
                <w:sz w:val="21"/>
                <w:szCs w:val="21"/>
              </w:rPr>
              <w:t>年生产时间</w:t>
            </w:r>
            <w:r>
              <w:rPr>
                <w:rFonts w:hint="eastAsia"/>
                <w:b/>
                <w:bCs/>
                <w:color w:val="auto"/>
                <w:sz w:val="21"/>
                <w:szCs w:val="21"/>
              </w:rPr>
              <w:t>（h）</w:t>
            </w:r>
          </w:p>
        </w:tc>
        <w:tc>
          <w:tcPr>
            <w:tcW w:w="622" w:type="pct"/>
            <w:noWrap w:val="0"/>
            <w:vAlign w:val="center"/>
          </w:tcPr>
          <w:p w14:paraId="347A3A94">
            <w:pPr>
              <w:jc w:val="center"/>
              <w:rPr>
                <w:b/>
                <w:bCs/>
                <w:color w:val="auto"/>
                <w:sz w:val="21"/>
                <w:szCs w:val="21"/>
              </w:rPr>
            </w:pPr>
            <w:r>
              <w:rPr>
                <w:b/>
                <w:bCs/>
                <w:color w:val="auto"/>
                <w:sz w:val="21"/>
                <w:szCs w:val="21"/>
              </w:rPr>
              <w:t>产品规格</w:t>
            </w:r>
          </w:p>
        </w:tc>
      </w:tr>
      <w:tr w14:paraId="3BB2E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24" w:type="pct"/>
            <w:vMerge w:val="restart"/>
            <w:noWrap w:val="0"/>
            <w:vAlign w:val="center"/>
          </w:tcPr>
          <w:p w14:paraId="7AF4EF6F">
            <w:pPr>
              <w:pStyle w:val="143"/>
              <w:jc w:val="center"/>
              <w:rPr>
                <w:rFonts w:ascii="Times New Roman" w:hAnsi="Times New Roman"/>
                <w:color w:val="auto"/>
                <w:sz w:val="21"/>
                <w:szCs w:val="21"/>
                <w:lang w:eastAsia="zh-CN"/>
              </w:rPr>
            </w:pPr>
            <w:r>
              <w:rPr>
                <w:rFonts w:hint="eastAsia" w:ascii="Times New Roman" w:hAnsi="Times New Roman"/>
                <w:color w:val="auto"/>
                <w:sz w:val="21"/>
                <w:szCs w:val="21"/>
                <w:lang w:eastAsia="zh-CN"/>
              </w:rPr>
              <w:t>木质家具</w:t>
            </w:r>
            <w:r>
              <w:rPr>
                <w:rFonts w:ascii="Times New Roman" w:hAnsi="Times New Roman"/>
                <w:color w:val="auto"/>
                <w:sz w:val="21"/>
                <w:szCs w:val="21"/>
                <w:lang w:eastAsia="zh-CN"/>
              </w:rPr>
              <w:t>生产线</w:t>
            </w:r>
          </w:p>
        </w:tc>
        <w:tc>
          <w:tcPr>
            <w:tcW w:w="944" w:type="pct"/>
            <w:noWrap w:val="0"/>
            <w:vAlign w:val="center"/>
          </w:tcPr>
          <w:p w14:paraId="42090025">
            <w:pPr>
              <w:jc w:val="center"/>
              <w:rPr>
                <w:color w:val="auto"/>
                <w:sz w:val="21"/>
                <w:szCs w:val="21"/>
              </w:rPr>
            </w:pPr>
            <w:r>
              <w:rPr>
                <w:rFonts w:hint="eastAsia"/>
                <w:color w:val="auto"/>
                <w:sz w:val="21"/>
                <w:szCs w:val="21"/>
              </w:rPr>
              <w:t>柜子</w:t>
            </w:r>
          </w:p>
        </w:tc>
        <w:tc>
          <w:tcPr>
            <w:tcW w:w="920" w:type="pct"/>
            <w:noWrap w:val="0"/>
            <w:vAlign w:val="center"/>
          </w:tcPr>
          <w:p w14:paraId="590C8075">
            <w:pPr>
              <w:jc w:val="center"/>
              <w:rPr>
                <w:color w:val="auto"/>
                <w:sz w:val="21"/>
                <w:szCs w:val="21"/>
              </w:rPr>
            </w:pPr>
            <w:r>
              <w:rPr>
                <w:rFonts w:hint="eastAsia"/>
                <w:color w:val="auto"/>
                <w:sz w:val="21"/>
                <w:szCs w:val="21"/>
              </w:rPr>
              <w:t>3000件/套</w:t>
            </w:r>
          </w:p>
        </w:tc>
        <w:tc>
          <w:tcPr>
            <w:tcW w:w="921" w:type="pct"/>
            <w:noWrap w:val="0"/>
            <w:vAlign w:val="center"/>
          </w:tcPr>
          <w:p w14:paraId="3FE3936D">
            <w:pPr>
              <w:jc w:val="center"/>
              <w:rPr>
                <w:color w:val="auto"/>
                <w:sz w:val="21"/>
                <w:szCs w:val="21"/>
              </w:rPr>
            </w:pPr>
            <w:r>
              <w:rPr>
                <w:rFonts w:hint="eastAsia"/>
                <w:color w:val="auto"/>
                <w:sz w:val="21"/>
                <w:szCs w:val="21"/>
              </w:rPr>
              <w:t>2400</w:t>
            </w:r>
          </w:p>
        </w:tc>
        <w:tc>
          <w:tcPr>
            <w:tcW w:w="622" w:type="pct"/>
            <w:noWrap w:val="0"/>
            <w:vAlign w:val="center"/>
          </w:tcPr>
          <w:p w14:paraId="3D5F18EF">
            <w:pPr>
              <w:jc w:val="center"/>
              <w:rPr>
                <w:color w:val="auto"/>
                <w:sz w:val="21"/>
                <w:szCs w:val="21"/>
              </w:rPr>
            </w:pPr>
            <w:r>
              <w:rPr>
                <w:color w:val="auto"/>
                <w:sz w:val="21"/>
                <w:szCs w:val="21"/>
              </w:rPr>
              <w:t>非标定制</w:t>
            </w:r>
          </w:p>
        </w:tc>
      </w:tr>
      <w:tr w14:paraId="05A135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24" w:type="pct"/>
            <w:vMerge w:val="continue"/>
            <w:noWrap w:val="0"/>
            <w:vAlign w:val="center"/>
          </w:tcPr>
          <w:p w14:paraId="16BE2B8E">
            <w:pPr>
              <w:pStyle w:val="143"/>
              <w:jc w:val="center"/>
              <w:rPr>
                <w:rFonts w:ascii="Times New Roman" w:hAnsi="Times New Roman"/>
                <w:color w:val="auto"/>
                <w:sz w:val="21"/>
                <w:szCs w:val="21"/>
                <w:lang w:eastAsia="zh-CN"/>
              </w:rPr>
            </w:pPr>
          </w:p>
        </w:tc>
        <w:tc>
          <w:tcPr>
            <w:tcW w:w="944" w:type="pct"/>
            <w:noWrap w:val="0"/>
            <w:vAlign w:val="center"/>
          </w:tcPr>
          <w:p w14:paraId="4568807E">
            <w:pPr>
              <w:jc w:val="center"/>
              <w:rPr>
                <w:color w:val="auto"/>
                <w:sz w:val="21"/>
                <w:szCs w:val="21"/>
              </w:rPr>
            </w:pPr>
            <w:r>
              <w:rPr>
                <w:rFonts w:hint="eastAsia"/>
                <w:color w:val="auto"/>
                <w:sz w:val="21"/>
                <w:szCs w:val="21"/>
              </w:rPr>
              <w:t>床</w:t>
            </w:r>
          </w:p>
        </w:tc>
        <w:tc>
          <w:tcPr>
            <w:tcW w:w="920" w:type="pct"/>
            <w:noWrap w:val="0"/>
            <w:vAlign w:val="center"/>
          </w:tcPr>
          <w:p w14:paraId="16605B53">
            <w:pPr>
              <w:jc w:val="center"/>
              <w:rPr>
                <w:rFonts w:hint="eastAsia"/>
                <w:color w:val="auto"/>
                <w:sz w:val="21"/>
                <w:szCs w:val="21"/>
              </w:rPr>
            </w:pPr>
            <w:r>
              <w:rPr>
                <w:rFonts w:hint="eastAsia"/>
                <w:color w:val="auto"/>
                <w:sz w:val="21"/>
                <w:szCs w:val="21"/>
              </w:rPr>
              <w:t>500件/套</w:t>
            </w:r>
          </w:p>
        </w:tc>
        <w:tc>
          <w:tcPr>
            <w:tcW w:w="921" w:type="pct"/>
            <w:noWrap w:val="0"/>
            <w:vAlign w:val="center"/>
          </w:tcPr>
          <w:p w14:paraId="22368E9F">
            <w:pPr>
              <w:jc w:val="center"/>
              <w:rPr>
                <w:color w:val="auto"/>
                <w:sz w:val="21"/>
                <w:szCs w:val="21"/>
              </w:rPr>
            </w:pPr>
            <w:r>
              <w:rPr>
                <w:rFonts w:hint="eastAsia"/>
                <w:color w:val="auto"/>
                <w:sz w:val="21"/>
                <w:szCs w:val="21"/>
              </w:rPr>
              <w:t>2400</w:t>
            </w:r>
          </w:p>
        </w:tc>
        <w:tc>
          <w:tcPr>
            <w:tcW w:w="622" w:type="pct"/>
            <w:noWrap w:val="0"/>
            <w:vAlign w:val="center"/>
          </w:tcPr>
          <w:p w14:paraId="334A063B">
            <w:pPr>
              <w:jc w:val="center"/>
              <w:rPr>
                <w:color w:val="auto"/>
                <w:sz w:val="21"/>
                <w:szCs w:val="21"/>
              </w:rPr>
            </w:pPr>
            <w:r>
              <w:rPr>
                <w:color w:val="auto"/>
                <w:sz w:val="21"/>
                <w:szCs w:val="21"/>
              </w:rPr>
              <w:t>非标定制</w:t>
            </w:r>
          </w:p>
        </w:tc>
      </w:tr>
      <w:tr w14:paraId="5DE81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24" w:type="pct"/>
            <w:vMerge w:val="continue"/>
            <w:noWrap w:val="0"/>
            <w:vAlign w:val="center"/>
          </w:tcPr>
          <w:p w14:paraId="289590C0">
            <w:pPr>
              <w:pStyle w:val="143"/>
              <w:jc w:val="center"/>
              <w:rPr>
                <w:rFonts w:ascii="Times New Roman" w:hAnsi="Times New Roman"/>
                <w:color w:val="auto"/>
                <w:sz w:val="21"/>
                <w:szCs w:val="21"/>
                <w:lang w:eastAsia="zh-CN"/>
              </w:rPr>
            </w:pPr>
          </w:p>
        </w:tc>
        <w:tc>
          <w:tcPr>
            <w:tcW w:w="944" w:type="pct"/>
            <w:noWrap w:val="0"/>
            <w:vAlign w:val="center"/>
          </w:tcPr>
          <w:p w14:paraId="289A751A">
            <w:pPr>
              <w:jc w:val="center"/>
              <w:rPr>
                <w:rFonts w:hint="eastAsia"/>
                <w:color w:val="auto"/>
                <w:sz w:val="21"/>
                <w:szCs w:val="21"/>
              </w:rPr>
            </w:pPr>
            <w:r>
              <w:rPr>
                <w:rFonts w:hint="eastAsia"/>
                <w:color w:val="auto"/>
                <w:sz w:val="21"/>
                <w:szCs w:val="21"/>
              </w:rPr>
              <w:t>椅子</w:t>
            </w:r>
          </w:p>
        </w:tc>
        <w:tc>
          <w:tcPr>
            <w:tcW w:w="920" w:type="pct"/>
            <w:noWrap w:val="0"/>
            <w:vAlign w:val="center"/>
          </w:tcPr>
          <w:p w14:paraId="0DEC3875">
            <w:pPr>
              <w:jc w:val="center"/>
              <w:rPr>
                <w:rFonts w:hint="eastAsia"/>
                <w:color w:val="auto"/>
                <w:sz w:val="21"/>
                <w:szCs w:val="21"/>
              </w:rPr>
            </w:pPr>
            <w:r>
              <w:rPr>
                <w:rFonts w:hint="eastAsia"/>
                <w:color w:val="auto"/>
                <w:sz w:val="21"/>
                <w:szCs w:val="21"/>
              </w:rPr>
              <w:t>500件/套</w:t>
            </w:r>
          </w:p>
        </w:tc>
        <w:tc>
          <w:tcPr>
            <w:tcW w:w="921" w:type="pct"/>
            <w:noWrap w:val="0"/>
            <w:vAlign w:val="center"/>
          </w:tcPr>
          <w:p w14:paraId="5ECAF748">
            <w:pPr>
              <w:jc w:val="center"/>
              <w:rPr>
                <w:rFonts w:hint="eastAsia"/>
                <w:color w:val="auto"/>
                <w:sz w:val="21"/>
                <w:szCs w:val="21"/>
              </w:rPr>
            </w:pPr>
            <w:r>
              <w:rPr>
                <w:rFonts w:hint="eastAsia"/>
                <w:color w:val="auto"/>
                <w:sz w:val="21"/>
                <w:szCs w:val="21"/>
              </w:rPr>
              <w:t>2400</w:t>
            </w:r>
          </w:p>
        </w:tc>
        <w:tc>
          <w:tcPr>
            <w:tcW w:w="622" w:type="pct"/>
            <w:noWrap w:val="0"/>
            <w:vAlign w:val="center"/>
          </w:tcPr>
          <w:p w14:paraId="0D7C16D0">
            <w:pPr>
              <w:jc w:val="center"/>
              <w:rPr>
                <w:color w:val="auto"/>
                <w:sz w:val="21"/>
                <w:szCs w:val="21"/>
              </w:rPr>
            </w:pPr>
            <w:r>
              <w:rPr>
                <w:color w:val="auto"/>
                <w:sz w:val="21"/>
                <w:szCs w:val="21"/>
              </w:rPr>
              <w:t>非标定制</w:t>
            </w:r>
          </w:p>
        </w:tc>
      </w:tr>
      <w:tr w14:paraId="419B9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124" w:type="pct"/>
            <w:vMerge w:val="continue"/>
            <w:noWrap w:val="0"/>
            <w:vAlign w:val="center"/>
          </w:tcPr>
          <w:p w14:paraId="26052597">
            <w:pPr>
              <w:pStyle w:val="143"/>
              <w:jc w:val="center"/>
              <w:rPr>
                <w:rFonts w:ascii="Times New Roman" w:hAnsi="Times New Roman"/>
                <w:color w:val="auto"/>
                <w:sz w:val="21"/>
                <w:szCs w:val="21"/>
                <w:lang w:eastAsia="zh-CN"/>
              </w:rPr>
            </w:pPr>
          </w:p>
        </w:tc>
        <w:tc>
          <w:tcPr>
            <w:tcW w:w="944" w:type="pct"/>
            <w:noWrap w:val="0"/>
            <w:vAlign w:val="center"/>
          </w:tcPr>
          <w:p w14:paraId="17DA80C8">
            <w:pPr>
              <w:jc w:val="center"/>
              <w:rPr>
                <w:rFonts w:hint="eastAsia"/>
                <w:color w:val="auto"/>
                <w:sz w:val="21"/>
                <w:szCs w:val="21"/>
              </w:rPr>
            </w:pPr>
            <w:r>
              <w:rPr>
                <w:rFonts w:hint="eastAsia"/>
                <w:color w:val="auto"/>
                <w:sz w:val="21"/>
                <w:szCs w:val="21"/>
              </w:rPr>
              <w:t>其他家具</w:t>
            </w:r>
          </w:p>
        </w:tc>
        <w:tc>
          <w:tcPr>
            <w:tcW w:w="920" w:type="pct"/>
            <w:noWrap w:val="0"/>
            <w:vAlign w:val="center"/>
          </w:tcPr>
          <w:p w14:paraId="52DC1920">
            <w:pPr>
              <w:jc w:val="center"/>
              <w:rPr>
                <w:rFonts w:hint="eastAsia"/>
                <w:color w:val="auto"/>
                <w:sz w:val="21"/>
                <w:szCs w:val="21"/>
              </w:rPr>
            </w:pPr>
            <w:r>
              <w:rPr>
                <w:rFonts w:hint="eastAsia"/>
                <w:color w:val="auto"/>
                <w:sz w:val="21"/>
                <w:szCs w:val="21"/>
              </w:rPr>
              <w:t>1000件/套</w:t>
            </w:r>
          </w:p>
        </w:tc>
        <w:tc>
          <w:tcPr>
            <w:tcW w:w="921" w:type="pct"/>
            <w:noWrap w:val="0"/>
            <w:vAlign w:val="center"/>
          </w:tcPr>
          <w:p w14:paraId="32A01AAB">
            <w:pPr>
              <w:jc w:val="center"/>
              <w:rPr>
                <w:rFonts w:hint="eastAsia"/>
                <w:color w:val="auto"/>
                <w:sz w:val="21"/>
                <w:szCs w:val="21"/>
              </w:rPr>
            </w:pPr>
            <w:r>
              <w:rPr>
                <w:rFonts w:hint="eastAsia"/>
                <w:color w:val="auto"/>
                <w:sz w:val="21"/>
                <w:szCs w:val="21"/>
              </w:rPr>
              <w:t>2400</w:t>
            </w:r>
          </w:p>
        </w:tc>
        <w:tc>
          <w:tcPr>
            <w:tcW w:w="622" w:type="pct"/>
            <w:noWrap w:val="0"/>
            <w:vAlign w:val="center"/>
          </w:tcPr>
          <w:p w14:paraId="70CD53A4">
            <w:pPr>
              <w:jc w:val="center"/>
              <w:rPr>
                <w:color w:val="auto"/>
                <w:sz w:val="21"/>
                <w:szCs w:val="21"/>
              </w:rPr>
            </w:pPr>
            <w:r>
              <w:rPr>
                <w:color w:val="auto"/>
                <w:sz w:val="21"/>
                <w:szCs w:val="21"/>
              </w:rPr>
              <w:t>非标定制</w:t>
            </w:r>
          </w:p>
        </w:tc>
      </w:tr>
    </w:tbl>
    <w:p w14:paraId="3F6D55BE">
      <w:pPr>
        <w:pStyle w:val="4"/>
        <w:adjustRightInd w:val="0"/>
        <w:snapToGrid w:val="0"/>
        <w:spacing w:line="480" w:lineRule="exact"/>
        <w:rPr>
          <w:rFonts w:eastAsia="宋体"/>
        </w:rPr>
      </w:pPr>
      <w:r>
        <w:rPr>
          <w:rFonts w:eastAsia="宋体"/>
        </w:rPr>
        <w:t>3.</w:t>
      </w:r>
      <w:r>
        <w:rPr>
          <w:rFonts w:hint="eastAsia" w:eastAsia="宋体"/>
        </w:rPr>
        <w:t>5</w:t>
      </w:r>
      <w:r>
        <w:rPr>
          <w:rFonts w:eastAsia="宋体"/>
        </w:rPr>
        <w:t>.1生产工艺简介</w:t>
      </w:r>
      <w:bookmarkEnd w:id="106"/>
      <w:bookmarkEnd w:id="107"/>
      <w:bookmarkEnd w:id="108"/>
      <w:bookmarkEnd w:id="109"/>
    </w:p>
    <w:p w14:paraId="7D510567">
      <w:pPr>
        <w:adjustRightInd w:val="0"/>
        <w:snapToGrid w:val="0"/>
        <w:spacing w:line="500" w:lineRule="exact"/>
        <w:ind w:firstLine="480" w:firstLineChars="200"/>
        <w:jc w:val="left"/>
        <w:rPr>
          <w:rFonts w:hint="eastAsia" w:eastAsiaTheme="minorEastAsia"/>
          <w:bCs/>
        </w:rPr>
      </w:pPr>
      <w:r>
        <w:rPr>
          <w:rFonts w:hint="eastAsia" w:eastAsiaTheme="minorEastAsia"/>
          <w:bCs/>
        </w:rPr>
        <w:t>项目生产工艺流程图见图3-2。</w:t>
      </w:r>
    </w:p>
    <w:p w14:paraId="70AB5A30">
      <w:pPr>
        <w:pStyle w:val="47"/>
        <w:ind w:firstLine="0" w:firstLineChars="0"/>
        <w:jc w:val="center"/>
      </w:pPr>
      <w:r>
        <w:rPr>
          <w:color w:val="auto"/>
        </w:rPr>
        <mc:AlternateContent>
          <mc:Choice Requires="wpc">
            <w:drawing>
              <wp:inline distT="0" distB="0" distL="114300" distR="114300">
                <wp:extent cx="5389880" cy="7881620"/>
                <wp:effectExtent l="0" t="0" r="0" b="0"/>
                <wp:docPr id="86" name="画布 86"/>
                <wp:cNvGraphicFramePr/>
                <a:graphic xmlns:a="http://schemas.openxmlformats.org/drawingml/2006/main">
                  <a:graphicData uri="http://schemas.microsoft.com/office/word/2010/wordprocessingCanvas">
                    <wpc:wpc>
                      <wpc:bg>
                        <a:noFill/>
                      </wpc:bg>
                      <wpc:whole>
                        <a:ln>
                          <a:noFill/>
                        </a:ln>
                      </wpc:whole>
                      <wps:wsp>
                        <wps:cNvPr id="2" name="文本框 2"/>
                        <wps:cNvSpPr txBox="1"/>
                        <wps:spPr>
                          <a:xfrm>
                            <a:off x="2372360" y="417831"/>
                            <a:ext cx="675005" cy="2368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08B049">
                              <w:pPr>
                                <w:jc w:val="center"/>
                                <w:rPr>
                                  <w:rFonts w:hint="eastAsia"/>
                                  <w:sz w:val="18"/>
                                  <w:szCs w:val="18"/>
                                </w:rPr>
                              </w:pPr>
                              <w:r>
                                <w:rPr>
                                  <w:rFonts w:hint="eastAsia"/>
                                  <w:sz w:val="18"/>
                                  <w:szCs w:val="18"/>
                                </w:rPr>
                                <w:t>冷压</w:t>
                              </w:r>
                            </w:p>
                          </w:txbxContent>
                        </wps:txbx>
                        <wps:bodyPr upright="1"/>
                      </wps:wsp>
                      <wps:wsp>
                        <wps:cNvPr id="3" name="文本框 3"/>
                        <wps:cNvSpPr txBox="1"/>
                        <wps:spPr>
                          <a:xfrm>
                            <a:off x="2317115" y="0"/>
                            <a:ext cx="755015" cy="257175"/>
                          </a:xfrm>
                          <a:prstGeom prst="rect">
                            <a:avLst/>
                          </a:prstGeom>
                          <a:noFill/>
                          <a:ln>
                            <a:noFill/>
                          </a:ln>
                        </wps:spPr>
                        <wps:txbx>
                          <w:txbxContent>
                            <w:p w14:paraId="7486ECA9">
                              <w:pPr>
                                <w:jc w:val="center"/>
                                <w:rPr>
                                  <w:rFonts w:hint="eastAsia"/>
                                  <w:sz w:val="18"/>
                                  <w:szCs w:val="18"/>
                                </w:rPr>
                              </w:pPr>
                              <w:r>
                                <w:rPr>
                                  <w:rFonts w:hint="eastAsia"/>
                                  <w:sz w:val="18"/>
                                  <w:szCs w:val="18"/>
                                </w:rPr>
                                <w:t>实木</w:t>
                              </w:r>
                            </w:p>
                          </w:txbxContent>
                        </wps:txbx>
                        <wps:bodyPr upright="1"/>
                      </wps:wsp>
                      <wps:wsp>
                        <wps:cNvPr id="6" name="文本框 6"/>
                        <wps:cNvSpPr txBox="1"/>
                        <wps:spPr>
                          <a:xfrm>
                            <a:off x="3282315" y="400050"/>
                            <a:ext cx="1955165" cy="280035"/>
                          </a:xfrm>
                          <a:prstGeom prst="rect">
                            <a:avLst/>
                          </a:prstGeom>
                          <a:noFill/>
                          <a:ln>
                            <a:noFill/>
                          </a:ln>
                        </wps:spPr>
                        <wps:txbx>
                          <w:txbxContent>
                            <w:p w14:paraId="64533C75">
                              <w:pPr>
                                <w:pStyle w:val="4"/>
                                <w:spacing w:before="0" w:after="0" w:line="240" w:lineRule="auto"/>
                                <w:rPr>
                                  <w:b w:val="0"/>
                                  <w:bCs w:val="0"/>
                                  <w:sz w:val="18"/>
                                  <w:szCs w:val="18"/>
                                </w:rPr>
                              </w:pPr>
                              <w:r>
                                <w:rPr>
                                  <w:rFonts w:hint="eastAsia"/>
                                  <w:b w:val="0"/>
                                  <w:sz w:val="18"/>
                                  <w:szCs w:val="18"/>
                                </w:rPr>
                                <w:t>冷压废气</w:t>
                              </w:r>
                              <w:r>
                                <w:rPr>
                                  <w:b w:val="0"/>
                                  <w:sz w:val="18"/>
                                  <w:szCs w:val="18"/>
                                </w:rPr>
                                <w:t>G</w:t>
                              </w:r>
                              <w:r>
                                <w:rPr>
                                  <w:rFonts w:hint="eastAsia"/>
                                  <w:b w:val="0"/>
                                  <w:sz w:val="18"/>
                                  <w:szCs w:val="18"/>
                                </w:rPr>
                                <w:t>1、</w:t>
                              </w:r>
                              <w:r>
                                <w:rPr>
                                  <w:b w:val="0"/>
                                  <w:sz w:val="18"/>
                                  <w:szCs w:val="18"/>
                                </w:rPr>
                                <w:t>噪声N</w:t>
                              </w:r>
                            </w:p>
                            <w:p w14:paraId="13C73D27">
                              <w:pPr>
                                <w:pStyle w:val="4"/>
                                <w:spacing w:before="0" w:after="0" w:line="240" w:lineRule="auto"/>
                                <w:rPr>
                                  <w:b w:val="0"/>
                                  <w:bCs w:val="0"/>
                                  <w:sz w:val="18"/>
                                  <w:szCs w:val="18"/>
                                </w:rPr>
                              </w:pPr>
                            </w:p>
                          </w:txbxContent>
                        </wps:txbx>
                        <wps:bodyPr upright="1"/>
                      </wps:wsp>
                      <wps:wsp>
                        <wps:cNvPr id="7" name="直接连接符 7"/>
                        <wps:cNvCnPr/>
                        <wps:spPr>
                          <a:xfrm>
                            <a:off x="3066415" y="542290"/>
                            <a:ext cx="281305" cy="635"/>
                          </a:xfrm>
                          <a:prstGeom prst="line">
                            <a:avLst/>
                          </a:prstGeom>
                          <a:ln w="9525" cap="flat" cmpd="sng">
                            <a:solidFill>
                              <a:srgbClr val="000000"/>
                            </a:solidFill>
                            <a:prstDash val="solid"/>
                            <a:headEnd type="none" w="med" len="med"/>
                            <a:tailEnd type="triangle" w="med" len="med"/>
                          </a:ln>
                        </wps:spPr>
                        <wps:bodyPr upright="1"/>
                      </wps:wsp>
                      <wps:wsp>
                        <wps:cNvPr id="8" name="文本框 8"/>
                        <wps:cNvSpPr txBox="1"/>
                        <wps:spPr>
                          <a:xfrm>
                            <a:off x="2376170" y="908685"/>
                            <a:ext cx="671195"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3D185D">
                              <w:pPr>
                                <w:jc w:val="center"/>
                                <w:rPr>
                                  <w:rFonts w:hint="eastAsia"/>
                                </w:rPr>
                              </w:pPr>
                              <w:r>
                                <w:rPr>
                                  <w:rFonts w:hint="eastAsia"/>
                                  <w:sz w:val="18"/>
                                  <w:szCs w:val="18"/>
                                </w:rPr>
                                <w:t>开料</w:t>
                              </w:r>
                            </w:p>
                          </w:txbxContent>
                        </wps:txbx>
                        <wps:bodyPr upright="1"/>
                      </wps:wsp>
                      <wps:wsp>
                        <wps:cNvPr id="10" name="文本框 10"/>
                        <wps:cNvSpPr txBox="1"/>
                        <wps:spPr>
                          <a:xfrm>
                            <a:off x="1564005" y="3413125"/>
                            <a:ext cx="542925" cy="2476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08EBB4">
                              <w:pPr>
                                <w:jc w:val="center"/>
                                <w:rPr>
                                  <w:sz w:val="18"/>
                                  <w:szCs w:val="18"/>
                                </w:rPr>
                              </w:pPr>
                              <w:r>
                                <w:rPr>
                                  <w:rFonts w:hint="eastAsia"/>
                                  <w:sz w:val="18"/>
                                  <w:szCs w:val="18"/>
                                </w:rPr>
                                <w:t>调底漆</w:t>
                              </w:r>
                            </w:p>
                          </w:txbxContent>
                        </wps:txbx>
                        <wps:bodyPr upright="1"/>
                      </wps:wsp>
                      <wps:wsp>
                        <wps:cNvPr id="11" name="直接连接符 11"/>
                        <wps:cNvCnPr/>
                        <wps:spPr>
                          <a:xfrm>
                            <a:off x="2139315" y="6007101"/>
                            <a:ext cx="228600" cy="0"/>
                          </a:xfrm>
                          <a:prstGeom prst="line">
                            <a:avLst/>
                          </a:prstGeom>
                          <a:ln w="9525" cap="flat" cmpd="sng">
                            <a:solidFill>
                              <a:srgbClr val="000000"/>
                            </a:solidFill>
                            <a:prstDash val="dash"/>
                            <a:headEnd type="none" w="med" len="med"/>
                            <a:tailEnd type="triangle" w="med" len="med"/>
                          </a:ln>
                        </wps:spPr>
                        <wps:bodyPr upright="1"/>
                      </wps:wsp>
                      <wps:wsp>
                        <wps:cNvPr id="12" name="文本框 12"/>
                        <wps:cNvSpPr txBox="1"/>
                        <wps:spPr>
                          <a:xfrm>
                            <a:off x="2371725" y="2413635"/>
                            <a:ext cx="676275"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B4D56C">
                              <w:pPr>
                                <w:jc w:val="center"/>
                                <w:rPr>
                                  <w:rFonts w:hint="eastAsia"/>
                                  <w:sz w:val="18"/>
                                  <w:szCs w:val="18"/>
                                </w:rPr>
                              </w:pPr>
                              <w:r>
                                <w:rPr>
                                  <w:rFonts w:hint="eastAsia"/>
                                  <w:sz w:val="18"/>
                                  <w:szCs w:val="18"/>
                                </w:rPr>
                                <w:t>组装</w:t>
                              </w:r>
                            </w:p>
                          </w:txbxContent>
                        </wps:txbx>
                        <wps:bodyPr upright="1"/>
                      </wps:wsp>
                      <wps:wsp>
                        <wps:cNvPr id="14" name="文本框 14"/>
                        <wps:cNvSpPr txBox="1"/>
                        <wps:spPr>
                          <a:xfrm>
                            <a:off x="2371725" y="4394836"/>
                            <a:ext cx="675005" cy="2381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9F1431">
                              <w:pPr>
                                <w:jc w:val="center"/>
                                <w:rPr>
                                  <w:sz w:val="18"/>
                                  <w:szCs w:val="18"/>
                                </w:rPr>
                              </w:pPr>
                              <w:r>
                                <w:rPr>
                                  <w:rFonts w:hint="eastAsia"/>
                                  <w:sz w:val="18"/>
                                  <w:szCs w:val="18"/>
                                </w:rPr>
                                <w:t>底漆打磨</w:t>
                              </w:r>
                            </w:p>
                          </w:txbxContent>
                        </wps:txbx>
                        <wps:bodyPr lIns="91440" tIns="45720" rIns="91440" bIns="36000" upright="1"/>
                      </wps:wsp>
                      <wps:wsp>
                        <wps:cNvPr id="16" name="文本框 16"/>
                        <wps:cNvSpPr txBox="1"/>
                        <wps:spPr>
                          <a:xfrm>
                            <a:off x="2341880" y="7308851"/>
                            <a:ext cx="755650" cy="228599"/>
                          </a:xfrm>
                          <a:prstGeom prst="rect">
                            <a:avLst/>
                          </a:prstGeom>
                          <a:noFill/>
                          <a:ln>
                            <a:noFill/>
                          </a:ln>
                        </wps:spPr>
                        <wps:txbx>
                          <w:txbxContent>
                            <w:p w14:paraId="3FF1F094">
                              <w:pPr>
                                <w:jc w:val="center"/>
                                <w:rPr>
                                  <w:sz w:val="18"/>
                                  <w:szCs w:val="18"/>
                                </w:rPr>
                              </w:pPr>
                              <w:r>
                                <w:rPr>
                                  <w:rFonts w:hint="eastAsia"/>
                                  <w:sz w:val="18"/>
                                  <w:szCs w:val="18"/>
                                </w:rPr>
                                <w:t>成品</w:t>
                              </w:r>
                            </w:p>
                          </w:txbxContent>
                        </wps:txbx>
                        <wps:bodyPr upright="1"/>
                      </wps:wsp>
                      <wps:wsp>
                        <wps:cNvPr id="17" name="文本框 17"/>
                        <wps:cNvSpPr txBox="1"/>
                        <wps:spPr>
                          <a:xfrm>
                            <a:off x="2378075" y="1913255"/>
                            <a:ext cx="676275" cy="2476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1822CF">
                              <w:pPr>
                                <w:jc w:val="center"/>
                                <w:rPr>
                                  <w:rFonts w:hint="eastAsia"/>
                                  <w:sz w:val="18"/>
                                  <w:szCs w:val="18"/>
                                </w:rPr>
                              </w:pPr>
                              <w:r>
                                <w:rPr>
                                  <w:rFonts w:hint="eastAsia"/>
                                  <w:sz w:val="18"/>
                                  <w:szCs w:val="18"/>
                                </w:rPr>
                                <w:t>机加工</w:t>
                              </w:r>
                            </w:p>
                          </w:txbxContent>
                        </wps:txbx>
                        <wps:bodyPr upright="1"/>
                      </wps:wsp>
                      <wps:wsp>
                        <wps:cNvPr id="18" name="直接连接符 18"/>
                        <wps:cNvCnPr/>
                        <wps:spPr>
                          <a:xfrm>
                            <a:off x="1322705" y="3570605"/>
                            <a:ext cx="228600" cy="0"/>
                          </a:xfrm>
                          <a:prstGeom prst="line">
                            <a:avLst/>
                          </a:prstGeom>
                          <a:ln w="9525" cap="flat" cmpd="sng">
                            <a:solidFill>
                              <a:srgbClr val="000000"/>
                            </a:solidFill>
                            <a:prstDash val="dash"/>
                            <a:headEnd type="none" w="med" len="med"/>
                            <a:tailEnd type="triangle" w="med" len="med"/>
                          </a:ln>
                        </wps:spPr>
                        <wps:bodyPr upright="1"/>
                      </wps:wsp>
                      <wps:wsp>
                        <wps:cNvPr id="19" name="文本框 19"/>
                        <wps:cNvSpPr txBox="1"/>
                        <wps:spPr>
                          <a:xfrm>
                            <a:off x="266700" y="3439795"/>
                            <a:ext cx="1191260" cy="228599"/>
                          </a:xfrm>
                          <a:prstGeom prst="rect">
                            <a:avLst/>
                          </a:prstGeom>
                          <a:noFill/>
                          <a:ln>
                            <a:noFill/>
                          </a:ln>
                        </wps:spPr>
                        <wps:txbx>
                          <w:txbxContent>
                            <w:p w14:paraId="46005678">
                              <w:pPr>
                                <w:pStyle w:val="4"/>
                                <w:spacing w:before="0" w:after="0" w:line="240" w:lineRule="auto"/>
                                <w:rPr>
                                  <w:b w:val="0"/>
                                  <w:bCs w:val="0"/>
                                  <w:sz w:val="18"/>
                                  <w:szCs w:val="18"/>
                                </w:rPr>
                              </w:pPr>
                              <w:r>
                                <w:rPr>
                                  <w:rFonts w:hint="eastAsia"/>
                                  <w:b w:val="0"/>
                                  <w:bCs w:val="0"/>
                                  <w:sz w:val="18"/>
                                  <w:szCs w:val="18"/>
                                </w:rPr>
                                <w:t>水、底漆、固化剂</w:t>
                              </w:r>
                            </w:p>
                          </w:txbxContent>
                        </wps:txbx>
                        <wps:bodyPr upright="1"/>
                      </wps:wsp>
                      <wps:wsp>
                        <wps:cNvPr id="20" name="文本框 20"/>
                        <wps:cNvSpPr txBox="1"/>
                        <wps:spPr>
                          <a:xfrm>
                            <a:off x="0" y="5890260"/>
                            <a:ext cx="1400810" cy="228599"/>
                          </a:xfrm>
                          <a:prstGeom prst="rect">
                            <a:avLst/>
                          </a:prstGeom>
                          <a:noFill/>
                          <a:ln>
                            <a:noFill/>
                          </a:ln>
                        </wps:spPr>
                        <wps:txbx>
                          <w:txbxContent>
                            <w:p w14:paraId="3096DED1">
                              <w:pPr>
                                <w:pStyle w:val="4"/>
                                <w:spacing w:before="0" w:after="0" w:line="240" w:lineRule="auto"/>
                                <w:rPr>
                                  <w:rFonts w:hint="eastAsia"/>
                                  <w:b w:val="0"/>
                                  <w:bCs w:val="0"/>
                                  <w:sz w:val="18"/>
                                  <w:szCs w:val="18"/>
                                </w:rPr>
                              </w:pPr>
                              <w:r>
                                <w:rPr>
                                  <w:rFonts w:hint="eastAsia"/>
                                  <w:b w:val="0"/>
                                  <w:bCs w:val="0"/>
                                  <w:sz w:val="18"/>
                                  <w:szCs w:val="18"/>
                                </w:rPr>
                                <w:t>水、面漆、固化剂、色精</w:t>
                              </w:r>
                            </w:p>
                          </w:txbxContent>
                        </wps:txbx>
                        <wps:bodyPr upright="1"/>
                      </wps:wsp>
                      <wps:wsp>
                        <wps:cNvPr id="22" name="文本框 22"/>
                        <wps:cNvSpPr txBox="1"/>
                        <wps:spPr>
                          <a:xfrm>
                            <a:off x="3296920" y="1403985"/>
                            <a:ext cx="1403985" cy="259080"/>
                          </a:xfrm>
                          <a:prstGeom prst="rect">
                            <a:avLst/>
                          </a:prstGeom>
                          <a:noFill/>
                          <a:ln>
                            <a:noFill/>
                          </a:ln>
                        </wps:spPr>
                        <wps:txbx>
                          <w:txbxContent>
                            <w:p w14:paraId="7782CD38">
                              <w:pPr>
                                <w:pStyle w:val="4"/>
                                <w:spacing w:before="0" w:after="0" w:line="240" w:lineRule="auto"/>
                                <w:rPr>
                                  <w:b w:val="0"/>
                                  <w:bCs w:val="0"/>
                                  <w:sz w:val="18"/>
                                  <w:szCs w:val="18"/>
                                </w:rPr>
                              </w:pPr>
                              <w:r>
                                <w:rPr>
                                  <w:rFonts w:hint="eastAsia"/>
                                  <w:b w:val="0"/>
                                  <w:bCs w:val="0"/>
                                  <w:kern w:val="0"/>
                                  <w:sz w:val="18"/>
                                  <w:szCs w:val="18"/>
                                </w:rPr>
                                <w:t>封边废气G3、噪声N</w:t>
                              </w:r>
                            </w:p>
                          </w:txbxContent>
                        </wps:txbx>
                        <wps:bodyPr upright="1"/>
                      </wps:wsp>
                      <wps:wsp>
                        <wps:cNvPr id="23" name="文本框 23"/>
                        <wps:cNvSpPr txBox="1"/>
                        <wps:spPr>
                          <a:xfrm>
                            <a:off x="3293745" y="2936875"/>
                            <a:ext cx="1898015" cy="278130"/>
                          </a:xfrm>
                          <a:prstGeom prst="rect">
                            <a:avLst/>
                          </a:prstGeom>
                          <a:noFill/>
                          <a:ln>
                            <a:noFill/>
                          </a:ln>
                        </wps:spPr>
                        <wps:txbx>
                          <w:txbxContent>
                            <w:p w14:paraId="09DE4462">
                              <w:pPr>
                                <w:rPr>
                                  <w:sz w:val="18"/>
                                  <w:szCs w:val="18"/>
                                </w:rPr>
                              </w:pPr>
                              <w:r>
                                <w:rPr>
                                  <w:rFonts w:hint="eastAsia"/>
                                  <w:kern w:val="0"/>
                                  <w:sz w:val="18"/>
                                  <w:szCs w:val="18"/>
                                </w:rPr>
                                <w:t>打磨</w:t>
                              </w:r>
                              <w:r>
                                <w:rPr>
                                  <w:sz w:val="18"/>
                                  <w:szCs w:val="18"/>
                                </w:rPr>
                                <w:t>粉尘G</w:t>
                              </w:r>
                              <w:r>
                                <w:rPr>
                                  <w:rFonts w:hint="eastAsia"/>
                                  <w:sz w:val="18"/>
                                  <w:szCs w:val="18"/>
                                </w:rPr>
                                <w:t>6</w:t>
                              </w:r>
                              <w:r>
                                <w:rPr>
                                  <w:sz w:val="18"/>
                                  <w:szCs w:val="18"/>
                                </w:rPr>
                                <w:t>和噪声N</w:t>
                              </w:r>
                            </w:p>
                            <w:p w14:paraId="142D0AEF">
                              <w:pPr>
                                <w:pStyle w:val="4"/>
                                <w:spacing w:before="0" w:after="0" w:line="240" w:lineRule="auto"/>
                                <w:rPr>
                                  <w:b w:val="0"/>
                                  <w:bCs w:val="0"/>
                                  <w:sz w:val="18"/>
                                  <w:szCs w:val="18"/>
                                </w:rPr>
                              </w:pPr>
                            </w:p>
                          </w:txbxContent>
                        </wps:txbx>
                        <wps:bodyPr upright="1"/>
                      </wps:wsp>
                      <wps:wsp>
                        <wps:cNvPr id="25" name="直接连接符 25"/>
                        <wps:cNvCnPr/>
                        <wps:spPr>
                          <a:xfrm>
                            <a:off x="3065780" y="1056005"/>
                            <a:ext cx="279400" cy="0"/>
                          </a:xfrm>
                          <a:prstGeom prst="line">
                            <a:avLst/>
                          </a:prstGeom>
                          <a:ln w="9525" cap="flat" cmpd="sng">
                            <a:solidFill>
                              <a:srgbClr val="000000"/>
                            </a:solidFill>
                            <a:prstDash val="solid"/>
                            <a:headEnd type="none" w="med" len="med"/>
                            <a:tailEnd type="triangle" w="med" len="med"/>
                          </a:ln>
                        </wps:spPr>
                        <wps:bodyPr upright="1"/>
                      </wps:wsp>
                      <wps:wsp>
                        <wps:cNvPr id="26" name="直接连接符 26"/>
                        <wps:cNvCnPr/>
                        <wps:spPr>
                          <a:xfrm>
                            <a:off x="3065780" y="1541780"/>
                            <a:ext cx="279400" cy="0"/>
                          </a:xfrm>
                          <a:prstGeom prst="line">
                            <a:avLst/>
                          </a:prstGeom>
                          <a:ln w="9525" cap="flat" cmpd="sng">
                            <a:solidFill>
                              <a:srgbClr val="000000"/>
                            </a:solidFill>
                            <a:prstDash val="solid"/>
                            <a:headEnd type="none" w="med" len="med"/>
                            <a:tailEnd type="triangle" w="med" len="med"/>
                          </a:ln>
                        </wps:spPr>
                        <wps:bodyPr upright="1"/>
                      </wps:wsp>
                      <wps:wsp>
                        <wps:cNvPr id="28" name="直接连接符 28"/>
                        <wps:cNvCnPr/>
                        <wps:spPr>
                          <a:xfrm>
                            <a:off x="3056255" y="2056130"/>
                            <a:ext cx="279400" cy="0"/>
                          </a:xfrm>
                          <a:prstGeom prst="line">
                            <a:avLst/>
                          </a:prstGeom>
                          <a:ln w="9525" cap="flat" cmpd="sng">
                            <a:solidFill>
                              <a:srgbClr val="000000"/>
                            </a:solidFill>
                            <a:prstDash val="solid"/>
                            <a:headEnd type="none" w="med" len="med"/>
                            <a:tailEnd type="triangle" w="med" len="med"/>
                          </a:ln>
                        </wps:spPr>
                        <wps:bodyPr upright="1"/>
                      </wps:wsp>
                      <wps:wsp>
                        <wps:cNvPr id="29" name="直接连接符 29"/>
                        <wps:cNvCnPr/>
                        <wps:spPr>
                          <a:xfrm>
                            <a:off x="2703830" y="170180"/>
                            <a:ext cx="0" cy="241300"/>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CnPr/>
                        <wps:spPr>
                          <a:xfrm>
                            <a:off x="2700020" y="2687320"/>
                            <a:ext cx="0" cy="241300"/>
                          </a:xfrm>
                          <a:prstGeom prst="line">
                            <a:avLst/>
                          </a:prstGeom>
                          <a:ln w="9525" cap="flat" cmpd="sng">
                            <a:solidFill>
                              <a:srgbClr val="000000"/>
                            </a:solidFill>
                            <a:prstDash val="solid"/>
                            <a:headEnd type="none" w="med" len="med"/>
                            <a:tailEnd type="triangle" w="med" len="med"/>
                          </a:ln>
                        </wps:spPr>
                        <wps:bodyPr upright="1"/>
                      </wps:wsp>
                      <wps:wsp>
                        <wps:cNvPr id="31" name="直接连接符 31"/>
                        <wps:cNvCnPr/>
                        <wps:spPr>
                          <a:xfrm>
                            <a:off x="2706370" y="2178050"/>
                            <a:ext cx="0" cy="241300"/>
                          </a:xfrm>
                          <a:prstGeom prst="line">
                            <a:avLst/>
                          </a:prstGeom>
                          <a:ln w="9525" cap="flat" cmpd="sng">
                            <a:solidFill>
                              <a:srgbClr val="000000"/>
                            </a:solidFill>
                            <a:prstDash val="solid"/>
                            <a:headEnd type="none" w="med" len="med"/>
                            <a:tailEnd type="triangle" w="med" len="med"/>
                          </a:ln>
                        </wps:spPr>
                        <wps:bodyPr upright="1"/>
                      </wps:wsp>
                      <wps:wsp>
                        <wps:cNvPr id="33" name="直接连接符 33"/>
                        <wps:cNvCnPr/>
                        <wps:spPr>
                          <a:xfrm>
                            <a:off x="2704465" y="1671320"/>
                            <a:ext cx="0" cy="241300"/>
                          </a:xfrm>
                          <a:prstGeom prst="line">
                            <a:avLst/>
                          </a:prstGeom>
                          <a:ln w="12700" cap="flat" cmpd="sng">
                            <a:solidFill>
                              <a:srgbClr val="000000"/>
                            </a:solidFill>
                            <a:prstDash val="solid"/>
                            <a:headEnd type="none" w="med" len="med"/>
                            <a:tailEnd type="triangle" w="med" len="med"/>
                          </a:ln>
                        </wps:spPr>
                        <wps:bodyPr upright="1"/>
                      </wps:wsp>
                      <wps:wsp>
                        <wps:cNvPr id="34" name="直接连接符 34"/>
                        <wps:cNvCnPr/>
                        <wps:spPr>
                          <a:xfrm>
                            <a:off x="2700655" y="1163955"/>
                            <a:ext cx="0" cy="241299"/>
                          </a:xfrm>
                          <a:prstGeom prst="line">
                            <a:avLst/>
                          </a:prstGeom>
                          <a:ln w="9525" cap="flat" cmpd="sng">
                            <a:solidFill>
                              <a:srgbClr val="000000"/>
                            </a:solidFill>
                            <a:prstDash val="solid"/>
                            <a:headEnd type="none" w="med" len="med"/>
                            <a:tailEnd type="triangle" w="med" len="med"/>
                          </a:ln>
                        </wps:spPr>
                        <wps:bodyPr upright="1"/>
                      </wps:wsp>
                      <wps:wsp>
                        <wps:cNvPr id="35" name="直接连接符 35"/>
                        <wps:cNvCnPr/>
                        <wps:spPr>
                          <a:xfrm>
                            <a:off x="2707640" y="668020"/>
                            <a:ext cx="0" cy="241300"/>
                          </a:xfrm>
                          <a:prstGeom prst="line">
                            <a:avLst/>
                          </a:prstGeom>
                          <a:ln w="9525" cap="flat" cmpd="sng">
                            <a:solidFill>
                              <a:srgbClr val="000000"/>
                            </a:solidFill>
                            <a:prstDash val="solid"/>
                            <a:headEnd type="none" w="med" len="med"/>
                            <a:tailEnd type="triangle" w="med" len="med"/>
                          </a:ln>
                        </wps:spPr>
                        <wps:bodyPr upright="1"/>
                      </wps:wsp>
                      <wps:wsp>
                        <wps:cNvPr id="36" name="直接连接符 36"/>
                        <wps:cNvCnPr/>
                        <wps:spPr>
                          <a:xfrm flipH="1">
                            <a:off x="2700020" y="4640581"/>
                            <a:ext cx="0" cy="253999"/>
                          </a:xfrm>
                          <a:prstGeom prst="line">
                            <a:avLst/>
                          </a:prstGeom>
                          <a:ln w="12700" cap="flat" cmpd="sng">
                            <a:solidFill>
                              <a:srgbClr val="000000"/>
                            </a:solidFill>
                            <a:prstDash val="solid"/>
                            <a:headEnd type="none" w="med" len="med"/>
                            <a:tailEnd type="triangle" w="med" len="med"/>
                          </a:ln>
                        </wps:spPr>
                        <wps:bodyPr upright="1"/>
                      </wps:wsp>
                      <wps:wsp>
                        <wps:cNvPr id="37" name="文本框 37"/>
                        <wps:cNvSpPr txBox="1"/>
                        <wps:spPr>
                          <a:xfrm>
                            <a:off x="2371725" y="1408430"/>
                            <a:ext cx="678180" cy="241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214092">
                              <w:pPr>
                                <w:jc w:val="center"/>
                                <w:rPr>
                                  <w:rFonts w:hint="eastAsia"/>
                                  <w:sz w:val="18"/>
                                  <w:szCs w:val="18"/>
                                </w:rPr>
                              </w:pPr>
                              <w:r>
                                <w:rPr>
                                  <w:rFonts w:hint="eastAsia"/>
                                  <w:sz w:val="18"/>
                                  <w:szCs w:val="18"/>
                                </w:rPr>
                                <w:t>封边</w:t>
                              </w:r>
                            </w:p>
                          </w:txbxContent>
                        </wps:txbx>
                        <wps:bodyPr upright="1"/>
                      </wps:wsp>
                      <wps:wsp>
                        <wps:cNvPr id="38" name="文本框 38"/>
                        <wps:cNvSpPr txBox="1"/>
                        <wps:spPr>
                          <a:xfrm>
                            <a:off x="1466215" y="5875655"/>
                            <a:ext cx="657225" cy="24129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CFA449">
                              <w:pPr>
                                <w:jc w:val="center"/>
                                <w:rPr>
                                  <w:sz w:val="18"/>
                                  <w:szCs w:val="18"/>
                                </w:rPr>
                              </w:pPr>
                              <w:r>
                                <w:rPr>
                                  <w:rFonts w:hint="eastAsia"/>
                                  <w:sz w:val="18"/>
                                  <w:szCs w:val="18"/>
                                </w:rPr>
                                <w:t>调修色漆</w:t>
                              </w:r>
                            </w:p>
                          </w:txbxContent>
                        </wps:txbx>
                        <wps:bodyPr upright="1"/>
                      </wps:wsp>
                      <wps:wsp>
                        <wps:cNvPr id="39" name="文本框 39"/>
                        <wps:cNvSpPr txBox="1"/>
                        <wps:spPr>
                          <a:xfrm>
                            <a:off x="2371090" y="3418205"/>
                            <a:ext cx="675640" cy="241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0D4A61">
                              <w:pPr>
                                <w:jc w:val="center"/>
                                <w:rPr>
                                  <w:rFonts w:hint="eastAsia"/>
                                  <w:sz w:val="18"/>
                                  <w:szCs w:val="18"/>
                                </w:rPr>
                              </w:pPr>
                              <w:r>
                                <w:rPr>
                                  <w:rFonts w:hint="eastAsia"/>
                                  <w:sz w:val="18"/>
                                  <w:szCs w:val="18"/>
                                </w:rPr>
                                <w:t>喷底漆</w:t>
                              </w:r>
                            </w:p>
                            <w:p w14:paraId="547799C1">
                              <w:pPr>
                                <w:jc w:val="center"/>
                                <w:rPr>
                                  <w:sz w:val="18"/>
                                  <w:szCs w:val="18"/>
                                </w:rPr>
                              </w:pPr>
                            </w:p>
                          </w:txbxContent>
                        </wps:txbx>
                        <wps:bodyPr upright="1"/>
                      </wps:wsp>
                      <wps:wsp>
                        <wps:cNvPr id="40" name="文本框 40"/>
                        <wps:cNvSpPr txBox="1"/>
                        <wps:spPr>
                          <a:xfrm>
                            <a:off x="2371090" y="3913505"/>
                            <a:ext cx="683895" cy="241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976A43">
                              <w:pPr>
                                <w:jc w:val="center"/>
                                <w:rPr>
                                  <w:rFonts w:hint="eastAsia"/>
                                </w:rPr>
                              </w:pPr>
                              <w:r>
                                <w:rPr>
                                  <w:rFonts w:hint="eastAsia"/>
                                  <w:sz w:val="18"/>
                                  <w:szCs w:val="18"/>
                                </w:rPr>
                                <w:t>晾干</w:t>
                              </w:r>
                            </w:p>
                          </w:txbxContent>
                        </wps:txbx>
                        <wps:bodyPr upright="1"/>
                      </wps:wsp>
                      <wps:wsp>
                        <wps:cNvPr id="41" name="文本框 41"/>
                        <wps:cNvSpPr txBox="1"/>
                        <wps:spPr>
                          <a:xfrm>
                            <a:off x="2370455" y="2941956"/>
                            <a:ext cx="677545" cy="22859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DE6AC4">
                              <w:pPr>
                                <w:jc w:val="center"/>
                                <w:rPr>
                                  <w:rFonts w:hint="eastAsia"/>
                                  <w:sz w:val="18"/>
                                  <w:szCs w:val="18"/>
                                </w:rPr>
                              </w:pPr>
                              <w:r>
                                <w:rPr>
                                  <w:rFonts w:hint="eastAsia"/>
                                  <w:sz w:val="18"/>
                                  <w:szCs w:val="18"/>
                                </w:rPr>
                                <w:t>打磨</w:t>
                              </w:r>
                            </w:p>
                          </w:txbxContent>
                        </wps:txbx>
                        <wps:bodyPr lIns="91440" tIns="45720" rIns="91440" bIns="36000" upright="1"/>
                      </wps:wsp>
                      <wps:wsp>
                        <wps:cNvPr id="42" name="直接连接符 42"/>
                        <wps:cNvCnPr/>
                        <wps:spPr>
                          <a:xfrm>
                            <a:off x="2703830" y="3180080"/>
                            <a:ext cx="0" cy="241300"/>
                          </a:xfrm>
                          <a:prstGeom prst="line">
                            <a:avLst/>
                          </a:prstGeom>
                          <a:ln w="9525" cap="flat" cmpd="sng">
                            <a:solidFill>
                              <a:srgbClr val="000000"/>
                            </a:solidFill>
                            <a:prstDash val="solid"/>
                            <a:headEnd type="none" w="med" len="med"/>
                            <a:tailEnd type="triangle" w="med" len="med"/>
                          </a:ln>
                        </wps:spPr>
                        <wps:bodyPr upright="1"/>
                      </wps:wsp>
                      <wps:wsp>
                        <wps:cNvPr id="43" name="直接连接符 43"/>
                        <wps:cNvCnPr/>
                        <wps:spPr>
                          <a:xfrm>
                            <a:off x="2703830" y="4161155"/>
                            <a:ext cx="0" cy="241300"/>
                          </a:xfrm>
                          <a:prstGeom prst="line">
                            <a:avLst/>
                          </a:prstGeom>
                          <a:ln w="9525" cap="flat" cmpd="sng">
                            <a:solidFill>
                              <a:srgbClr val="000000"/>
                            </a:solidFill>
                            <a:prstDash val="solid"/>
                            <a:headEnd type="none" w="med" len="med"/>
                            <a:tailEnd type="triangle" w="med" len="med"/>
                          </a:ln>
                        </wps:spPr>
                        <wps:bodyPr upright="1"/>
                      </wps:wsp>
                      <wps:wsp>
                        <wps:cNvPr id="44" name="直接连接符 44"/>
                        <wps:cNvCnPr/>
                        <wps:spPr>
                          <a:xfrm>
                            <a:off x="2703830" y="3675381"/>
                            <a:ext cx="0" cy="241299"/>
                          </a:xfrm>
                          <a:prstGeom prst="line">
                            <a:avLst/>
                          </a:prstGeom>
                          <a:ln w="9525" cap="flat" cmpd="sng">
                            <a:solidFill>
                              <a:srgbClr val="000000"/>
                            </a:solidFill>
                            <a:prstDash val="solid"/>
                            <a:headEnd type="none" w="med" len="med"/>
                            <a:tailEnd type="triangle" w="med" len="med"/>
                          </a:ln>
                        </wps:spPr>
                        <wps:bodyPr upright="1"/>
                      </wps:wsp>
                      <wps:wsp>
                        <wps:cNvPr id="45" name="直接连接符 45"/>
                        <wps:cNvCnPr/>
                        <wps:spPr>
                          <a:xfrm>
                            <a:off x="1284605" y="6018530"/>
                            <a:ext cx="190500" cy="635"/>
                          </a:xfrm>
                          <a:prstGeom prst="line">
                            <a:avLst/>
                          </a:prstGeom>
                          <a:ln w="9525" cap="flat" cmpd="sng">
                            <a:solidFill>
                              <a:srgbClr val="000000"/>
                            </a:solidFill>
                            <a:prstDash val="dash"/>
                            <a:headEnd type="none" w="med" len="med"/>
                            <a:tailEnd type="triangle" w="med" len="med"/>
                          </a:ln>
                        </wps:spPr>
                        <wps:bodyPr upright="1"/>
                      </wps:wsp>
                      <wps:wsp>
                        <wps:cNvPr id="46" name="直接连接符 46"/>
                        <wps:cNvCnPr/>
                        <wps:spPr>
                          <a:xfrm>
                            <a:off x="2132330" y="3551555"/>
                            <a:ext cx="228600" cy="0"/>
                          </a:xfrm>
                          <a:prstGeom prst="line">
                            <a:avLst/>
                          </a:prstGeom>
                          <a:ln w="9525" cap="flat" cmpd="sng">
                            <a:solidFill>
                              <a:srgbClr val="000000"/>
                            </a:solidFill>
                            <a:prstDash val="dash"/>
                            <a:headEnd type="none" w="med" len="med"/>
                            <a:tailEnd type="triangle" w="med" len="med"/>
                          </a:ln>
                        </wps:spPr>
                        <wps:bodyPr upright="1"/>
                      </wps:wsp>
                      <wps:wsp>
                        <wps:cNvPr id="47" name="文本框 47"/>
                        <wps:cNvSpPr txBox="1"/>
                        <wps:spPr>
                          <a:xfrm>
                            <a:off x="3265805" y="932180"/>
                            <a:ext cx="1841500" cy="250189"/>
                          </a:xfrm>
                          <a:prstGeom prst="rect">
                            <a:avLst/>
                          </a:prstGeom>
                          <a:noFill/>
                          <a:ln>
                            <a:noFill/>
                          </a:ln>
                        </wps:spPr>
                        <wps:txbx>
                          <w:txbxContent>
                            <w:p w14:paraId="58170935">
                              <w:pPr>
                                <w:pStyle w:val="4"/>
                                <w:spacing w:before="0" w:after="0" w:line="240" w:lineRule="auto"/>
                                <w:rPr>
                                  <w:b w:val="0"/>
                                  <w:bCs w:val="0"/>
                                  <w:sz w:val="18"/>
                                  <w:szCs w:val="18"/>
                                </w:rPr>
                              </w:pPr>
                              <w:r>
                                <w:rPr>
                                  <w:b w:val="0"/>
                                  <w:sz w:val="18"/>
                                  <w:szCs w:val="18"/>
                                </w:rPr>
                                <w:t>木工粉尘G</w:t>
                              </w:r>
                              <w:r>
                                <w:rPr>
                                  <w:rFonts w:hint="eastAsia"/>
                                  <w:b w:val="0"/>
                                  <w:sz w:val="18"/>
                                  <w:szCs w:val="18"/>
                                </w:rPr>
                                <w:t>2</w:t>
                              </w:r>
                              <w:r>
                                <w:rPr>
                                  <w:b w:val="0"/>
                                  <w:sz w:val="18"/>
                                  <w:szCs w:val="18"/>
                                </w:rPr>
                                <w:t>、</w:t>
                              </w:r>
                              <w:r>
                                <w:rPr>
                                  <w:rFonts w:hint="eastAsia"/>
                                  <w:b w:val="0"/>
                                  <w:sz w:val="18"/>
                                  <w:szCs w:val="18"/>
                                </w:rPr>
                                <w:t>废木料</w:t>
                              </w:r>
                              <w:r>
                                <w:rPr>
                                  <w:b w:val="0"/>
                                  <w:sz w:val="18"/>
                                  <w:szCs w:val="18"/>
                                </w:rPr>
                                <w:t>S</w:t>
                              </w:r>
                              <w:r>
                                <w:rPr>
                                  <w:rFonts w:hint="eastAsia"/>
                                  <w:b w:val="0"/>
                                  <w:sz w:val="18"/>
                                  <w:szCs w:val="18"/>
                                </w:rPr>
                                <w:t>1、</w:t>
                              </w:r>
                              <w:r>
                                <w:rPr>
                                  <w:b w:val="0"/>
                                  <w:sz w:val="18"/>
                                  <w:szCs w:val="18"/>
                                </w:rPr>
                                <w:t>噪声N</w:t>
                              </w:r>
                            </w:p>
                          </w:txbxContent>
                        </wps:txbx>
                        <wps:bodyPr upright="1"/>
                      </wps:wsp>
                      <wps:wsp>
                        <wps:cNvPr id="48" name="文本框 48"/>
                        <wps:cNvSpPr txBox="1"/>
                        <wps:spPr>
                          <a:xfrm>
                            <a:off x="3294380" y="1913255"/>
                            <a:ext cx="1758315" cy="248284"/>
                          </a:xfrm>
                          <a:prstGeom prst="rect">
                            <a:avLst/>
                          </a:prstGeom>
                          <a:noFill/>
                          <a:ln>
                            <a:noFill/>
                          </a:ln>
                        </wps:spPr>
                        <wps:txbx>
                          <w:txbxContent>
                            <w:p w14:paraId="0D97656D">
                              <w:pPr>
                                <w:pStyle w:val="4"/>
                                <w:spacing w:before="0" w:after="0" w:line="240" w:lineRule="auto"/>
                                <w:rPr>
                                  <w:b w:val="0"/>
                                  <w:bCs w:val="0"/>
                                  <w:sz w:val="18"/>
                                  <w:szCs w:val="18"/>
                                </w:rPr>
                              </w:pPr>
                              <w:r>
                                <w:rPr>
                                  <w:b w:val="0"/>
                                  <w:sz w:val="18"/>
                                  <w:szCs w:val="18"/>
                                </w:rPr>
                                <w:t>木工粉尘G</w:t>
                              </w:r>
                              <w:r>
                                <w:rPr>
                                  <w:rFonts w:hint="eastAsia"/>
                                  <w:b w:val="0"/>
                                  <w:sz w:val="18"/>
                                  <w:szCs w:val="18"/>
                                </w:rPr>
                                <w:t>4</w:t>
                              </w:r>
                              <w:r>
                                <w:rPr>
                                  <w:b w:val="0"/>
                                  <w:sz w:val="18"/>
                                  <w:szCs w:val="18"/>
                                </w:rPr>
                                <w:t>、</w:t>
                              </w:r>
                              <w:r>
                                <w:rPr>
                                  <w:rFonts w:hint="eastAsia"/>
                                  <w:b w:val="0"/>
                                  <w:sz w:val="18"/>
                                  <w:szCs w:val="18"/>
                                </w:rPr>
                                <w:t>废木料</w:t>
                              </w:r>
                              <w:r>
                                <w:rPr>
                                  <w:b w:val="0"/>
                                  <w:sz w:val="18"/>
                                  <w:szCs w:val="18"/>
                                </w:rPr>
                                <w:t>S</w:t>
                              </w:r>
                              <w:r>
                                <w:rPr>
                                  <w:rFonts w:hint="eastAsia"/>
                                  <w:b w:val="0"/>
                                  <w:sz w:val="18"/>
                                  <w:szCs w:val="18"/>
                                </w:rPr>
                                <w:t>2、</w:t>
                              </w:r>
                              <w:r>
                                <w:rPr>
                                  <w:b w:val="0"/>
                                  <w:sz w:val="18"/>
                                  <w:szCs w:val="18"/>
                                </w:rPr>
                                <w:t>噪声N</w:t>
                              </w:r>
                            </w:p>
                          </w:txbxContent>
                        </wps:txbx>
                        <wps:bodyPr upright="1"/>
                      </wps:wsp>
                      <wps:wsp>
                        <wps:cNvPr id="49" name="直接连接符 49"/>
                        <wps:cNvCnPr/>
                        <wps:spPr>
                          <a:xfrm>
                            <a:off x="1827530" y="3675380"/>
                            <a:ext cx="0" cy="241300"/>
                          </a:xfrm>
                          <a:prstGeom prst="line">
                            <a:avLst/>
                          </a:prstGeom>
                          <a:ln w="12700" cap="flat" cmpd="sng">
                            <a:solidFill>
                              <a:srgbClr val="000000"/>
                            </a:solidFill>
                            <a:prstDash val="solid"/>
                            <a:headEnd type="none" w="med" len="med"/>
                            <a:tailEnd type="triangle" w="med" len="med"/>
                          </a:ln>
                        </wps:spPr>
                        <wps:bodyPr upright="1"/>
                      </wps:wsp>
                      <wps:wsp>
                        <wps:cNvPr id="50" name="直接连接符 50"/>
                        <wps:cNvCnPr/>
                        <wps:spPr>
                          <a:xfrm>
                            <a:off x="2703830" y="5132706"/>
                            <a:ext cx="0" cy="241300"/>
                          </a:xfrm>
                          <a:prstGeom prst="line">
                            <a:avLst/>
                          </a:prstGeom>
                          <a:ln w="12700" cap="flat" cmpd="sng">
                            <a:solidFill>
                              <a:srgbClr val="000000"/>
                            </a:solidFill>
                            <a:prstDash val="solid"/>
                            <a:headEnd type="none" w="med" len="med"/>
                            <a:tailEnd type="triangle" w="med" len="med"/>
                          </a:ln>
                        </wps:spPr>
                        <wps:bodyPr upright="1"/>
                      </wps:wsp>
                      <wps:wsp>
                        <wps:cNvPr id="51" name="文本框 51"/>
                        <wps:cNvSpPr txBox="1"/>
                        <wps:spPr>
                          <a:xfrm>
                            <a:off x="1427480" y="3913505"/>
                            <a:ext cx="889000" cy="422275"/>
                          </a:xfrm>
                          <a:prstGeom prst="rect">
                            <a:avLst/>
                          </a:prstGeom>
                          <a:noFill/>
                          <a:ln>
                            <a:noFill/>
                          </a:ln>
                        </wps:spPr>
                        <wps:txbx>
                          <w:txbxContent>
                            <w:p w14:paraId="4B621C64">
                              <w:pPr>
                                <w:rPr>
                                  <w:sz w:val="18"/>
                                  <w:szCs w:val="18"/>
                                </w:rPr>
                              </w:pPr>
                              <w:r>
                                <w:rPr>
                                  <w:rFonts w:hint="eastAsia"/>
                                  <w:sz w:val="18"/>
                                  <w:szCs w:val="18"/>
                                </w:rPr>
                                <w:t>调漆废气G7</w:t>
                              </w:r>
                            </w:p>
                            <w:p w14:paraId="292D24B2">
                              <w:pPr>
                                <w:rPr>
                                  <w:rFonts w:hint="eastAsia"/>
                                  <w:sz w:val="18"/>
                                  <w:szCs w:val="18"/>
                                </w:rPr>
                              </w:pPr>
                              <w:r>
                                <w:rPr>
                                  <w:rFonts w:hint="eastAsia"/>
                                  <w:sz w:val="18"/>
                                  <w:szCs w:val="18"/>
                                </w:rPr>
                                <w:t>废包装桶S3</w:t>
                              </w:r>
                            </w:p>
                          </w:txbxContent>
                        </wps:txbx>
                        <wps:bodyPr upright="1"/>
                      </wps:wsp>
                      <wps:wsp>
                        <wps:cNvPr id="52" name="直接连接符 52"/>
                        <wps:cNvCnPr/>
                        <wps:spPr>
                          <a:xfrm>
                            <a:off x="3065780" y="2570480"/>
                            <a:ext cx="279400" cy="0"/>
                          </a:xfrm>
                          <a:prstGeom prst="line">
                            <a:avLst/>
                          </a:prstGeom>
                          <a:ln w="9525" cap="flat" cmpd="sng">
                            <a:solidFill>
                              <a:srgbClr val="000000"/>
                            </a:solidFill>
                            <a:prstDash val="solid"/>
                            <a:headEnd type="none" w="med" len="med"/>
                            <a:tailEnd type="triangle" w="med" len="med"/>
                          </a:ln>
                        </wps:spPr>
                        <wps:bodyPr upright="1"/>
                      </wps:wsp>
                      <wps:wsp>
                        <wps:cNvPr id="53" name="文本框 53"/>
                        <wps:cNvSpPr txBox="1"/>
                        <wps:spPr>
                          <a:xfrm>
                            <a:off x="1446530" y="6380481"/>
                            <a:ext cx="917575" cy="419100"/>
                          </a:xfrm>
                          <a:prstGeom prst="rect">
                            <a:avLst/>
                          </a:prstGeom>
                          <a:noFill/>
                          <a:ln>
                            <a:noFill/>
                          </a:ln>
                        </wps:spPr>
                        <wps:txbx>
                          <w:txbxContent>
                            <w:p w14:paraId="443B5EBD">
                              <w:pPr>
                                <w:rPr>
                                  <w:sz w:val="18"/>
                                  <w:szCs w:val="18"/>
                                </w:rPr>
                              </w:pPr>
                              <w:r>
                                <w:rPr>
                                  <w:rFonts w:hint="eastAsia"/>
                                  <w:sz w:val="18"/>
                                  <w:szCs w:val="18"/>
                                </w:rPr>
                                <w:t>调漆废气G14</w:t>
                              </w:r>
                            </w:p>
                            <w:p w14:paraId="72185C52">
                              <w:pPr>
                                <w:rPr>
                                  <w:rFonts w:hint="eastAsia"/>
                                  <w:sz w:val="18"/>
                                  <w:szCs w:val="18"/>
                                </w:rPr>
                              </w:pPr>
                              <w:r>
                                <w:rPr>
                                  <w:rFonts w:hint="eastAsia"/>
                                  <w:sz w:val="18"/>
                                  <w:szCs w:val="18"/>
                                </w:rPr>
                                <w:t>废包装桶S7</w:t>
                              </w:r>
                            </w:p>
                          </w:txbxContent>
                        </wps:txbx>
                        <wps:bodyPr upright="1"/>
                      </wps:wsp>
                      <wps:wsp>
                        <wps:cNvPr id="54" name="文本框 54"/>
                        <wps:cNvSpPr txBox="1"/>
                        <wps:spPr>
                          <a:xfrm>
                            <a:off x="3314700" y="2446655"/>
                            <a:ext cx="1859280" cy="241935"/>
                          </a:xfrm>
                          <a:prstGeom prst="rect">
                            <a:avLst/>
                          </a:prstGeom>
                          <a:noFill/>
                          <a:ln>
                            <a:noFill/>
                          </a:ln>
                        </wps:spPr>
                        <wps:txbx>
                          <w:txbxContent>
                            <w:p w14:paraId="4F353C27">
                              <w:pPr>
                                <w:pStyle w:val="4"/>
                                <w:spacing w:before="0" w:after="0" w:line="240" w:lineRule="auto"/>
                                <w:rPr>
                                  <w:b w:val="0"/>
                                  <w:bCs w:val="0"/>
                                  <w:sz w:val="18"/>
                                  <w:szCs w:val="18"/>
                                </w:rPr>
                              </w:pPr>
                              <w:r>
                                <w:rPr>
                                  <w:rFonts w:hint="eastAsia"/>
                                  <w:b w:val="0"/>
                                  <w:bCs w:val="0"/>
                                  <w:kern w:val="0"/>
                                  <w:sz w:val="18"/>
                                  <w:szCs w:val="18"/>
                                </w:rPr>
                                <w:t>组装废气G5、噪声N</w:t>
                              </w:r>
                            </w:p>
                          </w:txbxContent>
                        </wps:txbx>
                        <wps:bodyPr upright="1"/>
                      </wps:wsp>
                      <wps:wsp>
                        <wps:cNvPr id="55" name="直接连接符 55"/>
                        <wps:cNvCnPr/>
                        <wps:spPr>
                          <a:xfrm>
                            <a:off x="3056255" y="3065780"/>
                            <a:ext cx="279400" cy="0"/>
                          </a:xfrm>
                          <a:prstGeom prst="line">
                            <a:avLst/>
                          </a:prstGeom>
                          <a:ln w="9525" cap="flat" cmpd="sng">
                            <a:solidFill>
                              <a:srgbClr val="000000"/>
                            </a:solidFill>
                            <a:prstDash val="solid"/>
                            <a:headEnd type="none" w="med" len="med"/>
                            <a:tailEnd type="triangle" w="med" len="med"/>
                          </a:ln>
                        </wps:spPr>
                        <wps:bodyPr upright="1"/>
                      </wps:wsp>
                      <wps:wsp>
                        <wps:cNvPr id="56" name="直接连接符 56"/>
                        <wps:cNvCnPr/>
                        <wps:spPr>
                          <a:xfrm>
                            <a:off x="3065780" y="3551555"/>
                            <a:ext cx="279400" cy="0"/>
                          </a:xfrm>
                          <a:prstGeom prst="line">
                            <a:avLst/>
                          </a:prstGeom>
                          <a:ln w="9525" cap="flat" cmpd="sng">
                            <a:solidFill>
                              <a:srgbClr val="000000"/>
                            </a:solidFill>
                            <a:prstDash val="solid"/>
                            <a:headEnd type="none" w="med" len="med"/>
                            <a:tailEnd type="triangle" w="med" len="med"/>
                          </a:ln>
                        </wps:spPr>
                        <wps:bodyPr upright="1"/>
                      </wps:wsp>
                      <wps:wsp>
                        <wps:cNvPr id="57" name="文本框 57"/>
                        <wps:cNvSpPr txBox="1"/>
                        <wps:spPr>
                          <a:xfrm>
                            <a:off x="2371090" y="6847206"/>
                            <a:ext cx="682625" cy="228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75F69C">
                              <w:pPr>
                                <w:jc w:val="center"/>
                                <w:rPr>
                                  <w:sz w:val="18"/>
                                  <w:szCs w:val="18"/>
                                </w:rPr>
                              </w:pPr>
                              <w:r>
                                <w:rPr>
                                  <w:rFonts w:hint="eastAsia"/>
                                  <w:sz w:val="18"/>
                                  <w:szCs w:val="18"/>
                                </w:rPr>
                                <w:t>检验</w:t>
                              </w:r>
                            </w:p>
                          </w:txbxContent>
                        </wps:txbx>
                        <wps:bodyPr lIns="91440" tIns="45720" rIns="91440" bIns="36000" upright="1"/>
                      </wps:wsp>
                      <wps:wsp>
                        <wps:cNvPr id="58" name="文本框 58"/>
                        <wps:cNvSpPr txBox="1"/>
                        <wps:spPr>
                          <a:xfrm>
                            <a:off x="2371725" y="5875655"/>
                            <a:ext cx="681355" cy="228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E76FD9">
                              <w:pPr>
                                <w:jc w:val="center"/>
                                <w:rPr>
                                  <w:sz w:val="18"/>
                                  <w:szCs w:val="18"/>
                                </w:rPr>
                              </w:pPr>
                              <w:r>
                                <w:rPr>
                                  <w:rFonts w:hint="eastAsia"/>
                                  <w:sz w:val="18"/>
                                  <w:szCs w:val="18"/>
                                </w:rPr>
                                <w:t>喷修色漆</w:t>
                              </w:r>
                            </w:p>
                            <w:p w14:paraId="73C8A128">
                              <w:pPr>
                                <w:jc w:val="center"/>
                                <w:rPr>
                                  <w:sz w:val="18"/>
                                  <w:szCs w:val="18"/>
                                </w:rPr>
                              </w:pPr>
                            </w:p>
                          </w:txbxContent>
                        </wps:txbx>
                        <wps:bodyPr lIns="91440" tIns="45720" rIns="91440" bIns="36000" upright="1"/>
                      </wps:wsp>
                      <wps:wsp>
                        <wps:cNvPr id="59" name="文本框 59"/>
                        <wps:cNvSpPr txBox="1"/>
                        <wps:spPr>
                          <a:xfrm>
                            <a:off x="2371725" y="6361431"/>
                            <a:ext cx="681355" cy="22859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27D67F">
                              <w:pPr>
                                <w:jc w:val="center"/>
                                <w:rPr>
                                  <w:sz w:val="18"/>
                                  <w:szCs w:val="18"/>
                                </w:rPr>
                              </w:pPr>
                              <w:r>
                                <w:rPr>
                                  <w:rFonts w:hint="eastAsia"/>
                                  <w:sz w:val="18"/>
                                  <w:szCs w:val="18"/>
                                </w:rPr>
                                <w:t>晾干</w:t>
                              </w:r>
                            </w:p>
                            <w:p w14:paraId="4C790B3A">
                              <w:pPr>
                                <w:rPr>
                                  <w:rFonts w:hint="eastAsia"/>
                                </w:rPr>
                              </w:pPr>
                            </w:p>
                          </w:txbxContent>
                        </wps:txbx>
                        <wps:bodyPr lIns="91440" tIns="45720" rIns="91440" bIns="36000" upright="1"/>
                      </wps:wsp>
                      <wps:wsp>
                        <wps:cNvPr id="60" name="文本框 60"/>
                        <wps:cNvSpPr txBox="1"/>
                        <wps:spPr>
                          <a:xfrm>
                            <a:off x="2371090" y="5389881"/>
                            <a:ext cx="682625" cy="22859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509BDC">
                              <w:pPr>
                                <w:jc w:val="center"/>
                                <w:rPr>
                                  <w:sz w:val="18"/>
                                  <w:szCs w:val="18"/>
                                </w:rPr>
                              </w:pPr>
                              <w:r>
                                <w:rPr>
                                  <w:rFonts w:hint="eastAsia"/>
                                  <w:sz w:val="18"/>
                                  <w:szCs w:val="18"/>
                                </w:rPr>
                                <w:t>晾干</w:t>
                              </w:r>
                            </w:p>
                            <w:p w14:paraId="6B057959">
                              <w:pPr>
                                <w:jc w:val="center"/>
                                <w:rPr>
                                  <w:rFonts w:hint="eastAsia"/>
                                  <w:sz w:val="18"/>
                                  <w:szCs w:val="18"/>
                                </w:rPr>
                              </w:pPr>
                            </w:p>
                          </w:txbxContent>
                        </wps:txbx>
                        <wps:bodyPr lIns="91440" tIns="45720" rIns="91440" bIns="36000" upright="1"/>
                      </wps:wsp>
                      <wps:wsp>
                        <wps:cNvPr id="61" name="文本框 61"/>
                        <wps:cNvSpPr txBox="1"/>
                        <wps:spPr>
                          <a:xfrm>
                            <a:off x="2371090" y="4875530"/>
                            <a:ext cx="682625" cy="228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A12416">
                              <w:pPr>
                                <w:jc w:val="center"/>
                                <w:rPr>
                                  <w:sz w:val="18"/>
                                  <w:szCs w:val="18"/>
                                </w:rPr>
                              </w:pPr>
                              <w:r>
                                <w:rPr>
                                  <w:rFonts w:hint="eastAsia"/>
                                  <w:sz w:val="18"/>
                                  <w:szCs w:val="18"/>
                                </w:rPr>
                                <w:t>喷面漆</w:t>
                              </w:r>
                            </w:p>
                            <w:p w14:paraId="24818021">
                              <w:pPr>
                                <w:jc w:val="center"/>
                                <w:rPr>
                                  <w:sz w:val="18"/>
                                  <w:szCs w:val="18"/>
                                </w:rPr>
                              </w:pPr>
                            </w:p>
                          </w:txbxContent>
                        </wps:txbx>
                        <wps:bodyPr lIns="91440" tIns="45720" rIns="91440" bIns="36000" upright="1"/>
                      </wps:wsp>
                      <wps:wsp>
                        <wps:cNvPr id="62" name="直接连接符 62"/>
                        <wps:cNvCnPr/>
                        <wps:spPr>
                          <a:xfrm>
                            <a:off x="1856105" y="6142356"/>
                            <a:ext cx="0" cy="241300"/>
                          </a:xfrm>
                          <a:prstGeom prst="line">
                            <a:avLst/>
                          </a:prstGeom>
                          <a:ln w="12700" cap="flat" cmpd="sng">
                            <a:solidFill>
                              <a:srgbClr val="000000"/>
                            </a:solidFill>
                            <a:prstDash val="solid"/>
                            <a:headEnd type="none" w="med" len="med"/>
                            <a:tailEnd type="triangle" w="med" len="med"/>
                          </a:ln>
                        </wps:spPr>
                        <wps:bodyPr upright="1"/>
                      </wps:wsp>
                      <wps:wsp>
                        <wps:cNvPr id="63" name="直接连接符 63"/>
                        <wps:cNvCnPr/>
                        <wps:spPr>
                          <a:xfrm>
                            <a:off x="2703830" y="7094856"/>
                            <a:ext cx="0" cy="241299"/>
                          </a:xfrm>
                          <a:prstGeom prst="line">
                            <a:avLst/>
                          </a:prstGeom>
                          <a:ln w="12700" cap="flat" cmpd="sng">
                            <a:solidFill>
                              <a:srgbClr val="000000"/>
                            </a:solidFill>
                            <a:prstDash val="solid"/>
                            <a:headEnd type="none" w="med" len="med"/>
                            <a:tailEnd type="triangle" w="med" len="med"/>
                          </a:ln>
                        </wps:spPr>
                        <wps:bodyPr upright="1"/>
                      </wps:wsp>
                      <wps:wsp>
                        <wps:cNvPr id="64" name="直接连接符 64"/>
                        <wps:cNvCnPr/>
                        <wps:spPr>
                          <a:xfrm>
                            <a:off x="2703830" y="6599555"/>
                            <a:ext cx="0" cy="241300"/>
                          </a:xfrm>
                          <a:prstGeom prst="line">
                            <a:avLst/>
                          </a:prstGeom>
                          <a:ln w="12700" cap="flat" cmpd="sng">
                            <a:solidFill>
                              <a:srgbClr val="000000"/>
                            </a:solidFill>
                            <a:prstDash val="solid"/>
                            <a:headEnd type="none" w="med" len="med"/>
                            <a:tailEnd type="triangle" w="med" len="med"/>
                          </a:ln>
                        </wps:spPr>
                        <wps:bodyPr upright="1"/>
                      </wps:wsp>
                      <wps:wsp>
                        <wps:cNvPr id="65" name="直接连接符 65"/>
                        <wps:cNvCnPr/>
                        <wps:spPr>
                          <a:xfrm>
                            <a:off x="2703830" y="6113781"/>
                            <a:ext cx="0" cy="241300"/>
                          </a:xfrm>
                          <a:prstGeom prst="line">
                            <a:avLst/>
                          </a:prstGeom>
                          <a:ln w="12700" cap="flat" cmpd="sng">
                            <a:solidFill>
                              <a:srgbClr val="000000"/>
                            </a:solidFill>
                            <a:prstDash val="solid"/>
                            <a:headEnd type="none" w="med" len="med"/>
                            <a:tailEnd type="triangle" w="med" len="med"/>
                          </a:ln>
                        </wps:spPr>
                        <wps:bodyPr upright="1"/>
                      </wps:wsp>
                      <wps:wsp>
                        <wps:cNvPr id="66" name="直接连接符 66"/>
                        <wps:cNvCnPr/>
                        <wps:spPr>
                          <a:xfrm>
                            <a:off x="2703830" y="5628005"/>
                            <a:ext cx="0" cy="241300"/>
                          </a:xfrm>
                          <a:prstGeom prst="line">
                            <a:avLst/>
                          </a:prstGeom>
                          <a:ln w="12700" cap="flat" cmpd="sng">
                            <a:solidFill>
                              <a:srgbClr val="000000"/>
                            </a:solidFill>
                            <a:prstDash val="solid"/>
                            <a:headEnd type="none" w="med" len="med"/>
                            <a:tailEnd type="triangle" w="med" len="med"/>
                          </a:ln>
                        </wps:spPr>
                        <wps:bodyPr upright="1"/>
                      </wps:wsp>
                      <wps:wsp>
                        <wps:cNvPr id="67" name="直接连接符 67"/>
                        <wps:cNvCnPr/>
                        <wps:spPr>
                          <a:xfrm>
                            <a:off x="3056255" y="4046855"/>
                            <a:ext cx="279400" cy="0"/>
                          </a:xfrm>
                          <a:prstGeom prst="line">
                            <a:avLst/>
                          </a:prstGeom>
                          <a:ln w="9525" cap="flat" cmpd="sng">
                            <a:solidFill>
                              <a:srgbClr val="000000"/>
                            </a:solidFill>
                            <a:prstDash val="solid"/>
                            <a:headEnd type="none" w="med" len="med"/>
                            <a:tailEnd type="triangle" w="med" len="med"/>
                          </a:ln>
                        </wps:spPr>
                        <wps:bodyPr upright="1"/>
                      </wps:wsp>
                      <wps:wsp>
                        <wps:cNvPr id="68" name="直接连接符 68"/>
                        <wps:cNvCnPr/>
                        <wps:spPr>
                          <a:xfrm>
                            <a:off x="3065780" y="5513705"/>
                            <a:ext cx="279400" cy="0"/>
                          </a:xfrm>
                          <a:prstGeom prst="line">
                            <a:avLst/>
                          </a:prstGeom>
                          <a:ln w="9525" cap="flat" cmpd="sng">
                            <a:solidFill>
                              <a:srgbClr val="000000"/>
                            </a:solidFill>
                            <a:prstDash val="solid"/>
                            <a:headEnd type="none" w="med" len="med"/>
                            <a:tailEnd type="triangle" w="med" len="med"/>
                          </a:ln>
                        </wps:spPr>
                        <wps:bodyPr upright="1"/>
                      </wps:wsp>
                      <wps:wsp>
                        <wps:cNvPr id="69" name="文本框 69"/>
                        <wps:cNvSpPr txBox="1"/>
                        <wps:spPr>
                          <a:xfrm>
                            <a:off x="3246755" y="4408805"/>
                            <a:ext cx="1333500" cy="257175"/>
                          </a:xfrm>
                          <a:prstGeom prst="rect">
                            <a:avLst/>
                          </a:prstGeom>
                          <a:noFill/>
                          <a:ln>
                            <a:noFill/>
                          </a:ln>
                        </wps:spPr>
                        <wps:txbx>
                          <w:txbxContent>
                            <w:p w14:paraId="45CB218D">
                              <w:pPr>
                                <w:pStyle w:val="4"/>
                                <w:spacing w:before="0" w:after="0" w:line="240" w:lineRule="auto"/>
                                <w:rPr>
                                  <w:b w:val="0"/>
                                  <w:bCs w:val="0"/>
                                  <w:sz w:val="18"/>
                                  <w:szCs w:val="18"/>
                                </w:rPr>
                              </w:pPr>
                              <w:r>
                                <w:rPr>
                                  <w:rFonts w:hint="eastAsia"/>
                                  <w:b w:val="0"/>
                                  <w:bCs w:val="0"/>
                                  <w:kern w:val="0"/>
                                  <w:sz w:val="18"/>
                                  <w:szCs w:val="18"/>
                                </w:rPr>
                                <w:t>底漆打磨粉尘G10</w:t>
                              </w:r>
                            </w:p>
                            <w:p w14:paraId="24991C1E"/>
                          </w:txbxContent>
                        </wps:txbx>
                        <wps:bodyPr upright="1"/>
                      </wps:wsp>
                      <wps:wsp>
                        <wps:cNvPr id="70" name="文本框 70"/>
                        <wps:cNvSpPr txBox="1"/>
                        <wps:spPr>
                          <a:xfrm>
                            <a:off x="3275330" y="3265805"/>
                            <a:ext cx="1155700" cy="736600"/>
                          </a:xfrm>
                          <a:prstGeom prst="rect">
                            <a:avLst/>
                          </a:prstGeom>
                          <a:noFill/>
                          <a:ln>
                            <a:noFill/>
                          </a:ln>
                        </wps:spPr>
                        <wps:txbx>
                          <w:txbxContent>
                            <w:p w14:paraId="2ED140B4">
                              <w:pPr>
                                <w:rPr>
                                  <w:rFonts w:hint="eastAsia"/>
                                  <w:sz w:val="18"/>
                                  <w:szCs w:val="18"/>
                                </w:rPr>
                              </w:pPr>
                              <w:r>
                                <w:rPr>
                                  <w:sz w:val="18"/>
                                  <w:szCs w:val="18"/>
                                </w:rPr>
                                <w:t>喷漆废气G</w:t>
                              </w:r>
                              <w:r>
                                <w:rPr>
                                  <w:rFonts w:hint="eastAsia"/>
                                  <w:sz w:val="18"/>
                                  <w:szCs w:val="18"/>
                                </w:rPr>
                                <w:t>8</w:t>
                              </w:r>
                            </w:p>
                            <w:p w14:paraId="505E98D5">
                              <w:pPr>
                                <w:rPr>
                                  <w:rFonts w:hint="eastAsia"/>
                                  <w:sz w:val="18"/>
                                  <w:szCs w:val="18"/>
                                </w:rPr>
                              </w:pPr>
                              <w:r>
                                <w:rPr>
                                  <w:rFonts w:hint="eastAsia"/>
                                  <w:sz w:val="18"/>
                                  <w:szCs w:val="18"/>
                                </w:rPr>
                                <w:t>漆渣S4</w:t>
                              </w:r>
                            </w:p>
                            <w:p w14:paraId="4D28C680">
                              <w:pPr>
                                <w:rPr>
                                  <w:b/>
                                  <w:bCs/>
                                  <w:sz w:val="18"/>
                                  <w:szCs w:val="18"/>
                                </w:rPr>
                              </w:pPr>
                              <w:r>
                                <w:rPr>
                                  <w:rFonts w:hint="eastAsia"/>
                                  <w:sz w:val="18"/>
                                  <w:szCs w:val="18"/>
                                </w:rPr>
                                <w:t>水帘</w:t>
                              </w:r>
                              <w:r>
                                <w:rPr>
                                  <w:sz w:val="18"/>
                                  <w:szCs w:val="18"/>
                                </w:rPr>
                                <w:t>废水W1</w:t>
                              </w:r>
                            </w:p>
                            <w:p w14:paraId="41F0E80F">
                              <w:pPr>
                                <w:pStyle w:val="4"/>
                                <w:spacing w:before="0" w:after="0" w:line="240" w:lineRule="auto"/>
                                <w:rPr>
                                  <w:b w:val="0"/>
                                  <w:bCs w:val="0"/>
                                  <w:sz w:val="18"/>
                                  <w:szCs w:val="18"/>
                                </w:rPr>
                              </w:pPr>
                              <w:r>
                                <w:rPr>
                                  <w:rFonts w:hint="eastAsia"/>
                                  <w:b w:val="0"/>
                                  <w:bCs w:val="0"/>
                                  <w:sz w:val="18"/>
                                  <w:szCs w:val="18"/>
                                </w:rPr>
                                <w:t>喷枪清洗废水W2</w:t>
                              </w:r>
                            </w:p>
                          </w:txbxContent>
                        </wps:txbx>
                        <wps:bodyPr upright="1"/>
                      </wps:wsp>
                      <wps:wsp>
                        <wps:cNvPr id="71" name="直接连接符 71"/>
                        <wps:cNvCnPr/>
                        <wps:spPr>
                          <a:xfrm>
                            <a:off x="3056255" y="4542155"/>
                            <a:ext cx="279400" cy="0"/>
                          </a:xfrm>
                          <a:prstGeom prst="line">
                            <a:avLst/>
                          </a:prstGeom>
                          <a:ln w="9525" cap="flat" cmpd="sng">
                            <a:solidFill>
                              <a:srgbClr val="000000"/>
                            </a:solidFill>
                            <a:prstDash val="solid"/>
                            <a:headEnd type="none" w="med" len="med"/>
                            <a:tailEnd type="triangle" w="med" len="med"/>
                          </a:ln>
                        </wps:spPr>
                        <wps:bodyPr upright="1"/>
                      </wps:wsp>
                      <wps:wsp>
                        <wps:cNvPr id="72" name="直接连接符 72"/>
                        <wps:cNvCnPr/>
                        <wps:spPr>
                          <a:xfrm>
                            <a:off x="3065780" y="6494780"/>
                            <a:ext cx="279400" cy="0"/>
                          </a:xfrm>
                          <a:prstGeom prst="line">
                            <a:avLst/>
                          </a:prstGeom>
                          <a:ln w="9525" cap="flat" cmpd="sng">
                            <a:solidFill>
                              <a:srgbClr val="000000"/>
                            </a:solidFill>
                            <a:prstDash val="solid"/>
                            <a:headEnd type="none" w="med" len="med"/>
                            <a:tailEnd type="triangle" w="med" len="med"/>
                          </a:ln>
                        </wps:spPr>
                        <wps:bodyPr upright="1"/>
                      </wps:wsp>
                      <wps:wsp>
                        <wps:cNvPr id="73" name="直接连接符 73"/>
                        <wps:cNvCnPr/>
                        <wps:spPr>
                          <a:xfrm>
                            <a:off x="3065780" y="6009005"/>
                            <a:ext cx="279400" cy="0"/>
                          </a:xfrm>
                          <a:prstGeom prst="line">
                            <a:avLst/>
                          </a:prstGeom>
                          <a:ln w="9525" cap="flat" cmpd="sng">
                            <a:solidFill>
                              <a:srgbClr val="000000"/>
                            </a:solidFill>
                            <a:prstDash val="solid"/>
                            <a:headEnd type="none" w="med" len="med"/>
                            <a:tailEnd type="triangle" w="med" len="med"/>
                          </a:ln>
                        </wps:spPr>
                        <wps:bodyPr upright="1"/>
                      </wps:wsp>
                      <wps:wsp>
                        <wps:cNvPr id="74" name="直接连接符 74"/>
                        <wps:cNvCnPr/>
                        <wps:spPr>
                          <a:xfrm>
                            <a:off x="3056255" y="5008880"/>
                            <a:ext cx="279400" cy="0"/>
                          </a:xfrm>
                          <a:prstGeom prst="line">
                            <a:avLst/>
                          </a:prstGeom>
                          <a:ln w="9525" cap="flat" cmpd="sng">
                            <a:solidFill>
                              <a:srgbClr val="000000"/>
                            </a:solidFill>
                            <a:prstDash val="solid"/>
                            <a:headEnd type="none" w="med" len="med"/>
                            <a:tailEnd type="triangle" w="med" len="med"/>
                          </a:ln>
                        </wps:spPr>
                        <wps:bodyPr upright="1"/>
                      </wps:wsp>
                      <wps:wsp>
                        <wps:cNvPr id="75" name="文本框 75"/>
                        <wps:cNvSpPr txBox="1"/>
                        <wps:spPr>
                          <a:xfrm>
                            <a:off x="3284855" y="3932555"/>
                            <a:ext cx="889000" cy="257175"/>
                          </a:xfrm>
                          <a:prstGeom prst="rect">
                            <a:avLst/>
                          </a:prstGeom>
                          <a:noFill/>
                          <a:ln>
                            <a:noFill/>
                          </a:ln>
                        </wps:spPr>
                        <wps:txbx>
                          <w:txbxContent>
                            <w:p w14:paraId="384192BE">
                              <w:pPr>
                                <w:rPr>
                                  <w:sz w:val="18"/>
                                  <w:szCs w:val="18"/>
                                </w:rPr>
                              </w:pPr>
                              <w:r>
                                <w:rPr>
                                  <w:rFonts w:hint="eastAsia"/>
                                  <w:sz w:val="18"/>
                                  <w:szCs w:val="18"/>
                                </w:rPr>
                                <w:t>晾干废气G9</w:t>
                              </w:r>
                            </w:p>
                          </w:txbxContent>
                        </wps:txbx>
                        <wps:bodyPr upright="1"/>
                      </wps:wsp>
                      <wps:wsp>
                        <wps:cNvPr id="76" name="文本框 76"/>
                        <wps:cNvSpPr txBox="1"/>
                        <wps:spPr>
                          <a:xfrm>
                            <a:off x="3294380" y="4694555"/>
                            <a:ext cx="1137285" cy="745490"/>
                          </a:xfrm>
                          <a:prstGeom prst="rect">
                            <a:avLst/>
                          </a:prstGeom>
                          <a:noFill/>
                          <a:ln>
                            <a:noFill/>
                          </a:ln>
                        </wps:spPr>
                        <wps:txbx>
                          <w:txbxContent>
                            <w:p w14:paraId="6CAE2620">
                              <w:pPr>
                                <w:rPr>
                                  <w:sz w:val="18"/>
                                  <w:szCs w:val="18"/>
                                </w:rPr>
                              </w:pPr>
                              <w:r>
                                <w:rPr>
                                  <w:sz w:val="18"/>
                                  <w:szCs w:val="18"/>
                                </w:rPr>
                                <w:t>喷漆废气G</w:t>
                              </w:r>
                              <w:r>
                                <w:rPr>
                                  <w:rFonts w:hint="eastAsia"/>
                                  <w:sz w:val="18"/>
                                  <w:szCs w:val="18"/>
                                </w:rPr>
                                <w:t>12</w:t>
                              </w:r>
                            </w:p>
                            <w:p w14:paraId="5E0C4A8A">
                              <w:pPr>
                                <w:rPr>
                                  <w:rFonts w:hint="eastAsia"/>
                                  <w:sz w:val="18"/>
                                  <w:szCs w:val="18"/>
                                </w:rPr>
                              </w:pPr>
                              <w:r>
                                <w:rPr>
                                  <w:rFonts w:hint="eastAsia"/>
                                  <w:sz w:val="18"/>
                                  <w:szCs w:val="18"/>
                                </w:rPr>
                                <w:t>漆渣S6</w:t>
                              </w:r>
                            </w:p>
                            <w:p w14:paraId="2406E2A8">
                              <w:pPr>
                                <w:rPr>
                                  <w:rFonts w:hint="eastAsia"/>
                                  <w:sz w:val="18"/>
                                  <w:szCs w:val="18"/>
                                </w:rPr>
                              </w:pPr>
                              <w:r>
                                <w:rPr>
                                  <w:rFonts w:hint="eastAsia"/>
                                  <w:sz w:val="18"/>
                                  <w:szCs w:val="18"/>
                                </w:rPr>
                                <w:t>水帘</w:t>
                              </w:r>
                              <w:r>
                                <w:rPr>
                                  <w:sz w:val="18"/>
                                  <w:szCs w:val="18"/>
                                </w:rPr>
                                <w:t>废水W</w:t>
                              </w:r>
                              <w:r>
                                <w:rPr>
                                  <w:rFonts w:hint="eastAsia"/>
                                  <w:sz w:val="18"/>
                                  <w:szCs w:val="18"/>
                                </w:rPr>
                                <w:t>3</w:t>
                              </w:r>
                            </w:p>
                            <w:p w14:paraId="71357858">
                              <w:pPr>
                                <w:rPr>
                                  <w:sz w:val="18"/>
                                  <w:szCs w:val="18"/>
                                </w:rPr>
                              </w:pPr>
                              <w:r>
                                <w:rPr>
                                  <w:rFonts w:hint="eastAsia"/>
                                  <w:sz w:val="18"/>
                                  <w:szCs w:val="18"/>
                                </w:rPr>
                                <w:t>喷枪清洗废水W4</w:t>
                              </w:r>
                            </w:p>
                          </w:txbxContent>
                        </wps:txbx>
                        <wps:bodyPr upright="1"/>
                      </wps:wsp>
                      <wps:wsp>
                        <wps:cNvPr id="77" name="文本框 77"/>
                        <wps:cNvSpPr txBox="1"/>
                        <wps:spPr>
                          <a:xfrm>
                            <a:off x="3322955" y="5389880"/>
                            <a:ext cx="889000" cy="257175"/>
                          </a:xfrm>
                          <a:prstGeom prst="rect">
                            <a:avLst/>
                          </a:prstGeom>
                          <a:noFill/>
                          <a:ln>
                            <a:noFill/>
                          </a:ln>
                        </wps:spPr>
                        <wps:txbx>
                          <w:txbxContent>
                            <w:p w14:paraId="10B983E1">
                              <w:pPr>
                                <w:rPr>
                                  <w:rFonts w:hint="eastAsia"/>
                                  <w:sz w:val="18"/>
                                  <w:szCs w:val="18"/>
                                </w:rPr>
                              </w:pPr>
                              <w:r>
                                <w:rPr>
                                  <w:rFonts w:hint="eastAsia"/>
                                  <w:sz w:val="18"/>
                                  <w:szCs w:val="18"/>
                                </w:rPr>
                                <w:t>晾干废气G13</w:t>
                              </w:r>
                            </w:p>
                            <w:p w14:paraId="5A590859">
                              <w:pPr>
                                <w:pStyle w:val="4"/>
                                <w:spacing w:before="0" w:after="0" w:line="240" w:lineRule="auto"/>
                                <w:rPr>
                                  <w:b w:val="0"/>
                                  <w:bCs w:val="0"/>
                                  <w:sz w:val="18"/>
                                  <w:szCs w:val="18"/>
                                </w:rPr>
                              </w:pPr>
                            </w:p>
                          </w:txbxContent>
                        </wps:txbx>
                        <wps:bodyPr upright="1"/>
                      </wps:wsp>
                      <wps:wsp>
                        <wps:cNvPr id="78" name="直接连接符 78"/>
                        <wps:cNvCnPr/>
                        <wps:spPr>
                          <a:xfrm>
                            <a:off x="2132330" y="5018405"/>
                            <a:ext cx="228600" cy="0"/>
                          </a:xfrm>
                          <a:prstGeom prst="line">
                            <a:avLst/>
                          </a:prstGeom>
                          <a:ln w="9525" cap="flat" cmpd="sng">
                            <a:solidFill>
                              <a:srgbClr val="000000"/>
                            </a:solidFill>
                            <a:prstDash val="dash"/>
                            <a:headEnd type="none" w="med" len="med"/>
                            <a:tailEnd type="triangle" w="med" len="med"/>
                          </a:ln>
                        </wps:spPr>
                        <wps:bodyPr upright="1"/>
                      </wps:wsp>
                      <wps:wsp>
                        <wps:cNvPr id="79" name="文本框 79"/>
                        <wps:cNvSpPr txBox="1"/>
                        <wps:spPr>
                          <a:xfrm>
                            <a:off x="1541780" y="4885055"/>
                            <a:ext cx="581025" cy="24129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5E6A8F">
                              <w:pPr>
                                <w:jc w:val="center"/>
                                <w:rPr>
                                  <w:sz w:val="18"/>
                                  <w:szCs w:val="18"/>
                                </w:rPr>
                              </w:pPr>
                              <w:r>
                                <w:rPr>
                                  <w:rFonts w:hint="eastAsia"/>
                                  <w:sz w:val="18"/>
                                  <w:szCs w:val="18"/>
                                </w:rPr>
                                <w:t>调面漆</w:t>
                              </w:r>
                            </w:p>
                          </w:txbxContent>
                        </wps:txbx>
                        <wps:bodyPr upright="1"/>
                      </wps:wsp>
                      <wps:wsp>
                        <wps:cNvPr id="80" name="文本框 80"/>
                        <wps:cNvSpPr txBox="1"/>
                        <wps:spPr>
                          <a:xfrm>
                            <a:off x="255905" y="4885055"/>
                            <a:ext cx="1181100" cy="253999"/>
                          </a:xfrm>
                          <a:prstGeom prst="rect">
                            <a:avLst/>
                          </a:prstGeom>
                          <a:noFill/>
                          <a:ln>
                            <a:noFill/>
                          </a:ln>
                        </wps:spPr>
                        <wps:txbx>
                          <w:txbxContent>
                            <w:p w14:paraId="4812B2B4">
                              <w:pPr>
                                <w:pStyle w:val="4"/>
                                <w:spacing w:before="0" w:after="0" w:line="240" w:lineRule="auto"/>
                                <w:rPr>
                                  <w:b w:val="0"/>
                                  <w:bCs w:val="0"/>
                                  <w:sz w:val="18"/>
                                  <w:szCs w:val="18"/>
                                </w:rPr>
                              </w:pPr>
                              <w:r>
                                <w:rPr>
                                  <w:rFonts w:hint="eastAsia"/>
                                  <w:b w:val="0"/>
                                  <w:bCs w:val="0"/>
                                  <w:sz w:val="18"/>
                                  <w:szCs w:val="18"/>
                                </w:rPr>
                                <w:t>水、面漆、固化剂</w:t>
                              </w:r>
                            </w:p>
                          </w:txbxContent>
                        </wps:txbx>
                        <wps:bodyPr upright="1"/>
                      </wps:wsp>
                      <wps:wsp>
                        <wps:cNvPr id="81" name="直接连接符 81"/>
                        <wps:cNvCnPr/>
                        <wps:spPr>
                          <a:xfrm>
                            <a:off x="1303655" y="5018405"/>
                            <a:ext cx="228600" cy="0"/>
                          </a:xfrm>
                          <a:prstGeom prst="line">
                            <a:avLst/>
                          </a:prstGeom>
                          <a:ln w="9525" cap="flat" cmpd="sng">
                            <a:solidFill>
                              <a:srgbClr val="000000"/>
                            </a:solidFill>
                            <a:prstDash val="dash"/>
                            <a:headEnd type="none" w="med" len="med"/>
                            <a:tailEnd type="triangle" w="med" len="med"/>
                          </a:ln>
                        </wps:spPr>
                        <wps:bodyPr upright="1"/>
                      </wps:wsp>
                      <wps:wsp>
                        <wps:cNvPr id="82" name="直接连接符 82"/>
                        <wps:cNvCnPr/>
                        <wps:spPr>
                          <a:xfrm>
                            <a:off x="1837055" y="5142230"/>
                            <a:ext cx="0" cy="241300"/>
                          </a:xfrm>
                          <a:prstGeom prst="line">
                            <a:avLst/>
                          </a:prstGeom>
                          <a:ln w="12700" cap="flat" cmpd="sng">
                            <a:solidFill>
                              <a:srgbClr val="000000"/>
                            </a:solidFill>
                            <a:prstDash val="solid"/>
                            <a:headEnd type="none" w="med" len="med"/>
                            <a:tailEnd type="triangle" w="med" len="med"/>
                          </a:ln>
                        </wps:spPr>
                        <wps:bodyPr upright="1"/>
                      </wps:wsp>
                      <wps:wsp>
                        <wps:cNvPr id="83" name="文本框 83"/>
                        <wps:cNvSpPr txBox="1"/>
                        <wps:spPr>
                          <a:xfrm>
                            <a:off x="1398905" y="5332730"/>
                            <a:ext cx="914400" cy="419101"/>
                          </a:xfrm>
                          <a:prstGeom prst="rect">
                            <a:avLst/>
                          </a:prstGeom>
                          <a:noFill/>
                          <a:ln>
                            <a:noFill/>
                          </a:ln>
                        </wps:spPr>
                        <wps:txbx>
                          <w:txbxContent>
                            <w:p w14:paraId="4C746988">
                              <w:pPr>
                                <w:rPr>
                                  <w:sz w:val="18"/>
                                  <w:szCs w:val="18"/>
                                </w:rPr>
                              </w:pPr>
                              <w:r>
                                <w:rPr>
                                  <w:rFonts w:hint="eastAsia"/>
                                  <w:sz w:val="18"/>
                                  <w:szCs w:val="18"/>
                                </w:rPr>
                                <w:t>调漆废气G11</w:t>
                              </w:r>
                            </w:p>
                            <w:p w14:paraId="0A3C2891">
                              <w:pPr>
                                <w:rPr>
                                  <w:rFonts w:hint="eastAsia"/>
                                  <w:sz w:val="18"/>
                                  <w:szCs w:val="18"/>
                                </w:rPr>
                              </w:pPr>
                              <w:r>
                                <w:rPr>
                                  <w:rFonts w:hint="eastAsia"/>
                                  <w:sz w:val="18"/>
                                  <w:szCs w:val="18"/>
                                </w:rPr>
                                <w:t>废包装桶S5</w:t>
                              </w:r>
                            </w:p>
                          </w:txbxContent>
                        </wps:txbx>
                        <wps:bodyPr upright="1"/>
                      </wps:wsp>
                      <wps:wsp>
                        <wps:cNvPr id="84" name="文本框 84"/>
                        <wps:cNvSpPr txBox="1"/>
                        <wps:spPr>
                          <a:xfrm>
                            <a:off x="3284855" y="5694680"/>
                            <a:ext cx="1130300" cy="736600"/>
                          </a:xfrm>
                          <a:prstGeom prst="rect">
                            <a:avLst/>
                          </a:prstGeom>
                          <a:noFill/>
                          <a:ln>
                            <a:noFill/>
                          </a:ln>
                        </wps:spPr>
                        <wps:txbx>
                          <w:txbxContent>
                            <w:p w14:paraId="639B48C4">
                              <w:pPr>
                                <w:rPr>
                                  <w:sz w:val="18"/>
                                  <w:szCs w:val="18"/>
                                </w:rPr>
                              </w:pPr>
                              <w:r>
                                <w:rPr>
                                  <w:sz w:val="18"/>
                                  <w:szCs w:val="18"/>
                                </w:rPr>
                                <w:t>喷漆废气G</w:t>
                              </w:r>
                              <w:r>
                                <w:rPr>
                                  <w:rFonts w:hint="eastAsia"/>
                                  <w:sz w:val="18"/>
                                  <w:szCs w:val="18"/>
                                </w:rPr>
                                <w:t>15</w:t>
                              </w:r>
                            </w:p>
                            <w:p w14:paraId="4533CA4E">
                              <w:pPr>
                                <w:rPr>
                                  <w:rFonts w:hint="eastAsia"/>
                                  <w:sz w:val="18"/>
                                  <w:szCs w:val="18"/>
                                </w:rPr>
                              </w:pPr>
                              <w:r>
                                <w:rPr>
                                  <w:rFonts w:hint="eastAsia"/>
                                  <w:sz w:val="18"/>
                                  <w:szCs w:val="18"/>
                                </w:rPr>
                                <w:t>漆渣S8</w:t>
                              </w:r>
                            </w:p>
                            <w:p w14:paraId="0215036F">
                              <w:pPr>
                                <w:rPr>
                                  <w:rFonts w:hint="eastAsia"/>
                                  <w:sz w:val="18"/>
                                  <w:szCs w:val="18"/>
                                </w:rPr>
                              </w:pPr>
                              <w:r>
                                <w:rPr>
                                  <w:rFonts w:hint="eastAsia"/>
                                  <w:sz w:val="18"/>
                                  <w:szCs w:val="18"/>
                                </w:rPr>
                                <w:t>水帘</w:t>
                              </w:r>
                              <w:r>
                                <w:rPr>
                                  <w:sz w:val="18"/>
                                  <w:szCs w:val="18"/>
                                </w:rPr>
                                <w:t>废水W</w:t>
                              </w:r>
                              <w:r>
                                <w:rPr>
                                  <w:rFonts w:hint="eastAsia"/>
                                  <w:sz w:val="18"/>
                                  <w:szCs w:val="18"/>
                                </w:rPr>
                                <w:t>5</w:t>
                              </w:r>
                            </w:p>
                            <w:p w14:paraId="6AA4577A">
                              <w:pPr>
                                <w:rPr>
                                  <w:rFonts w:hint="eastAsia"/>
                                  <w:sz w:val="18"/>
                                  <w:szCs w:val="18"/>
                                </w:rPr>
                              </w:pPr>
                              <w:r>
                                <w:rPr>
                                  <w:rFonts w:hint="eastAsia"/>
                                  <w:sz w:val="18"/>
                                  <w:szCs w:val="18"/>
                                </w:rPr>
                                <w:t>喷枪清洗废水W6</w:t>
                              </w:r>
                            </w:p>
                          </w:txbxContent>
                        </wps:txbx>
                        <wps:bodyPr upright="1"/>
                      </wps:wsp>
                      <wps:wsp>
                        <wps:cNvPr id="85" name="文本框 85"/>
                        <wps:cNvSpPr txBox="1"/>
                        <wps:spPr>
                          <a:xfrm>
                            <a:off x="3313430" y="6370955"/>
                            <a:ext cx="889000" cy="254000"/>
                          </a:xfrm>
                          <a:prstGeom prst="rect">
                            <a:avLst/>
                          </a:prstGeom>
                          <a:noFill/>
                          <a:ln>
                            <a:noFill/>
                          </a:ln>
                        </wps:spPr>
                        <wps:txbx>
                          <w:txbxContent>
                            <w:p w14:paraId="43ACBF4E">
                              <w:pPr>
                                <w:rPr>
                                  <w:rFonts w:hint="eastAsia"/>
                                  <w:sz w:val="18"/>
                                  <w:szCs w:val="18"/>
                                </w:rPr>
                              </w:pPr>
                              <w:r>
                                <w:rPr>
                                  <w:rFonts w:hint="eastAsia"/>
                                  <w:sz w:val="18"/>
                                  <w:szCs w:val="18"/>
                                </w:rPr>
                                <w:t>晾干废气G16</w:t>
                              </w:r>
                            </w:p>
                            <w:p w14:paraId="504C0EFF">
                              <w:pPr>
                                <w:pStyle w:val="4"/>
                                <w:spacing w:before="0" w:after="0" w:line="240" w:lineRule="auto"/>
                                <w:rPr>
                                  <w:b w:val="0"/>
                                  <w:bCs w:val="0"/>
                                  <w:sz w:val="18"/>
                                  <w:szCs w:val="18"/>
                                </w:rPr>
                              </w:pPr>
                            </w:p>
                          </w:txbxContent>
                        </wps:txbx>
                        <wps:bodyPr upright="1"/>
                      </wps:wsp>
                    </wpc:wpc>
                  </a:graphicData>
                </a:graphic>
              </wp:inline>
            </w:drawing>
          </mc:Choice>
          <mc:Fallback>
            <w:pict>
              <v:group id="_x0000_s1026" o:spid="_x0000_s1026" o:spt="203" style="height:620.6pt;width:424.4pt;" coordsize="5389880,7881620" editas="canvas" o:gfxdata="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">
                <o:lock v:ext="edit" aspectratio="f"/>
                <v:shape id="_x0000_s1026" o:spid="_x0000_s1026" style="position:absolute;left:0;top:0;height:7881620;width:5389880;" filled="f" stroked="f" coordsize="21600,21600" o:gfxdata="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">
                  <v:fill on="f" focussize="0,0"/>
                  <v:stroke on="f"/>
                  <v:imagedata o:title=""/>
                  <o:lock v:ext="edit" aspectratio="f"/>
                </v:shape>
                <v:shape id="_x0000_s1026" o:spid="_x0000_s1026" o:spt="202" type="#_x0000_t202" style="position:absolute;left:2372360;top:417831;height:236854;width:675005;" fillcolor="#FFFFFF" filled="t" stroked="t" coordsize="21600,21600" o:gfxdata="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Pxe5XVAAAABgEAAA8AAAAAAAAA&#10;AQAgAAAAIgAAAGRycy9kb3ducmV2LnhtbFBLAQIUABQAAAAIAIdO4kDBuRAjFAIAAEAEAAAOAAAA&#10;AAAAAAEAIAAAACQBAABkcnMvZTJvRG9jLnhtbFBLBQYAAAAABgAGAFkBAACqBQAAAAA=&#10;">
                  <v:fill on="t" focussize="0,0"/>
                  <v:stroke color="#000000" joinstyle="miter"/>
                  <v:imagedata o:title=""/>
                  <o:lock v:ext="edit" aspectratio="f"/>
                  <v:textbox>
                    <w:txbxContent>
                      <w:p w14:paraId="3A08B049">
                        <w:pPr>
                          <w:jc w:val="center"/>
                          <w:rPr>
                            <w:rFonts w:hint="eastAsia"/>
                            <w:sz w:val="18"/>
                            <w:szCs w:val="18"/>
                          </w:rPr>
                        </w:pPr>
                        <w:r>
                          <w:rPr>
                            <w:rFonts w:hint="eastAsia"/>
                            <w:sz w:val="18"/>
                            <w:szCs w:val="18"/>
                          </w:rPr>
                          <w:t>冷压</w:t>
                        </w:r>
                      </w:p>
                    </w:txbxContent>
                  </v:textbox>
                </v:shape>
                <v:shape id="_x0000_s1026" o:spid="_x0000_s1026" o:spt="202" type="#_x0000_t202" style="position:absolute;left:2317115;top:0;height:257175;width:755015;"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T67H1AAA&#10;AAYBAAAPAAAAAAAAAAEAIAAAACIAAABkcnMvZG93bnJldi54bWxQSwECFAAUAAAACACHTuJASkBx&#10;2rABAABTAwAADgAAAAAAAAABACAAAAAjAQAAZHJzL2Uyb0RvYy54bWxQSwUGAAAAAAYABgBZAQAA&#10;RQUAAAAA&#10;">
                  <v:fill on="f" focussize="0,0"/>
                  <v:stroke on="f"/>
                  <v:imagedata o:title=""/>
                  <o:lock v:ext="edit" aspectratio="f"/>
                  <v:textbox>
                    <w:txbxContent>
                      <w:p w14:paraId="7486ECA9">
                        <w:pPr>
                          <w:jc w:val="center"/>
                          <w:rPr>
                            <w:rFonts w:hint="eastAsia"/>
                            <w:sz w:val="18"/>
                            <w:szCs w:val="18"/>
                          </w:rPr>
                        </w:pPr>
                        <w:r>
                          <w:rPr>
                            <w:rFonts w:hint="eastAsia"/>
                            <w:sz w:val="18"/>
                            <w:szCs w:val="18"/>
                          </w:rPr>
                          <w:t>实木</w:t>
                        </w:r>
                      </w:p>
                    </w:txbxContent>
                  </v:textbox>
                </v:shape>
                <v:shape id="_x0000_s1026" o:spid="_x0000_s1026" o:spt="202" type="#_x0000_t202" style="position:absolute;left:3282315;top:400050;height:280035;width:1955165;"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G&#10;T67H1AAAAAYBAAAPAAAAAAAAAAEAIAAAACIAAABkcnMvZG93bnJldi54bWxQSwECFAAUAAAACACH&#10;TuJAEIef+rYBAABZAwAADgAAAAAAAAABACAAAAAjAQAAZHJzL2Uyb0RvYy54bWxQSwUGAAAAAAYA&#10;BgBZAQAASwUAAAAA&#10;">
                  <v:fill on="f" focussize="0,0"/>
                  <v:stroke on="f"/>
                  <v:imagedata o:title=""/>
                  <o:lock v:ext="edit" aspectratio="f"/>
                  <v:textbox>
                    <w:txbxContent>
                      <w:p w14:paraId="64533C75">
                        <w:pPr>
                          <w:pStyle w:val="4"/>
                          <w:spacing w:before="0" w:after="0" w:line="240" w:lineRule="auto"/>
                          <w:rPr>
                            <w:b w:val="0"/>
                            <w:bCs w:val="0"/>
                            <w:sz w:val="18"/>
                            <w:szCs w:val="18"/>
                          </w:rPr>
                        </w:pPr>
                        <w:r>
                          <w:rPr>
                            <w:rFonts w:hint="eastAsia"/>
                            <w:b w:val="0"/>
                            <w:sz w:val="18"/>
                            <w:szCs w:val="18"/>
                          </w:rPr>
                          <w:t>冷压废气</w:t>
                        </w:r>
                        <w:r>
                          <w:rPr>
                            <w:b w:val="0"/>
                            <w:sz w:val="18"/>
                            <w:szCs w:val="18"/>
                          </w:rPr>
                          <w:t>G</w:t>
                        </w:r>
                        <w:r>
                          <w:rPr>
                            <w:rFonts w:hint="eastAsia"/>
                            <w:b w:val="0"/>
                            <w:sz w:val="18"/>
                            <w:szCs w:val="18"/>
                          </w:rPr>
                          <w:t>1、</w:t>
                        </w:r>
                        <w:r>
                          <w:rPr>
                            <w:b w:val="0"/>
                            <w:sz w:val="18"/>
                            <w:szCs w:val="18"/>
                          </w:rPr>
                          <w:t>噪声N</w:t>
                        </w:r>
                      </w:p>
                      <w:p w14:paraId="13C73D27">
                        <w:pPr>
                          <w:pStyle w:val="4"/>
                          <w:spacing w:before="0" w:after="0" w:line="240" w:lineRule="auto"/>
                          <w:rPr>
                            <w:b w:val="0"/>
                            <w:bCs w:val="0"/>
                            <w:sz w:val="18"/>
                            <w:szCs w:val="18"/>
                          </w:rPr>
                        </w:pPr>
                      </w:p>
                    </w:txbxContent>
                  </v:textbox>
                </v:shape>
                <v:line id="_x0000_s1026" o:spid="_x0000_s1026" o:spt="20" style="position:absolute;left:3066415;top:542290;height:635;width:281305;"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rG/dYAAAAGAQAADwAAAAAAAAABACAAAAAiAAAA&#10;ZHJzL2Rvd25yZXYueG1sUEsBAhQAFAAAAAgAh07iQEMJwGAJAgAA9AMAAA4AAAAAAAAAAQAgAAAA&#10;JQEAAGRycy9lMm9Eb2MueG1sUEsFBgAAAAAGAAYAWQEAAKAFAAAAAA==&#10;">
                  <v:fill on="f" focussize="0,0"/>
                  <v:stroke color="#000000" joinstyle="round" endarrow="block"/>
                  <v:imagedata o:title=""/>
                  <o:lock v:ext="edit" aspectratio="f"/>
                </v:line>
                <v:shape id="_x0000_s1026" o:spid="_x0000_s1026" o:spt="202" type="#_x0000_t202" style="position:absolute;left:2376170;top:908685;height:247650;width:671195;" fillcolor="#FFFFFF" filled="t" stroked="t" coordsize="21600,21600" o:gfxdata="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F7ldUAAAAGAQAADwAAAAAA&#10;AAABACAAAAAiAAAAZHJzL2Rvd25yZXYueG1sUEsBAhQAFAAAAAgAh07iQD/PsHQWAgAAQAQAAA4A&#10;AAAAAAAAAQAgAAAAJAEAAGRycy9lMm9Eb2MueG1sUEsFBgAAAAAGAAYAWQEAAKwFAAAAAA==&#10;">
                  <v:fill on="t" focussize="0,0"/>
                  <v:stroke color="#000000" joinstyle="miter"/>
                  <v:imagedata o:title=""/>
                  <o:lock v:ext="edit" aspectratio="f"/>
                  <v:textbox>
                    <w:txbxContent>
                      <w:p w14:paraId="2E3D185D">
                        <w:pPr>
                          <w:jc w:val="center"/>
                          <w:rPr>
                            <w:rFonts w:hint="eastAsia"/>
                          </w:rPr>
                        </w:pPr>
                        <w:r>
                          <w:rPr>
                            <w:rFonts w:hint="eastAsia"/>
                            <w:sz w:val="18"/>
                            <w:szCs w:val="18"/>
                          </w:rPr>
                          <w:t>开料</w:t>
                        </w:r>
                      </w:p>
                    </w:txbxContent>
                  </v:textbox>
                </v:shape>
                <v:shape id="_x0000_s1026" o:spid="_x0000_s1026" o:spt="202" type="#_x0000_t202" style="position:absolute;left:1564005;top:3413125;height:247649;width:542925;" fillcolor="#FFFFFF" filled="t" stroked="t" coordsize="21600,21600" o:gfxdata="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Pxe5XVAAAABgEAAA8AAAAAAAAA&#10;AQAgAAAAIgAAAGRycy9kb3ducmV2LnhtbFBLAQIUABQAAAAIAIdO4kBR2No5FAIAAEMEAAAOAAAA&#10;AAAAAAEAIAAAACQBAABkcnMvZTJvRG9jLnhtbFBLBQYAAAAABgAGAFkBAACqBQAAAAA=&#10;">
                  <v:fill on="t" focussize="0,0"/>
                  <v:stroke color="#000000" joinstyle="miter"/>
                  <v:imagedata o:title=""/>
                  <o:lock v:ext="edit" aspectratio="f"/>
                  <v:textbox>
                    <w:txbxContent>
                      <w:p w14:paraId="4608EBB4">
                        <w:pPr>
                          <w:jc w:val="center"/>
                          <w:rPr>
                            <w:sz w:val="18"/>
                            <w:szCs w:val="18"/>
                          </w:rPr>
                        </w:pPr>
                        <w:r>
                          <w:rPr>
                            <w:rFonts w:hint="eastAsia"/>
                            <w:sz w:val="18"/>
                            <w:szCs w:val="18"/>
                          </w:rPr>
                          <w:t>调底漆</w:t>
                        </w:r>
                      </w:p>
                    </w:txbxContent>
                  </v:textbox>
                </v:shape>
                <v:line id="_x0000_s1026" o:spid="_x0000_s1026" o:spt="20" style="position:absolute;left:2139315;top:6007101;height:0;width:228600;" filled="f" stroked="t" coordsize="21600,21600" o:gfxdata="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HFoV1wAAAAYBAAAPAAAAAAAAAAEAIAAAACIA&#10;AABkcnMvZG93bnJldi54bWxQSwECFAAUAAAACACHTuJAsZbAQQoCAAD0AwAADgAAAAAAAAABACAA&#10;AAAmAQAAZHJzL2Uyb0RvYy54bWxQSwUGAAAAAAYABgBZAQAAogUAAAAA&#10;">
                  <v:fill on="f" focussize="0,0"/>
                  <v:stroke color="#000000" joinstyle="round" dashstyle="dash" endarrow="block"/>
                  <v:imagedata o:title=""/>
                  <o:lock v:ext="edit" aspectratio="f"/>
                </v:line>
                <v:shape id="_x0000_s1026" o:spid="_x0000_s1026" o:spt="202" type="#_x0000_t202" style="position:absolute;left:2371725;top:2413635;height:247650;width:676275;" fillcolor="#FFFFFF" filled="t" stroked="t" coordsize="21600,21600" o:gfxdata="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Pxe5XVAAAABgEAAA8AAAAAAAAA&#10;AQAgAAAAIgAAAGRycy9kb3ducmV2LnhtbFBLAQIUABQAAAAIAIdO4kDTmJ1qFAIAAEMEAAAOAAAA&#10;AAAAAAEAIAAAACQBAABkcnMvZTJvRG9jLnhtbFBLBQYAAAAABgAGAFkBAACqBQAAAAA=&#10;">
                  <v:fill on="t" focussize="0,0"/>
                  <v:stroke color="#000000" joinstyle="miter"/>
                  <v:imagedata o:title=""/>
                  <o:lock v:ext="edit" aspectratio="f"/>
                  <v:textbox>
                    <w:txbxContent>
                      <w:p w14:paraId="3AB4D56C">
                        <w:pPr>
                          <w:jc w:val="center"/>
                          <w:rPr>
                            <w:rFonts w:hint="eastAsia"/>
                            <w:sz w:val="18"/>
                            <w:szCs w:val="18"/>
                          </w:rPr>
                        </w:pPr>
                        <w:r>
                          <w:rPr>
                            <w:rFonts w:hint="eastAsia"/>
                            <w:sz w:val="18"/>
                            <w:szCs w:val="18"/>
                          </w:rPr>
                          <w:t>组装</w:t>
                        </w:r>
                      </w:p>
                    </w:txbxContent>
                  </v:textbox>
                </v:shape>
                <v:shape id="_x0000_s1026" o:spid="_x0000_s1026" o:spt="202" type="#_x0000_t202" style="position:absolute;left:2371725;top:4394836;height:238125;width:675005;" fillcolor="#FFFFFF" filled="t" stroked="t" coordsize="21600,21600" o:gfxdata="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HfwOrVAAAABgEAAA8AAAAAAAAAAQAgAAAAIgAAAGRycy9kb3ducmV2LnhtbFBL&#10;AQIUABQAAAAIAIdO4kDVYiaHMgIAAHcEAAAOAAAAAAAAAAEAIAAAACQBAABkcnMvZTJvRG9jLnht&#10;bFBLBQYAAAAABgAGAFkBAADIBQAAAAA=&#10;">
                  <v:fill on="t" focussize="0,0"/>
                  <v:stroke color="#000000" joinstyle="miter"/>
                  <v:imagedata o:title=""/>
                  <o:lock v:ext="edit" aspectratio="f"/>
                  <v:textbox inset="2.54mm,1.27mm,2.54mm,1mm">
                    <w:txbxContent>
                      <w:p w14:paraId="449F1431">
                        <w:pPr>
                          <w:jc w:val="center"/>
                          <w:rPr>
                            <w:sz w:val="18"/>
                            <w:szCs w:val="18"/>
                          </w:rPr>
                        </w:pPr>
                        <w:r>
                          <w:rPr>
                            <w:rFonts w:hint="eastAsia"/>
                            <w:sz w:val="18"/>
                            <w:szCs w:val="18"/>
                          </w:rPr>
                          <w:t>底漆打磨</w:t>
                        </w:r>
                      </w:p>
                    </w:txbxContent>
                  </v:textbox>
                </v:shape>
                <v:shape id="_x0000_s1026" o:spid="_x0000_s1026" o:spt="202" type="#_x0000_t202" style="position:absolute;left:2341880;top:7308851;height:228599;width:755650;"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ZPrsfUAAAABgEAAA8AAAAAAAAAAQAgAAAAIgAAAGRycy9kb3ducmV2LnhtbFBLAQIUABQAAAAI&#10;AIdO4kDndtiwuAEAAFsDAAAOAAAAAAAAAAEAIAAAACMBAABkcnMvZTJvRG9jLnhtbFBLBQYAAAAA&#10;BgAGAFkBAABNBQAAAAA=&#10;">
                  <v:fill on="f" focussize="0,0"/>
                  <v:stroke on="f"/>
                  <v:imagedata o:title=""/>
                  <o:lock v:ext="edit" aspectratio="f"/>
                  <v:textbox>
                    <w:txbxContent>
                      <w:p w14:paraId="3FF1F094">
                        <w:pPr>
                          <w:jc w:val="center"/>
                          <w:rPr>
                            <w:sz w:val="18"/>
                            <w:szCs w:val="18"/>
                          </w:rPr>
                        </w:pPr>
                        <w:r>
                          <w:rPr>
                            <w:rFonts w:hint="eastAsia"/>
                            <w:sz w:val="18"/>
                            <w:szCs w:val="18"/>
                          </w:rPr>
                          <w:t>成品</w:t>
                        </w:r>
                      </w:p>
                    </w:txbxContent>
                  </v:textbox>
                </v:shape>
                <v:shape id="_x0000_s1026" o:spid="_x0000_s1026" o:spt="202" type="#_x0000_t202" style="position:absolute;left:2378075;top:1913255;height:247649;width:676275;" fillcolor="#FFFFFF" filled="t" stroked="t" coordsize="21600,21600" o:gfxdata="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D8XuV1QAAAAYBAAAPAAAAAAAA&#10;AAEAIAAAACIAAABkcnMvZG93bnJldi54bWxQSwECFAAUAAAACACHTuJAPVpcmxUCAABDBAAADgAA&#10;AAAAAAABACAAAAAkAQAAZHJzL2Uyb0RvYy54bWxQSwUGAAAAAAYABgBZAQAAqwUAAAAA&#10;">
                  <v:fill on="t" focussize="0,0"/>
                  <v:stroke color="#000000" joinstyle="miter"/>
                  <v:imagedata o:title=""/>
                  <o:lock v:ext="edit" aspectratio="f"/>
                  <v:textbox>
                    <w:txbxContent>
                      <w:p w14:paraId="1C1822CF">
                        <w:pPr>
                          <w:jc w:val="center"/>
                          <w:rPr>
                            <w:rFonts w:hint="eastAsia"/>
                            <w:sz w:val="18"/>
                            <w:szCs w:val="18"/>
                          </w:rPr>
                        </w:pPr>
                        <w:r>
                          <w:rPr>
                            <w:rFonts w:hint="eastAsia"/>
                            <w:sz w:val="18"/>
                            <w:szCs w:val="18"/>
                          </w:rPr>
                          <w:t>机加工</w:t>
                        </w:r>
                      </w:p>
                    </w:txbxContent>
                  </v:textbox>
                </v:shape>
                <v:line id="_x0000_s1026" o:spid="_x0000_s1026" o:spt="20" style="position:absolute;left:1322705;top:3570605;height:0;width:228600;" filled="f" stroked="t" coordsize="21600,21600" o:gfxdata="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xxaFdcAAAAGAQAADwAAAAAAAAABACAAAAAi&#10;AAAAZHJzL2Rvd25yZXYueG1sUEsBAhQAFAAAAAgAh07iQL6fT6ULAgAA9AMAAA4AAAAAAAAAAQAg&#10;AAAAJgEAAGRycy9lMm9Eb2MueG1sUEsFBgAAAAAGAAYAWQEAAKMFAAAAAA==&#10;">
                  <v:fill on="f" focussize="0,0"/>
                  <v:stroke color="#000000" joinstyle="round" dashstyle="dash" endarrow="block"/>
                  <v:imagedata o:title=""/>
                  <o:lock v:ext="edit" aspectratio="f"/>
                </v:line>
                <v:shape id="_x0000_s1026" o:spid="_x0000_s1026" o:spt="202" type="#_x0000_t202" style="position:absolute;left:266700;top:3439795;height:228599;width:1191260;"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k+ux9QAAAAGAQAADwAAAAAAAAABACAAAAAiAAAAZHJzL2Rvd25yZXYueG1sUEsBAhQAFAAA&#10;AAgAh07iQHo8HA+6AQAAWwMAAA4AAAAAAAAAAQAgAAAAIwEAAGRycy9lMm9Eb2MueG1sUEsFBgAA&#10;AAAGAAYAWQEAAE8FAAAAAA==&#10;">
                  <v:fill on="f" focussize="0,0"/>
                  <v:stroke on="f"/>
                  <v:imagedata o:title=""/>
                  <o:lock v:ext="edit" aspectratio="f"/>
                  <v:textbox>
                    <w:txbxContent>
                      <w:p w14:paraId="46005678">
                        <w:pPr>
                          <w:pStyle w:val="4"/>
                          <w:spacing w:before="0" w:after="0" w:line="240" w:lineRule="auto"/>
                          <w:rPr>
                            <w:b w:val="0"/>
                            <w:bCs w:val="0"/>
                            <w:sz w:val="18"/>
                            <w:szCs w:val="18"/>
                          </w:rPr>
                        </w:pPr>
                        <w:r>
                          <w:rPr>
                            <w:rFonts w:hint="eastAsia"/>
                            <w:b w:val="0"/>
                            <w:bCs w:val="0"/>
                            <w:sz w:val="18"/>
                            <w:szCs w:val="18"/>
                          </w:rPr>
                          <w:t>水、底漆、固化剂</w:t>
                        </w:r>
                      </w:p>
                    </w:txbxContent>
                  </v:textbox>
                </v:shape>
                <v:shape id="_x0000_s1026" o:spid="_x0000_s1026" o:spt="202" type="#_x0000_t202" style="position:absolute;left:0;top:5890260;height:228599;width:1400810;"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T67H&#10;1AAAAAYBAAAPAAAAAAAAAAEAIAAAACIAAABkcnMvZG93bnJldi54bWxQSwECFAAUAAAACACHTuJA&#10;gBWd5LMBAABWAwAADgAAAAAAAAABACAAAAAjAQAAZHJzL2Uyb0RvYy54bWxQSwUGAAAAAAYABgBZ&#10;AQAASAUAAAAA&#10;">
                  <v:fill on="f" focussize="0,0"/>
                  <v:stroke on="f"/>
                  <v:imagedata o:title=""/>
                  <o:lock v:ext="edit" aspectratio="f"/>
                  <v:textbox>
                    <w:txbxContent>
                      <w:p w14:paraId="3096DED1">
                        <w:pPr>
                          <w:pStyle w:val="4"/>
                          <w:spacing w:before="0" w:after="0" w:line="240" w:lineRule="auto"/>
                          <w:rPr>
                            <w:rFonts w:hint="eastAsia"/>
                            <w:b w:val="0"/>
                            <w:bCs w:val="0"/>
                            <w:sz w:val="18"/>
                            <w:szCs w:val="18"/>
                          </w:rPr>
                        </w:pPr>
                        <w:r>
                          <w:rPr>
                            <w:rFonts w:hint="eastAsia"/>
                            <w:b w:val="0"/>
                            <w:bCs w:val="0"/>
                            <w:sz w:val="18"/>
                            <w:szCs w:val="18"/>
                          </w:rPr>
                          <w:t>水、面漆、固化剂、色精</w:t>
                        </w:r>
                      </w:p>
                    </w:txbxContent>
                  </v:textbox>
                </v:shape>
                <v:shape id="_x0000_s1026" o:spid="_x0000_s1026" o:spt="202" type="#_x0000_t202" style="position:absolute;left:3296920;top:1403985;height:259080;width:1403985;"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G&#10;T67H1AAAAAYBAAAPAAAAAAAAAAEAIAAAACIAAABkcnMvZG93bnJldi54bWxQSwECFAAUAAAACACH&#10;TuJA3Hj3xLYBAABcAwAADgAAAAAAAAABACAAAAAjAQAAZHJzL2Uyb0RvYy54bWxQSwUGAAAAAAYA&#10;BgBZAQAASwUAAAAA&#10;">
                  <v:fill on="f" focussize="0,0"/>
                  <v:stroke on="f"/>
                  <v:imagedata o:title=""/>
                  <o:lock v:ext="edit" aspectratio="f"/>
                  <v:textbox>
                    <w:txbxContent>
                      <w:p w14:paraId="7782CD38">
                        <w:pPr>
                          <w:pStyle w:val="4"/>
                          <w:spacing w:before="0" w:after="0" w:line="240" w:lineRule="auto"/>
                          <w:rPr>
                            <w:b w:val="0"/>
                            <w:bCs w:val="0"/>
                            <w:sz w:val="18"/>
                            <w:szCs w:val="18"/>
                          </w:rPr>
                        </w:pPr>
                        <w:r>
                          <w:rPr>
                            <w:rFonts w:hint="eastAsia"/>
                            <w:b w:val="0"/>
                            <w:bCs w:val="0"/>
                            <w:kern w:val="0"/>
                            <w:sz w:val="18"/>
                            <w:szCs w:val="18"/>
                          </w:rPr>
                          <w:t>封边废气G3、噪声N</w:t>
                        </w:r>
                      </w:p>
                    </w:txbxContent>
                  </v:textbox>
                </v:shape>
                <v:shape id="_x0000_s1026" o:spid="_x0000_s1026" o:spt="202" type="#_x0000_t202" style="position:absolute;left:3293745;top:2936875;height:278130;width:1898015;"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k+ux9QAAAAGAQAADwAAAAAAAAABACAAAAAiAAAAZHJzL2Rvd25yZXYueG1sUEsBAhQAFAAA&#10;AAgAh07iQKNShh26AQAAXAMAAA4AAAAAAAAAAQAgAAAAIwEAAGRycy9lMm9Eb2MueG1sUEsFBgAA&#10;AAAGAAYAWQEAAE8FAAAAAA==&#10;">
                  <v:fill on="f" focussize="0,0"/>
                  <v:stroke on="f"/>
                  <v:imagedata o:title=""/>
                  <o:lock v:ext="edit" aspectratio="f"/>
                  <v:textbox>
                    <w:txbxContent>
                      <w:p w14:paraId="09DE4462">
                        <w:pPr>
                          <w:rPr>
                            <w:sz w:val="18"/>
                            <w:szCs w:val="18"/>
                          </w:rPr>
                        </w:pPr>
                        <w:r>
                          <w:rPr>
                            <w:rFonts w:hint="eastAsia"/>
                            <w:kern w:val="0"/>
                            <w:sz w:val="18"/>
                            <w:szCs w:val="18"/>
                          </w:rPr>
                          <w:t>打磨</w:t>
                        </w:r>
                        <w:r>
                          <w:rPr>
                            <w:sz w:val="18"/>
                            <w:szCs w:val="18"/>
                          </w:rPr>
                          <w:t>粉尘G</w:t>
                        </w:r>
                        <w:r>
                          <w:rPr>
                            <w:rFonts w:hint="eastAsia"/>
                            <w:sz w:val="18"/>
                            <w:szCs w:val="18"/>
                          </w:rPr>
                          <w:t>6</w:t>
                        </w:r>
                        <w:r>
                          <w:rPr>
                            <w:sz w:val="18"/>
                            <w:szCs w:val="18"/>
                          </w:rPr>
                          <w:t>和噪声N</w:t>
                        </w:r>
                      </w:p>
                      <w:p w14:paraId="142D0AEF">
                        <w:pPr>
                          <w:pStyle w:val="4"/>
                          <w:spacing w:before="0" w:after="0" w:line="240" w:lineRule="auto"/>
                          <w:rPr>
                            <w:b w:val="0"/>
                            <w:bCs w:val="0"/>
                            <w:sz w:val="18"/>
                            <w:szCs w:val="18"/>
                          </w:rPr>
                        </w:pPr>
                      </w:p>
                    </w:txbxContent>
                  </v:textbox>
                </v:shape>
                <v:line id="_x0000_s1026" o:spid="_x0000_s1026" o:spt="20" style="position:absolute;left:3065780;top:1056005;height:0;width:27940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sb91gAAAAYBAAAPAAAAAAAAAAEAIAAAACIA&#10;AABkcnMvZG93bnJldi54bWxQSwECFAAUAAAACACHTuJAD69NtwsCAAD1AwAADgAAAAAAAAABACAA&#10;AAAlAQAAZHJzL2Uyb0RvYy54bWxQSwUGAAAAAAYABgBZAQAAogUAAAAA&#10;">
                  <v:fill on="f" focussize="0,0"/>
                  <v:stroke color="#000000" joinstyle="round" endarrow="block"/>
                  <v:imagedata o:title=""/>
                  <o:lock v:ext="edit" aspectratio="f"/>
                </v:line>
                <v:line id="_x0000_s1026" o:spid="_x0000_s1026" o:spt="20" style="position:absolute;left:3065780;top:1541780;height:0;width:27940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rG/dYAAAAGAQAADwAAAAAAAAABACAAAAAiAAAA&#10;ZHJzL2Rvd25yZXYueG1sUEsBAhQAFAAAAAgAh07iQNA9ehcJAgAA9QMAAA4AAAAAAAAAAQAgAAAA&#10;JQEAAGRycy9lMm9Eb2MueG1sUEsFBgAAAAAGAAYAWQEAAKAFAAAAAA==&#10;">
                  <v:fill on="f" focussize="0,0"/>
                  <v:stroke color="#000000" joinstyle="round" endarrow="block"/>
                  <v:imagedata o:title=""/>
                  <o:lock v:ext="edit" aspectratio="f"/>
                </v:line>
                <v:line id="_x0000_s1026" o:spid="_x0000_s1026" o:spt="20" style="position:absolute;left:3056255;top:2056130;height:0;width:27940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f6xv3WAAAABgEAAA8AAAAAAAAAAQAgAAAAIgAA&#10;AGRycy9kb3ducmV2LnhtbFBLAQIUABQAAAAIAIdO4kA5V/iuCgIAAPUDAAAOAAAAAAAAAAEAIAAA&#10;ACUBAABkcnMvZTJvRG9jLnhtbFBLBQYAAAAABgAGAFkBAAChBQAAAAA=&#10;">
                  <v:fill on="f" focussize="0,0"/>
                  <v:stroke color="#000000" joinstyle="round" endarrow="block"/>
                  <v:imagedata o:title=""/>
                  <o:lock v:ext="edit" aspectratio="f"/>
                </v:line>
                <v:line id="_x0000_s1026" o:spid="_x0000_s1026" o:spt="20" style="position:absolute;left:2703830;top:170180;height:241300;width: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rG/dYAAAAGAQAADwAAAAAAAAABACAAAAAiAAAA&#10;ZHJzL2Rvd25yZXYueG1sUEsBAhQAFAAAAAgAh07iQA634vUJAgAA9AMAAA4AAAAAAAAAAQAgAAAA&#10;JQEAAGRycy9lMm9Eb2MueG1sUEsFBgAAAAAGAAYAWQEAAKAFAAAAAA==&#10;">
                  <v:fill on="f" focussize="0,0"/>
                  <v:stroke color="#000000" joinstyle="round" endarrow="block"/>
                  <v:imagedata o:title=""/>
                  <o:lock v:ext="edit" aspectratio="f"/>
                </v:line>
                <v:line id="_x0000_s1026" o:spid="_x0000_s1026" o:spt="20" style="position:absolute;left:2700020;top:2687320;height:241300;width: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f6xv3WAAAABgEAAA8AAAAAAAAAAQAgAAAAIgAAAGRy&#10;cy9kb3ducmV2LnhtbFBLAQIUABQAAAAIAIdO4kBwN0xlBwIAAPUDAAAOAAAAAAAAAAEAIAAAACUB&#10;AABkcnMvZTJvRG9jLnhtbFBLBQYAAAAABgAGAFkBAACeBQAAAAA=&#10;">
                  <v:fill on="f" focussize="0,0"/>
                  <v:stroke color="#000000" joinstyle="round" endarrow="block"/>
                  <v:imagedata o:title=""/>
                  <o:lock v:ext="edit" aspectratio="f"/>
                </v:line>
                <v:line id="_x0000_s1026" o:spid="_x0000_s1026" o:spt="20" style="position:absolute;left:2706370;top:2178050;height:241300;width: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rG/dYAAAAGAQAADwAAAAAAAAABACAAAAAiAAAA&#10;ZHJzL2Rvd25yZXYueG1sUEsBAhQAFAAAAAgAh07iQAFwJacJAgAA9QMAAA4AAAAAAAAAAQAgAAAA&#10;JQEAAGRycy9lMm9Eb2MueG1sUEsFBgAAAAAGAAYAWQEAAKAFAAAAAA==&#10;">
                  <v:fill on="f" focussize="0,0"/>
                  <v:stroke color="#000000" joinstyle="round" endarrow="block"/>
                  <v:imagedata o:title=""/>
                  <o:lock v:ext="edit" aspectratio="f"/>
                </v:line>
                <v:line id="_x0000_s1026" o:spid="_x0000_s1026" o:spt="20" style="position:absolute;left:2704465;top:1671320;height:241300;width:0;" filled="f" stroked="t" coordsize="21600,21600" o:gfxdata="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&#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79g31QAAAAYBAAAPAAAAAAAAAAEAIAAAACIAAABk&#10;cnMvZG93bnJldi54bWxQSwECFAAUAAAACACHTuJAWacdawkCAAD2AwAADgAAAAAAAAABACAAAAAk&#10;AQAAZHJzL2Uyb0RvYy54bWxQSwUGAAAAAAYABgBZAQAAnwUAAAAA&#10;">
                  <v:fill on="f" focussize="0,0"/>
                  <v:stroke weight="1pt" color="#000000" joinstyle="round" endarrow="block"/>
                  <v:imagedata o:title=""/>
                  <o:lock v:ext="edit" aspectratio="f"/>
                </v:line>
                <v:line id="_x0000_s1026" o:spid="_x0000_s1026" o:spt="20" style="position:absolute;left:2700655;top:1163955;height:241299;width: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sb91gAAAAYBAAAPAAAAAAAAAAEAIAAAACIAAABk&#10;cnMvZG93bnJldi54bWxQSwECFAAUAAAACACHTuJAncKsHAgCAAD1AwAADgAAAAAAAAABACAAAAAl&#10;AQAAZHJzL2Uyb0RvYy54bWxQSwUGAAAAAAYABgBZAQAAnwUAAAAA&#10;">
                  <v:fill on="f" focussize="0,0"/>
                  <v:stroke color="#000000" joinstyle="round" endarrow="block"/>
                  <v:imagedata o:title=""/>
                  <o:lock v:ext="edit" aspectratio="f"/>
                </v:line>
                <v:line id="_x0000_s1026" o:spid="_x0000_s1026" o:spt="20" style="position:absolute;left:2707640;top:668020;height:241300;width: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sb91gAAAAYBAAAPAAAAAAAAAAEAIAAAACIA&#10;AABkcnMvZG93bnJldi54bWxQSwECFAAUAAAACACHTuJAP0U2pQsCAAD0AwAADgAAAAAAAAABACAA&#10;AAAlAQAAZHJzL2Uyb0RvYy54bWxQSwUGAAAAAAYABgBZAQAAogUAAAAA&#10;">
                  <v:fill on="f" focussize="0,0"/>
                  <v:stroke color="#000000" joinstyle="round" endarrow="block"/>
                  <v:imagedata o:title=""/>
                  <o:lock v:ext="edit" aspectratio="f"/>
                </v:line>
                <v:line id="_x0000_s1026" o:spid="_x0000_s1026" o:spt="20" style="position:absolute;left:2700020;top:4640581;flip:x;height:253999;width:0;" filled="f" stroked="t" coordsize="21600,21600" o:gfxdata="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IQ7LvWAAAABgEAAA8AAAAAAAAAAQAg&#10;AAAAIgAAAGRycy9kb3ducmV2LnhtbFBLAQIUABQAAAAIAIdO4kBAAyWIEAIAAAAEAAAOAAAAAAAA&#10;AAEAIAAAACUBAABkcnMvZTJvRG9jLnhtbFBLBQYAAAAABgAGAFkBAACnBQAAAAA=&#10;">
                  <v:fill on="f" focussize="0,0"/>
                  <v:stroke weight="1pt" color="#000000" joinstyle="round" endarrow="block"/>
                  <v:imagedata o:title=""/>
                  <o:lock v:ext="edit" aspectratio="f"/>
                </v:line>
                <v:shape id="_x0000_s1026" o:spid="_x0000_s1026" o:spt="202" type="#_x0000_t202" style="position:absolute;left:2371725;top:1408430;height:241300;width:678180;" fillcolor="#FFFFFF" filled="t" stroked="t" coordsize="21600,21600" o:gfxdata="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Pxe5XVAAAABgEAAA8AAAAA&#10;AAAAAQAgAAAAIgAAAGRycy9kb3ducmV2LnhtbFBLAQIUABQAAAAIAIdO4kCEIHmFFwIAAEMEAAAO&#10;AAAAAAAAAAEAIAAAACQBAABkcnMvZTJvRG9jLnhtbFBLBQYAAAAABgAGAFkBAACtBQAAAAA=&#10;">
                  <v:fill on="t" focussize="0,0"/>
                  <v:stroke color="#000000" joinstyle="miter"/>
                  <v:imagedata o:title=""/>
                  <o:lock v:ext="edit" aspectratio="f"/>
                  <v:textbox>
                    <w:txbxContent>
                      <w:p w14:paraId="52214092">
                        <w:pPr>
                          <w:jc w:val="center"/>
                          <w:rPr>
                            <w:rFonts w:hint="eastAsia"/>
                            <w:sz w:val="18"/>
                            <w:szCs w:val="18"/>
                          </w:rPr>
                        </w:pPr>
                        <w:r>
                          <w:rPr>
                            <w:rFonts w:hint="eastAsia"/>
                            <w:sz w:val="18"/>
                            <w:szCs w:val="18"/>
                          </w:rPr>
                          <w:t>封边</w:t>
                        </w:r>
                      </w:p>
                    </w:txbxContent>
                  </v:textbox>
                </v:shape>
                <v:shape id="_x0000_s1026" o:spid="_x0000_s1026" o:spt="202" type="#_x0000_t202" style="position:absolute;left:1466215;top:5875655;height:241299;width:657225;" fillcolor="#FFFFFF" filled="t" stroked="t" coordsize="21600,21600" o:gfxdata="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D8XuV1QAAAAYBAAAPAAAAAAAA&#10;AAEAIAAAACIAAABkcnMvZG93bnJldi54bWxQSwECFAAUAAAACACHTuJA8vdvhxUCAABDBAAADgAA&#10;AAAAAAABACAAAAAkAQAAZHJzL2Uyb0RvYy54bWxQSwUGAAAAAAYABgBZAQAAqwUAAAAA&#10;">
                  <v:fill on="t" focussize="0,0"/>
                  <v:stroke color="#000000" joinstyle="miter"/>
                  <v:imagedata o:title=""/>
                  <o:lock v:ext="edit" aspectratio="f"/>
                  <v:textbox>
                    <w:txbxContent>
                      <w:p w14:paraId="1BCFA449">
                        <w:pPr>
                          <w:jc w:val="center"/>
                          <w:rPr>
                            <w:sz w:val="18"/>
                            <w:szCs w:val="18"/>
                          </w:rPr>
                        </w:pPr>
                        <w:r>
                          <w:rPr>
                            <w:rFonts w:hint="eastAsia"/>
                            <w:sz w:val="18"/>
                            <w:szCs w:val="18"/>
                          </w:rPr>
                          <w:t>调修色漆</w:t>
                        </w:r>
                      </w:p>
                    </w:txbxContent>
                  </v:textbox>
                </v:shape>
                <v:shape id="_x0000_s1026" o:spid="_x0000_s1026" o:spt="202" type="#_x0000_t202" style="position:absolute;left:2371090;top:3418205;height:241300;width:675640;" fillcolor="#FFFFFF" filled="t" stroked="t" coordsize="21600,21600" o:gfxdata="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F7ldUAAAAGAQAADwAA&#10;AAAAAAABACAAAAAiAAAAZHJzL2Rvd25yZXYueG1sUEsBAhQAFAAAAAgAh07iQGlJHa0ZAgAAQwQA&#10;AA4AAAAAAAAAAQAgAAAAJAEAAGRycy9lMm9Eb2MueG1sUEsFBgAAAAAGAAYAWQEAAK8FAAAAAA==&#10;">
                  <v:fill on="t" focussize="0,0"/>
                  <v:stroke color="#000000" joinstyle="miter"/>
                  <v:imagedata o:title=""/>
                  <o:lock v:ext="edit" aspectratio="f"/>
                  <v:textbox>
                    <w:txbxContent>
                      <w:p w14:paraId="580D4A61">
                        <w:pPr>
                          <w:jc w:val="center"/>
                          <w:rPr>
                            <w:rFonts w:hint="eastAsia"/>
                            <w:sz w:val="18"/>
                            <w:szCs w:val="18"/>
                          </w:rPr>
                        </w:pPr>
                        <w:r>
                          <w:rPr>
                            <w:rFonts w:hint="eastAsia"/>
                            <w:sz w:val="18"/>
                            <w:szCs w:val="18"/>
                          </w:rPr>
                          <w:t>喷底漆</w:t>
                        </w:r>
                      </w:p>
                      <w:p w14:paraId="547799C1">
                        <w:pPr>
                          <w:jc w:val="center"/>
                          <w:rPr>
                            <w:sz w:val="18"/>
                            <w:szCs w:val="18"/>
                          </w:rPr>
                        </w:pPr>
                      </w:p>
                    </w:txbxContent>
                  </v:textbox>
                </v:shape>
                <v:shape id="_x0000_s1026" o:spid="_x0000_s1026" o:spt="202" type="#_x0000_t202" style="position:absolute;left:2371090;top:3913505;height:241300;width:683895;" fillcolor="#FFFFFF" filled="t" stroked="t" coordsize="21600,21600" o:gfxdata="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D8XuV1QAAAAYBAAAPAAAA&#10;AAAAAAEAIAAAACIAAABkcnMvZG93bnJldi54bWxQSwECFAAUAAAACACHTuJA9UYrCBgCAABDBAAA&#10;DgAAAAAAAAABACAAAAAkAQAAZHJzL2Uyb0RvYy54bWxQSwUGAAAAAAYABgBZAQAArgUAAAAA&#10;">
                  <v:fill on="t" focussize="0,0"/>
                  <v:stroke color="#000000" joinstyle="miter"/>
                  <v:imagedata o:title=""/>
                  <o:lock v:ext="edit" aspectratio="f"/>
                  <v:textbox>
                    <w:txbxContent>
                      <w:p w14:paraId="33976A43">
                        <w:pPr>
                          <w:jc w:val="center"/>
                          <w:rPr>
                            <w:rFonts w:hint="eastAsia"/>
                          </w:rPr>
                        </w:pPr>
                        <w:r>
                          <w:rPr>
                            <w:rFonts w:hint="eastAsia"/>
                            <w:sz w:val="18"/>
                            <w:szCs w:val="18"/>
                          </w:rPr>
                          <w:t>晾干</w:t>
                        </w:r>
                      </w:p>
                    </w:txbxContent>
                  </v:textbox>
                </v:shape>
                <v:shape id="_x0000_s1026" o:spid="_x0000_s1026" o:spt="202" type="#_x0000_t202" style="position:absolute;left:2370455;top:2941956;height:228599;width:677545;" fillcolor="#FFFFFF" filled="t" stroked="t" coordsize="21600,21600" o:gfxdata="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HfwOrVAAAABgEAAA8AAAAAAAAAAQAgAAAAIgAAAGRycy9kb3ducmV2LnhtbFBL&#10;AQIUABQAAAAIAIdO4kDVb3zuMgIAAHcEAAAOAAAAAAAAAAEAIAAAACQBAABkcnMvZTJvRG9jLnht&#10;bFBLBQYAAAAABgAGAFkBAADIBQAAAAA=&#10;">
                  <v:fill on="t" focussize="0,0"/>
                  <v:stroke color="#000000" joinstyle="miter"/>
                  <v:imagedata o:title=""/>
                  <o:lock v:ext="edit" aspectratio="f"/>
                  <v:textbox inset="2.54mm,1.27mm,2.54mm,1mm">
                    <w:txbxContent>
                      <w:p w14:paraId="56DE6AC4">
                        <w:pPr>
                          <w:jc w:val="center"/>
                          <w:rPr>
                            <w:rFonts w:hint="eastAsia"/>
                            <w:sz w:val="18"/>
                            <w:szCs w:val="18"/>
                          </w:rPr>
                        </w:pPr>
                        <w:r>
                          <w:rPr>
                            <w:rFonts w:hint="eastAsia"/>
                            <w:sz w:val="18"/>
                            <w:szCs w:val="18"/>
                          </w:rPr>
                          <w:t>打磨</w:t>
                        </w:r>
                      </w:p>
                    </w:txbxContent>
                  </v:textbox>
                </v:shape>
                <v:line id="_x0000_s1026" o:spid="_x0000_s1026" o:spt="20" style="position:absolute;left:2703830;top:3180080;height:241300;width: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sb91gAAAAYBAAAPAAAAAAAAAAEAIAAAACIA&#10;AABkcnMvZG93bnJldi54bWxQSwECFAAUAAAACACHTuJAQSlXXAsCAAD1AwAADgAAAAAAAAABACAA&#10;AAAlAQAAZHJzL2Uyb0RvYy54bWxQSwUGAAAAAAYABgBZAQAAogUAAAAA&#10;">
                  <v:fill on="f" focussize="0,0"/>
                  <v:stroke color="#000000" joinstyle="round" endarrow="block"/>
                  <v:imagedata o:title=""/>
                  <o:lock v:ext="edit" aspectratio="f"/>
                </v:line>
                <v:line id="_x0000_s1026" o:spid="_x0000_s1026" o:spt="20" style="position:absolute;left:2703830;top:4161155;height:241300;width: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rG/dYAAAAGAQAADwAAAAAAAAABACAAAAAi&#10;AAAAZHJzL2Rvd25yZXYueG1sUEsBAhQAFAAAAAgAh07iQMLeZL0MAgAA9QMAAA4AAAAAAAAAAQAg&#10;AAAAJQEAAGRycy9lMm9Eb2MueG1sUEsFBgAAAAAGAAYAWQEAAKMFAAAAAA==&#10;">
                  <v:fill on="f" focussize="0,0"/>
                  <v:stroke color="#000000" joinstyle="round" endarrow="block"/>
                  <v:imagedata o:title=""/>
                  <o:lock v:ext="edit" aspectratio="f"/>
                </v:line>
                <v:line id="_x0000_s1026" o:spid="_x0000_s1026" o:spt="20" style="position:absolute;left:2703830;top:3675381;height:241299;width: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f6xv3WAAAABgEAAA8AAAAAAAAAAQAgAAAAIgAA&#10;AGRycy9kb3ducmV2LnhtbFBLAQIUABQAAAAIAIdO4kD28MbuCgIAAPUDAAAOAAAAAAAAAAEAIAAA&#10;ACUBAABkcnMvZTJvRG9jLnhtbFBLBQYAAAAABgAGAFkBAAChBQAAAAA=&#10;">
                  <v:fill on="f" focussize="0,0"/>
                  <v:stroke color="#000000" joinstyle="round" endarrow="block"/>
                  <v:imagedata o:title=""/>
                  <o:lock v:ext="edit" aspectratio="f"/>
                </v:line>
                <v:line id="_x0000_s1026" o:spid="_x0000_s1026" o:spt="20" style="position:absolute;left:1284605;top:6018530;height:635;width:190500;" filled="f" stroked="t" coordsize="21600,21600" o:gfxdata="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xxaFdcAAAAGAQAADwAAAAAAAAABACAAAAAi&#10;AAAAZHJzL2Rvd25yZXYueG1sUEsBAhQAFAAAAAgAh07iQATrXKoLAgAA9gMAAA4AAAAAAAAAAQAg&#10;AAAAJgEAAGRycy9lMm9Eb2MueG1sUEsFBgAAAAAGAAYAWQEAAKMFAAAAAA==&#10;">
                  <v:fill on="f" focussize="0,0"/>
                  <v:stroke color="#000000" joinstyle="round" dashstyle="dash" endarrow="block"/>
                  <v:imagedata o:title=""/>
                  <o:lock v:ext="edit" aspectratio="f"/>
                </v:line>
                <v:line id="_x0000_s1026" o:spid="_x0000_s1026" o:spt="20" style="position:absolute;left:2132330;top:3551555;height:0;width:228600;" filled="f" stroked="t" coordsize="21600,21600" o:gfxdata="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xxaFdcAAAAGAQAADwAAAAAAAAABACAAAAAi&#10;AAAAZHJzL2Rvd25yZXYueG1sUEsBAhQAFAAAAAgAh07iQGUR1KMLAgAA9AMAAA4AAAAAAAAAAQAg&#10;AAAAJgEAAGRycy9lMm9Eb2MueG1sUEsFBgAAAAAGAAYAWQEAAKMFAAAAAA==&#10;">
                  <v:fill on="f" focussize="0,0"/>
                  <v:stroke color="#000000" joinstyle="round" dashstyle="dash" endarrow="block"/>
                  <v:imagedata o:title=""/>
                  <o:lock v:ext="edit" aspectratio="f"/>
                </v:line>
                <v:shape id="_x0000_s1026" o:spid="_x0000_s1026" o:spt="202" type="#_x0000_t202" style="position:absolute;left:3265805;top:932180;height:250189;width:1841500;"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k+ux9QAAAAGAQAADwAAAAAAAAABACAAAAAiAAAAZHJzL2Rvd25yZXYueG1sUEsBAhQAFAAA&#10;AAgAh07iQKBbgt66AQAAWwMAAA4AAAAAAAAAAQAgAAAAIwEAAGRycy9lMm9Eb2MueG1sUEsFBgAA&#10;AAAGAAYAWQEAAE8FAAAAAA==&#10;">
                  <v:fill on="f" focussize="0,0"/>
                  <v:stroke on="f"/>
                  <v:imagedata o:title=""/>
                  <o:lock v:ext="edit" aspectratio="f"/>
                  <v:textbox>
                    <w:txbxContent>
                      <w:p w14:paraId="58170935">
                        <w:pPr>
                          <w:pStyle w:val="4"/>
                          <w:spacing w:before="0" w:after="0" w:line="240" w:lineRule="auto"/>
                          <w:rPr>
                            <w:b w:val="0"/>
                            <w:bCs w:val="0"/>
                            <w:sz w:val="18"/>
                            <w:szCs w:val="18"/>
                          </w:rPr>
                        </w:pPr>
                        <w:r>
                          <w:rPr>
                            <w:b w:val="0"/>
                            <w:sz w:val="18"/>
                            <w:szCs w:val="18"/>
                          </w:rPr>
                          <w:t>木工粉尘G</w:t>
                        </w:r>
                        <w:r>
                          <w:rPr>
                            <w:rFonts w:hint="eastAsia"/>
                            <w:b w:val="0"/>
                            <w:sz w:val="18"/>
                            <w:szCs w:val="18"/>
                          </w:rPr>
                          <w:t>2</w:t>
                        </w:r>
                        <w:r>
                          <w:rPr>
                            <w:b w:val="0"/>
                            <w:sz w:val="18"/>
                            <w:szCs w:val="18"/>
                          </w:rPr>
                          <w:t>、</w:t>
                        </w:r>
                        <w:r>
                          <w:rPr>
                            <w:rFonts w:hint="eastAsia"/>
                            <w:b w:val="0"/>
                            <w:sz w:val="18"/>
                            <w:szCs w:val="18"/>
                          </w:rPr>
                          <w:t>废木料</w:t>
                        </w:r>
                        <w:r>
                          <w:rPr>
                            <w:b w:val="0"/>
                            <w:sz w:val="18"/>
                            <w:szCs w:val="18"/>
                          </w:rPr>
                          <w:t>S</w:t>
                        </w:r>
                        <w:r>
                          <w:rPr>
                            <w:rFonts w:hint="eastAsia"/>
                            <w:b w:val="0"/>
                            <w:sz w:val="18"/>
                            <w:szCs w:val="18"/>
                          </w:rPr>
                          <w:t>1、</w:t>
                        </w:r>
                        <w:r>
                          <w:rPr>
                            <w:b w:val="0"/>
                            <w:sz w:val="18"/>
                            <w:szCs w:val="18"/>
                          </w:rPr>
                          <w:t>噪声N</w:t>
                        </w:r>
                      </w:p>
                    </w:txbxContent>
                  </v:textbox>
                </v:shape>
                <v:shape id="_x0000_s1026" o:spid="_x0000_s1026" o:spt="202" type="#_x0000_t202" style="position:absolute;left:3294380;top:1913255;height:248284;width:1758315;"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k+ux9QAAAAGAQAADwAAAAAAAAABACAAAAAiAAAAZHJzL2Rvd25yZXYueG1sUEsBAhQAFAAA&#10;AAgAh07iQAkrrE+6AQAAXAMAAA4AAAAAAAAAAQAgAAAAIwEAAGRycy9lMm9Eb2MueG1sUEsFBgAA&#10;AAAGAAYAWQEAAE8FAAAAAA==&#10;">
                  <v:fill on="f" focussize="0,0"/>
                  <v:stroke on="f"/>
                  <v:imagedata o:title=""/>
                  <o:lock v:ext="edit" aspectratio="f"/>
                  <v:textbox>
                    <w:txbxContent>
                      <w:p w14:paraId="0D97656D">
                        <w:pPr>
                          <w:pStyle w:val="4"/>
                          <w:spacing w:before="0" w:after="0" w:line="240" w:lineRule="auto"/>
                          <w:rPr>
                            <w:b w:val="0"/>
                            <w:bCs w:val="0"/>
                            <w:sz w:val="18"/>
                            <w:szCs w:val="18"/>
                          </w:rPr>
                        </w:pPr>
                        <w:r>
                          <w:rPr>
                            <w:b w:val="0"/>
                            <w:sz w:val="18"/>
                            <w:szCs w:val="18"/>
                          </w:rPr>
                          <w:t>木工粉尘G</w:t>
                        </w:r>
                        <w:r>
                          <w:rPr>
                            <w:rFonts w:hint="eastAsia"/>
                            <w:b w:val="0"/>
                            <w:sz w:val="18"/>
                            <w:szCs w:val="18"/>
                          </w:rPr>
                          <w:t>4</w:t>
                        </w:r>
                        <w:r>
                          <w:rPr>
                            <w:b w:val="0"/>
                            <w:sz w:val="18"/>
                            <w:szCs w:val="18"/>
                          </w:rPr>
                          <w:t>、</w:t>
                        </w:r>
                        <w:r>
                          <w:rPr>
                            <w:rFonts w:hint="eastAsia"/>
                            <w:b w:val="0"/>
                            <w:sz w:val="18"/>
                            <w:szCs w:val="18"/>
                          </w:rPr>
                          <w:t>废木料</w:t>
                        </w:r>
                        <w:r>
                          <w:rPr>
                            <w:b w:val="0"/>
                            <w:sz w:val="18"/>
                            <w:szCs w:val="18"/>
                          </w:rPr>
                          <w:t>S</w:t>
                        </w:r>
                        <w:r>
                          <w:rPr>
                            <w:rFonts w:hint="eastAsia"/>
                            <w:b w:val="0"/>
                            <w:sz w:val="18"/>
                            <w:szCs w:val="18"/>
                          </w:rPr>
                          <w:t>2、</w:t>
                        </w:r>
                        <w:r>
                          <w:rPr>
                            <w:b w:val="0"/>
                            <w:sz w:val="18"/>
                            <w:szCs w:val="18"/>
                          </w:rPr>
                          <w:t>噪声N</w:t>
                        </w:r>
                      </w:p>
                    </w:txbxContent>
                  </v:textbox>
                </v:shape>
                <v:line id="_x0000_s1026" o:spid="_x0000_s1026" o:spt="20" style="position:absolute;left:1827530;top:3675380;height:241300;width:0;" filled="f" stroked="t" coordsize="21600,21600" o:gfxdata="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&#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YN9UAAAAGAQAADwAAAAAAAAABACAAAAAiAAAA&#10;ZHJzL2Rvd25yZXYueG1sUEsBAhQAFAAAAAgAh07iQKn54WkKAgAA9gMAAA4AAAAAAAAAAQAgAAAA&#10;JAEAAGRycy9lMm9Eb2MueG1sUEsFBgAAAAAGAAYAWQEAAKAFAAAAAA==&#10;">
                  <v:fill on="f" focussize="0,0"/>
                  <v:stroke weight="1pt" color="#000000" joinstyle="round" endarrow="block"/>
                  <v:imagedata o:title=""/>
                  <o:lock v:ext="edit" aspectratio="f"/>
                </v:line>
                <v:line id="_x0000_s1026" o:spid="_x0000_s1026" o:spt="20" style="position:absolute;left:2703830;top:5132706;height:241300;width:0;" filled="f" stroked="t" coordsize="21600,21600" o:gfxdata="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vv2DfVAAAABgEAAA8AAAAAAAAAAQAgAAAAIgAAAGRy&#10;cy9kb3ducmV2LnhtbFBLAQIUABQAAAAIAIdO4kAh8i0cCAIAAPYDAAAOAAAAAAAAAAEAIAAAACQB&#10;AABkcnMvZTJvRG9jLnhtbFBLBQYAAAAABgAGAFkBAACeBQAAAAA=&#10;">
                  <v:fill on="f" focussize="0,0"/>
                  <v:stroke weight="1pt" color="#000000" joinstyle="round" endarrow="block"/>
                  <v:imagedata o:title=""/>
                  <o:lock v:ext="edit" aspectratio="f"/>
                </v:line>
                <v:shape id="_x0000_s1026" o:spid="_x0000_s1026" o:spt="202" type="#_x0000_t202" style="position:absolute;left:1427480;top:3913505;height:422275;width:889000;"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GT67H1AAAAAYBAAAPAAAAAAAAAAEAIAAAACIAAABkcnMvZG93bnJldi54bWxQSwECFAAUAAAA&#10;CACHTuJA2tKqgbkBAABbAwAADgAAAAAAAAABACAAAAAjAQAAZHJzL2Uyb0RvYy54bWxQSwUGAAAA&#10;AAYABgBZAQAATgUAAAAA&#10;">
                  <v:fill on="f" focussize="0,0"/>
                  <v:stroke on="f"/>
                  <v:imagedata o:title=""/>
                  <o:lock v:ext="edit" aspectratio="f"/>
                  <v:textbox>
                    <w:txbxContent>
                      <w:p w14:paraId="4B621C64">
                        <w:pPr>
                          <w:rPr>
                            <w:sz w:val="18"/>
                            <w:szCs w:val="18"/>
                          </w:rPr>
                        </w:pPr>
                        <w:r>
                          <w:rPr>
                            <w:rFonts w:hint="eastAsia"/>
                            <w:sz w:val="18"/>
                            <w:szCs w:val="18"/>
                          </w:rPr>
                          <w:t>调漆废气G7</w:t>
                        </w:r>
                      </w:p>
                      <w:p w14:paraId="292D24B2">
                        <w:pPr>
                          <w:rPr>
                            <w:rFonts w:hint="eastAsia"/>
                            <w:sz w:val="18"/>
                            <w:szCs w:val="18"/>
                          </w:rPr>
                        </w:pPr>
                        <w:r>
                          <w:rPr>
                            <w:rFonts w:hint="eastAsia"/>
                            <w:sz w:val="18"/>
                            <w:szCs w:val="18"/>
                          </w:rPr>
                          <w:t>废包装桶S3</w:t>
                        </w:r>
                      </w:p>
                    </w:txbxContent>
                  </v:textbox>
                </v:shape>
                <v:line id="_x0000_s1026" o:spid="_x0000_s1026" o:spt="20" style="position:absolute;left:3065780;top:2570480;height:0;width:27940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f6xv3WAAAABgEAAA8AAAAAAAAAAQAgAAAAIgAA&#10;AGRycy9kb3ducmV2LnhtbFBLAQIUABQAAAAIAIdO4kCYUU1lCgIAAPUDAAAOAAAAAAAAAAEAIAAA&#10;ACUBAABkcnMvZTJvRG9jLnhtbFBLBQYAAAAABgAGAFkBAAChBQAAAAA=&#10;">
                  <v:fill on="f" focussize="0,0"/>
                  <v:stroke color="#000000" joinstyle="round" endarrow="block"/>
                  <v:imagedata o:title=""/>
                  <o:lock v:ext="edit" aspectratio="f"/>
                </v:line>
                <v:shape id="_x0000_s1026" o:spid="_x0000_s1026" o:spt="202" type="#_x0000_t202" style="position:absolute;left:1446530;top:6380481;height:419100;width:917575;"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ZPrsfUAAAABgEAAA8AAAAAAAAAAQAgAAAAIgAAAGRycy9kb3ducmV2LnhtbFBLAQIUABQA&#10;AAAIAIdO4kCmPlNRuwEAAFsDAAAOAAAAAAAAAAEAIAAAACMBAABkcnMvZTJvRG9jLnhtbFBLBQYA&#10;AAAABgAGAFkBAABQBQAAAAA=&#10;">
                  <v:fill on="f" focussize="0,0"/>
                  <v:stroke on="f"/>
                  <v:imagedata o:title=""/>
                  <o:lock v:ext="edit" aspectratio="f"/>
                  <v:textbox>
                    <w:txbxContent>
                      <w:p w14:paraId="443B5EBD">
                        <w:pPr>
                          <w:rPr>
                            <w:sz w:val="18"/>
                            <w:szCs w:val="18"/>
                          </w:rPr>
                        </w:pPr>
                        <w:r>
                          <w:rPr>
                            <w:rFonts w:hint="eastAsia"/>
                            <w:sz w:val="18"/>
                            <w:szCs w:val="18"/>
                          </w:rPr>
                          <w:t>调漆废气G14</w:t>
                        </w:r>
                      </w:p>
                      <w:p w14:paraId="72185C52">
                        <w:pPr>
                          <w:rPr>
                            <w:rFonts w:hint="eastAsia"/>
                            <w:sz w:val="18"/>
                            <w:szCs w:val="18"/>
                          </w:rPr>
                        </w:pPr>
                        <w:r>
                          <w:rPr>
                            <w:rFonts w:hint="eastAsia"/>
                            <w:sz w:val="18"/>
                            <w:szCs w:val="18"/>
                          </w:rPr>
                          <w:t>废包装桶S7</w:t>
                        </w:r>
                      </w:p>
                    </w:txbxContent>
                  </v:textbox>
                </v:shape>
                <v:shape id="_x0000_s1026" o:spid="_x0000_s1026" o:spt="202" type="#_x0000_t202" style="position:absolute;left:3314700;top:2446655;height:241935;width:1859280;"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k+ux9QAAAAGAQAADwAAAAAAAAABACAAAAAiAAAAZHJzL2Rvd25yZXYueG1sUEsBAhQAFAAAAAgA&#10;h07iQKMIbrC3AQAAXAMAAA4AAAAAAAAAAQAgAAAAIwEAAGRycy9lMm9Eb2MueG1sUEsFBgAAAAAG&#10;AAYAWQEAAEwFAAAAAA==&#10;">
                  <v:fill on="f" focussize="0,0"/>
                  <v:stroke on="f"/>
                  <v:imagedata o:title=""/>
                  <o:lock v:ext="edit" aspectratio="f"/>
                  <v:textbox>
                    <w:txbxContent>
                      <w:p w14:paraId="4F353C27">
                        <w:pPr>
                          <w:pStyle w:val="4"/>
                          <w:spacing w:before="0" w:after="0" w:line="240" w:lineRule="auto"/>
                          <w:rPr>
                            <w:b w:val="0"/>
                            <w:bCs w:val="0"/>
                            <w:sz w:val="18"/>
                            <w:szCs w:val="18"/>
                          </w:rPr>
                        </w:pPr>
                        <w:r>
                          <w:rPr>
                            <w:rFonts w:hint="eastAsia"/>
                            <w:b w:val="0"/>
                            <w:bCs w:val="0"/>
                            <w:kern w:val="0"/>
                            <w:sz w:val="18"/>
                            <w:szCs w:val="18"/>
                          </w:rPr>
                          <w:t>组装废气G5、噪声N</w:t>
                        </w:r>
                      </w:p>
                    </w:txbxContent>
                  </v:textbox>
                </v:shape>
                <v:line id="_x0000_s1026" o:spid="_x0000_s1026" o:spt="20" style="position:absolute;left:3056255;top:3065780;height:0;width:27940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rG/dYAAAAGAQAADwAAAAAAAAABACAAAAAiAAAA&#10;ZHJzL2Rvd25yZXYueG1sUEsBAhQAFAAAAAgAh07iQNpP44gJAgAA9QMAAA4AAAAAAAAAAQAgAAAA&#10;JQEAAGRycy9lMm9Eb2MueG1sUEsFBgAAAAAGAAYAWQEAAKAFAAAAAA==&#10;">
                  <v:fill on="f" focussize="0,0"/>
                  <v:stroke color="#000000" joinstyle="round" endarrow="block"/>
                  <v:imagedata o:title=""/>
                  <o:lock v:ext="edit" aspectratio="f"/>
                </v:line>
                <v:line id="_x0000_s1026" o:spid="_x0000_s1026" o:spt="20" style="position:absolute;left:3065780;top:3551555;height:0;width:27940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sb91gAAAAYBAAAPAAAAAAAAAAEAIAAAACIA&#10;AABkcnMvZG93bnJldi54bWxQSwECFAAUAAAACACHTuJAOZPIwAsCAAD1AwAADgAAAAAAAAABACAA&#10;AAAlAQAAZHJzL2Uyb0RvYy54bWxQSwUGAAAAAAYABgBZAQAAogUAAAAA&#10;">
                  <v:fill on="f" focussize="0,0"/>
                  <v:stroke color="#000000" joinstyle="round" endarrow="block"/>
                  <v:imagedata o:title=""/>
                  <o:lock v:ext="edit" aspectratio="f"/>
                </v:line>
                <v:shape id="_x0000_s1026" o:spid="_x0000_s1026" o:spt="202" type="#_x0000_t202" style="position:absolute;left:2371090;top:6847206;height:228600;width:682625;" fillcolor="#FFFFFF" filled="t" stroked="t" coordsize="21600,21600" o:gfxdata="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B38Dq1QAAAAYBAAAPAAAAAAAAAAEAIAAAACIAAABkcnMvZG93bnJldi54&#10;bWxQSwECFAAUAAAACACHTuJAKms22zYCAAB3BAAADgAAAAAAAAABACAAAAAkAQAAZHJzL2Uyb0Rv&#10;Yy54bWxQSwUGAAAAAAYABgBZAQAAzAUAAAAA&#10;">
                  <v:fill on="t" focussize="0,0"/>
                  <v:stroke color="#000000" joinstyle="miter"/>
                  <v:imagedata o:title=""/>
                  <o:lock v:ext="edit" aspectratio="f"/>
                  <v:textbox inset="2.54mm,1.27mm,2.54mm,1mm">
                    <w:txbxContent>
                      <w:p w14:paraId="3575F69C">
                        <w:pPr>
                          <w:jc w:val="center"/>
                          <w:rPr>
                            <w:sz w:val="18"/>
                            <w:szCs w:val="18"/>
                          </w:rPr>
                        </w:pPr>
                        <w:r>
                          <w:rPr>
                            <w:rFonts w:hint="eastAsia"/>
                            <w:sz w:val="18"/>
                            <w:szCs w:val="18"/>
                          </w:rPr>
                          <w:t>检验</w:t>
                        </w:r>
                      </w:p>
                    </w:txbxContent>
                  </v:textbox>
                </v:shape>
                <v:shape id="_x0000_s1026" o:spid="_x0000_s1026" o:spt="202" type="#_x0000_t202" style="position:absolute;left:2371725;top:5875655;height:228600;width:681355;" fillcolor="#FFFFFF" filled="t" stroked="t" coordsize="21600,21600" o:gfxdata="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d/A6tUAAAAGAQAADwAAAAAAAAABACAAAAAiAAAAZHJzL2Rvd25yZXYueG1s&#10;UEsBAhQAFAAAAAgAh07iQILgAnA0AgAAdwQAAA4AAAAAAAAAAQAgAAAAJAEAAGRycy9lMm9Eb2Mu&#10;eG1sUEsFBgAAAAAGAAYAWQEAAMoFAAAAAA==&#10;">
                  <v:fill on="t" focussize="0,0"/>
                  <v:stroke color="#000000" joinstyle="miter"/>
                  <v:imagedata o:title=""/>
                  <o:lock v:ext="edit" aspectratio="f"/>
                  <v:textbox inset="2.54mm,1.27mm,2.54mm,1mm">
                    <w:txbxContent>
                      <w:p w14:paraId="51E76FD9">
                        <w:pPr>
                          <w:jc w:val="center"/>
                          <w:rPr>
                            <w:sz w:val="18"/>
                            <w:szCs w:val="18"/>
                          </w:rPr>
                        </w:pPr>
                        <w:r>
                          <w:rPr>
                            <w:rFonts w:hint="eastAsia"/>
                            <w:sz w:val="18"/>
                            <w:szCs w:val="18"/>
                          </w:rPr>
                          <w:t>喷修色漆</w:t>
                        </w:r>
                      </w:p>
                      <w:p w14:paraId="73C8A128">
                        <w:pPr>
                          <w:jc w:val="center"/>
                          <w:rPr>
                            <w:sz w:val="18"/>
                            <w:szCs w:val="18"/>
                          </w:rPr>
                        </w:pPr>
                      </w:p>
                    </w:txbxContent>
                  </v:textbox>
                </v:shape>
                <v:shape id="_x0000_s1026" o:spid="_x0000_s1026" o:spt="202" type="#_x0000_t202" style="position:absolute;left:2371725;top:6361431;height:228599;width:681355;" fillcolor="#FFFFFF" filled="t" stroked="t" coordsize="21600,21600" o:gfxdata="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d/A6tUAAAAGAQAADwAAAAAAAAABACAAAAAiAAAAZHJzL2Rvd25yZXYu&#10;eG1sUEsBAhQAFAAAAAgAh07iQDb1jJQ3AgAAdwQAAA4AAAAAAAAAAQAgAAAAJAEAAGRycy9lMm9E&#10;b2MueG1sUEsFBgAAAAAGAAYAWQEAAM0FAAAAAA==&#10;">
                  <v:fill on="t" focussize="0,0"/>
                  <v:stroke color="#000000" joinstyle="miter"/>
                  <v:imagedata o:title=""/>
                  <o:lock v:ext="edit" aspectratio="f"/>
                  <v:textbox inset="2.54mm,1.27mm,2.54mm,1mm">
                    <w:txbxContent>
                      <w:p w14:paraId="4027D67F">
                        <w:pPr>
                          <w:jc w:val="center"/>
                          <w:rPr>
                            <w:sz w:val="18"/>
                            <w:szCs w:val="18"/>
                          </w:rPr>
                        </w:pPr>
                        <w:r>
                          <w:rPr>
                            <w:rFonts w:hint="eastAsia"/>
                            <w:sz w:val="18"/>
                            <w:szCs w:val="18"/>
                          </w:rPr>
                          <w:t>晾干</w:t>
                        </w:r>
                      </w:p>
                      <w:p w14:paraId="4C790B3A">
                        <w:pPr>
                          <w:rPr>
                            <w:rFonts w:hint="eastAsia"/>
                          </w:rPr>
                        </w:pPr>
                      </w:p>
                    </w:txbxContent>
                  </v:textbox>
                </v:shape>
                <v:shape id="_x0000_s1026" o:spid="_x0000_s1026" o:spt="202" type="#_x0000_t202" style="position:absolute;left:2371090;top:5389881;height:228599;width:682625;" fillcolor="#FFFFFF" filled="t" stroked="t" coordsize="21600,21600" o:gfxdata="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d/A6tUAAAAGAQAADwAAAAAAAAABACAAAAAiAAAAZHJzL2Rvd25yZXYueG1s&#10;UEsBAhQAFAAAAAgAh07iQNXqgFI0AgAAdwQAAA4AAAAAAAAAAQAgAAAAJAEAAGRycy9lMm9Eb2Mu&#10;eG1sUEsFBgAAAAAGAAYAWQEAAMoFAAAAAA==&#10;">
                  <v:fill on="t" focussize="0,0"/>
                  <v:stroke color="#000000" joinstyle="miter"/>
                  <v:imagedata o:title=""/>
                  <o:lock v:ext="edit" aspectratio="f"/>
                  <v:textbox inset="2.54mm,1.27mm,2.54mm,1mm">
                    <w:txbxContent>
                      <w:p w14:paraId="7D509BDC">
                        <w:pPr>
                          <w:jc w:val="center"/>
                          <w:rPr>
                            <w:sz w:val="18"/>
                            <w:szCs w:val="18"/>
                          </w:rPr>
                        </w:pPr>
                        <w:r>
                          <w:rPr>
                            <w:rFonts w:hint="eastAsia"/>
                            <w:sz w:val="18"/>
                            <w:szCs w:val="18"/>
                          </w:rPr>
                          <w:t>晾干</w:t>
                        </w:r>
                      </w:p>
                      <w:p w14:paraId="6B057959">
                        <w:pPr>
                          <w:jc w:val="center"/>
                          <w:rPr>
                            <w:rFonts w:hint="eastAsia"/>
                            <w:sz w:val="18"/>
                            <w:szCs w:val="18"/>
                          </w:rPr>
                        </w:pPr>
                      </w:p>
                    </w:txbxContent>
                  </v:textbox>
                </v:shape>
                <v:shape id="_x0000_s1026" o:spid="_x0000_s1026" o:spt="202" type="#_x0000_t202" style="position:absolute;left:2371090;top:4875530;height:228600;width:682625;" fillcolor="#FFFFFF" filled="t" stroked="t" coordsize="21600,21600" o:gfxdata="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d/A6tUAAAAGAQAADwAAAAAAAAABACAAAAAiAAAAZHJzL2Rvd25yZXYueG1s&#10;UEsBAhQAFAAAAAgAh07iQD4qqOM0AgAAdwQAAA4AAAAAAAAAAQAgAAAAJAEAAGRycy9lMm9Eb2Mu&#10;eG1sUEsFBgAAAAAGAAYAWQEAAMoFAAAAAA==&#10;">
                  <v:fill on="t" focussize="0,0"/>
                  <v:stroke color="#000000" joinstyle="miter"/>
                  <v:imagedata o:title=""/>
                  <o:lock v:ext="edit" aspectratio="f"/>
                  <v:textbox inset="2.54mm,1.27mm,2.54mm,1mm">
                    <w:txbxContent>
                      <w:p w14:paraId="53A12416">
                        <w:pPr>
                          <w:jc w:val="center"/>
                          <w:rPr>
                            <w:sz w:val="18"/>
                            <w:szCs w:val="18"/>
                          </w:rPr>
                        </w:pPr>
                        <w:r>
                          <w:rPr>
                            <w:rFonts w:hint="eastAsia"/>
                            <w:sz w:val="18"/>
                            <w:szCs w:val="18"/>
                          </w:rPr>
                          <w:t>喷面漆</w:t>
                        </w:r>
                      </w:p>
                      <w:p w14:paraId="24818021">
                        <w:pPr>
                          <w:jc w:val="center"/>
                          <w:rPr>
                            <w:sz w:val="18"/>
                            <w:szCs w:val="18"/>
                          </w:rPr>
                        </w:pPr>
                      </w:p>
                    </w:txbxContent>
                  </v:textbox>
                </v:shape>
                <v:line id="_x0000_s1026" o:spid="_x0000_s1026" o:spt="20" style="position:absolute;left:1856105;top:6142356;height:241300;width:0;" filled="f" stroked="t" coordsize="21600,21600" o:gfxdata="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79g31QAAAAYBAAAPAAAAAAAAAAEAIAAAACIA&#10;AABkcnMvZG93bnJldi54bWxQSwECFAAUAAAACACHTuJAIIYtewwCAAD2AwAADgAAAAAAAAABACAA&#10;AAAkAQAAZHJzL2Uyb0RvYy54bWxQSwUGAAAAAAYABgBZAQAAogUAAAAA&#10;">
                  <v:fill on="f" focussize="0,0"/>
                  <v:stroke weight="1pt" color="#000000" joinstyle="round" endarrow="block"/>
                  <v:imagedata o:title=""/>
                  <o:lock v:ext="edit" aspectratio="f"/>
                </v:line>
                <v:line id="_x0000_s1026" o:spid="_x0000_s1026" o:spt="20" style="position:absolute;left:2703830;top:7094856;height:241299;width:0;" filled="f" stroked="t" coordsize="21600,21600" o:gfxdata="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YN9UAAAAGAQAADwAAAAAAAAABACAAAAAiAAAA&#10;ZHJzL2Rvd25yZXYueG1sUEsBAhQAFAAAAAgAh07iQIz/YK4KAgAA9gMAAA4AAAAAAAAAAQAgAAAA&#10;JAEAAGRycy9lMm9Eb2MueG1sUEsFBgAAAAAGAAYAWQEAAKAFAAAAAA==&#10;">
                  <v:fill on="f" focussize="0,0"/>
                  <v:stroke weight="1pt" color="#000000" joinstyle="round" endarrow="block"/>
                  <v:imagedata o:title=""/>
                  <o:lock v:ext="edit" aspectratio="f"/>
                </v:line>
                <v:line id="_x0000_s1026" o:spid="_x0000_s1026" o:spt="20" style="position:absolute;left:2703830;top:6599555;height:241300;width:0;" filled="f" stroked="t" coordsize="21600,21600" o:gfxdata="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vv2DfVAAAABgEAAA8AAAAAAAAAAQAgAAAAIgAA&#10;AGRycy9kb3ducmV2LnhtbFBLAQIUABQAAAAIAIdO4kA+0LANCwIAAPYDAAAOAAAAAAAAAAEAIAAA&#10;ACQBAABkcnMvZTJvRG9jLnhtbFBLBQYAAAAABgAGAFkBAAChBQAAAAA=&#10;">
                  <v:fill on="f" focussize="0,0"/>
                  <v:stroke weight="1pt" color="#000000" joinstyle="round" endarrow="block"/>
                  <v:imagedata o:title=""/>
                  <o:lock v:ext="edit" aspectratio="f"/>
                </v:line>
                <v:line id="_x0000_s1026" o:spid="_x0000_s1026" o:spt="20" style="position:absolute;left:2703830;top:6113781;height:241300;width:0;" filled="f" stroked="t" coordsize="21600,21600" o:gfxdata="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&#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79g31QAAAAYBAAAPAAAAAAAAAAEAIAAAACIAAABk&#10;cnMvZG93bnJldi54bWxQSwECFAAUAAAACACHTuJARYTEcgkCAAD2AwAADgAAAAAAAAABACAAAAAk&#10;AQAAZHJzL2Uyb0RvYy54bWxQSwUGAAAAAAYABgBZAQAAnwUAAAAA&#10;">
                  <v:fill on="f" focussize="0,0"/>
                  <v:stroke weight="1pt" color="#000000" joinstyle="round" endarrow="block"/>
                  <v:imagedata o:title=""/>
                  <o:lock v:ext="edit" aspectratio="f"/>
                </v:line>
                <v:line id="_x0000_s1026" o:spid="_x0000_s1026" o:spt="20" style="position:absolute;left:2703830;top:5628005;height:241300;width:0;" filled="f" stroked="t" coordsize="21600,21600" o:gfxdata="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YN9UAAAAGAQAADwAAAAAAAAABACAAAAAiAAAA&#10;ZHJzL2Rvd25yZXYueG1sUEsBAhQAFAAAAAgAh07iQKx2HPkKAgAA9gMAAA4AAAAAAAAAAQAgAAAA&#10;JAEAAGRycy9lMm9Eb2MueG1sUEsFBgAAAAAGAAYAWQEAAKAFAAAAAA==&#10;">
                  <v:fill on="f" focussize="0,0"/>
                  <v:stroke weight="1pt" color="#000000" joinstyle="round" endarrow="block"/>
                  <v:imagedata o:title=""/>
                  <o:lock v:ext="edit" aspectratio="f"/>
                </v:line>
                <v:line id="_x0000_s1026" o:spid="_x0000_s1026" o:spt="20" style="position:absolute;left:3056255;top:4046855;height:0;width:27940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rG/dYAAAAGAQAADwAAAAAAAAABACAAAAAi&#10;AAAAZHJzL2Rvd25yZXYueG1sUEsBAhQAFAAAAAgAh07iQJf4U8wMAgAA9QMAAA4AAAAAAAAAAQAg&#10;AAAAJQEAAGRycy9lMm9Eb2MueG1sUEsFBgAAAAAGAAYAWQEAAKMFAAAAAA==&#10;">
                  <v:fill on="f" focussize="0,0"/>
                  <v:stroke color="#000000" joinstyle="round" endarrow="block"/>
                  <v:imagedata o:title=""/>
                  <o:lock v:ext="edit" aspectratio="f"/>
                </v:line>
                <v:line id="_x0000_s1026" o:spid="_x0000_s1026" o:spt="20" style="position:absolute;left:3065780;top:5513705;height:0;width:27940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f6xv3WAAAABgEAAA8AAAAAAAAAAQAgAAAA&#10;IgAAAGRycy9kb3ducmV2LnhtbFBLAQIUABQAAAAIAIdO4kB6APmjDQIAAPUDAAAOAAAAAAAAAAEA&#10;IAAAACUBAABkcnMvZTJvRG9jLnhtbFBLBQYAAAAABgAGAFkBAACkBQAAAAA=&#10;">
                  <v:fill on="f" focussize="0,0"/>
                  <v:stroke color="#000000" joinstyle="round" endarrow="block"/>
                  <v:imagedata o:title=""/>
                  <o:lock v:ext="edit" aspectratio="f"/>
                </v:line>
                <v:shape id="_x0000_s1026" o:spid="_x0000_s1026" o:spt="202" type="#_x0000_t202" style="position:absolute;left:3246755;top:4408805;height:257175;width:1333500;"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T67H1AAAAAYBAAAPAAAAAAAAAAEAIAAAACIAAABkcnMvZG93bnJldi54bWxQSwECFAAU&#10;AAAACACHTuJAbuKkK7wBAABcAwAADgAAAAAAAAABACAAAAAjAQAAZHJzL2Uyb0RvYy54bWxQSwUG&#10;AAAAAAYABgBZAQAAUQUAAAAA&#10;">
                  <v:fill on="f" focussize="0,0"/>
                  <v:stroke on="f"/>
                  <v:imagedata o:title=""/>
                  <o:lock v:ext="edit" aspectratio="f"/>
                  <v:textbox>
                    <w:txbxContent>
                      <w:p w14:paraId="45CB218D">
                        <w:pPr>
                          <w:pStyle w:val="4"/>
                          <w:spacing w:before="0" w:after="0" w:line="240" w:lineRule="auto"/>
                          <w:rPr>
                            <w:b w:val="0"/>
                            <w:bCs w:val="0"/>
                            <w:sz w:val="18"/>
                            <w:szCs w:val="18"/>
                          </w:rPr>
                        </w:pPr>
                        <w:r>
                          <w:rPr>
                            <w:rFonts w:hint="eastAsia"/>
                            <w:b w:val="0"/>
                            <w:bCs w:val="0"/>
                            <w:kern w:val="0"/>
                            <w:sz w:val="18"/>
                            <w:szCs w:val="18"/>
                          </w:rPr>
                          <w:t>底漆打磨粉尘G10</w:t>
                        </w:r>
                      </w:p>
                      <w:p w14:paraId="24991C1E"/>
                    </w:txbxContent>
                  </v:textbox>
                </v:shape>
                <v:shape id="_x0000_s1026" o:spid="_x0000_s1026" o:spt="202" type="#_x0000_t202" style="position:absolute;left:3275330;top:3265805;height:736600;width:1155700;"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G&#10;T67H1AAAAAYBAAAPAAAAAAAAAAEAIAAAACIAAABkcnMvZG93bnJldi54bWxQSwECFAAUAAAACACH&#10;TuJAZjhWtrYBAABcAwAADgAAAAAAAAABACAAAAAjAQAAZHJzL2Uyb0RvYy54bWxQSwUGAAAAAAYA&#10;BgBZAQAASwUAAAAA&#10;">
                  <v:fill on="f" focussize="0,0"/>
                  <v:stroke on="f"/>
                  <v:imagedata o:title=""/>
                  <o:lock v:ext="edit" aspectratio="f"/>
                  <v:textbox>
                    <w:txbxContent>
                      <w:p w14:paraId="2ED140B4">
                        <w:pPr>
                          <w:rPr>
                            <w:rFonts w:hint="eastAsia"/>
                            <w:sz w:val="18"/>
                            <w:szCs w:val="18"/>
                          </w:rPr>
                        </w:pPr>
                        <w:r>
                          <w:rPr>
                            <w:sz w:val="18"/>
                            <w:szCs w:val="18"/>
                          </w:rPr>
                          <w:t>喷漆废气G</w:t>
                        </w:r>
                        <w:r>
                          <w:rPr>
                            <w:rFonts w:hint="eastAsia"/>
                            <w:sz w:val="18"/>
                            <w:szCs w:val="18"/>
                          </w:rPr>
                          <w:t>8</w:t>
                        </w:r>
                      </w:p>
                      <w:p w14:paraId="505E98D5">
                        <w:pPr>
                          <w:rPr>
                            <w:rFonts w:hint="eastAsia"/>
                            <w:sz w:val="18"/>
                            <w:szCs w:val="18"/>
                          </w:rPr>
                        </w:pPr>
                        <w:r>
                          <w:rPr>
                            <w:rFonts w:hint="eastAsia"/>
                            <w:sz w:val="18"/>
                            <w:szCs w:val="18"/>
                          </w:rPr>
                          <w:t>漆渣S4</w:t>
                        </w:r>
                      </w:p>
                      <w:p w14:paraId="4D28C680">
                        <w:pPr>
                          <w:rPr>
                            <w:b/>
                            <w:bCs/>
                            <w:sz w:val="18"/>
                            <w:szCs w:val="18"/>
                          </w:rPr>
                        </w:pPr>
                        <w:r>
                          <w:rPr>
                            <w:rFonts w:hint="eastAsia"/>
                            <w:sz w:val="18"/>
                            <w:szCs w:val="18"/>
                          </w:rPr>
                          <w:t>水帘</w:t>
                        </w:r>
                        <w:r>
                          <w:rPr>
                            <w:sz w:val="18"/>
                            <w:szCs w:val="18"/>
                          </w:rPr>
                          <w:t>废水W1</w:t>
                        </w:r>
                      </w:p>
                      <w:p w14:paraId="41F0E80F">
                        <w:pPr>
                          <w:pStyle w:val="4"/>
                          <w:spacing w:before="0" w:after="0" w:line="240" w:lineRule="auto"/>
                          <w:rPr>
                            <w:b w:val="0"/>
                            <w:bCs w:val="0"/>
                            <w:sz w:val="18"/>
                            <w:szCs w:val="18"/>
                          </w:rPr>
                        </w:pPr>
                        <w:r>
                          <w:rPr>
                            <w:rFonts w:hint="eastAsia"/>
                            <w:b w:val="0"/>
                            <w:bCs w:val="0"/>
                            <w:sz w:val="18"/>
                            <w:szCs w:val="18"/>
                          </w:rPr>
                          <w:t>喷枪清洗废水W2</w:t>
                        </w:r>
                      </w:p>
                    </w:txbxContent>
                  </v:textbox>
                </v:shape>
                <v:line id="_x0000_s1026" o:spid="_x0000_s1026" o:spt="20" style="position:absolute;left:3056255;top:4542155;height:0;width:27940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sb91gAAAAYBAAAPAAAAAAAAAAEAIAAAACIA&#10;AABkcnMvZG93bnJldi54bWxQSwECFAAUAAAACACHTuJAQz5pUgsCAAD1AwAADgAAAAAAAAABACAA&#10;AAAlAQAAZHJzL2Uyb0RvYy54bWxQSwUGAAAAAAYABgBZAQAAogUAAAAA&#10;">
                  <v:fill on="f" focussize="0,0"/>
                  <v:stroke color="#000000" joinstyle="round" endarrow="block"/>
                  <v:imagedata o:title=""/>
                  <o:lock v:ext="edit" aspectratio="f"/>
                </v:line>
                <v:line id="_x0000_s1026" o:spid="_x0000_s1026" o:spt="20" style="position:absolute;left:3065780;top:6494780;height:0;width:27940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rG/dYAAAAGAQAADwAAAAAAAAABACAAAAAiAAAA&#10;ZHJzL2Rvd25yZXYueG1sUEsBAhQAFAAAAAgAh07iQOP8zCQJAgAA9QMAAA4AAAAAAAAAAQAgAAAA&#10;JQEAAGRycy9lMm9Eb2MueG1sUEsFBgAAAAAGAAYAWQEAAKAFAAAAAA==&#10;">
                  <v:fill on="f" focussize="0,0"/>
                  <v:stroke color="#000000" joinstyle="round" endarrow="block"/>
                  <v:imagedata o:title=""/>
                  <o:lock v:ext="edit" aspectratio="f"/>
                </v:line>
                <v:line id="_x0000_s1026" o:spid="_x0000_s1026" o:spt="20" style="position:absolute;left:3065780;top:6009005;height:0;width:27940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rG/dYAAAAGAQAADwAAAAAAAAABACAAAAAi&#10;AAAAZHJzL2Rvd25yZXYueG1sUEsBAhQAFAAAAAgAh07iQJybYo4MAgAA9QMAAA4AAAAAAAAAAQAg&#10;AAAAJQEAAGRycy9lMm9Eb2MueG1sUEsFBgAAAAAGAAYAWQEAAKMFAAAAAA==&#10;">
                  <v:fill on="f" focussize="0,0"/>
                  <v:stroke color="#000000" joinstyle="round" endarrow="block"/>
                  <v:imagedata o:title=""/>
                  <o:lock v:ext="edit" aspectratio="f"/>
                </v:line>
                <v:line id="_x0000_s1026" o:spid="_x0000_s1026" o:spt="20" style="position:absolute;left:3056255;top:5008880;height:0;width:279400;" filled="f" stroked="t" coordsize="21600,21600" o:gfxdata="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rG/dYAAAAGAQAADwAAAAAAAAABACAAAAAi&#10;AAAAZHJzL2Rvd25yZXYueG1sUEsBAhQAFAAAAAgAh07iQD2imXIMAgAA9QMAAA4AAAAAAAAAAQAg&#10;AAAAJQEAAGRycy9lMm9Eb2MueG1sUEsFBgAAAAAGAAYAWQEAAKMFAAAAAA==&#10;">
                  <v:fill on="f" focussize="0,0"/>
                  <v:stroke color="#000000" joinstyle="round" endarrow="block"/>
                  <v:imagedata o:title=""/>
                  <o:lock v:ext="edit" aspectratio="f"/>
                </v:line>
                <v:shape id="_x0000_s1026" o:spid="_x0000_s1026" o:spt="202" type="#_x0000_t202" style="position:absolute;left:3284855;top:3932555;height:257175;width:889000;"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ZPrsfUAAAABgEAAA8AAAAAAAAAAQAgAAAAIgAAAGRycy9kb3ducmV2LnhtbFBLAQIUABQAAAAI&#10;AIdO4kCT4xIluAEAAFsDAAAOAAAAAAAAAAEAIAAAACMBAABkcnMvZTJvRG9jLnhtbFBLBQYAAAAA&#10;BgAGAFkBAABNBQAAAAA=&#10;">
                  <v:fill on="f" focussize="0,0"/>
                  <v:stroke on="f"/>
                  <v:imagedata o:title=""/>
                  <o:lock v:ext="edit" aspectratio="f"/>
                  <v:textbox>
                    <w:txbxContent>
                      <w:p w14:paraId="384192BE">
                        <w:pPr>
                          <w:rPr>
                            <w:sz w:val="18"/>
                            <w:szCs w:val="18"/>
                          </w:rPr>
                        </w:pPr>
                        <w:r>
                          <w:rPr>
                            <w:rFonts w:hint="eastAsia"/>
                            <w:sz w:val="18"/>
                            <w:szCs w:val="18"/>
                          </w:rPr>
                          <w:t>晾干废气G9</w:t>
                        </w:r>
                      </w:p>
                    </w:txbxContent>
                  </v:textbox>
                </v:shape>
                <v:shape id="_x0000_s1026" o:spid="_x0000_s1026" o:spt="202" type="#_x0000_t202" style="position:absolute;left:3294380;top:4694555;height:745490;width:1137285;"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T67H1AAAAAYBAAAPAAAAAAAAAAEAIAAAACIAAABkcnMvZG93bnJldi54bWxQSwECFAAU&#10;AAAACACHTuJAgj1HR7wBAABcAwAADgAAAAAAAAABACAAAAAjAQAAZHJzL2Uyb0RvYy54bWxQSwUG&#10;AAAAAAYABgBZAQAAUQUAAAAA&#10;">
                  <v:fill on="f" focussize="0,0"/>
                  <v:stroke on="f"/>
                  <v:imagedata o:title=""/>
                  <o:lock v:ext="edit" aspectratio="f"/>
                  <v:textbox>
                    <w:txbxContent>
                      <w:p w14:paraId="6CAE2620">
                        <w:pPr>
                          <w:rPr>
                            <w:sz w:val="18"/>
                            <w:szCs w:val="18"/>
                          </w:rPr>
                        </w:pPr>
                        <w:r>
                          <w:rPr>
                            <w:sz w:val="18"/>
                            <w:szCs w:val="18"/>
                          </w:rPr>
                          <w:t>喷漆废气G</w:t>
                        </w:r>
                        <w:r>
                          <w:rPr>
                            <w:rFonts w:hint="eastAsia"/>
                            <w:sz w:val="18"/>
                            <w:szCs w:val="18"/>
                          </w:rPr>
                          <w:t>12</w:t>
                        </w:r>
                      </w:p>
                      <w:p w14:paraId="5E0C4A8A">
                        <w:pPr>
                          <w:rPr>
                            <w:rFonts w:hint="eastAsia"/>
                            <w:sz w:val="18"/>
                            <w:szCs w:val="18"/>
                          </w:rPr>
                        </w:pPr>
                        <w:r>
                          <w:rPr>
                            <w:rFonts w:hint="eastAsia"/>
                            <w:sz w:val="18"/>
                            <w:szCs w:val="18"/>
                          </w:rPr>
                          <w:t>漆渣S6</w:t>
                        </w:r>
                      </w:p>
                      <w:p w14:paraId="2406E2A8">
                        <w:pPr>
                          <w:rPr>
                            <w:rFonts w:hint="eastAsia"/>
                            <w:sz w:val="18"/>
                            <w:szCs w:val="18"/>
                          </w:rPr>
                        </w:pPr>
                        <w:r>
                          <w:rPr>
                            <w:rFonts w:hint="eastAsia"/>
                            <w:sz w:val="18"/>
                            <w:szCs w:val="18"/>
                          </w:rPr>
                          <w:t>水帘</w:t>
                        </w:r>
                        <w:r>
                          <w:rPr>
                            <w:sz w:val="18"/>
                            <w:szCs w:val="18"/>
                          </w:rPr>
                          <w:t>废水W</w:t>
                        </w:r>
                        <w:r>
                          <w:rPr>
                            <w:rFonts w:hint="eastAsia"/>
                            <w:sz w:val="18"/>
                            <w:szCs w:val="18"/>
                          </w:rPr>
                          <w:t>3</w:t>
                        </w:r>
                      </w:p>
                      <w:p w14:paraId="71357858">
                        <w:pPr>
                          <w:rPr>
                            <w:sz w:val="18"/>
                            <w:szCs w:val="18"/>
                          </w:rPr>
                        </w:pPr>
                        <w:r>
                          <w:rPr>
                            <w:rFonts w:hint="eastAsia"/>
                            <w:sz w:val="18"/>
                            <w:szCs w:val="18"/>
                          </w:rPr>
                          <w:t>喷枪清洗废水W4</w:t>
                        </w:r>
                      </w:p>
                    </w:txbxContent>
                  </v:textbox>
                </v:shape>
                <v:shape id="_x0000_s1026" o:spid="_x0000_s1026" o:spt="202" type="#_x0000_t202" style="position:absolute;left:3322955;top:5389880;height:257175;width:889000;"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GT67H1AAAAAYBAAAPAAAAAAAAAAEAIAAAACIAAABkcnMvZG93bnJldi54bWxQSwECFAAUAAAA&#10;CACHTuJAt6K1AbkBAABbAwAADgAAAAAAAAABACAAAAAjAQAAZHJzL2Uyb0RvYy54bWxQSwUGAAAA&#10;AAYABgBZAQAATgUAAAAA&#10;">
                  <v:fill on="f" focussize="0,0"/>
                  <v:stroke on="f"/>
                  <v:imagedata o:title=""/>
                  <o:lock v:ext="edit" aspectratio="f"/>
                  <v:textbox>
                    <w:txbxContent>
                      <w:p w14:paraId="10B983E1">
                        <w:pPr>
                          <w:rPr>
                            <w:rFonts w:hint="eastAsia"/>
                            <w:sz w:val="18"/>
                            <w:szCs w:val="18"/>
                          </w:rPr>
                        </w:pPr>
                        <w:r>
                          <w:rPr>
                            <w:rFonts w:hint="eastAsia"/>
                            <w:sz w:val="18"/>
                            <w:szCs w:val="18"/>
                          </w:rPr>
                          <w:t>晾干废气G13</w:t>
                        </w:r>
                      </w:p>
                      <w:p w14:paraId="5A590859">
                        <w:pPr>
                          <w:pStyle w:val="4"/>
                          <w:spacing w:before="0" w:after="0" w:line="240" w:lineRule="auto"/>
                          <w:rPr>
                            <w:b w:val="0"/>
                            <w:bCs w:val="0"/>
                            <w:sz w:val="18"/>
                            <w:szCs w:val="18"/>
                          </w:rPr>
                        </w:pPr>
                      </w:p>
                    </w:txbxContent>
                  </v:textbox>
                </v:shape>
                <v:line id="_x0000_s1026" o:spid="_x0000_s1026" o:spt="20" style="position:absolute;left:2132330;top:5018405;height:0;width:228600;" filled="f" stroked="t" coordsize="21600,21600" o:gfxdata="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xxaFdcAAAAGAQAADwAAAAAAAAABACAAAAAi&#10;AAAAZHJzL2Rvd25yZXYueG1sUEsBAhQAFAAAAAgAh07iQBZXejcLAgAA9AMAAA4AAAAAAAAAAQAg&#10;AAAAJgEAAGRycy9lMm9Eb2MueG1sUEsFBgAAAAAGAAYAWQEAAKMFAAAAAA==&#10;">
                  <v:fill on="f" focussize="0,0"/>
                  <v:stroke color="#000000" joinstyle="round" dashstyle="dash" endarrow="block"/>
                  <v:imagedata o:title=""/>
                  <o:lock v:ext="edit" aspectratio="f"/>
                </v:line>
                <v:shape id="_x0000_s1026" o:spid="_x0000_s1026" o:spt="202" type="#_x0000_t202" style="position:absolute;left:1541780;top:4885055;height:241299;width:581025;" fillcolor="#FFFFFF" filled="t" stroked="t" coordsize="21600,21600" o:gfxdata="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Pxe5XVAAAABgEAAA8AAAAA&#10;AAAAAQAgAAAAIgAAAGRycy9kb3ducmV2LnhtbFBLAQIUABQAAAAIAIdO4kAbeK/SFwIAAEMEAAAO&#10;AAAAAAAAAAEAIAAAACQBAABkcnMvZTJvRG9jLnhtbFBLBQYAAAAABgAGAFkBAACtBQAAAAA=&#10;">
                  <v:fill on="t" focussize="0,0"/>
                  <v:stroke color="#000000" joinstyle="miter"/>
                  <v:imagedata o:title=""/>
                  <o:lock v:ext="edit" aspectratio="f"/>
                  <v:textbox>
                    <w:txbxContent>
                      <w:p w14:paraId="095E6A8F">
                        <w:pPr>
                          <w:jc w:val="center"/>
                          <w:rPr>
                            <w:sz w:val="18"/>
                            <w:szCs w:val="18"/>
                          </w:rPr>
                        </w:pPr>
                        <w:r>
                          <w:rPr>
                            <w:rFonts w:hint="eastAsia"/>
                            <w:sz w:val="18"/>
                            <w:szCs w:val="18"/>
                          </w:rPr>
                          <w:t>调面漆</w:t>
                        </w:r>
                      </w:p>
                    </w:txbxContent>
                  </v:textbox>
                </v:shape>
                <v:shape id="_x0000_s1026" o:spid="_x0000_s1026" o:spt="202" type="#_x0000_t202" style="position:absolute;left:255905;top:4885055;height:253999;width:1181100;"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GT67H1AAAAAYBAAAPAAAAAAAAAAEAIAAAACIAAABkcnMvZG93bnJldi54bWxQSwECFAAUAAAA&#10;CACHTuJAg4u2arkBAABbAwAADgAAAAAAAAABACAAAAAjAQAAZHJzL2Uyb0RvYy54bWxQSwUGAAAA&#10;AAYABgBZAQAATgUAAAAA&#10;">
                  <v:fill on="f" focussize="0,0"/>
                  <v:stroke on="f"/>
                  <v:imagedata o:title=""/>
                  <o:lock v:ext="edit" aspectratio="f"/>
                  <v:textbox>
                    <w:txbxContent>
                      <w:p w14:paraId="4812B2B4">
                        <w:pPr>
                          <w:pStyle w:val="4"/>
                          <w:spacing w:before="0" w:after="0" w:line="240" w:lineRule="auto"/>
                          <w:rPr>
                            <w:b w:val="0"/>
                            <w:bCs w:val="0"/>
                            <w:sz w:val="18"/>
                            <w:szCs w:val="18"/>
                          </w:rPr>
                        </w:pPr>
                        <w:r>
                          <w:rPr>
                            <w:rFonts w:hint="eastAsia"/>
                            <w:b w:val="0"/>
                            <w:bCs w:val="0"/>
                            <w:sz w:val="18"/>
                            <w:szCs w:val="18"/>
                          </w:rPr>
                          <w:t>水、面漆、固化剂</w:t>
                        </w:r>
                      </w:p>
                    </w:txbxContent>
                  </v:textbox>
                </v:shape>
                <v:line id="_x0000_s1026" o:spid="_x0000_s1026" o:spt="20" style="position:absolute;left:1303655;top:5018405;height:0;width:228600;" filled="f" stroked="t" coordsize="21600,21600" o:gfxdata="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McWhXXAAAABgEAAA8AAAAAAAAAAQAgAAAA&#10;IgAAAGRycy9kb3ducmV2LnhtbFBLAQIUABQAAAAIAIdO4kCOu3NaDAIAAPQDAAAOAAAAAAAAAAEA&#10;IAAAACYBAABkcnMvZTJvRG9jLnhtbFBLBQYAAAAABgAGAFkBAACkBQAAAAA=&#10;">
                  <v:fill on="f" focussize="0,0"/>
                  <v:stroke color="#000000" joinstyle="round" dashstyle="dash" endarrow="block"/>
                  <v:imagedata o:title=""/>
                  <o:lock v:ext="edit" aspectratio="f"/>
                </v:line>
                <v:line id="_x0000_s1026" o:spid="_x0000_s1026" o:spt="20" style="position:absolute;left:1837055;top:5142230;height:241300;width:0;" filled="f" stroked="t" coordsize="21600,21600" o:gfxdata="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vv2DfVAAAABgEAAA8AAAAAAAAAAQAgAAAAIgAA&#10;AGRycy9kb3ducmV2LnhtbFBLAQIUABQAAAAIAIdO4kCgJuV9CwIAAPYDAAAOAAAAAAAAAAEAIAAA&#10;ACQBAABkcnMvZTJvRG9jLnhtbFBLBQYAAAAABgAGAFkBAAChBQAAAAA=&#10;">
                  <v:fill on="f" focussize="0,0"/>
                  <v:stroke weight="1pt" color="#000000" joinstyle="round" endarrow="block"/>
                  <v:imagedata o:title=""/>
                  <o:lock v:ext="edit" aspectratio="f"/>
                </v:line>
                <v:shape id="_x0000_s1026" o:spid="_x0000_s1026" o:spt="202" type="#_x0000_t202" style="position:absolute;left:1398905;top:5332730;height:419101;width:914400;"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k+ux9QAAAAGAQAADwAAAAAAAAABACAAAAAiAAAAZHJzL2Rvd25yZXYueG1sUEsBAhQAFAAA&#10;AAgAh07iQOeeuNe6AQAAWwMAAA4AAAAAAAAAAQAgAAAAIwEAAGRycy9lMm9Eb2MueG1sUEsFBgAA&#10;AAAGAAYAWQEAAE8FAAAAAA==&#10;">
                  <v:fill on="f" focussize="0,0"/>
                  <v:stroke on="f"/>
                  <v:imagedata o:title=""/>
                  <o:lock v:ext="edit" aspectratio="f"/>
                  <v:textbox>
                    <w:txbxContent>
                      <w:p w14:paraId="4C746988">
                        <w:pPr>
                          <w:rPr>
                            <w:sz w:val="18"/>
                            <w:szCs w:val="18"/>
                          </w:rPr>
                        </w:pPr>
                        <w:r>
                          <w:rPr>
                            <w:rFonts w:hint="eastAsia"/>
                            <w:sz w:val="18"/>
                            <w:szCs w:val="18"/>
                          </w:rPr>
                          <w:t>调漆废气G11</w:t>
                        </w:r>
                      </w:p>
                      <w:p w14:paraId="0A3C2891">
                        <w:pPr>
                          <w:rPr>
                            <w:rFonts w:hint="eastAsia"/>
                            <w:sz w:val="18"/>
                            <w:szCs w:val="18"/>
                          </w:rPr>
                        </w:pPr>
                        <w:r>
                          <w:rPr>
                            <w:rFonts w:hint="eastAsia"/>
                            <w:sz w:val="18"/>
                            <w:szCs w:val="18"/>
                          </w:rPr>
                          <w:t>废包装桶S5</w:t>
                        </w:r>
                      </w:p>
                    </w:txbxContent>
                  </v:textbox>
                </v:shape>
                <v:shape id="_x0000_s1026" o:spid="_x0000_s1026" o:spt="202" type="#_x0000_t202" style="position:absolute;left:3284855;top:5694680;height:736600;width:1130300;"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GT67H1AAAAAYBAAAPAAAAAAAAAAEAIAAAACIAAABkcnMvZG93bnJldi54bWxQSwECFAAUAAAA&#10;CACHTuJA7Y0hG7kBAABcAwAADgAAAAAAAAABACAAAAAjAQAAZHJzL2Uyb0RvYy54bWxQSwUGAAAA&#10;AAYABgBZAQAATgUAAAAA&#10;">
                  <v:fill on="f" focussize="0,0"/>
                  <v:stroke on="f"/>
                  <v:imagedata o:title=""/>
                  <o:lock v:ext="edit" aspectratio="f"/>
                  <v:textbox>
                    <w:txbxContent>
                      <w:p w14:paraId="639B48C4">
                        <w:pPr>
                          <w:rPr>
                            <w:sz w:val="18"/>
                            <w:szCs w:val="18"/>
                          </w:rPr>
                        </w:pPr>
                        <w:r>
                          <w:rPr>
                            <w:sz w:val="18"/>
                            <w:szCs w:val="18"/>
                          </w:rPr>
                          <w:t>喷漆废气G</w:t>
                        </w:r>
                        <w:r>
                          <w:rPr>
                            <w:rFonts w:hint="eastAsia"/>
                            <w:sz w:val="18"/>
                            <w:szCs w:val="18"/>
                          </w:rPr>
                          <w:t>15</w:t>
                        </w:r>
                      </w:p>
                      <w:p w14:paraId="4533CA4E">
                        <w:pPr>
                          <w:rPr>
                            <w:rFonts w:hint="eastAsia"/>
                            <w:sz w:val="18"/>
                            <w:szCs w:val="18"/>
                          </w:rPr>
                        </w:pPr>
                        <w:r>
                          <w:rPr>
                            <w:rFonts w:hint="eastAsia"/>
                            <w:sz w:val="18"/>
                            <w:szCs w:val="18"/>
                          </w:rPr>
                          <w:t>漆渣S8</w:t>
                        </w:r>
                      </w:p>
                      <w:p w14:paraId="0215036F">
                        <w:pPr>
                          <w:rPr>
                            <w:rFonts w:hint="eastAsia"/>
                            <w:sz w:val="18"/>
                            <w:szCs w:val="18"/>
                          </w:rPr>
                        </w:pPr>
                        <w:r>
                          <w:rPr>
                            <w:rFonts w:hint="eastAsia"/>
                            <w:sz w:val="18"/>
                            <w:szCs w:val="18"/>
                          </w:rPr>
                          <w:t>水帘</w:t>
                        </w:r>
                        <w:r>
                          <w:rPr>
                            <w:sz w:val="18"/>
                            <w:szCs w:val="18"/>
                          </w:rPr>
                          <w:t>废水W</w:t>
                        </w:r>
                        <w:r>
                          <w:rPr>
                            <w:rFonts w:hint="eastAsia"/>
                            <w:sz w:val="18"/>
                            <w:szCs w:val="18"/>
                          </w:rPr>
                          <w:t>5</w:t>
                        </w:r>
                      </w:p>
                      <w:p w14:paraId="6AA4577A">
                        <w:pPr>
                          <w:rPr>
                            <w:rFonts w:hint="eastAsia"/>
                            <w:sz w:val="18"/>
                            <w:szCs w:val="18"/>
                          </w:rPr>
                        </w:pPr>
                        <w:r>
                          <w:rPr>
                            <w:rFonts w:hint="eastAsia"/>
                            <w:sz w:val="18"/>
                            <w:szCs w:val="18"/>
                          </w:rPr>
                          <w:t>喷枪清洗废水W6</w:t>
                        </w:r>
                      </w:p>
                    </w:txbxContent>
                  </v:textbox>
                </v:shape>
                <v:shape id="_x0000_s1026" o:spid="_x0000_s1026" o:spt="202" type="#_x0000_t202" style="position:absolute;left:3313430;top:6370955;height:254000;width:889000;" filled="f" stroked="f" coordsize="21600,21600" o:gfxdata="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ZPrsfUAAAABgEAAA8AAAAAAAAAAQAgAAAAIgAAAGRycy9kb3ducmV2LnhtbFBLAQIUABQAAAAI&#10;AIdO4kBBajjyuAEAAFsDAAAOAAAAAAAAAAEAIAAAACMBAABkcnMvZTJvRG9jLnhtbFBLBQYAAAAA&#10;BgAGAFkBAABNBQAAAAA=&#10;">
                  <v:fill on="f" focussize="0,0"/>
                  <v:stroke on="f"/>
                  <v:imagedata o:title=""/>
                  <o:lock v:ext="edit" aspectratio="f"/>
                  <v:textbox>
                    <w:txbxContent>
                      <w:p w14:paraId="43ACBF4E">
                        <w:pPr>
                          <w:rPr>
                            <w:rFonts w:hint="eastAsia"/>
                            <w:sz w:val="18"/>
                            <w:szCs w:val="18"/>
                          </w:rPr>
                        </w:pPr>
                        <w:r>
                          <w:rPr>
                            <w:rFonts w:hint="eastAsia"/>
                            <w:sz w:val="18"/>
                            <w:szCs w:val="18"/>
                          </w:rPr>
                          <w:t>晾干废气G16</w:t>
                        </w:r>
                      </w:p>
                      <w:p w14:paraId="504C0EFF">
                        <w:pPr>
                          <w:pStyle w:val="4"/>
                          <w:spacing w:before="0" w:after="0" w:line="240" w:lineRule="auto"/>
                          <w:rPr>
                            <w:b w:val="0"/>
                            <w:bCs w:val="0"/>
                            <w:sz w:val="18"/>
                            <w:szCs w:val="18"/>
                          </w:rPr>
                        </w:pPr>
                      </w:p>
                    </w:txbxContent>
                  </v:textbox>
                </v:shape>
                <w10:wrap type="none"/>
                <w10:anchorlock/>
              </v:group>
            </w:pict>
          </mc:Fallback>
        </mc:AlternateContent>
      </w:r>
    </w:p>
    <w:p w14:paraId="7CBA8111">
      <w:pPr>
        <w:pStyle w:val="13"/>
        <w:spacing w:after="0" w:line="500" w:lineRule="exact"/>
        <w:jc w:val="center"/>
        <w:rPr>
          <w:rFonts w:hint="eastAsia" w:eastAsia="宋体"/>
          <w:b/>
          <w:bCs/>
          <w:kern w:val="0"/>
        </w:rPr>
      </w:pPr>
      <w:bookmarkStart w:id="110" w:name="_Toc11213"/>
      <w:r>
        <w:rPr>
          <w:rFonts w:hint="eastAsia" w:ascii="Times New Roman" w:hAnsi="Times New Roman" w:eastAsia="宋体" w:cs="Times New Roman"/>
          <w:b/>
          <w:bCs/>
          <w:kern w:val="0"/>
          <w:sz w:val="24"/>
          <w:szCs w:val="24"/>
        </w:rPr>
        <w:t>图1-1</w:t>
      </w:r>
      <w:r>
        <w:rPr>
          <w:rFonts w:hint="default" w:ascii="Times New Roman" w:hAnsi="Times New Roman" w:cs="Times New Roman"/>
          <w:b/>
        </w:rPr>
        <w:t>家具生产工艺流程图</w:t>
      </w:r>
    </w:p>
    <w:p w14:paraId="1ADB362E">
      <w:pPr>
        <w:pStyle w:val="48"/>
        <w:spacing w:line="360" w:lineRule="auto"/>
        <w:ind w:firstLine="480" w:firstLineChars="200"/>
        <w:rPr>
          <w:rFonts w:ascii="Times New Roman" w:eastAsia="宋体" w:cs="Times New Roman"/>
          <w:b w:val="0"/>
          <w:color w:val="auto"/>
        </w:rPr>
      </w:pPr>
      <w:r>
        <w:rPr>
          <w:rFonts w:hint="eastAsia" w:ascii="Times New Roman" w:eastAsia="宋体" w:cs="Times New Roman"/>
          <w:b w:val="0"/>
          <w:color w:val="auto"/>
        </w:rPr>
        <w:t>（1）冷压</w:t>
      </w:r>
      <w:r>
        <w:rPr>
          <w:rFonts w:ascii="Times New Roman" w:eastAsia="宋体" w:cs="Times New Roman"/>
          <w:b w:val="0"/>
          <w:color w:val="auto"/>
        </w:rPr>
        <w:t>：按照产品的尺寸要求，用白乳胶将</w:t>
      </w:r>
      <w:r>
        <w:rPr>
          <w:rFonts w:hint="eastAsia" w:ascii="Times New Roman" w:eastAsia="宋体" w:cs="Times New Roman"/>
          <w:b w:val="0"/>
          <w:color w:val="auto"/>
        </w:rPr>
        <w:t>木材</w:t>
      </w:r>
      <w:r>
        <w:rPr>
          <w:rFonts w:ascii="Times New Roman" w:eastAsia="宋体" w:cs="Times New Roman"/>
          <w:b w:val="0"/>
          <w:color w:val="auto"/>
        </w:rPr>
        <w:t>贴合，然后利用冷压机压紧。</w:t>
      </w:r>
      <w:r>
        <w:rPr>
          <w:rFonts w:hint="eastAsia" w:ascii="Times New Roman" w:eastAsia="宋体" w:cs="Times New Roman"/>
          <w:b w:val="0"/>
          <w:color w:val="auto"/>
        </w:rPr>
        <w:t>冷压</w:t>
      </w:r>
      <w:r>
        <w:rPr>
          <w:rFonts w:ascii="Times New Roman" w:eastAsia="宋体" w:cs="Times New Roman"/>
          <w:b w:val="0"/>
          <w:color w:val="auto"/>
        </w:rPr>
        <w:t>压板过程产生</w:t>
      </w:r>
      <w:r>
        <w:rPr>
          <w:rFonts w:hint="eastAsia" w:ascii="Times New Roman" w:eastAsia="宋体" w:cs="Times New Roman"/>
          <w:b w:val="0"/>
          <w:color w:val="auto"/>
        </w:rPr>
        <w:t>冷压</w:t>
      </w:r>
      <w:r>
        <w:rPr>
          <w:rFonts w:ascii="Times New Roman" w:eastAsia="宋体" w:cs="Times New Roman"/>
          <w:b w:val="0"/>
          <w:color w:val="auto"/>
        </w:rPr>
        <w:t>废气G</w:t>
      </w:r>
      <w:r>
        <w:rPr>
          <w:rFonts w:hint="eastAsia" w:ascii="Times New Roman" w:eastAsia="宋体" w:cs="Times New Roman"/>
          <w:b w:val="0"/>
          <w:color w:val="auto"/>
        </w:rPr>
        <w:t>1</w:t>
      </w:r>
      <w:r>
        <w:rPr>
          <w:rFonts w:ascii="Times New Roman" w:eastAsia="宋体" w:cs="Times New Roman"/>
          <w:b w:val="0"/>
          <w:color w:val="auto"/>
        </w:rPr>
        <w:t>噪声N</w:t>
      </w:r>
      <w:r>
        <w:rPr>
          <w:rFonts w:hint="eastAsia" w:ascii="Times New Roman" w:eastAsia="宋体" w:cs="Times New Roman"/>
          <w:b w:val="0"/>
          <w:color w:val="auto"/>
        </w:rPr>
        <w:t>。</w:t>
      </w:r>
    </w:p>
    <w:p w14:paraId="0967F981">
      <w:pPr>
        <w:adjustRightInd w:val="0"/>
        <w:snapToGrid w:val="0"/>
        <w:spacing w:line="360" w:lineRule="auto"/>
        <w:ind w:firstLine="480" w:firstLineChars="200"/>
        <w:rPr>
          <w:color w:val="auto"/>
          <w:kern w:val="0"/>
        </w:rPr>
      </w:pPr>
      <w:r>
        <w:rPr>
          <w:rFonts w:hint="eastAsia"/>
          <w:color w:val="auto"/>
          <w:kern w:val="0"/>
        </w:rPr>
        <w:t>（2）</w:t>
      </w:r>
      <w:r>
        <w:rPr>
          <w:rFonts w:hint="eastAsia"/>
          <w:color w:val="auto"/>
        </w:rPr>
        <w:t>开料</w:t>
      </w:r>
      <w:r>
        <w:rPr>
          <w:color w:val="auto"/>
        </w:rPr>
        <w:t>：使用</w:t>
      </w:r>
      <w:r>
        <w:rPr>
          <w:rFonts w:hint="eastAsia"/>
          <w:color w:val="auto"/>
        </w:rPr>
        <w:t>推台锯、裁板锯等</w:t>
      </w:r>
      <w:r>
        <w:rPr>
          <w:color w:val="auto"/>
        </w:rPr>
        <w:t>将</w:t>
      </w:r>
      <w:r>
        <w:rPr>
          <w:rFonts w:hint="eastAsia"/>
          <w:color w:val="auto"/>
        </w:rPr>
        <w:t>实木裁切</w:t>
      </w:r>
      <w:r>
        <w:rPr>
          <w:color w:val="auto"/>
        </w:rPr>
        <w:t>成相应规格的毛料，此过程会产生木工粉尘G</w:t>
      </w:r>
      <w:r>
        <w:rPr>
          <w:rFonts w:hint="eastAsia"/>
          <w:color w:val="auto"/>
        </w:rPr>
        <w:t>2</w:t>
      </w:r>
      <w:r>
        <w:rPr>
          <w:color w:val="auto"/>
        </w:rPr>
        <w:t>、</w:t>
      </w:r>
      <w:r>
        <w:rPr>
          <w:rFonts w:hint="eastAsia"/>
          <w:color w:val="auto"/>
        </w:rPr>
        <w:t>废木料</w:t>
      </w:r>
      <w:r>
        <w:rPr>
          <w:color w:val="auto"/>
        </w:rPr>
        <w:t>S</w:t>
      </w:r>
      <w:r>
        <w:rPr>
          <w:rFonts w:hint="eastAsia"/>
          <w:color w:val="auto"/>
        </w:rPr>
        <w:t>1</w:t>
      </w:r>
      <w:r>
        <w:rPr>
          <w:color w:val="auto"/>
        </w:rPr>
        <w:t>和噪声N</w:t>
      </w:r>
      <w:r>
        <w:rPr>
          <w:rFonts w:hint="eastAsia"/>
          <w:color w:val="auto"/>
          <w:kern w:val="0"/>
        </w:rPr>
        <w:t>。</w:t>
      </w:r>
    </w:p>
    <w:p w14:paraId="644C2264">
      <w:pPr>
        <w:adjustRightInd w:val="0"/>
        <w:snapToGrid w:val="0"/>
        <w:spacing w:line="360" w:lineRule="auto"/>
        <w:ind w:firstLine="480" w:firstLineChars="200"/>
        <w:rPr>
          <w:rFonts w:hint="eastAsia"/>
          <w:color w:val="auto"/>
          <w:kern w:val="0"/>
        </w:rPr>
      </w:pPr>
      <w:r>
        <w:rPr>
          <w:rFonts w:hint="eastAsia"/>
          <w:color w:val="auto"/>
          <w:kern w:val="0"/>
        </w:rPr>
        <w:t>（3）封边：</w:t>
      </w:r>
      <w:r>
        <w:rPr>
          <w:color w:val="auto"/>
        </w:rPr>
        <w:t>部分产品需要进行封边处理，使用热熔胶将PVC封边条粘贴在板材的轮廓，加热采用电加热，热熔胶控制温度120℃-160℃，固化时间20秒-50秒。封边过程产生</w:t>
      </w:r>
      <w:r>
        <w:rPr>
          <w:rFonts w:hint="eastAsia"/>
          <w:color w:val="auto"/>
        </w:rPr>
        <w:t>封边</w:t>
      </w:r>
      <w:r>
        <w:rPr>
          <w:color w:val="auto"/>
        </w:rPr>
        <w:t>废气G</w:t>
      </w:r>
      <w:r>
        <w:rPr>
          <w:rFonts w:hint="eastAsia"/>
          <w:color w:val="auto"/>
        </w:rPr>
        <w:t>3</w:t>
      </w:r>
      <w:r>
        <w:rPr>
          <w:color w:val="auto"/>
        </w:rPr>
        <w:t>和噪声N</w:t>
      </w:r>
      <w:r>
        <w:rPr>
          <w:rFonts w:hint="eastAsia"/>
          <w:color w:val="auto"/>
          <w:kern w:val="0"/>
        </w:rPr>
        <w:t>。</w:t>
      </w:r>
    </w:p>
    <w:p w14:paraId="74ACF5FB">
      <w:pPr>
        <w:adjustRightInd w:val="0"/>
        <w:snapToGrid w:val="0"/>
        <w:spacing w:line="360" w:lineRule="auto"/>
        <w:ind w:firstLine="480" w:firstLineChars="200"/>
        <w:rPr>
          <w:rFonts w:hint="eastAsia"/>
          <w:color w:val="auto"/>
          <w:kern w:val="0"/>
        </w:rPr>
      </w:pPr>
      <w:r>
        <w:rPr>
          <w:rFonts w:hint="eastAsia"/>
          <w:color w:val="auto"/>
          <w:kern w:val="0"/>
        </w:rPr>
        <w:t>（4）机加工：利用立铣、锁孔机等机加工设备对木料进行精加工，得到半成品，此过程产生木工粉尘G4、废木料S2和噪声N。</w:t>
      </w:r>
    </w:p>
    <w:p w14:paraId="22FEF4EA">
      <w:pPr>
        <w:adjustRightInd w:val="0"/>
        <w:snapToGrid w:val="0"/>
        <w:spacing w:line="360" w:lineRule="auto"/>
        <w:ind w:firstLine="480" w:firstLineChars="200"/>
        <w:rPr>
          <w:rFonts w:hint="eastAsia"/>
          <w:color w:val="auto"/>
          <w:kern w:val="0"/>
        </w:rPr>
      </w:pPr>
      <w:r>
        <w:rPr>
          <w:rFonts w:hint="eastAsia"/>
          <w:color w:val="auto"/>
          <w:kern w:val="0"/>
        </w:rPr>
        <w:t>（5）组装：对机加工好的家具各部件进行组装。组装使用白乳胶粘接，该过程产生胶粘废气G5。</w:t>
      </w:r>
    </w:p>
    <w:p w14:paraId="53FC5277">
      <w:pPr>
        <w:adjustRightInd w:val="0"/>
        <w:snapToGrid w:val="0"/>
        <w:spacing w:line="360" w:lineRule="auto"/>
        <w:ind w:firstLine="480" w:firstLineChars="200"/>
        <w:rPr>
          <w:rFonts w:hint="eastAsia"/>
          <w:color w:val="auto"/>
          <w:kern w:val="0"/>
        </w:rPr>
      </w:pPr>
      <w:r>
        <w:rPr>
          <w:rFonts w:hint="eastAsia"/>
          <w:color w:val="auto"/>
          <w:kern w:val="0"/>
        </w:rPr>
        <w:t>（6）打磨：木料经机加工后，加工处有毛刺、凹陷等，为保证喷漆前工件表面的洁净度，人工对木料进行打磨处理，以满足喷漆前木料表面平整光滑的要求，提高整体涂装效果。此工序产生白坯打磨粉尘G6。</w:t>
      </w:r>
    </w:p>
    <w:p w14:paraId="57B2DCB7">
      <w:pPr>
        <w:adjustRightInd w:val="0"/>
        <w:snapToGrid w:val="0"/>
        <w:spacing w:line="360" w:lineRule="auto"/>
        <w:ind w:firstLine="480" w:firstLineChars="200"/>
        <w:rPr>
          <w:rFonts w:hint="eastAsia"/>
          <w:color w:val="auto"/>
          <w:kern w:val="0"/>
        </w:rPr>
      </w:pPr>
      <w:r>
        <w:rPr>
          <w:rFonts w:hint="eastAsia"/>
          <w:color w:val="auto"/>
          <w:kern w:val="0"/>
        </w:rPr>
        <w:t>（7）涂装：</w:t>
      </w:r>
    </w:p>
    <w:p w14:paraId="48D68475">
      <w:pPr>
        <w:snapToGrid w:val="0"/>
        <w:spacing w:line="360" w:lineRule="auto"/>
        <w:ind w:firstLine="480" w:firstLineChars="200"/>
        <w:rPr>
          <w:rFonts w:hint="eastAsia" w:ascii="宋体" w:hAnsi="宋体" w:cs="宋体"/>
          <w:color w:val="FF0000"/>
          <w:szCs w:val="21"/>
        </w:rPr>
      </w:pPr>
      <w:r>
        <w:rPr>
          <w:rFonts w:ascii="Times New Roman" w:hAnsi="Times New Roman"/>
          <w:color w:val="FF0000"/>
          <w:sz w:val="24"/>
        </w:rPr>
        <w:t>本项目设置</w:t>
      </w:r>
      <w:r>
        <w:rPr>
          <w:rFonts w:hint="eastAsia" w:ascii="Times New Roman" w:hAnsi="Times New Roman"/>
          <w:color w:val="FF0000"/>
          <w:sz w:val="24"/>
          <w:lang w:val="en-US" w:eastAsia="zh-CN"/>
        </w:rPr>
        <w:t>1</w:t>
      </w:r>
      <w:r>
        <w:rPr>
          <w:rFonts w:ascii="Times New Roman" w:hAnsi="Times New Roman"/>
          <w:color w:val="FF0000"/>
          <w:sz w:val="24"/>
        </w:rPr>
        <w:t>个底漆喷漆房</w:t>
      </w:r>
      <w:r>
        <w:rPr>
          <w:rFonts w:hint="eastAsia" w:ascii="Times New Roman" w:hAnsi="Times New Roman"/>
          <w:color w:val="FF0000"/>
          <w:sz w:val="24"/>
          <w:lang w:eastAsia="zh-CN"/>
        </w:rPr>
        <w:t>、</w:t>
      </w:r>
      <w:r>
        <w:rPr>
          <w:rFonts w:hint="eastAsia" w:ascii="Times New Roman" w:hAnsi="Times New Roman"/>
          <w:color w:val="FF0000"/>
          <w:sz w:val="24"/>
          <w:lang w:val="en-US" w:eastAsia="zh-CN"/>
        </w:rPr>
        <w:t>1个</w:t>
      </w:r>
      <w:r>
        <w:rPr>
          <w:rFonts w:hint="eastAsia" w:ascii="Times New Roman" w:hAnsi="Times New Roman"/>
          <w:color w:val="FF0000"/>
          <w:sz w:val="24"/>
          <w:lang w:eastAsia="zh-CN"/>
        </w:rPr>
        <w:t>面</w:t>
      </w:r>
      <w:r>
        <w:rPr>
          <w:rFonts w:ascii="Times New Roman" w:hAnsi="Times New Roman"/>
          <w:color w:val="FF0000"/>
          <w:sz w:val="24"/>
        </w:rPr>
        <w:t>漆喷漆房</w:t>
      </w:r>
      <w:r>
        <w:rPr>
          <w:rFonts w:hint="eastAsia" w:ascii="Times New Roman" w:hAnsi="Times New Roman"/>
          <w:color w:val="FF0000"/>
          <w:sz w:val="24"/>
          <w:lang w:eastAsia="zh-CN"/>
        </w:rPr>
        <w:t>、</w:t>
      </w:r>
      <w:r>
        <w:rPr>
          <w:rFonts w:hint="eastAsia" w:ascii="Times New Roman" w:hAnsi="Times New Roman"/>
          <w:color w:val="FF0000"/>
          <w:sz w:val="24"/>
          <w:lang w:val="en-US" w:eastAsia="zh-CN"/>
        </w:rPr>
        <w:t>1个</w:t>
      </w:r>
      <w:r>
        <w:rPr>
          <w:rFonts w:hint="eastAsia" w:ascii="Times New Roman" w:hAnsi="Times New Roman"/>
          <w:color w:val="FF0000"/>
          <w:sz w:val="24"/>
          <w:lang w:eastAsia="zh-CN"/>
        </w:rPr>
        <w:t>色漆</w:t>
      </w:r>
      <w:r>
        <w:rPr>
          <w:rFonts w:ascii="Times New Roman" w:hAnsi="Times New Roman"/>
          <w:color w:val="FF0000"/>
          <w:sz w:val="24"/>
        </w:rPr>
        <w:t>喷漆房。喷涂工艺包括调漆、喷漆、晾干三</w:t>
      </w:r>
      <w:r>
        <w:rPr>
          <w:rFonts w:hint="eastAsia" w:ascii="Times New Roman" w:hAnsi="Times New Roman"/>
          <w:color w:val="FF0000"/>
          <w:sz w:val="24"/>
          <w:lang w:eastAsia="zh-CN"/>
        </w:rPr>
        <w:t>道</w:t>
      </w:r>
      <w:r>
        <w:rPr>
          <w:rFonts w:ascii="Times New Roman" w:hAnsi="Times New Roman"/>
          <w:color w:val="FF0000"/>
          <w:sz w:val="24"/>
        </w:rPr>
        <w:t>工序。</w:t>
      </w:r>
      <w:r>
        <w:rPr>
          <w:rFonts w:hint="eastAsia" w:ascii="Times New Roman" w:hAnsi="Times New Roman"/>
          <w:color w:val="FF0000"/>
          <w:sz w:val="24"/>
          <w:lang w:eastAsia="zh-CN"/>
        </w:rPr>
        <w:t>本项目涂装方式为</w:t>
      </w:r>
      <w:r>
        <w:rPr>
          <w:rFonts w:ascii="Times New Roman" w:hAnsi="Times New Roman"/>
          <w:color w:val="FF0000"/>
          <w:sz w:val="24"/>
        </w:rPr>
        <w:t>透木纹、显木眼的涂装方式</w:t>
      </w:r>
      <w:r>
        <w:rPr>
          <w:rFonts w:hint="eastAsia" w:ascii="Times New Roman" w:hAnsi="Times New Roman"/>
          <w:color w:val="FF0000"/>
          <w:sz w:val="24"/>
          <w:lang w:eastAsia="zh-CN"/>
        </w:rPr>
        <w:t>，</w:t>
      </w:r>
      <w:r>
        <w:rPr>
          <w:rFonts w:ascii="Times New Roman" w:hAnsi="Times New Roman"/>
          <w:color w:val="FF0000"/>
          <w:sz w:val="24"/>
        </w:rPr>
        <w:t>称为开放式涂装，因为要透木纹，保持木纹的真实情况</w:t>
      </w:r>
      <w:r>
        <w:rPr>
          <w:rFonts w:hint="eastAsia" w:ascii="Times New Roman" w:hAnsi="Times New Roman"/>
          <w:color w:val="FF0000"/>
          <w:sz w:val="24"/>
          <w:lang w:eastAsia="zh-CN"/>
        </w:rPr>
        <w:t>，</w:t>
      </w:r>
      <w:r>
        <w:rPr>
          <w:rFonts w:ascii="Times New Roman" w:hAnsi="Times New Roman"/>
          <w:color w:val="FF0000"/>
          <w:sz w:val="24"/>
        </w:rPr>
        <w:t>不需要</w:t>
      </w:r>
      <w:r>
        <w:rPr>
          <w:rFonts w:hint="eastAsia" w:ascii="Times New Roman" w:hAnsi="Times New Roman"/>
          <w:color w:val="FF0000"/>
          <w:sz w:val="24"/>
          <w:lang w:eastAsia="zh-CN"/>
        </w:rPr>
        <w:t>进行批</w:t>
      </w:r>
      <w:r>
        <w:rPr>
          <w:rFonts w:ascii="Times New Roman" w:hAnsi="Times New Roman"/>
          <w:color w:val="FF0000"/>
          <w:sz w:val="24"/>
        </w:rPr>
        <w:t>腻子</w:t>
      </w:r>
      <w:r>
        <w:rPr>
          <w:rFonts w:hint="eastAsia" w:ascii="Times New Roman" w:hAnsi="Times New Roman"/>
          <w:color w:val="FF0000"/>
          <w:sz w:val="24"/>
          <w:lang w:eastAsia="zh-CN"/>
        </w:rPr>
        <w:t>处理即可进行底漆喷涂。</w:t>
      </w:r>
    </w:p>
    <w:p w14:paraId="5EA1C18C">
      <w:pPr>
        <w:snapToGrid w:val="0"/>
        <w:spacing w:line="360" w:lineRule="auto"/>
        <w:ind w:firstLine="480" w:firstLineChars="200"/>
        <w:rPr>
          <w:color w:val="auto"/>
          <w:szCs w:val="21"/>
        </w:rPr>
      </w:pPr>
      <w:r>
        <w:rPr>
          <w:rFonts w:hint="eastAsia" w:ascii="宋体" w:hAnsi="宋体" w:cs="宋体"/>
          <w:color w:val="auto"/>
          <w:szCs w:val="21"/>
        </w:rPr>
        <w:t>①</w:t>
      </w:r>
      <w:r>
        <w:rPr>
          <w:color w:val="auto"/>
          <w:szCs w:val="21"/>
        </w:rPr>
        <w:t>调</w:t>
      </w:r>
      <w:r>
        <w:rPr>
          <w:rFonts w:hint="eastAsia"/>
          <w:color w:val="auto"/>
          <w:szCs w:val="21"/>
        </w:rPr>
        <w:t>底</w:t>
      </w:r>
      <w:r>
        <w:rPr>
          <w:color w:val="auto"/>
          <w:szCs w:val="21"/>
        </w:rPr>
        <w:t>漆</w:t>
      </w:r>
      <w:r>
        <w:rPr>
          <w:rFonts w:hint="eastAsia"/>
          <w:color w:val="auto"/>
          <w:szCs w:val="21"/>
        </w:rPr>
        <w:t>：</w:t>
      </w:r>
      <w:r>
        <w:rPr>
          <w:color w:val="auto"/>
          <w:szCs w:val="21"/>
        </w:rPr>
        <w:t>本项目调漆过程在密闭的</w:t>
      </w:r>
      <w:r>
        <w:rPr>
          <w:rFonts w:hint="eastAsia"/>
          <w:color w:val="auto"/>
          <w:szCs w:val="21"/>
        </w:rPr>
        <w:t>调漆</w:t>
      </w:r>
      <w:r>
        <w:rPr>
          <w:color w:val="auto"/>
          <w:szCs w:val="21"/>
        </w:rPr>
        <w:t>房内进行，将外购的</w:t>
      </w:r>
      <w:r>
        <w:rPr>
          <w:rFonts w:hint="eastAsia"/>
          <w:color w:val="auto"/>
          <w:kern w:val="0"/>
        </w:rPr>
        <w:t>水性涂料</w:t>
      </w:r>
      <w:r>
        <w:rPr>
          <w:color w:val="auto"/>
          <w:szCs w:val="21"/>
        </w:rPr>
        <w:t>和</w:t>
      </w:r>
      <w:r>
        <w:rPr>
          <w:rFonts w:hint="eastAsia"/>
          <w:color w:val="auto"/>
          <w:szCs w:val="21"/>
        </w:rPr>
        <w:t>固化剂、</w:t>
      </w:r>
      <w:r>
        <w:rPr>
          <w:color w:val="auto"/>
          <w:szCs w:val="21"/>
        </w:rPr>
        <w:t>水进行调配（配比为</w:t>
      </w:r>
      <w:r>
        <w:rPr>
          <w:rFonts w:hint="eastAsia"/>
          <w:color w:val="auto"/>
          <w:szCs w:val="21"/>
        </w:rPr>
        <w:t>水性</w:t>
      </w:r>
      <w:r>
        <w:rPr>
          <w:color w:val="auto"/>
          <w:szCs w:val="21"/>
        </w:rPr>
        <w:t>漆：</w:t>
      </w:r>
      <w:r>
        <w:rPr>
          <w:rFonts w:hint="eastAsia"/>
          <w:color w:val="auto"/>
          <w:szCs w:val="21"/>
        </w:rPr>
        <w:t>固化剂</w:t>
      </w:r>
      <w:r>
        <w:rPr>
          <w:color w:val="auto"/>
          <w:szCs w:val="21"/>
        </w:rPr>
        <w:t>：水=</w:t>
      </w:r>
      <w:r>
        <w:rPr>
          <w:bCs/>
          <w:color w:val="auto"/>
        </w:rPr>
        <w:t>100:5:10</w:t>
      </w:r>
      <w:r>
        <w:rPr>
          <w:color w:val="auto"/>
          <w:szCs w:val="21"/>
        </w:rPr>
        <w:t>），以备喷漆使用。调漆过程仅为简单的人工搅拌，不加热，在搅拌桶内进行，</w:t>
      </w:r>
      <w:r>
        <w:rPr>
          <w:rFonts w:hint="eastAsia"/>
          <w:color w:val="auto"/>
          <w:szCs w:val="21"/>
        </w:rPr>
        <w:t>搅拌桶调好漆后加盖密封好以备下次使用，不需清洗</w:t>
      </w:r>
      <w:r>
        <w:rPr>
          <w:color w:val="auto"/>
          <w:szCs w:val="21"/>
        </w:rPr>
        <w:t>。调漆过程中会产生调漆废气G</w:t>
      </w:r>
      <w:r>
        <w:rPr>
          <w:rFonts w:hint="eastAsia"/>
          <w:color w:val="auto"/>
          <w:szCs w:val="21"/>
        </w:rPr>
        <w:t>7和</w:t>
      </w:r>
      <w:r>
        <w:rPr>
          <w:color w:val="auto"/>
          <w:szCs w:val="21"/>
        </w:rPr>
        <w:t>废</w:t>
      </w:r>
      <w:r>
        <w:rPr>
          <w:rFonts w:hint="eastAsia"/>
          <w:color w:val="auto"/>
          <w:kern w:val="0"/>
        </w:rPr>
        <w:t>包装</w:t>
      </w:r>
      <w:r>
        <w:rPr>
          <w:color w:val="auto"/>
          <w:szCs w:val="21"/>
        </w:rPr>
        <w:t>桶S</w:t>
      </w:r>
      <w:r>
        <w:rPr>
          <w:rFonts w:hint="eastAsia"/>
          <w:color w:val="auto"/>
          <w:szCs w:val="21"/>
        </w:rPr>
        <w:t>3</w:t>
      </w:r>
      <w:r>
        <w:rPr>
          <w:color w:val="auto"/>
          <w:szCs w:val="21"/>
        </w:rPr>
        <w:t>。</w:t>
      </w:r>
    </w:p>
    <w:p w14:paraId="49247B38">
      <w:pPr>
        <w:snapToGrid w:val="0"/>
        <w:spacing w:line="360" w:lineRule="auto"/>
        <w:ind w:firstLine="480" w:firstLineChars="200"/>
        <w:rPr>
          <w:color w:val="auto"/>
          <w:szCs w:val="21"/>
        </w:rPr>
      </w:pPr>
      <w:r>
        <w:rPr>
          <w:rFonts w:hint="eastAsia" w:ascii="宋体" w:hAnsi="宋体" w:cs="宋体"/>
          <w:color w:val="auto"/>
          <w:szCs w:val="21"/>
        </w:rPr>
        <w:t>②</w:t>
      </w:r>
      <w:r>
        <w:rPr>
          <w:color w:val="auto"/>
          <w:szCs w:val="21"/>
        </w:rPr>
        <w:t>喷</w:t>
      </w:r>
      <w:r>
        <w:rPr>
          <w:rFonts w:hint="eastAsia"/>
          <w:color w:val="auto"/>
          <w:szCs w:val="21"/>
        </w:rPr>
        <w:t>底</w:t>
      </w:r>
      <w:r>
        <w:rPr>
          <w:color w:val="auto"/>
          <w:szCs w:val="21"/>
        </w:rPr>
        <w:t>漆</w:t>
      </w:r>
      <w:r>
        <w:rPr>
          <w:rFonts w:hint="eastAsia"/>
          <w:color w:val="auto"/>
          <w:szCs w:val="21"/>
        </w:rPr>
        <w:t>：</w:t>
      </w:r>
      <w:r>
        <w:rPr>
          <w:color w:val="auto"/>
          <w:szCs w:val="21"/>
        </w:rPr>
        <w:t>在喷漆房进行喷涂。喷漆方式采用</w:t>
      </w:r>
      <w:r>
        <w:rPr>
          <w:rFonts w:hint="eastAsia"/>
          <w:color w:val="auto"/>
          <w:szCs w:val="21"/>
        </w:rPr>
        <w:t>手动人工</w:t>
      </w:r>
      <w:r>
        <w:rPr>
          <w:color w:val="auto"/>
          <w:szCs w:val="21"/>
        </w:rPr>
        <w:t>喷涂的方式，利用喷漆房中的</w:t>
      </w:r>
      <w:r>
        <w:rPr>
          <w:rFonts w:hint="eastAsia"/>
          <w:color w:val="auto"/>
          <w:szCs w:val="21"/>
        </w:rPr>
        <w:t>1</w:t>
      </w:r>
      <w:r>
        <w:rPr>
          <w:color w:val="auto"/>
          <w:szCs w:val="21"/>
        </w:rPr>
        <w:t>把</w:t>
      </w:r>
      <w:r>
        <w:rPr>
          <w:rFonts w:hint="eastAsia"/>
          <w:color w:val="auto"/>
          <w:szCs w:val="21"/>
        </w:rPr>
        <w:t>手动</w:t>
      </w:r>
      <w:r>
        <w:rPr>
          <w:color w:val="auto"/>
          <w:szCs w:val="21"/>
        </w:rPr>
        <w:t>喷枪，采用喷枪（喷枪口径</w:t>
      </w:r>
      <w:r>
        <w:rPr>
          <w:rFonts w:hint="eastAsia"/>
          <w:color w:val="auto"/>
          <w:szCs w:val="21"/>
        </w:rPr>
        <w:t>1.0</w:t>
      </w:r>
      <w:r>
        <w:rPr>
          <w:color w:val="auto"/>
          <w:szCs w:val="21"/>
        </w:rPr>
        <w:t>mm，出漆量为</w:t>
      </w:r>
      <w:r>
        <w:rPr>
          <w:rFonts w:hint="eastAsia"/>
          <w:color w:val="auto"/>
          <w:szCs w:val="21"/>
        </w:rPr>
        <w:t>100ml</w:t>
      </w:r>
      <w:r>
        <w:rPr>
          <w:color w:val="auto"/>
          <w:szCs w:val="21"/>
        </w:rPr>
        <w:t>/min）对工件表面喷涂</w:t>
      </w:r>
      <w:r>
        <w:rPr>
          <w:rFonts w:hint="eastAsia"/>
          <w:color w:val="auto"/>
          <w:kern w:val="0"/>
        </w:rPr>
        <w:t>水性涂料</w:t>
      </w:r>
      <w:r>
        <w:rPr>
          <w:color w:val="auto"/>
          <w:szCs w:val="21"/>
        </w:rPr>
        <w:t>。</w:t>
      </w:r>
      <w:r>
        <w:rPr>
          <w:rFonts w:hint="eastAsia"/>
          <w:color w:val="auto"/>
          <w:szCs w:val="21"/>
        </w:rPr>
        <w:t>底漆</w:t>
      </w:r>
      <w:r>
        <w:rPr>
          <w:color w:val="auto"/>
          <w:szCs w:val="21"/>
        </w:rPr>
        <w:t>喷一道。</w:t>
      </w:r>
      <w:r>
        <w:rPr>
          <w:rFonts w:hint="eastAsia"/>
          <w:color w:val="auto"/>
          <w:szCs w:val="21"/>
        </w:rPr>
        <w:t>空气喷涂</w:t>
      </w:r>
      <w:r>
        <w:rPr>
          <w:color w:val="auto"/>
          <w:szCs w:val="21"/>
        </w:rPr>
        <w:t>附着率可达到</w:t>
      </w:r>
      <w:r>
        <w:rPr>
          <w:rFonts w:hint="eastAsia"/>
          <w:color w:val="auto"/>
          <w:szCs w:val="21"/>
        </w:rPr>
        <w:t>50</w:t>
      </w:r>
      <w:r>
        <w:rPr>
          <w:color w:val="auto"/>
          <w:szCs w:val="21"/>
        </w:rPr>
        <w:t>%。每班次喷漆结束时用自来水冲洗喷枪。喷漆过程中会产生喷漆废气G</w:t>
      </w:r>
      <w:r>
        <w:rPr>
          <w:rFonts w:hint="eastAsia"/>
          <w:color w:val="auto"/>
          <w:szCs w:val="21"/>
        </w:rPr>
        <w:t>8</w:t>
      </w:r>
      <w:r>
        <w:rPr>
          <w:color w:val="auto"/>
          <w:szCs w:val="21"/>
        </w:rPr>
        <w:t>、漆渣S</w:t>
      </w:r>
      <w:r>
        <w:rPr>
          <w:rFonts w:hint="eastAsia"/>
          <w:color w:val="auto"/>
          <w:szCs w:val="21"/>
        </w:rPr>
        <w:t>4</w:t>
      </w:r>
      <w:r>
        <w:rPr>
          <w:color w:val="auto"/>
          <w:szCs w:val="21"/>
        </w:rPr>
        <w:t>、</w:t>
      </w:r>
      <w:r>
        <w:rPr>
          <w:rFonts w:hint="eastAsia"/>
          <w:color w:val="auto"/>
          <w:szCs w:val="21"/>
        </w:rPr>
        <w:t>水帘废水W1、</w:t>
      </w:r>
      <w:r>
        <w:rPr>
          <w:color w:val="auto"/>
          <w:szCs w:val="21"/>
        </w:rPr>
        <w:t>喷枪清洗废</w:t>
      </w:r>
      <w:r>
        <w:rPr>
          <w:rFonts w:hint="eastAsia"/>
          <w:color w:val="auto"/>
          <w:szCs w:val="21"/>
        </w:rPr>
        <w:t>水W2</w:t>
      </w:r>
      <w:r>
        <w:rPr>
          <w:color w:val="auto"/>
          <w:szCs w:val="21"/>
        </w:rPr>
        <w:t>。</w:t>
      </w:r>
    </w:p>
    <w:p w14:paraId="020C3CFA">
      <w:pPr>
        <w:snapToGrid w:val="0"/>
        <w:spacing w:line="360" w:lineRule="auto"/>
        <w:ind w:firstLine="480" w:firstLineChars="200"/>
        <w:rPr>
          <w:rFonts w:hint="eastAsia"/>
          <w:color w:val="auto"/>
          <w:kern w:val="0"/>
        </w:rPr>
      </w:pPr>
      <w:r>
        <w:rPr>
          <w:rFonts w:hint="eastAsia" w:ascii="宋体" w:hAnsi="宋体" w:cs="宋体"/>
          <w:color w:val="auto"/>
          <w:szCs w:val="21"/>
        </w:rPr>
        <w:t>③</w:t>
      </w:r>
      <w:r>
        <w:rPr>
          <w:rFonts w:hint="eastAsia"/>
          <w:color w:val="auto"/>
          <w:szCs w:val="21"/>
        </w:rPr>
        <w:t>晾干：</w:t>
      </w:r>
      <w:r>
        <w:rPr>
          <w:rFonts w:hint="eastAsia"/>
          <w:color w:val="auto"/>
          <w:kern w:val="0"/>
        </w:rPr>
        <w:t>喷完漆后，工件推至密闭的晾干房自然晾干</w:t>
      </w:r>
      <w:r>
        <w:rPr>
          <w:rFonts w:hint="eastAsia"/>
          <w:color w:val="auto"/>
          <w:kern w:val="0"/>
          <w:lang w:eastAsia="zh-CN"/>
        </w:rPr>
        <w:t>，</w:t>
      </w:r>
      <w:r>
        <w:rPr>
          <w:rFonts w:hint="eastAsia"/>
          <w:color w:val="FF0000"/>
          <w:kern w:val="0"/>
          <w:lang w:eastAsia="zh-CN"/>
        </w:rPr>
        <w:t>冬季气温低时使用盘管电加热辅助晾干</w:t>
      </w:r>
      <w:r>
        <w:rPr>
          <w:rFonts w:hint="eastAsia"/>
          <w:color w:val="FF0000"/>
          <w:kern w:val="0"/>
        </w:rPr>
        <w:t>。</w:t>
      </w:r>
      <w:r>
        <w:rPr>
          <w:rFonts w:hint="eastAsia"/>
          <w:color w:val="auto"/>
          <w:kern w:val="0"/>
        </w:rPr>
        <w:t>此工序产生晾干废气G9。</w:t>
      </w:r>
    </w:p>
    <w:p w14:paraId="3BAA2098">
      <w:pPr>
        <w:snapToGrid w:val="0"/>
        <w:spacing w:line="360" w:lineRule="auto"/>
        <w:ind w:firstLine="480" w:firstLineChars="200"/>
        <w:rPr>
          <w:rFonts w:hint="eastAsia" w:ascii="宋体" w:hAnsi="宋体" w:cs="宋体"/>
          <w:color w:val="auto"/>
          <w:szCs w:val="21"/>
        </w:rPr>
      </w:pPr>
      <w:r>
        <w:rPr>
          <w:color w:val="auto"/>
          <w:szCs w:val="21"/>
        </w:rPr>
        <w:t>④底漆打磨：根据工件表面漆膜情况，采用气磨进行打磨，去除毛刺，使得表面平整、光滑，便于产生粗糙面，提高涂层的附着力，此过程产生打磨染料尘G1</w:t>
      </w:r>
      <w:r>
        <w:rPr>
          <w:rFonts w:hint="eastAsia"/>
          <w:color w:val="auto"/>
          <w:szCs w:val="21"/>
        </w:rPr>
        <w:t>0</w:t>
      </w:r>
      <w:r>
        <w:rPr>
          <w:rFonts w:hint="eastAsia" w:ascii="宋体" w:hAnsi="宋体" w:cs="宋体"/>
          <w:color w:val="auto"/>
          <w:szCs w:val="21"/>
        </w:rPr>
        <w:t>。</w:t>
      </w:r>
    </w:p>
    <w:p w14:paraId="4D3CD275">
      <w:pPr>
        <w:snapToGrid w:val="0"/>
        <w:spacing w:line="360" w:lineRule="auto"/>
        <w:ind w:firstLine="480" w:firstLineChars="200"/>
        <w:rPr>
          <w:color w:val="auto"/>
          <w:szCs w:val="21"/>
        </w:rPr>
      </w:pPr>
      <w:r>
        <w:rPr>
          <w:rFonts w:hint="eastAsia" w:ascii="宋体" w:hAnsi="宋体" w:cs="宋体"/>
          <w:color w:val="auto"/>
          <w:szCs w:val="21"/>
        </w:rPr>
        <w:t>⑤</w:t>
      </w:r>
      <w:r>
        <w:rPr>
          <w:color w:val="auto"/>
          <w:szCs w:val="21"/>
        </w:rPr>
        <w:t>调</w:t>
      </w:r>
      <w:r>
        <w:rPr>
          <w:rFonts w:hint="eastAsia"/>
          <w:color w:val="auto"/>
          <w:szCs w:val="21"/>
        </w:rPr>
        <w:t>面</w:t>
      </w:r>
      <w:r>
        <w:rPr>
          <w:color w:val="auto"/>
          <w:szCs w:val="21"/>
        </w:rPr>
        <w:t>漆</w:t>
      </w:r>
      <w:r>
        <w:rPr>
          <w:rFonts w:hint="eastAsia"/>
          <w:color w:val="auto"/>
          <w:szCs w:val="21"/>
        </w:rPr>
        <w:t>：</w:t>
      </w:r>
      <w:r>
        <w:rPr>
          <w:color w:val="auto"/>
          <w:szCs w:val="21"/>
        </w:rPr>
        <w:t>本项目调漆过程在密闭的</w:t>
      </w:r>
      <w:r>
        <w:rPr>
          <w:rFonts w:hint="eastAsia"/>
          <w:color w:val="auto"/>
          <w:szCs w:val="21"/>
        </w:rPr>
        <w:t>调漆</w:t>
      </w:r>
      <w:r>
        <w:rPr>
          <w:color w:val="auto"/>
          <w:szCs w:val="21"/>
        </w:rPr>
        <w:t>房内进行，将外购的</w:t>
      </w:r>
      <w:r>
        <w:rPr>
          <w:rFonts w:hint="eastAsia"/>
          <w:color w:val="auto"/>
          <w:kern w:val="0"/>
        </w:rPr>
        <w:t>水性涂料</w:t>
      </w:r>
      <w:r>
        <w:rPr>
          <w:color w:val="auto"/>
          <w:szCs w:val="21"/>
        </w:rPr>
        <w:t>和</w:t>
      </w:r>
      <w:r>
        <w:rPr>
          <w:rFonts w:hint="eastAsia"/>
          <w:color w:val="auto"/>
          <w:szCs w:val="21"/>
        </w:rPr>
        <w:t>固化剂、</w:t>
      </w:r>
      <w:r>
        <w:rPr>
          <w:color w:val="auto"/>
          <w:szCs w:val="21"/>
        </w:rPr>
        <w:t>水进行调配（配比为</w:t>
      </w:r>
      <w:r>
        <w:rPr>
          <w:rFonts w:hint="eastAsia"/>
          <w:color w:val="auto"/>
          <w:szCs w:val="21"/>
        </w:rPr>
        <w:t>水性</w:t>
      </w:r>
      <w:r>
        <w:rPr>
          <w:color w:val="auto"/>
          <w:szCs w:val="21"/>
        </w:rPr>
        <w:t>漆：</w:t>
      </w:r>
      <w:r>
        <w:rPr>
          <w:rFonts w:hint="eastAsia"/>
          <w:color w:val="auto"/>
          <w:szCs w:val="21"/>
        </w:rPr>
        <w:t>固化剂</w:t>
      </w:r>
      <w:r>
        <w:rPr>
          <w:color w:val="auto"/>
          <w:szCs w:val="21"/>
        </w:rPr>
        <w:t>：水=</w:t>
      </w:r>
      <w:r>
        <w:rPr>
          <w:bCs/>
          <w:color w:val="auto"/>
        </w:rPr>
        <w:t>100:</w:t>
      </w:r>
      <w:r>
        <w:rPr>
          <w:rFonts w:hint="eastAsia"/>
          <w:bCs/>
          <w:color w:val="auto"/>
        </w:rPr>
        <w:t>5</w:t>
      </w:r>
      <w:r>
        <w:rPr>
          <w:bCs/>
          <w:color w:val="auto"/>
        </w:rPr>
        <w:t>:10</w:t>
      </w:r>
      <w:r>
        <w:rPr>
          <w:color w:val="auto"/>
          <w:szCs w:val="21"/>
        </w:rPr>
        <w:t>），以备喷漆使用。调漆过程仅为简单的人工搅拌，不加热，在搅拌桶内进行，</w:t>
      </w:r>
      <w:r>
        <w:rPr>
          <w:rFonts w:hint="eastAsia"/>
          <w:color w:val="auto"/>
          <w:szCs w:val="21"/>
        </w:rPr>
        <w:t>搅拌桶调好漆后加盖密封好以备下次使用，不需清洗</w:t>
      </w:r>
      <w:r>
        <w:rPr>
          <w:color w:val="auto"/>
          <w:szCs w:val="21"/>
        </w:rPr>
        <w:t>。调漆过程中会产生调漆废气G</w:t>
      </w:r>
      <w:r>
        <w:rPr>
          <w:rFonts w:hint="eastAsia"/>
          <w:color w:val="auto"/>
          <w:szCs w:val="21"/>
        </w:rPr>
        <w:t>11和</w:t>
      </w:r>
      <w:r>
        <w:rPr>
          <w:color w:val="auto"/>
          <w:szCs w:val="21"/>
        </w:rPr>
        <w:t>废</w:t>
      </w:r>
      <w:r>
        <w:rPr>
          <w:rFonts w:hint="eastAsia"/>
          <w:color w:val="auto"/>
          <w:kern w:val="0"/>
        </w:rPr>
        <w:t>包装</w:t>
      </w:r>
      <w:r>
        <w:rPr>
          <w:color w:val="auto"/>
          <w:szCs w:val="21"/>
        </w:rPr>
        <w:t>桶S</w:t>
      </w:r>
      <w:r>
        <w:rPr>
          <w:rFonts w:hint="eastAsia"/>
          <w:color w:val="auto"/>
          <w:szCs w:val="21"/>
        </w:rPr>
        <w:t>5</w:t>
      </w:r>
      <w:r>
        <w:rPr>
          <w:color w:val="auto"/>
          <w:szCs w:val="21"/>
        </w:rPr>
        <w:t>。</w:t>
      </w:r>
    </w:p>
    <w:p w14:paraId="7796F9B5">
      <w:pPr>
        <w:snapToGrid w:val="0"/>
        <w:spacing w:line="360" w:lineRule="auto"/>
        <w:ind w:firstLine="480" w:firstLineChars="200"/>
        <w:rPr>
          <w:color w:val="auto"/>
          <w:szCs w:val="21"/>
        </w:rPr>
      </w:pPr>
      <w:r>
        <w:rPr>
          <w:rFonts w:hint="eastAsia" w:ascii="宋体" w:hAnsi="宋体" w:cs="宋体"/>
          <w:color w:val="auto"/>
          <w:szCs w:val="21"/>
        </w:rPr>
        <w:t>⑥</w:t>
      </w:r>
      <w:r>
        <w:rPr>
          <w:color w:val="auto"/>
          <w:szCs w:val="21"/>
        </w:rPr>
        <w:t>喷</w:t>
      </w:r>
      <w:r>
        <w:rPr>
          <w:rFonts w:hint="eastAsia"/>
          <w:color w:val="auto"/>
          <w:szCs w:val="21"/>
        </w:rPr>
        <w:t>面</w:t>
      </w:r>
      <w:r>
        <w:rPr>
          <w:color w:val="auto"/>
          <w:szCs w:val="21"/>
        </w:rPr>
        <w:t>漆</w:t>
      </w:r>
      <w:r>
        <w:rPr>
          <w:rFonts w:hint="eastAsia"/>
          <w:color w:val="auto"/>
          <w:szCs w:val="21"/>
        </w:rPr>
        <w:t>：</w:t>
      </w:r>
      <w:r>
        <w:rPr>
          <w:color w:val="auto"/>
          <w:szCs w:val="21"/>
        </w:rPr>
        <w:t>在喷漆房进行喷涂。喷漆方式采用</w:t>
      </w:r>
      <w:r>
        <w:rPr>
          <w:rFonts w:hint="eastAsia"/>
          <w:color w:val="auto"/>
          <w:szCs w:val="21"/>
        </w:rPr>
        <w:t>手动人工</w:t>
      </w:r>
      <w:r>
        <w:rPr>
          <w:color w:val="auto"/>
          <w:szCs w:val="21"/>
        </w:rPr>
        <w:t>喷涂的方式，利用喷漆房中的</w:t>
      </w:r>
      <w:r>
        <w:rPr>
          <w:rFonts w:hint="eastAsia"/>
          <w:color w:val="auto"/>
          <w:szCs w:val="21"/>
        </w:rPr>
        <w:t>1</w:t>
      </w:r>
      <w:r>
        <w:rPr>
          <w:color w:val="auto"/>
          <w:szCs w:val="21"/>
        </w:rPr>
        <w:t>把</w:t>
      </w:r>
      <w:r>
        <w:rPr>
          <w:rFonts w:hint="eastAsia"/>
          <w:color w:val="auto"/>
          <w:szCs w:val="21"/>
        </w:rPr>
        <w:t>手动</w:t>
      </w:r>
      <w:r>
        <w:rPr>
          <w:color w:val="auto"/>
          <w:szCs w:val="21"/>
        </w:rPr>
        <w:t>喷枪，采用喷枪（喷枪口径</w:t>
      </w:r>
      <w:r>
        <w:rPr>
          <w:rFonts w:hint="eastAsia"/>
          <w:color w:val="auto"/>
          <w:szCs w:val="21"/>
        </w:rPr>
        <w:t>1.0</w:t>
      </w:r>
      <w:r>
        <w:rPr>
          <w:color w:val="auto"/>
          <w:szCs w:val="21"/>
        </w:rPr>
        <w:t>mm，出漆量为</w:t>
      </w:r>
      <w:r>
        <w:rPr>
          <w:rFonts w:hint="eastAsia"/>
          <w:color w:val="auto"/>
          <w:szCs w:val="21"/>
        </w:rPr>
        <w:t>100ml</w:t>
      </w:r>
      <w:r>
        <w:rPr>
          <w:color w:val="auto"/>
          <w:szCs w:val="21"/>
        </w:rPr>
        <w:t>/min）对工件表面喷涂</w:t>
      </w:r>
      <w:r>
        <w:rPr>
          <w:rFonts w:hint="eastAsia"/>
          <w:color w:val="auto"/>
          <w:kern w:val="0"/>
        </w:rPr>
        <w:t>水性涂料</w:t>
      </w:r>
      <w:r>
        <w:rPr>
          <w:color w:val="auto"/>
          <w:szCs w:val="21"/>
        </w:rPr>
        <w:t>。</w:t>
      </w:r>
      <w:r>
        <w:rPr>
          <w:rFonts w:hint="eastAsia"/>
          <w:color w:val="auto"/>
          <w:szCs w:val="21"/>
        </w:rPr>
        <w:t>面漆</w:t>
      </w:r>
      <w:r>
        <w:rPr>
          <w:color w:val="auto"/>
          <w:szCs w:val="21"/>
        </w:rPr>
        <w:t>喷一道。</w:t>
      </w:r>
      <w:r>
        <w:rPr>
          <w:rFonts w:hint="eastAsia"/>
          <w:color w:val="auto"/>
          <w:szCs w:val="21"/>
        </w:rPr>
        <w:t>空气喷涂</w:t>
      </w:r>
      <w:r>
        <w:rPr>
          <w:color w:val="auto"/>
          <w:szCs w:val="21"/>
        </w:rPr>
        <w:t>附着率可达到</w:t>
      </w:r>
      <w:r>
        <w:rPr>
          <w:rFonts w:hint="eastAsia"/>
          <w:color w:val="auto"/>
          <w:szCs w:val="21"/>
        </w:rPr>
        <w:t>50</w:t>
      </w:r>
      <w:r>
        <w:rPr>
          <w:color w:val="auto"/>
          <w:szCs w:val="21"/>
        </w:rPr>
        <w:t>%。每班次喷漆结束时用自来水冲洗喷枪。喷漆过程中会产生喷漆废气G</w:t>
      </w:r>
      <w:r>
        <w:rPr>
          <w:rFonts w:hint="eastAsia"/>
          <w:color w:val="auto"/>
          <w:szCs w:val="21"/>
        </w:rPr>
        <w:t>12</w:t>
      </w:r>
      <w:r>
        <w:rPr>
          <w:color w:val="auto"/>
          <w:szCs w:val="21"/>
        </w:rPr>
        <w:t>、漆渣S</w:t>
      </w:r>
      <w:r>
        <w:rPr>
          <w:rFonts w:hint="eastAsia"/>
          <w:color w:val="auto"/>
          <w:szCs w:val="21"/>
        </w:rPr>
        <w:t>6</w:t>
      </w:r>
      <w:r>
        <w:rPr>
          <w:color w:val="auto"/>
          <w:szCs w:val="21"/>
        </w:rPr>
        <w:t>、</w:t>
      </w:r>
      <w:r>
        <w:rPr>
          <w:rFonts w:hint="eastAsia"/>
          <w:color w:val="auto"/>
          <w:szCs w:val="21"/>
        </w:rPr>
        <w:t>水帘废水W3、</w:t>
      </w:r>
      <w:r>
        <w:rPr>
          <w:color w:val="auto"/>
          <w:szCs w:val="21"/>
        </w:rPr>
        <w:t>喷枪清洗废</w:t>
      </w:r>
      <w:r>
        <w:rPr>
          <w:rFonts w:hint="eastAsia"/>
          <w:color w:val="auto"/>
          <w:szCs w:val="21"/>
        </w:rPr>
        <w:t>水W4</w:t>
      </w:r>
      <w:r>
        <w:rPr>
          <w:color w:val="auto"/>
          <w:szCs w:val="21"/>
        </w:rPr>
        <w:t>。</w:t>
      </w:r>
    </w:p>
    <w:p w14:paraId="59451FFF">
      <w:pPr>
        <w:snapToGrid w:val="0"/>
        <w:spacing w:line="360" w:lineRule="auto"/>
        <w:ind w:firstLine="480" w:firstLineChars="200"/>
        <w:rPr>
          <w:rFonts w:hint="eastAsia"/>
          <w:color w:val="auto"/>
          <w:kern w:val="0"/>
        </w:rPr>
      </w:pPr>
      <w:r>
        <w:rPr>
          <w:rFonts w:hint="eastAsia" w:ascii="宋体" w:hAnsi="宋体" w:cs="宋体"/>
          <w:color w:val="auto"/>
          <w:szCs w:val="21"/>
        </w:rPr>
        <w:t>⑦</w:t>
      </w:r>
      <w:r>
        <w:rPr>
          <w:rFonts w:hint="eastAsia"/>
          <w:color w:val="auto"/>
          <w:szCs w:val="21"/>
        </w:rPr>
        <w:t>晾干：</w:t>
      </w:r>
      <w:r>
        <w:rPr>
          <w:rFonts w:hint="eastAsia"/>
          <w:color w:val="auto"/>
          <w:kern w:val="0"/>
        </w:rPr>
        <w:t>喷完漆后，工件推至密闭的晾干房自然晾干</w:t>
      </w:r>
      <w:r>
        <w:rPr>
          <w:rFonts w:hint="eastAsia"/>
          <w:color w:val="FF0000"/>
          <w:kern w:val="0"/>
          <w:lang w:eastAsia="zh-CN"/>
        </w:rPr>
        <w:t>，冬季气温低时使用盘管电加热辅助晾干</w:t>
      </w:r>
      <w:r>
        <w:rPr>
          <w:rFonts w:hint="eastAsia"/>
          <w:color w:val="FF0000"/>
          <w:kern w:val="0"/>
        </w:rPr>
        <w:t>。</w:t>
      </w:r>
      <w:r>
        <w:rPr>
          <w:rFonts w:hint="eastAsia"/>
          <w:color w:val="auto"/>
          <w:kern w:val="0"/>
        </w:rPr>
        <w:t>此工序产生晾干废气G13。</w:t>
      </w:r>
    </w:p>
    <w:p w14:paraId="00200D7D">
      <w:pPr>
        <w:snapToGrid w:val="0"/>
        <w:spacing w:line="360" w:lineRule="auto"/>
        <w:ind w:firstLine="480" w:firstLineChars="200"/>
        <w:rPr>
          <w:color w:val="FF0000"/>
          <w:szCs w:val="21"/>
        </w:rPr>
      </w:pPr>
      <w:r>
        <w:rPr>
          <w:rFonts w:hint="eastAsia" w:ascii="宋体" w:hAnsi="宋体" w:cs="宋体"/>
          <w:color w:val="FF0000"/>
          <w:szCs w:val="21"/>
        </w:rPr>
        <w:t>⑤</w:t>
      </w:r>
      <w:r>
        <w:rPr>
          <w:color w:val="FF0000"/>
          <w:szCs w:val="21"/>
        </w:rPr>
        <w:t>调</w:t>
      </w:r>
      <w:r>
        <w:rPr>
          <w:rFonts w:hint="eastAsia"/>
          <w:color w:val="FF0000"/>
          <w:szCs w:val="21"/>
        </w:rPr>
        <w:t>色</w:t>
      </w:r>
      <w:r>
        <w:rPr>
          <w:color w:val="FF0000"/>
          <w:szCs w:val="21"/>
        </w:rPr>
        <w:t>漆</w:t>
      </w:r>
      <w:r>
        <w:rPr>
          <w:rFonts w:hint="eastAsia"/>
          <w:color w:val="FF0000"/>
          <w:szCs w:val="21"/>
        </w:rPr>
        <w:t>：</w:t>
      </w:r>
      <w:r>
        <w:rPr>
          <w:color w:val="FF0000"/>
          <w:szCs w:val="21"/>
        </w:rPr>
        <w:t>本项目调漆过程在密闭的</w:t>
      </w:r>
      <w:r>
        <w:rPr>
          <w:rFonts w:hint="eastAsia"/>
          <w:color w:val="FF0000"/>
          <w:szCs w:val="21"/>
        </w:rPr>
        <w:t>调漆</w:t>
      </w:r>
      <w:r>
        <w:rPr>
          <w:color w:val="FF0000"/>
          <w:szCs w:val="21"/>
        </w:rPr>
        <w:t>房内进行，将外购的</w:t>
      </w:r>
      <w:r>
        <w:rPr>
          <w:rFonts w:hint="eastAsia"/>
          <w:color w:val="FF0000"/>
          <w:kern w:val="0"/>
        </w:rPr>
        <w:t>水性涂料</w:t>
      </w:r>
      <w:r>
        <w:rPr>
          <w:color w:val="FF0000"/>
          <w:szCs w:val="21"/>
        </w:rPr>
        <w:t>和</w:t>
      </w:r>
      <w:r>
        <w:rPr>
          <w:rFonts w:hint="eastAsia"/>
          <w:color w:val="FF0000"/>
          <w:szCs w:val="21"/>
        </w:rPr>
        <w:t>固化剂、</w:t>
      </w:r>
      <w:r>
        <w:rPr>
          <w:color w:val="FF0000"/>
          <w:szCs w:val="21"/>
        </w:rPr>
        <w:t>水</w:t>
      </w:r>
      <w:r>
        <w:rPr>
          <w:rFonts w:hint="eastAsia"/>
          <w:color w:val="FF0000"/>
          <w:szCs w:val="21"/>
          <w:lang w:eastAsia="zh-CN"/>
        </w:rPr>
        <w:t>、色精</w:t>
      </w:r>
      <w:r>
        <w:rPr>
          <w:color w:val="FF0000"/>
          <w:szCs w:val="21"/>
        </w:rPr>
        <w:t>进行调配（配比为</w:t>
      </w:r>
      <w:r>
        <w:rPr>
          <w:rFonts w:hint="eastAsia"/>
          <w:color w:val="FF0000"/>
          <w:szCs w:val="21"/>
        </w:rPr>
        <w:t>水性</w:t>
      </w:r>
      <w:r>
        <w:rPr>
          <w:color w:val="FF0000"/>
          <w:szCs w:val="21"/>
        </w:rPr>
        <w:t>漆：</w:t>
      </w:r>
      <w:r>
        <w:rPr>
          <w:rFonts w:hint="eastAsia"/>
          <w:color w:val="FF0000"/>
          <w:szCs w:val="21"/>
        </w:rPr>
        <w:t>固化剂</w:t>
      </w:r>
      <w:r>
        <w:rPr>
          <w:color w:val="FF0000"/>
          <w:szCs w:val="21"/>
        </w:rPr>
        <w:t>：水=</w:t>
      </w:r>
      <w:r>
        <w:rPr>
          <w:bCs/>
          <w:color w:val="FF0000"/>
        </w:rPr>
        <w:t>100:</w:t>
      </w:r>
      <w:r>
        <w:rPr>
          <w:rFonts w:hint="eastAsia"/>
          <w:bCs/>
          <w:color w:val="FF0000"/>
        </w:rPr>
        <w:t>20</w:t>
      </w:r>
      <w:r>
        <w:rPr>
          <w:bCs/>
          <w:color w:val="FF0000"/>
        </w:rPr>
        <w:t>:10</w:t>
      </w:r>
      <w:r>
        <w:rPr>
          <w:color w:val="FF0000"/>
          <w:szCs w:val="21"/>
        </w:rPr>
        <w:t>），以备喷漆使用。调漆过程仅为简单的人工搅拌，不加热，在搅拌桶内进行，</w:t>
      </w:r>
      <w:r>
        <w:rPr>
          <w:rFonts w:hint="eastAsia"/>
          <w:color w:val="FF0000"/>
          <w:szCs w:val="21"/>
        </w:rPr>
        <w:t>搅拌桶调好漆后加盖密封好以备下次使用，不需清洗</w:t>
      </w:r>
      <w:r>
        <w:rPr>
          <w:color w:val="FF0000"/>
          <w:szCs w:val="21"/>
        </w:rPr>
        <w:t>。调漆过程中会产生调漆废气G</w:t>
      </w:r>
      <w:r>
        <w:rPr>
          <w:rFonts w:hint="eastAsia"/>
          <w:color w:val="FF0000"/>
          <w:szCs w:val="21"/>
        </w:rPr>
        <w:t>14和</w:t>
      </w:r>
      <w:r>
        <w:rPr>
          <w:color w:val="FF0000"/>
          <w:szCs w:val="21"/>
        </w:rPr>
        <w:t>废</w:t>
      </w:r>
      <w:r>
        <w:rPr>
          <w:rFonts w:hint="eastAsia"/>
          <w:color w:val="FF0000"/>
          <w:kern w:val="0"/>
        </w:rPr>
        <w:t>包装</w:t>
      </w:r>
      <w:r>
        <w:rPr>
          <w:color w:val="FF0000"/>
          <w:szCs w:val="21"/>
        </w:rPr>
        <w:t>桶S</w:t>
      </w:r>
      <w:r>
        <w:rPr>
          <w:rFonts w:hint="eastAsia"/>
          <w:color w:val="FF0000"/>
          <w:szCs w:val="21"/>
        </w:rPr>
        <w:t>7</w:t>
      </w:r>
      <w:r>
        <w:rPr>
          <w:color w:val="FF0000"/>
          <w:szCs w:val="21"/>
        </w:rPr>
        <w:t>。</w:t>
      </w:r>
    </w:p>
    <w:p w14:paraId="643E2997">
      <w:pPr>
        <w:snapToGrid w:val="0"/>
        <w:spacing w:line="360" w:lineRule="auto"/>
        <w:ind w:firstLine="480" w:firstLineChars="200"/>
        <w:rPr>
          <w:color w:val="FF0000"/>
          <w:szCs w:val="21"/>
        </w:rPr>
      </w:pPr>
      <w:r>
        <w:rPr>
          <w:rFonts w:hint="eastAsia" w:ascii="宋体" w:hAnsi="宋体" w:cs="宋体"/>
          <w:color w:val="FF0000"/>
          <w:szCs w:val="21"/>
        </w:rPr>
        <w:t>⑥</w:t>
      </w:r>
      <w:r>
        <w:rPr>
          <w:color w:val="FF0000"/>
          <w:szCs w:val="21"/>
        </w:rPr>
        <w:t>喷</w:t>
      </w:r>
      <w:r>
        <w:rPr>
          <w:rFonts w:hint="eastAsia"/>
          <w:color w:val="FF0000"/>
          <w:szCs w:val="21"/>
        </w:rPr>
        <w:t>色</w:t>
      </w:r>
      <w:r>
        <w:rPr>
          <w:color w:val="FF0000"/>
          <w:szCs w:val="21"/>
        </w:rPr>
        <w:t>漆</w:t>
      </w:r>
      <w:r>
        <w:rPr>
          <w:rFonts w:hint="eastAsia"/>
          <w:color w:val="FF0000"/>
          <w:szCs w:val="21"/>
        </w:rPr>
        <w:t>：</w:t>
      </w:r>
      <w:r>
        <w:rPr>
          <w:color w:val="FF0000"/>
          <w:szCs w:val="21"/>
        </w:rPr>
        <w:t>在喷漆房进行喷涂。喷漆方式采用</w:t>
      </w:r>
      <w:r>
        <w:rPr>
          <w:rFonts w:hint="eastAsia"/>
          <w:color w:val="FF0000"/>
          <w:szCs w:val="21"/>
        </w:rPr>
        <w:t>手动人工</w:t>
      </w:r>
      <w:r>
        <w:rPr>
          <w:color w:val="FF0000"/>
          <w:szCs w:val="21"/>
        </w:rPr>
        <w:t>喷涂的方式，利用喷漆房中的</w:t>
      </w:r>
      <w:r>
        <w:rPr>
          <w:rFonts w:hint="eastAsia"/>
          <w:color w:val="FF0000"/>
          <w:szCs w:val="21"/>
        </w:rPr>
        <w:t>1</w:t>
      </w:r>
      <w:r>
        <w:rPr>
          <w:color w:val="FF0000"/>
          <w:szCs w:val="21"/>
        </w:rPr>
        <w:t>把</w:t>
      </w:r>
      <w:r>
        <w:rPr>
          <w:rFonts w:hint="eastAsia"/>
          <w:color w:val="FF0000"/>
          <w:szCs w:val="21"/>
        </w:rPr>
        <w:t>手动</w:t>
      </w:r>
      <w:r>
        <w:rPr>
          <w:color w:val="FF0000"/>
          <w:szCs w:val="21"/>
        </w:rPr>
        <w:t>喷枪，采用喷枪（喷枪口径</w:t>
      </w:r>
      <w:r>
        <w:rPr>
          <w:rFonts w:hint="eastAsia"/>
          <w:color w:val="FF0000"/>
          <w:szCs w:val="21"/>
        </w:rPr>
        <w:t>1.0</w:t>
      </w:r>
      <w:r>
        <w:rPr>
          <w:color w:val="FF0000"/>
          <w:szCs w:val="21"/>
        </w:rPr>
        <w:t>mm，出漆量为</w:t>
      </w:r>
      <w:r>
        <w:rPr>
          <w:rFonts w:hint="eastAsia"/>
          <w:color w:val="FF0000"/>
          <w:szCs w:val="21"/>
        </w:rPr>
        <w:t>100ml</w:t>
      </w:r>
      <w:r>
        <w:rPr>
          <w:color w:val="FF0000"/>
          <w:szCs w:val="21"/>
        </w:rPr>
        <w:t>/min）对工件表面喷涂</w:t>
      </w:r>
      <w:r>
        <w:rPr>
          <w:rFonts w:hint="eastAsia"/>
          <w:color w:val="FF0000"/>
          <w:kern w:val="0"/>
        </w:rPr>
        <w:t>水性涂料</w:t>
      </w:r>
      <w:r>
        <w:rPr>
          <w:color w:val="FF0000"/>
          <w:szCs w:val="21"/>
        </w:rPr>
        <w:t>。</w:t>
      </w:r>
      <w:r>
        <w:rPr>
          <w:rFonts w:hint="eastAsia"/>
          <w:color w:val="FF0000"/>
          <w:szCs w:val="21"/>
          <w:lang w:eastAsia="zh-CN"/>
        </w:rPr>
        <w:t>色</w:t>
      </w:r>
      <w:r>
        <w:rPr>
          <w:rFonts w:hint="eastAsia"/>
          <w:color w:val="FF0000"/>
          <w:szCs w:val="21"/>
        </w:rPr>
        <w:t>漆</w:t>
      </w:r>
      <w:r>
        <w:rPr>
          <w:color w:val="FF0000"/>
          <w:szCs w:val="21"/>
        </w:rPr>
        <w:t>喷一道。</w:t>
      </w:r>
      <w:r>
        <w:rPr>
          <w:rFonts w:hint="eastAsia"/>
          <w:color w:val="FF0000"/>
          <w:szCs w:val="21"/>
        </w:rPr>
        <w:t>空气喷涂</w:t>
      </w:r>
      <w:r>
        <w:rPr>
          <w:color w:val="FF0000"/>
          <w:szCs w:val="21"/>
        </w:rPr>
        <w:t>附着率可达到</w:t>
      </w:r>
      <w:r>
        <w:rPr>
          <w:rFonts w:hint="eastAsia"/>
          <w:color w:val="FF0000"/>
          <w:szCs w:val="21"/>
        </w:rPr>
        <w:t>50</w:t>
      </w:r>
      <w:r>
        <w:rPr>
          <w:color w:val="FF0000"/>
          <w:szCs w:val="21"/>
        </w:rPr>
        <w:t>%。每班次喷漆结束时用自来水冲洗喷枪。喷漆过程中会产生喷漆废气G</w:t>
      </w:r>
      <w:r>
        <w:rPr>
          <w:rFonts w:hint="eastAsia"/>
          <w:color w:val="FF0000"/>
          <w:szCs w:val="21"/>
        </w:rPr>
        <w:t>15</w:t>
      </w:r>
      <w:r>
        <w:rPr>
          <w:color w:val="FF0000"/>
          <w:szCs w:val="21"/>
        </w:rPr>
        <w:t>、漆渣S</w:t>
      </w:r>
      <w:r>
        <w:rPr>
          <w:rFonts w:hint="eastAsia"/>
          <w:color w:val="FF0000"/>
          <w:szCs w:val="21"/>
        </w:rPr>
        <w:t>8</w:t>
      </w:r>
      <w:r>
        <w:rPr>
          <w:color w:val="FF0000"/>
          <w:szCs w:val="21"/>
        </w:rPr>
        <w:t>、</w:t>
      </w:r>
      <w:r>
        <w:rPr>
          <w:rFonts w:hint="eastAsia"/>
          <w:color w:val="FF0000"/>
          <w:szCs w:val="21"/>
        </w:rPr>
        <w:t>水帘废水W5、</w:t>
      </w:r>
      <w:r>
        <w:rPr>
          <w:color w:val="FF0000"/>
          <w:szCs w:val="21"/>
        </w:rPr>
        <w:t>喷枪清洗废</w:t>
      </w:r>
      <w:r>
        <w:rPr>
          <w:rFonts w:hint="eastAsia"/>
          <w:color w:val="FF0000"/>
          <w:szCs w:val="21"/>
        </w:rPr>
        <w:t>水W6</w:t>
      </w:r>
      <w:r>
        <w:rPr>
          <w:color w:val="FF0000"/>
          <w:szCs w:val="21"/>
        </w:rPr>
        <w:t>。</w:t>
      </w:r>
    </w:p>
    <w:p w14:paraId="3FD3C552">
      <w:pPr>
        <w:adjustRightInd w:val="0"/>
        <w:snapToGrid w:val="0"/>
        <w:spacing w:line="360" w:lineRule="auto"/>
        <w:ind w:firstLine="480" w:firstLineChars="200"/>
        <w:rPr>
          <w:rFonts w:hint="eastAsia"/>
          <w:color w:val="FF0000"/>
          <w:kern w:val="0"/>
        </w:rPr>
      </w:pPr>
      <w:r>
        <w:rPr>
          <w:rFonts w:hint="eastAsia" w:ascii="宋体" w:hAnsi="宋体" w:cs="宋体"/>
          <w:color w:val="FF0000"/>
          <w:szCs w:val="21"/>
        </w:rPr>
        <w:t>⑦</w:t>
      </w:r>
      <w:r>
        <w:rPr>
          <w:rFonts w:hint="eastAsia"/>
          <w:color w:val="FF0000"/>
          <w:szCs w:val="21"/>
        </w:rPr>
        <w:t>晾干：</w:t>
      </w:r>
      <w:r>
        <w:rPr>
          <w:rFonts w:hint="eastAsia"/>
          <w:color w:val="FF0000"/>
          <w:kern w:val="0"/>
        </w:rPr>
        <w:t>喷完漆后，工件推至密闭的晾干房自然晾干</w:t>
      </w:r>
      <w:r>
        <w:rPr>
          <w:rFonts w:hint="eastAsia"/>
          <w:color w:val="FF0000"/>
          <w:kern w:val="0"/>
          <w:lang w:eastAsia="zh-CN"/>
        </w:rPr>
        <w:t>，冬季气温低时使用盘管电加热辅助晾干</w:t>
      </w:r>
      <w:r>
        <w:rPr>
          <w:rFonts w:hint="eastAsia"/>
          <w:color w:val="FF0000"/>
          <w:kern w:val="0"/>
        </w:rPr>
        <w:t>。此工序产生晾干废气G16。</w:t>
      </w:r>
    </w:p>
    <w:p w14:paraId="60DEB2DE">
      <w:pPr>
        <w:adjustRightInd w:val="0"/>
        <w:snapToGrid w:val="0"/>
        <w:spacing w:line="360" w:lineRule="auto"/>
        <w:ind w:firstLine="480" w:firstLineChars="200"/>
        <w:rPr>
          <w:color w:val="auto"/>
          <w:szCs w:val="21"/>
        </w:rPr>
      </w:pPr>
      <w:r>
        <w:rPr>
          <w:rFonts w:hint="eastAsia"/>
          <w:color w:val="auto"/>
          <w:kern w:val="0"/>
        </w:rPr>
        <w:t>（8）检验：经人工检验合格后出厂。</w:t>
      </w:r>
    </w:p>
    <w:p w14:paraId="6B19AC8D">
      <w:pPr>
        <w:adjustRightInd w:val="0"/>
        <w:snapToGrid w:val="0"/>
        <w:spacing w:line="360" w:lineRule="auto"/>
        <w:ind w:firstLine="480" w:firstLineChars="200"/>
        <w:rPr>
          <w:rFonts w:hint="default"/>
          <w:color w:val="auto"/>
          <w:kern w:val="0"/>
        </w:rPr>
      </w:pPr>
      <w:r>
        <w:rPr>
          <w:rFonts w:hint="eastAsia"/>
          <w:color w:val="auto"/>
          <w:kern w:val="0"/>
          <w:lang w:val="en-US" w:eastAsia="zh-CN"/>
        </w:rPr>
        <w:t>2、</w:t>
      </w:r>
      <w:r>
        <w:rPr>
          <w:rFonts w:hint="default"/>
          <w:color w:val="auto"/>
          <w:kern w:val="0"/>
          <w:lang w:val="en-US" w:eastAsia="zh-CN"/>
        </w:rPr>
        <w:t xml:space="preserve">其他工艺流程中未说明的产污环节在此处进行补充说明： </w:t>
      </w:r>
    </w:p>
    <w:p w14:paraId="64A76398">
      <w:pPr>
        <w:adjustRightInd w:val="0"/>
        <w:snapToGrid w:val="0"/>
        <w:spacing w:line="360" w:lineRule="auto"/>
        <w:ind w:firstLine="480" w:firstLineChars="200"/>
        <w:rPr>
          <w:rFonts w:hint="default" w:ascii="Times New Roman" w:hAnsi="Times New Roman" w:cs="Times New Roman" w:eastAsiaTheme="minorEastAsia"/>
          <w:b w:val="0"/>
          <w:sz w:val="24"/>
          <w:szCs w:val="24"/>
        </w:rPr>
      </w:pPr>
      <w:r>
        <w:rPr>
          <w:rFonts w:hint="default"/>
          <w:color w:val="auto"/>
          <w:kern w:val="0"/>
          <w:lang w:val="en-US" w:eastAsia="zh-CN"/>
        </w:rPr>
        <w:t>此外员工生活会产生生活污水W</w:t>
      </w:r>
      <w:r>
        <w:rPr>
          <w:rFonts w:hint="eastAsia"/>
          <w:color w:val="auto"/>
          <w:kern w:val="0"/>
          <w:lang w:val="en-US" w:eastAsia="zh-CN"/>
        </w:rPr>
        <w:t>7</w:t>
      </w:r>
      <w:r>
        <w:rPr>
          <w:rFonts w:hint="default"/>
          <w:color w:val="auto"/>
          <w:kern w:val="0"/>
          <w:lang w:val="en-US" w:eastAsia="zh-CN"/>
        </w:rPr>
        <w:t>、生活垃圾S</w:t>
      </w:r>
      <w:r>
        <w:rPr>
          <w:rFonts w:hint="eastAsia"/>
          <w:color w:val="auto"/>
          <w:kern w:val="0"/>
          <w:lang w:val="en-US" w:eastAsia="zh-CN"/>
        </w:rPr>
        <w:t>9</w:t>
      </w:r>
      <w:r>
        <w:rPr>
          <w:rFonts w:hint="default"/>
          <w:color w:val="auto"/>
          <w:kern w:val="0"/>
          <w:lang w:val="en-US" w:eastAsia="zh-CN"/>
        </w:rPr>
        <w:t>；</w:t>
      </w:r>
      <w:r>
        <w:rPr>
          <w:rFonts w:hint="eastAsia"/>
          <w:color w:val="auto"/>
          <w:kern w:val="0"/>
          <w:lang w:val="en-US" w:eastAsia="zh-CN"/>
        </w:rPr>
        <w:t>布袋除尘器产生除尘灰S10；布袋除尘器定期更换产生废布袋S11；</w:t>
      </w:r>
      <w:r>
        <w:rPr>
          <w:rFonts w:hint="default"/>
          <w:color w:val="auto"/>
          <w:kern w:val="0"/>
          <w:lang w:val="en-US" w:eastAsia="zh-CN"/>
        </w:rPr>
        <w:t>活性炭吸附装置定期更换活性炭形成废活性炭 S</w:t>
      </w:r>
      <w:r>
        <w:rPr>
          <w:rFonts w:hint="eastAsia"/>
          <w:color w:val="auto"/>
          <w:kern w:val="0"/>
          <w:lang w:val="en-US" w:eastAsia="zh-CN"/>
        </w:rPr>
        <w:t>12</w:t>
      </w:r>
      <w:r>
        <w:rPr>
          <w:rFonts w:hint="default"/>
          <w:color w:val="auto"/>
          <w:kern w:val="0"/>
          <w:lang w:val="en-US" w:eastAsia="zh-CN"/>
        </w:rPr>
        <w:t>；</w:t>
      </w:r>
      <w:r>
        <w:rPr>
          <w:rFonts w:hint="eastAsia"/>
          <w:color w:val="auto"/>
          <w:kern w:val="0"/>
          <w:lang w:val="en-US" w:eastAsia="zh-CN"/>
        </w:rPr>
        <w:t>过滤棉定期更换产生废过滤棉</w:t>
      </w:r>
      <w:r>
        <w:rPr>
          <w:rFonts w:hint="default"/>
          <w:color w:val="auto"/>
          <w:kern w:val="0"/>
          <w:lang w:val="en-US" w:eastAsia="zh-CN"/>
        </w:rPr>
        <w:t>S</w:t>
      </w:r>
      <w:r>
        <w:rPr>
          <w:rFonts w:hint="eastAsia"/>
          <w:color w:val="auto"/>
          <w:kern w:val="0"/>
          <w:lang w:val="en-US" w:eastAsia="zh-CN"/>
        </w:rPr>
        <w:t>13</w:t>
      </w:r>
      <w:r>
        <w:rPr>
          <w:rFonts w:hint="default"/>
          <w:color w:val="auto"/>
          <w:kern w:val="0"/>
          <w:lang w:val="en-US" w:eastAsia="zh-CN"/>
        </w:rPr>
        <w:t>；</w:t>
      </w:r>
      <w:r>
        <w:rPr>
          <w:rFonts w:hint="eastAsia"/>
          <w:color w:val="auto"/>
          <w:kern w:val="0"/>
          <w:lang w:val="en-US" w:eastAsia="zh-CN"/>
        </w:rPr>
        <w:t>废水治理产生废滤料、填料S14；</w:t>
      </w:r>
      <w:r>
        <w:rPr>
          <w:rFonts w:hint="default"/>
          <w:color w:val="auto"/>
          <w:kern w:val="0"/>
          <w:lang w:val="en-US" w:eastAsia="zh-CN"/>
        </w:rPr>
        <w:t>项目空压机工作过程中润滑油被压缩空气挟带，与空气冷凝水一道由排泄阀排出，产生含油废水S</w:t>
      </w:r>
      <w:r>
        <w:rPr>
          <w:rFonts w:hint="eastAsia"/>
          <w:color w:val="auto"/>
          <w:kern w:val="0"/>
          <w:lang w:val="en-US" w:eastAsia="zh-CN"/>
        </w:rPr>
        <w:t>15</w:t>
      </w:r>
      <w:r>
        <w:rPr>
          <w:rFonts w:hint="default"/>
          <w:color w:val="auto"/>
          <w:kern w:val="0"/>
          <w:lang w:val="en-US" w:eastAsia="zh-CN"/>
        </w:rPr>
        <w:t>，使用</w:t>
      </w:r>
      <w:r>
        <w:rPr>
          <w:rFonts w:hint="eastAsia"/>
          <w:color w:val="auto"/>
          <w:kern w:val="0"/>
          <w:lang w:val="en-US" w:eastAsia="zh-CN"/>
        </w:rPr>
        <w:t>机油</w:t>
      </w:r>
      <w:r>
        <w:rPr>
          <w:rFonts w:hint="default"/>
          <w:color w:val="auto"/>
          <w:kern w:val="0"/>
          <w:lang w:val="en-US" w:eastAsia="zh-CN"/>
        </w:rPr>
        <w:t>进行设备维护会产生废</w:t>
      </w:r>
      <w:r>
        <w:rPr>
          <w:rFonts w:hint="eastAsia"/>
          <w:color w:val="auto"/>
          <w:kern w:val="0"/>
          <w:lang w:val="en-US" w:eastAsia="zh-CN"/>
        </w:rPr>
        <w:t>机油</w:t>
      </w:r>
      <w:r>
        <w:rPr>
          <w:rFonts w:hint="default"/>
          <w:color w:val="auto"/>
          <w:kern w:val="0"/>
          <w:lang w:val="en-US" w:eastAsia="zh-CN"/>
        </w:rPr>
        <w:t>S</w:t>
      </w:r>
      <w:r>
        <w:rPr>
          <w:rFonts w:hint="eastAsia"/>
          <w:color w:val="auto"/>
          <w:kern w:val="0"/>
          <w:lang w:val="en-US" w:eastAsia="zh-CN"/>
        </w:rPr>
        <w:t>16</w:t>
      </w:r>
      <w:r>
        <w:rPr>
          <w:rFonts w:hint="default"/>
          <w:color w:val="auto"/>
          <w:kern w:val="0"/>
          <w:lang w:val="en-US" w:eastAsia="zh-CN"/>
        </w:rPr>
        <w:t>；危废仓库贮存危险废物会产生危废仓库废气G</w:t>
      </w:r>
      <w:r>
        <w:rPr>
          <w:rFonts w:hint="eastAsia"/>
          <w:color w:val="auto"/>
          <w:kern w:val="0"/>
          <w:lang w:val="en-US" w:eastAsia="zh-CN"/>
        </w:rPr>
        <w:t>17。</w:t>
      </w:r>
    </w:p>
    <w:p w14:paraId="06493D7E">
      <w:pPr>
        <w:pStyle w:val="4"/>
        <w:adjustRightInd w:val="0"/>
        <w:snapToGrid w:val="0"/>
        <w:spacing w:line="480" w:lineRule="exact"/>
        <w:rPr>
          <w:rFonts w:eastAsia="宋体"/>
        </w:rPr>
      </w:pPr>
      <w:bookmarkStart w:id="111" w:name="_Toc23680"/>
      <w:bookmarkStart w:id="112" w:name="_Toc10285"/>
      <w:bookmarkStart w:id="113" w:name="_Toc3593"/>
      <w:r>
        <w:rPr>
          <w:rFonts w:eastAsia="宋体"/>
        </w:rPr>
        <w:t>3.</w:t>
      </w:r>
      <w:r>
        <w:rPr>
          <w:rFonts w:hint="eastAsia" w:eastAsia="宋体"/>
        </w:rPr>
        <w:t>5</w:t>
      </w:r>
      <w:r>
        <w:rPr>
          <w:rFonts w:eastAsia="宋体"/>
        </w:rPr>
        <w:t>.2生产设备</w:t>
      </w:r>
      <w:bookmarkEnd w:id="110"/>
      <w:bookmarkEnd w:id="111"/>
      <w:bookmarkEnd w:id="112"/>
      <w:bookmarkEnd w:id="113"/>
    </w:p>
    <w:p w14:paraId="6857FED2">
      <w:pPr>
        <w:adjustRightInd w:val="0"/>
        <w:snapToGrid w:val="0"/>
        <w:spacing w:line="500" w:lineRule="exact"/>
        <w:ind w:firstLine="480" w:firstLineChars="200"/>
        <w:rPr>
          <w:rFonts w:eastAsia="宋体"/>
          <w:kern w:val="0"/>
        </w:rPr>
      </w:pPr>
      <w:r>
        <w:rPr>
          <w:rFonts w:eastAsia="宋体"/>
          <w:kern w:val="0"/>
        </w:rPr>
        <w:t>公司生产及公用设备见表3-1</w:t>
      </w:r>
      <w:r>
        <w:rPr>
          <w:rFonts w:hint="eastAsia" w:eastAsia="宋体"/>
          <w:kern w:val="0"/>
        </w:rPr>
        <w:t>1</w:t>
      </w:r>
      <w:r>
        <w:rPr>
          <w:rFonts w:eastAsia="宋体"/>
          <w:kern w:val="0"/>
        </w:rPr>
        <w:t>。</w:t>
      </w:r>
    </w:p>
    <w:p w14:paraId="676A7F76">
      <w:pPr>
        <w:adjustRightInd w:val="0"/>
        <w:snapToGrid w:val="0"/>
        <w:spacing w:line="500" w:lineRule="exact"/>
        <w:jc w:val="center"/>
        <w:rPr>
          <w:rFonts w:eastAsia="宋体"/>
          <w:b/>
        </w:rPr>
      </w:pPr>
      <w:r>
        <w:rPr>
          <w:rFonts w:eastAsia="宋体"/>
          <w:b/>
        </w:rPr>
        <w:t>表3-1</w:t>
      </w:r>
      <w:r>
        <w:rPr>
          <w:rFonts w:hint="eastAsia" w:eastAsia="宋体"/>
          <w:b/>
        </w:rPr>
        <w:t>1</w:t>
      </w:r>
      <w:r>
        <w:rPr>
          <w:rFonts w:eastAsia="宋体"/>
          <w:b/>
        </w:rPr>
        <w:t>主要生产及公用设备统计表</w:t>
      </w:r>
    </w:p>
    <w:tbl>
      <w:tblPr>
        <w:tblStyle w:val="38"/>
        <w:tblW w:w="499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739"/>
        <w:gridCol w:w="2292"/>
        <w:gridCol w:w="1872"/>
        <w:gridCol w:w="1448"/>
        <w:gridCol w:w="2840"/>
      </w:tblGrid>
      <w:tr w14:paraId="19A78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07" w:type="pct"/>
            <w:noWrap w:val="0"/>
            <w:vAlign w:val="center"/>
          </w:tcPr>
          <w:p w14:paraId="57853CCA">
            <w:pPr>
              <w:jc w:val="center"/>
              <w:rPr>
                <w:b/>
                <w:bCs/>
                <w:color w:val="auto"/>
                <w:sz w:val="21"/>
                <w:szCs w:val="21"/>
              </w:rPr>
            </w:pPr>
            <w:r>
              <w:rPr>
                <w:b/>
                <w:bCs/>
                <w:color w:val="auto"/>
                <w:sz w:val="21"/>
                <w:szCs w:val="21"/>
              </w:rPr>
              <w:t>主要生产单元</w:t>
            </w:r>
          </w:p>
        </w:tc>
        <w:tc>
          <w:tcPr>
            <w:tcW w:w="1251" w:type="pct"/>
            <w:noWrap w:val="0"/>
            <w:vAlign w:val="center"/>
          </w:tcPr>
          <w:p w14:paraId="34843F29">
            <w:pPr>
              <w:jc w:val="center"/>
              <w:rPr>
                <w:b/>
                <w:bCs/>
                <w:color w:val="auto"/>
                <w:sz w:val="21"/>
                <w:szCs w:val="21"/>
              </w:rPr>
            </w:pPr>
            <w:r>
              <w:rPr>
                <w:b/>
                <w:bCs/>
                <w:color w:val="auto"/>
                <w:sz w:val="21"/>
                <w:szCs w:val="21"/>
              </w:rPr>
              <w:t>主要工艺</w:t>
            </w:r>
          </w:p>
        </w:tc>
        <w:tc>
          <w:tcPr>
            <w:tcW w:w="998" w:type="pct"/>
            <w:noWrap w:val="0"/>
            <w:vAlign w:val="center"/>
          </w:tcPr>
          <w:p w14:paraId="16BE6130">
            <w:pPr>
              <w:jc w:val="center"/>
              <w:rPr>
                <w:b/>
                <w:bCs/>
                <w:color w:val="auto"/>
                <w:sz w:val="21"/>
                <w:szCs w:val="21"/>
              </w:rPr>
            </w:pPr>
            <w:r>
              <w:rPr>
                <w:b/>
                <w:bCs/>
                <w:color w:val="auto"/>
                <w:sz w:val="21"/>
                <w:szCs w:val="21"/>
              </w:rPr>
              <w:t>生产设施</w:t>
            </w:r>
          </w:p>
        </w:tc>
        <w:tc>
          <w:tcPr>
            <w:tcW w:w="792" w:type="pct"/>
            <w:noWrap w:val="0"/>
            <w:vAlign w:val="center"/>
          </w:tcPr>
          <w:p w14:paraId="31F5CDFD">
            <w:pPr>
              <w:jc w:val="center"/>
              <w:rPr>
                <w:b/>
                <w:bCs/>
                <w:color w:val="auto"/>
                <w:sz w:val="21"/>
                <w:szCs w:val="21"/>
              </w:rPr>
            </w:pPr>
            <w:r>
              <w:rPr>
                <w:b/>
                <w:bCs/>
                <w:color w:val="auto"/>
                <w:sz w:val="21"/>
                <w:szCs w:val="21"/>
              </w:rPr>
              <w:t>设施参数</w:t>
            </w:r>
          </w:p>
        </w:tc>
        <w:tc>
          <w:tcPr>
            <w:tcW w:w="1549" w:type="pct"/>
            <w:noWrap w:val="0"/>
            <w:vAlign w:val="center"/>
          </w:tcPr>
          <w:p w14:paraId="066C6FBD">
            <w:pPr>
              <w:adjustRightInd w:val="0"/>
              <w:snapToGrid w:val="0"/>
              <w:jc w:val="center"/>
              <w:rPr>
                <w:b/>
                <w:color w:val="auto"/>
                <w:sz w:val="21"/>
                <w:szCs w:val="21"/>
              </w:rPr>
            </w:pPr>
            <w:r>
              <w:rPr>
                <w:b/>
                <w:color w:val="auto"/>
                <w:sz w:val="21"/>
                <w:szCs w:val="21"/>
              </w:rPr>
              <w:t>数量</w:t>
            </w:r>
            <w:r>
              <w:rPr>
                <w:rFonts w:hint="eastAsia"/>
                <w:b/>
                <w:color w:val="auto"/>
                <w:sz w:val="21"/>
                <w:szCs w:val="21"/>
              </w:rPr>
              <w:t>（台/套）</w:t>
            </w:r>
          </w:p>
        </w:tc>
      </w:tr>
      <w:tr w14:paraId="2F277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07" w:type="pct"/>
            <w:vMerge w:val="restart"/>
            <w:noWrap w:val="0"/>
            <w:vAlign w:val="center"/>
          </w:tcPr>
          <w:p w14:paraId="2A86A884">
            <w:pPr>
              <w:jc w:val="center"/>
              <w:rPr>
                <w:color w:val="auto"/>
                <w:sz w:val="21"/>
                <w:szCs w:val="21"/>
              </w:rPr>
            </w:pPr>
            <w:r>
              <w:rPr>
                <w:rFonts w:hint="eastAsia"/>
                <w:color w:val="auto"/>
                <w:sz w:val="21"/>
                <w:szCs w:val="21"/>
              </w:rPr>
              <w:t>生产</w:t>
            </w:r>
            <w:r>
              <w:rPr>
                <w:color w:val="auto"/>
                <w:sz w:val="21"/>
                <w:szCs w:val="21"/>
              </w:rPr>
              <w:t>车间</w:t>
            </w:r>
          </w:p>
        </w:tc>
        <w:tc>
          <w:tcPr>
            <w:tcW w:w="1251" w:type="pct"/>
            <w:noWrap w:val="0"/>
            <w:vAlign w:val="center"/>
          </w:tcPr>
          <w:p w14:paraId="60693F33">
            <w:pPr>
              <w:jc w:val="center"/>
              <w:rPr>
                <w:rFonts w:hint="eastAsia"/>
                <w:color w:val="auto"/>
                <w:sz w:val="21"/>
                <w:szCs w:val="21"/>
              </w:rPr>
            </w:pPr>
            <w:r>
              <w:rPr>
                <w:color w:val="auto"/>
                <w:sz w:val="21"/>
                <w:szCs w:val="21"/>
              </w:rPr>
              <w:t>开料</w:t>
            </w:r>
          </w:p>
        </w:tc>
        <w:tc>
          <w:tcPr>
            <w:tcW w:w="998" w:type="pct"/>
            <w:noWrap w:val="0"/>
            <w:vAlign w:val="center"/>
          </w:tcPr>
          <w:p w14:paraId="7F9C347F">
            <w:pPr>
              <w:jc w:val="center"/>
              <w:rPr>
                <w:rFonts w:hint="eastAsia"/>
                <w:color w:val="auto"/>
                <w:sz w:val="21"/>
                <w:szCs w:val="21"/>
              </w:rPr>
            </w:pPr>
            <w:r>
              <w:rPr>
                <w:rFonts w:hint="eastAsia"/>
                <w:color w:val="auto"/>
                <w:sz w:val="21"/>
                <w:szCs w:val="21"/>
              </w:rPr>
              <w:t>南兴精密推台锯</w:t>
            </w:r>
          </w:p>
        </w:tc>
        <w:tc>
          <w:tcPr>
            <w:tcW w:w="792" w:type="pct"/>
            <w:noWrap w:val="0"/>
            <w:vAlign w:val="center"/>
          </w:tcPr>
          <w:p w14:paraId="2E739FDB">
            <w:pPr>
              <w:jc w:val="center"/>
              <w:rPr>
                <w:rFonts w:hint="eastAsia"/>
                <w:color w:val="auto"/>
                <w:sz w:val="21"/>
                <w:szCs w:val="21"/>
              </w:rPr>
            </w:pPr>
            <w:r>
              <w:rPr>
                <w:rFonts w:hint="eastAsia"/>
                <w:color w:val="auto"/>
                <w:sz w:val="21"/>
                <w:szCs w:val="21"/>
              </w:rPr>
              <w:t>7.5kW</w:t>
            </w:r>
          </w:p>
        </w:tc>
        <w:tc>
          <w:tcPr>
            <w:tcW w:w="1549" w:type="pct"/>
            <w:noWrap w:val="0"/>
            <w:vAlign w:val="center"/>
          </w:tcPr>
          <w:p w14:paraId="2CDF8DC8">
            <w:pPr>
              <w:jc w:val="center"/>
              <w:rPr>
                <w:rFonts w:hint="eastAsia"/>
                <w:color w:val="auto"/>
                <w:sz w:val="21"/>
                <w:szCs w:val="21"/>
              </w:rPr>
            </w:pPr>
            <w:r>
              <w:rPr>
                <w:rFonts w:hint="eastAsia"/>
                <w:color w:val="auto"/>
                <w:sz w:val="21"/>
                <w:szCs w:val="21"/>
              </w:rPr>
              <w:t>3</w:t>
            </w:r>
          </w:p>
        </w:tc>
      </w:tr>
      <w:tr w14:paraId="3F0D3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07" w:type="pct"/>
            <w:vMerge w:val="continue"/>
            <w:noWrap w:val="0"/>
            <w:vAlign w:val="center"/>
          </w:tcPr>
          <w:p w14:paraId="7EC67CA0">
            <w:pPr>
              <w:jc w:val="center"/>
              <w:rPr>
                <w:color w:val="auto"/>
                <w:sz w:val="21"/>
                <w:szCs w:val="21"/>
              </w:rPr>
            </w:pPr>
          </w:p>
        </w:tc>
        <w:tc>
          <w:tcPr>
            <w:tcW w:w="1251" w:type="pct"/>
            <w:noWrap w:val="0"/>
            <w:vAlign w:val="center"/>
          </w:tcPr>
          <w:p w14:paraId="50BC0CD0">
            <w:pPr>
              <w:jc w:val="center"/>
              <w:rPr>
                <w:rFonts w:hint="eastAsia"/>
                <w:color w:val="auto"/>
                <w:sz w:val="21"/>
                <w:szCs w:val="21"/>
              </w:rPr>
            </w:pPr>
            <w:r>
              <w:rPr>
                <w:color w:val="auto"/>
                <w:sz w:val="21"/>
                <w:szCs w:val="21"/>
              </w:rPr>
              <w:t>开料</w:t>
            </w:r>
          </w:p>
        </w:tc>
        <w:tc>
          <w:tcPr>
            <w:tcW w:w="998" w:type="pct"/>
            <w:noWrap w:val="0"/>
            <w:vAlign w:val="center"/>
          </w:tcPr>
          <w:p w14:paraId="39A2A224">
            <w:pPr>
              <w:jc w:val="center"/>
              <w:rPr>
                <w:rFonts w:hint="eastAsia"/>
                <w:color w:val="auto"/>
                <w:sz w:val="21"/>
                <w:szCs w:val="21"/>
              </w:rPr>
            </w:pPr>
            <w:r>
              <w:rPr>
                <w:rFonts w:hint="eastAsia"/>
                <w:color w:val="auto"/>
                <w:sz w:val="21"/>
                <w:szCs w:val="21"/>
              </w:rPr>
              <w:t>电子数控裁板锯</w:t>
            </w:r>
          </w:p>
        </w:tc>
        <w:tc>
          <w:tcPr>
            <w:tcW w:w="792" w:type="pct"/>
            <w:noWrap w:val="0"/>
            <w:vAlign w:val="center"/>
          </w:tcPr>
          <w:p w14:paraId="2779A3D9">
            <w:pPr>
              <w:jc w:val="center"/>
              <w:rPr>
                <w:rFonts w:hint="eastAsia"/>
                <w:color w:val="auto"/>
                <w:sz w:val="21"/>
                <w:szCs w:val="21"/>
              </w:rPr>
            </w:pPr>
            <w:r>
              <w:rPr>
                <w:rFonts w:hint="eastAsia"/>
                <w:color w:val="auto"/>
                <w:sz w:val="21"/>
                <w:szCs w:val="21"/>
              </w:rPr>
              <w:t>19kW</w:t>
            </w:r>
          </w:p>
        </w:tc>
        <w:tc>
          <w:tcPr>
            <w:tcW w:w="1549" w:type="pct"/>
            <w:noWrap w:val="0"/>
            <w:vAlign w:val="center"/>
          </w:tcPr>
          <w:p w14:paraId="3DD16377">
            <w:pPr>
              <w:jc w:val="center"/>
              <w:rPr>
                <w:rFonts w:hint="eastAsia"/>
                <w:color w:val="auto"/>
                <w:sz w:val="21"/>
                <w:szCs w:val="21"/>
              </w:rPr>
            </w:pPr>
            <w:r>
              <w:rPr>
                <w:rFonts w:hint="eastAsia"/>
                <w:color w:val="auto"/>
                <w:sz w:val="21"/>
                <w:szCs w:val="21"/>
              </w:rPr>
              <w:t>1</w:t>
            </w:r>
          </w:p>
        </w:tc>
      </w:tr>
      <w:tr w14:paraId="334A0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07" w:type="pct"/>
            <w:vMerge w:val="continue"/>
            <w:noWrap w:val="0"/>
            <w:vAlign w:val="center"/>
          </w:tcPr>
          <w:p w14:paraId="2FA71E94">
            <w:pPr>
              <w:jc w:val="center"/>
              <w:rPr>
                <w:color w:val="auto"/>
                <w:sz w:val="21"/>
                <w:szCs w:val="21"/>
              </w:rPr>
            </w:pPr>
          </w:p>
        </w:tc>
        <w:tc>
          <w:tcPr>
            <w:tcW w:w="1251" w:type="pct"/>
            <w:noWrap w:val="0"/>
            <w:vAlign w:val="center"/>
          </w:tcPr>
          <w:p w14:paraId="5FEA753C">
            <w:pPr>
              <w:jc w:val="center"/>
              <w:rPr>
                <w:rFonts w:hint="eastAsia"/>
                <w:color w:val="auto"/>
                <w:sz w:val="21"/>
                <w:szCs w:val="21"/>
              </w:rPr>
            </w:pPr>
            <w:r>
              <w:rPr>
                <w:rFonts w:hint="eastAsia"/>
                <w:color w:val="auto"/>
                <w:sz w:val="21"/>
                <w:szCs w:val="21"/>
              </w:rPr>
              <w:t>精加工</w:t>
            </w:r>
          </w:p>
        </w:tc>
        <w:tc>
          <w:tcPr>
            <w:tcW w:w="998" w:type="pct"/>
            <w:noWrap w:val="0"/>
            <w:vAlign w:val="center"/>
          </w:tcPr>
          <w:p w14:paraId="489AEB07">
            <w:pPr>
              <w:jc w:val="center"/>
              <w:rPr>
                <w:rFonts w:hint="eastAsia"/>
                <w:color w:val="auto"/>
                <w:sz w:val="21"/>
                <w:szCs w:val="21"/>
              </w:rPr>
            </w:pPr>
            <w:r>
              <w:rPr>
                <w:rFonts w:hint="eastAsia"/>
                <w:color w:val="auto"/>
                <w:sz w:val="21"/>
                <w:szCs w:val="21"/>
              </w:rPr>
              <w:t>立式单轴木工立铣</w:t>
            </w:r>
          </w:p>
        </w:tc>
        <w:tc>
          <w:tcPr>
            <w:tcW w:w="792" w:type="pct"/>
            <w:noWrap w:val="0"/>
            <w:vAlign w:val="center"/>
          </w:tcPr>
          <w:p w14:paraId="25B12BFB">
            <w:pPr>
              <w:jc w:val="center"/>
              <w:rPr>
                <w:rFonts w:hint="eastAsia"/>
                <w:color w:val="auto"/>
                <w:sz w:val="21"/>
                <w:szCs w:val="21"/>
              </w:rPr>
            </w:pPr>
            <w:r>
              <w:rPr>
                <w:rFonts w:hint="eastAsia"/>
                <w:color w:val="auto"/>
                <w:sz w:val="21"/>
                <w:szCs w:val="21"/>
              </w:rPr>
              <w:t>3kW</w:t>
            </w:r>
          </w:p>
        </w:tc>
        <w:tc>
          <w:tcPr>
            <w:tcW w:w="1549" w:type="pct"/>
            <w:noWrap w:val="0"/>
            <w:vAlign w:val="center"/>
          </w:tcPr>
          <w:p w14:paraId="736887D6">
            <w:pPr>
              <w:jc w:val="center"/>
              <w:rPr>
                <w:rFonts w:hint="eastAsia"/>
                <w:color w:val="auto"/>
                <w:sz w:val="21"/>
                <w:szCs w:val="21"/>
              </w:rPr>
            </w:pPr>
            <w:r>
              <w:rPr>
                <w:rFonts w:hint="eastAsia"/>
                <w:color w:val="auto"/>
                <w:sz w:val="21"/>
                <w:szCs w:val="21"/>
              </w:rPr>
              <w:t>2</w:t>
            </w:r>
          </w:p>
        </w:tc>
      </w:tr>
      <w:tr w14:paraId="0A085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07" w:type="pct"/>
            <w:vMerge w:val="continue"/>
            <w:noWrap w:val="0"/>
            <w:vAlign w:val="center"/>
          </w:tcPr>
          <w:p w14:paraId="171723BB">
            <w:pPr>
              <w:jc w:val="center"/>
              <w:rPr>
                <w:color w:val="auto"/>
                <w:sz w:val="21"/>
                <w:szCs w:val="21"/>
              </w:rPr>
            </w:pPr>
          </w:p>
        </w:tc>
        <w:tc>
          <w:tcPr>
            <w:tcW w:w="1251" w:type="pct"/>
            <w:noWrap w:val="0"/>
            <w:vAlign w:val="center"/>
          </w:tcPr>
          <w:p w14:paraId="0C2F89E8">
            <w:pPr>
              <w:jc w:val="center"/>
              <w:rPr>
                <w:rFonts w:hint="eastAsia"/>
                <w:color w:val="auto"/>
                <w:sz w:val="21"/>
                <w:szCs w:val="21"/>
              </w:rPr>
            </w:pPr>
            <w:r>
              <w:rPr>
                <w:rFonts w:hint="eastAsia"/>
                <w:color w:val="auto"/>
                <w:sz w:val="21"/>
                <w:szCs w:val="21"/>
              </w:rPr>
              <w:t>封边</w:t>
            </w:r>
          </w:p>
        </w:tc>
        <w:tc>
          <w:tcPr>
            <w:tcW w:w="998" w:type="pct"/>
            <w:noWrap w:val="0"/>
            <w:vAlign w:val="center"/>
          </w:tcPr>
          <w:p w14:paraId="55B628BF">
            <w:pPr>
              <w:jc w:val="center"/>
              <w:rPr>
                <w:rFonts w:hint="eastAsia"/>
                <w:color w:val="auto"/>
                <w:sz w:val="21"/>
                <w:szCs w:val="21"/>
              </w:rPr>
            </w:pPr>
            <w:r>
              <w:rPr>
                <w:rFonts w:hint="eastAsia"/>
                <w:color w:val="auto"/>
                <w:sz w:val="21"/>
                <w:szCs w:val="21"/>
              </w:rPr>
              <w:t>封边机</w:t>
            </w:r>
          </w:p>
        </w:tc>
        <w:tc>
          <w:tcPr>
            <w:tcW w:w="792" w:type="pct"/>
            <w:noWrap w:val="0"/>
            <w:vAlign w:val="center"/>
          </w:tcPr>
          <w:p w14:paraId="4101FBBD">
            <w:pPr>
              <w:jc w:val="center"/>
              <w:rPr>
                <w:rFonts w:hint="eastAsia"/>
                <w:color w:val="auto"/>
                <w:sz w:val="21"/>
                <w:szCs w:val="21"/>
              </w:rPr>
            </w:pPr>
            <w:r>
              <w:rPr>
                <w:rFonts w:hint="eastAsia"/>
                <w:color w:val="auto"/>
                <w:sz w:val="21"/>
                <w:szCs w:val="21"/>
              </w:rPr>
              <w:t>5.5kW</w:t>
            </w:r>
          </w:p>
        </w:tc>
        <w:tc>
          <w:tcPr>
            <w:tcW w:w="1549" w:type="pct"/>
            <w:noWrap w:val="0"/>
            <w:vAlign w:val="center"/>
          </w:tcPr>
          <w:p w14:paraId="1D0562AB">
            <w:pPr>
              <w:jc w:val="center"/>
              <w:rPr>
                <w:rFonts w:hint="eastAsia"/>
                <w:color w:val="auto"/>
                <w:sz w:val="21"/>
                <w:szCs w:val="21"/>
              </w:rPr>
            </w:pPr>
            <w:r>
              <w:rPr>
                <w:rFonts w:hint="eastAsia"/>
                <w:color w:val="auto"/>
                <w:sz w:val="21"/>
                <w:szCs w:val="21"/>
              </w:rPr>
              <w:t>1</w:t>
            </w:r>
          </w:p>
        </w:tc>
      </w:tr>
      <w:tr w14:paraId="52958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07" w:type="pct"/>
            <w:vMerge w:val="continue"/>
            <w:noWrap w:val="0"/>
            <w:vAlign w:val="center"/>
          </w:tcPr>
          <w:p w14:paraId="4E5F21B5">
            <w:pPr>
              <w:jc w:val="center"/>
              <w:rPr>
                <w:color w:val="auto"/>
                <w:sz w:val="21"/>
                <w:szCs w:val="21"/>
              </w:rPr>
            </w:pPr>
          </w:p>
        </w:tc>
        <w:tc>
          <w:tcPr>
            <w:tcW w:w="1251" w:type="pct"/>
            <w:noWrap w:val="0"/>
            <w:vAlign w:val="center"/>
          </w:tcPr>
          <w:p w14:paraId="3D4AB908">
            <w:pPr>
              <w:jc w:val="center"/>
              <w:rPr>
                <w:rFonts w:hint="eastAsia"/>
                <w:color w:val="auto"/>
                <w:sz w:val="21"/>
                <w:szCs w:val="21"/>
              </w:rPr>
            </w:pPr>
            <w:r>
              <w:rPr>
                <w:rFonts w:hint="eastAsia"/>
                <w:color w:val="auto"/>
                <w:sz w:val="21"/>
                <w:szCs w:val="21"/>
              </w:rPr>
              <w:t>冷压</w:t>
            </w:r>
          </w:p>
        </w:tc>
        <w:tc>
          <w:tcPr>
            <w:tcW w:w="998" w:type="pct"/>
            <w:noWrap w:val="0"/>
            <w:vAlign w:val="center"/>
          </w:tcPr>
          <w:p w14:paraId="355EDDD6">
            <w:pPr>
              <w:jc w:val="center"/>
              <w:rPr>
                <w:rFonts w:hint="eastAsia"/>
                <w:color w:val="auto"/>
                <w:sz w:val="21"/>
                <w:szCs w:val="21"/>
              </w:rPr>
            </w:pPr>
            <w:r>
              <w:rPr>
                <w:rFonts w:hint="eastAsia"/>
                <w:color w:val="auto"/>
                <w:sz w:val="21"/>
                <w:szCs w:val="21"/>
              </w:rPr>
              <w:t>木工冷压机</w:t>
            </w:r>
          </w:p>
        </w:tc>
        <w:tc>
          <w:tcPr>
            <w:tcW w:w="792" w:type="pct"/>
            <w:noWrap w:val="0"/>
            <w:vAlign w:val="center"/>
          </w:tcPr>
          <w:p w14:paraId="0749B87B">
            <w:pPr>
              <w:jc w:val="center"/>
              <w:rPr>
                <w:rFonts w:hint="eastAsia"/>
                <w:color w:val="auto"/>
                <w:sz w:val="21"/>
                <w:szCs w:val="21"/>
              </w:rPr>
            </w:pPr>
            <w:r>
              <w:rPr>
                <w:rFonts w:hint="eastAsia"/>
                <w:color w:val="auto"/>
                <w:sz w:val="21"/>
                <w:szCs w:val="21"/>
              </w:rPr>
              <w:t>12kW</w:t>
            </w:r>
          </w:p>
        </w:tc>
        <w:tc>
          <w:tcPr>
            <w:tcW w:w="1549" w:type="pct"/>
            <w:noWrap w:val="0"/>
            <w:vAlign w:val="center"/>
          </w:tcPr>
          <w:p w14:paraId="2E601B28">
            <w:pPr>
              <w:jc w:val="center"/>
              <w:rPr>
                <w:rFonts w:hint="eastAsia"/>
                <w:color w:val="auto"/>
                <w:sz w:val="21"/>
                <w:szCs w:val="21"/>
              </w:rPr>
            </w:pPr>
            <w:r>
              <w:rPr>
                <w:rFonts w:hint="eastAsia"/>
                <w:color w:val="auto"/>
                <w:sz w:val="21"/>
                <w:szCs w:val="21"/>
              </w:rPr>
              <w:t>3</w:t>
            </w:r>
          </w:p>
        </w:tc>
      </w:tr>
      <w:tr w14:paraId="52875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07" w:type="pct"/>
            <w:vMerge w:val="continue"/>
            <w:noWrap w:val="0"/>
            <w:vAlign w:val="center"/>
          </w:tcPr>
          <w:p w14:paraId="462995E6">
            <w:pPr>
              <w:jc w:val="center"/>
              <w:rPr>
                <w:color w:val="auto"/>
                <w:sz w:val="21"/>
                <w:szCs w:val="21"/>
              </w:rPr>
            </w:pPr>
          </w:p>
        </w:tc>
        <w:tc>
          <w:tcPr>
            <w:tcW w:w="1251" w:type="pct"/>
            <w:noWrap w:val="0"/>
            <w:vAlign w:val="center"/>
          </w:tcPr>
          <w:p w14:paraId="1AA17738">
            <w:pPr>
              <w:jc w:val="center"/>
              <w:rPr>
                <w:rFonts w:hint="eastAsia"/>
                <w:color w:val="auto"/>
                <w:sz w:val="21"/>
                <w:szCs w:val="21"/>
              </w:rPr>
            </w:pPr>
            <w:r>
              <w:rPr>
                <w:rFonts w:hint="eastAsia"/>
                <w:color w:val="auto"/>
                <w:sz w:val="21"/>
                <w:szCs w:val="21"/>
              </w:rPr>
              <w:t>精加工</w:t>
            </w:r>
          </w:p>
        </w:tc>
        <w:tc>
          <w:tcPr>
            <w:tcW w:w="998" w:type="pct"/>
            <w:noWrap w:val="0"/>
            <w:vAlign w:val="center"/>
          </w:tcPr>
          <w:p w14:paraId="5C41F79F">
            <w:pPr>
              <w:jc w:val="center"/>
              <w:rPr>
                <w:rFonts w:hint="eastAsia"/>
                <w:color w:val="auto"/>
                <w:sz w:val="21"/>
                <w:szCs w:val="21"/>
              </w:rPr>
            </w:pPr>
            <w:r>
              <w:rPr>
                <w:rFonts w:hint="eastAsia"/>
                <w:color w:val="auto"/>
                <w:sz w:val="21"/>
                <w:szCs w:val="21"/>
              </w:rPr>
              <w:t>电子数控锁孔机</w:t>
            </w:r>
          </w:p>
        </w:tc>
        <w:tc>
          <w:tcPr>
            <w:tcW w:w="792" w:type="pct"/>
            <w:noWrap w:val="0"/>
            <w:vAlign w:val="center"/>
          </w:tcPr>
          <w:p w14:paraId="1480C92A">
            <w:pPr>
              <w:jc w:val="center"/>
              <w:rPr>
                <w:rFonts w:hint="eastAsia"/>
                <w:color w:val="auto"/>
                <w:sz w:val="21"/>
                <w:szCs w:val="21"/>
              </w:rPr>
            </w:pPr>
            <w:r>
              <w:rPr>
                <w:rFonts w:hint="eastAsia"/>
                <w:color w:val="auto"/>
                <w:sz w:val="21"/>
                <w:szCs w:val="21"/>
              </w:rPr>
              <w:t>2.2kW</w:t>
            </w:r>
          </w:p>
        </w:tc>
        <w:tc>
          <w:tcPr>
            <w:tcW w:w="1549" w:type="pct"/>
            <w:noWrap w:val="0"/>
            <w:vAlign w:val="center"/>
          </w:tcPr>
          <w:p w14:paraId="23CDCED6">
            <w:pPr>
              <w:jc w:val="center"/>
              <w:rPr>
                <w:rFonts w:hint="eastAsia"/>
                <w:color w:val="auto"/>
                <w:sz w:val="21"/>
                <w:szCs w:val="21"/>
              </w:rPr>
            </w:pPr>
            <w:r>
              <w:rPr>
                <w:rFonts w:hint="eastAsia"/>
                <w:color w:val="auto"/>
                <w:sz w:val="21"/>
                <w:szCs w:val="21"/>
              </w:rPr>
              <w:t>1</w:t>
            </w:r>
          </w:p>
        </w:tc>
      </w:tr>
      <w:tr w14:paraId="7E6E7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07" w:type="pct"/>
            <w:vMerge w:val="continue"/>
            <w:noWrap w:val="0"/>
            <w:vAlign w:val="center"/>
          </w:tcPr>
          <w:p w14:paraId="15532C97">
            <w:pPr>
              <w:jc w:val="center"/>
              <w:rPr>
                <w:color w:val="auto"/>
                <w:sz w:val="21"/>
                <w:szCs w:val="21"/>
              </w:rPr>
            </w:pPr>
          </w:p>
        </w:tc>
        <w:tc>
          <w:tcPr>
            <w:tcW w:w="1251" w:type="pct"/>
            <w:noWrap w:val="0"/>
            <w:vAlign w:val="center"/>
          </w:tcPr>
          <w:p w14:paraId="4FCD6F32">
            <w:pPr>
              <w:jc w:val="center"/>
              <w:rPr>
                <w:rFonts w:hint="eastAsia"/>
                <w:color w:val="auto"/>
                <w:sz w:val="21"/>
                <w:szCs w:val="21"/>
              </w:rPr>
            </w:pPr>
            <w:r>
              <w:rPr>
                <w:rFonts w:hint="eastAsia"/>
                <w:color w:val="auto"/>
                <w:sz w:val="21"/>
                <w:szCs w:val="21"/>
              </w:rPr>
              <w:t>精加工</w:t>
            </w:r>
          </w:p>
        </w:tc>
        <w:tc>
          <w:tcPr>
            <w:tcW w:w="998" w:type="pct"/>
            <w:noWrap w:val="0"/>
            <w:vAlign w:val="center"/>
          </w:tcPr>
          <w:p w14:paraId="20A1CFDA">
            <w:pPr>
              <w:jc w:val="center"/>
              <w:rPr>
                <w:rFonts w:hint="eastAsia"/>
                <w:color w:val="auto"/>
                <w:sz w:val="21"/>
                <w:szCs w:val="21"/>
              </w:rPr>
            </w:pPr>
            <w:r>
              <w:rPr>
                <w:rFonts w:hint="eastAsia"/>
                <w:color w:val="auto"/>
                <w:sz w:val="21"/>
                <w:szCs w:val="21"/>
              </w:rPr>
              <w:t>铰链开孔机</w:t>
            </w:r>
          </w:p>
        </w:tc>
        <w:tc>
          <w:tcPr>
            <w:tcW w:w="792" w:type="pct"/>
            <w:noWrap w:val="0"/>
            <w:vAlign w:val="center"/>
          </w:tcPr>
          <w:p w14:paraId="25629591">
            <w:pPr>
              <w:jc w:val="center"/>
              <w:rPr>
                <w:rFonts w:hint="eastAsia"/>
                <w:color w:val="auto"/>
                <w:sz w:val="21"/>
                <w:szCs w:val="21"/>
              </w:rPr>
            </w:pPr>
            <w:r>
              <w:rPr>
                <w:rFonts w:hint="eastAsia"/>
                <w:color w:val="auto"/>
                <w:sz w:val="21"/>
                <w:szCs w:val="21"/>
              </w:rPr>
              <w:t>3kW</w:t>
            </w:r>
          </w:p>
        </w:tc>
        <w:tc>
          <w:tcPr>
            <w:tcW w:w="1549" w:type="pct"/>
            <w:noWrap w:val="0"/>
            <w:vAlign w:val="center"/>
          </w:tcPr>
          <w:p w14:paraId="19E01BA6">
            <w:pPr>
              <w:jc w:val="center"/>
              <w:rPr>
                <w:rFonts w:hint="eastAsia"/>
                <w:color w:val="auto"/>
                <w:sz w:val="21"/>
                <w:szCs w:val="21"/>
              </w:rPr>
            </w:pPr>
            <w:r>
              <w:rPr>
                <w:rFonts w:hint="eastAsia"/>
                <w:color w:val="auto"/>
                <w:sz w:val="21"/>
                <w:szCs w:val="21"/>
              </w:rPr>
              <w:t>1</w:t>
            </w:r>
          </w:p>
        </w:tc>
      </w:tr>
      <w:tr w14:paraId="518AD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07" w:type="pct"/>
            <w:vMerge w:val="continue"/>
            <w:noWrap w:val="0"/>
            <w:vAlign w:val="center"/>
          </w:tcPr>
          <w:p w14:paraId="7123E3AF">
            <w:pPr>
              <w:jc w:val="center"/>
              <w:rPr>
                <w:color w:val="auto"/>
                <w:sz w:val="21"/>
                <w:szCs w:val="21"/>
              </w:rPr>
            </w:pPr>
          </w:p>
        </w:tc>
        <w:tc>
          <w:tcPr>
            <w:tcW w:w="1251" w:type="pct"/>
            <w:noWrap w:val="0"/>
            <w:vAlign w:val="center"/>
          </w:tcPr>
          <w:p w14:paraId="526B7224">
            <w:pPr>
              <w:jc w:val="center"/>
              <w:rPr>
                <w:rFonts w:hint="eastAsia"/>
                <w:color w:val="auto"/>
                <w:sz w:val="21"/>
                <w:szCs w:val="21"/>
              </w:rPr>
            </w:pPr>
            <w:r>
              <w:rPr>
                <w:rFonts w:hint="eastAsia"/>
                <w:color w:val="auto"/>
                <w:sz w:val="21"/>
                <w:szCs w:val="21"/>
              </w:rPr>
              <w:t>喷漆</w:t>
            </w:r>
          </w:p>
        </w:tc>
        <w:tc>
          <w:tcPr>
            <w:tcW w:w="998" w:type="pct"/>
            <w:noWrap w:val="0"/>
            <w:vAlign w:val="center"/>
          </w:tcPr>
          <w:p w14:paraId="137849B0">
            <w:pPr>
              <w:adjustRightInd w:val="0"/>
              <w:snapToGrid w:val="0"/>
              <w:jc w:val="center"/>
              <w:rPr>
                <w:rFonts w:hint="eastAsia"/>
                <w:color w:val="auto"/>
                <w:sz w:val="21"/>
                <w:szCs w:val="21"/>
              </w:rPr>
            </w:pPr>
            <w:r>
              <w:rPr>
                <w:rFonts w:hint="eastAsia"/>
                <w:color w:val="auto"/>
                <w:sz w:val="21"/>
                <w:szCs w:val="21"/>
              </w:rPr>
              <w:t>喷枪</w:t>
            </w:r>
          </w:p>
        </w:tc>
        <w:tc>
          <w:tcPr>
            <w:tcW w:w="792" w:type="pct"/>
            <w:noWrap w:val="0"/>
            <w:vAlign w:val="center"/>
          </w:tcPr>
          <w:p w14:paraId="637FFA5A">
            <w:pPr>
              <w:jc w:val="center"/>
              <w:rPr>
                <w:color w:val="auto"/>
                <w:sz w:val="21"/>
                <w:szCs w:val="21"/>
              </w:rPr>
            </w:pPr>
            <w:r>
              <w:rPr>
                <w:rFonts w:hint="eastAsia"/>
                <w:color w:val="auto"/>
                <w:sz w:val="21"/>
                <w:szCs w:val="21"/>
              </w:rPr>
              <w:t>0.3-0.5MPa</w:t>
            </w:r>
          </w:p>
        </w:tc>
        <w:tc>
          <w:tcPr>
            <w:tcW w:w="1549" w:type="pct"/>
            <w:noWrap w:val="0"/>
            <w:vAlign w:val="center"/>
          </w:tcPr>
          <w:p w14:paraId="3804F6EC">
            <w:pPr>
              <w:jc w:val="center"/>
              <w:rPr>
                <w:color w:val="auto"/>
                <w:sz w:val="21"/>
                <w:szCs w:val="21"/>
              </w:rPr>
            </w:pPr>
            <w:r>
              <w:rPr>
                <w:rFonts w:hint="eastAsia"/>
                <w:color w:val="auto"/>
                <w:sz w:val="21"/>
                <w:szCs w:val="21"/>
              </w:rPr>
              <w:t>6（3用3备）</w:t>
            </w:r>
          </w:p>
        </w:tc>
      </w:tr>
      <w:tr w14:paraId="5AFC1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07" w:type="pct"/>
            <w:vMerge w:val="continue"/>
            <w:noWrap w:val="0"/>
            <w:vAlign w:val="center"/>
          </w:tcPr>
          <w:p w14:paraId="3471A874">
            <w:pPr>
              <w:jc w:val="center"/>
              <w:rPr>
                <w:color w:val="auto"/>
                <w:sz w:val="21"/>
                <w:szCs w:val="21"/>
              </w:rPr>
            </w:pPr>
          </w:p>
        </w:tc>
        <w:tc>
          <w:tcPr>
            <w:tcW w:w="1251" w:type="pct"/>
            <w:noWrap w:val="0"/>
            <w:vAlign w:val="center"/>
          </w:tcPr>
          <w:p w14:paraId="1CD16D79">
            <w:pPr>
              <w:jc w:val="center"/>
              <w:rPr>
                <w:rFonts w:hint="eastAsia"/>
                <w:color w:val="auto"/>
                <w:sz w:val="21"/>
                <w:szCs w:val="21"/>
              </w:rPr>
            </w:pPr>
            <w:r>
              <w:rPr>
                <w:rFonts w:hint="eastAsia"/>
                <w:color w:val="auto"/>
                <w:sz w:val="21"/>
                <w:szCs w:val="21"/>
              </w:rPr>
              <w:t>喷漆</w:t>
            </w:r>
          </w:p>
        </w:tc>
        <w:tc>
          <w:tcPr>
            <w:tcW w:w="998" w:type="pct"/>
            <w:noWrap w:val="0"/>
            <w:vAlign w:val="center"/>
          </w:tcPr>
          <w:p w14:paraId="43CE341C">
            <w:pPr>
              <w:adjustRightInd w:val="0"/>
              <w:snapToGrid w:val="0"/>
              <w:jc w:val="center"/>
              <w:rPr>
                <w:rFonts w:hint="eastAsia"/>
                <w:color w:val="auto"/>
                <w:sz w:val="21"/>
                <w:szCs w:val="21"/>
              </w:rPr>
            </w:pPr>
            <w:r>
              <w:rPr>
                <w:rFonts w:hint="eastAsia"/>
                <w:color w:val="auto"/>
                <w:sz w:val="21"/>
                <w:szCs w:val="21"/>
              </w:rPr>
              <w:t>底漆房（10m*7.4m*3.1m）</w:t>
            </w:r>
          </w:p>
        </w:tc>
        <w:tc>
          <w:tcPr>
            <w:tcW w:w="792" w:type="pct"/>
            <w:noWrap w:val="0"/>
            <w:vAlign w:val="center"/>
          </w:tcPr>
          <w:p w14:paraId="5910EA0F">
            <w:pPr>
              <w:jc w:val="center"/>
              <w:rPr>
                <w:rFonts w:hint="eastAsia"/>
                <w:color w:val="auto"/>
                <w:sz w:val="21"/>
                <w:szCs w:val="21"/>
              </w:rPr>
            </w:pPr>
            <w:r>
              <w:rPr>
                <w:rFonts w:hint="eastAsia"/>
                <w:color w:val="auto"/>
                <w:sz w:val="21"/>
                <w:szCs w:val="21"/>
              </w:rPr>
              <w:t>25kW</w:t>
            </w:r>
          </w:p>
        </w:tc>
        <w:tc>
          <w:tcPr>
            <w:tcW w:w="1549" w:type="pct"/>
            <w:noWrap w:val="0"/>
            <w:vAlign w:val="center"/>
          </w:tcPr>
          <w:p w14:paraId="6F767B35">
            <w:pPr>
              <w:jc w:val="center"/>
              <w:rPr>
                <w:rFonts w:hint="eastAsia"/>
                <w:color w:val="auto"/>
                <w:sz w:val="21"/>
                <w:szCs w:val="21"/>
              </w:rPr>
            </w:pPr>
            <w:r>
              <w:rPr>
                <w:rFonts w:hint="eastAsia"/>
                <w:color w:val="auto"/>
                <w:sz w:val="21"/>
                <w:szCs w:val="21"/>
              </w:rPr>
              <w:t>1</w:t>
            </w:r>
          </w:p>
        </w:tc>
      </w:tr>
      <w:tr w14:paraId="68C45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07" w:type="pct"/>
            <w:vMerge w:val="continue"/>
            <w:noWrap w:val="0"/>
            <w:vAlign w:val="center"/>
          </w:tcPr>
          <w:p w14:paraId="4234CF80">
            <w:pPr>
              <w:jc w:val="center"/>
              <w:rPr>
                <w:color w:val="auto"/>
                <w:sz w:val="21"/>
                <w:szCs w:val="21"/>
              </w:rPr>
            </w:pPr>
          </w:p>
        </w:tc>
        <w:tc>
          <w:tcPr>
            <w:tcW w:w="1251" w:type="pct"/>
            <w:noWrap w:val="0"/>
            <w:vAlign w:val="center"/>
          </w:tcPr>
          <w:p w14:paraId="2A930207">
            <w:pPr>
              <w:jc w:val="center"/>
              <w:rPr>
                <w:rFonts w:hint="eastAsia"/>
                <w:color w:val="auto"/>
                <w:sz w:val="21"/>
                <w:szCs w:val="21"/>
              </w:rPr>
            </w:pPr>
            <w:r>
              <w:rPr>
                <w:rFonts w:hint="eastAsia"/>
                <w:color w:val="auto"/>
                <w:sz w:val="21"/>
                <w:szCs w:val="21"/>
              </w:rPr>
              <w:t>打磨</w:t>
            </w:r>
          </w:p>
        </w:tc>
        <w:tc>
          <w:tcPr>
            <w:tcW w:w="998" w:type="pct"/>
            <w:noWrap w:val="0"/>
            <w:vAlign w:val="center"/>
          </w:tcPr>
          <w:p w14:paraId="0D9973CA">
            <w:pPr>
              <w:jc w:val="center"/>
              <w:rPr>
                <w:rFonts w:hint="eastAsia"/>
                <w:color w:val="auto"/>
                <w:sz w:val="21"/>
                <w:szCs w:val="21"/>
              </w:rPr>
            </w:pPr>
            <w:r>
              <w:rPr>
                <w:rFonts w:hint="eastAsia"/>
                <w:color w:val="auto"/>
                <w:sz w:val="21"/>
                <w:szCs w:val="21"/>
              </w:rPr>
              <w:t>打磨房</w:t>
            </w:r>
          </w:p>
        </w:tc>
        <w:tc>
          <w:tcPr>
            <w:tcW w:w="792" w:type="pct"/>
            <w:noWrap w:val="0"/>
            <w:vAlign w:val="center"/>
          </w:tcPr>
          <w:p w14:paraId="28979C78">
            <w:pPr>
              <w:jc w:val="center"/>
              <w:rPr>
                <w:rFonts w:hint="eastAsia"/>
                <w:color w:val="auto"/>
                <w:sz w:val="21"/>
                <w:szCs w:val="21"/>
              </w:rPr>
            </w:pPr>
            <w:r>
              <w:rPr>
                <w:rFonts w:hint="eastAsia"/>
                <w:color w:val="auto"/>
                <w:sz w:val="21"/>
                <w:szCs w:val="21"/>
              </w:rPr>
              <w:t>25kW</w:t>
            </w:r>
          </w:p>
        </w:tc>
        <w:tc>
          <w:tcPr>
            <w:tcW w:w="1549" w:type="pct"/>
            <w:noWrap w:val="0"/>
            <w:vAlign w:val="center"/>
          </w:tcPr>
          <w:p w14:paraId="123F1FAE">
            <w:pPr>
              <w:jc w:val="center"/>
              <w:rPr>
                <w:rFonts w:hint="eastAsia"/>
                <w:color w:val="auto"/>
                <w:sz w:val="21"/>
                <w:szCs w:val="21"/>
              </w:rPr>
            </w:pPr>
            <w:r>
              <w:rPr>
                <w:rFonts w:hint="eastAsia"/>
                <w:color w:val="auto"/>
                <w:sz w:val="21"/>
                <w:szCs w:val="21"/>
              </w:rPr>
              <w:t>1</w:t>
            </w:r>
          </w:p>
        </w:tc>
      </w:tr>
      <w:tr w14:paraId="15501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07" w:type="pct"/>
            <w:vMerge w:val="continue"/>
            <w:noWrap w:val="0"/>
            <w:vAlign w:val="center"/>
          </w:tcPr>
          <w:p w14:paraId="136E0971">
            <w:pPr>
              <w:jc w:val="center"/>
              <w:rPr>
                <w:color w:val="auto"/>
                <w:sz w:val="21"/>
                <w:szCs w:val="21"/>
              </w:rPr>
            </w:pPr>
          </w:p>
        </w:tc>
        <w:tc>
          <w:tcPr>
            <w:tcW w:w="1251" w:type="pct"/>
            <w:noWrap w:val="0"/>
            <w:vAlign w:val="center"/>
          </w:tcPr>
          <w:p w14:paraId="7EE84070">
            <w:pPr>
              <w:jc w:val="center"/>
              <w:rPr>
                <w:rFonts w:hint="eastAsia"/>
                <w:color w:val="auto"/>
                <w:sz w:val="21"/>
                <w:szCs w:val="21"/>
              </w:rPr>
            </w:pPr>
            <w:r>
              <w:rPr>
                <w:rFonts w:hint="eastAsia"/>
                <w:color w:val="auto"/>
                <w:sz w:val="21"/>
                <w:szCs w:val="21"/>
              </w:rPr>
              <w:t>喷漆</w:t>
            </w:r>
          </w:p>
        </w:tc>
        <w:tc>
          <w:tcPr>
            <w:tcW w:w="998" w:type="pct"/>
            <w:noWrap w:val="0"/>
            <w:vAlign w:val="center"/>
          </w:tcPr>
          <w:p w14:paraId="450C4E02">
            <w:pPr>
              <w:jc w:val="center"/>
              <w:rPr>
                <w:rFonts w:hint="eastAsia"/>
                <w:color w:val="auto"/>
                <w:sz w:val="21"/>
                <w:szCs w:val="21"/>
              </w:rPr>
            </w:pPr>
            <w:r>
              <w:rPr>
                <w:rFonts w:hint="eastAsia"/>
                <w:color w:val="auto"/>
                <w:sz w:val="21"/>
                <w:szCs w:val="21"/>
              </w:rPr>
              <w:t>修色房（8m*7.4m*3.1m）</w:t>
            </w:r>
          </w:p>
        </w:tc>
        <w:tc>
          <w:tcPr>
            <w:tcW w:w="792" w:type="pct"/>
            <w:noWrap w:val="0"/>
            <w:vAlign w:val="center"/>
          </w:tcPr>
          <w:p w14:paraId="72B98E35">
            <w:pPr>
              <w:jc w:val="center"/>
              <w:rPr>
                <w:rFonts w:hint="eastAsia"/>
                <w:color w:val="auto"/>
                <w:sz w:val="21"/>
                <w:szCs w:val="21"/>
              </w:rPr>
            </w:pPr>
            <w:r>
              <w:rPr>
                <w:rFonts w:hint="eastAsia"/>
                <w:color w:val="auto"/>
                <w:sz w:val="21"/>
                <w:szCs w:val="21"/>
              </w:rPr>
              <w:t>25kW</w:t>
            </w:r>
          </w:p>
        </w:tc>
        <w:tc>
          <w:tcPr>
            <w:tcW w:w="1549" w:type="pct"/>
            <w:noWrap w:val="0"/>
            <w:vAlign w:val="center"/>
          </w:tcPr>
          <w:p w14:paraId="2D9EDF3C">
            <w:pPr>
              <w:jc w:val="center"/>
              <w:rPr>
                <w:rFonts w:hint="eastAsia"/>
                <w:color w:val="auto"/>
                <w:sz w:val="21"/>
                <w:szCs w:val="21"/>
              </w:rPr>
            </w:pPr>
            <w:r>
              <w:rPr>
                <w:rFonts w:hint="eastAsia"/>
                <w:color w:val="auto"/>
                <w:sz w:val="21"/>
                <w:szCs w:val="21"/>
              </w:rPr>
              <w:t>1</w:t>
            </w:r>
          </w:p>
        </w:tc>
      </w:tr>
      <w:tr w14:paraId="2E8AE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07" w:type="pct"/>
            <w:vMerge w:val="continue"/>
            <w:noWrap w:val="0"/>
            <w:vAlign w:val="center"/>
          </w:tcPr>
          <w:p w14:paraId="2003D7EA">
            <w:pPr>
              <w:jc w:val="center"/>
              <w:rPr>
                <w:color w:val="auto"/>
                <w:sz w:val="21"/>
                <w:szCs w:val="21"/>
              </w:rPr>
            </w:pPr>
          </w:p>
        </w:tc>
        <w:tc>
          <w:tcPr>
            <w:tcW w:w="1251" w:type="pct"/>
            <w:noWrap w:val="0"/>
            <w:vAlign w:val="center"/>
          </w:tcPr>
          <w:p w14:paraId="05FED8C8">
            <w:pPr>
              <w:jc w:val="center"/>
              <w:rPr>
                <w:rFonts w:hint="eastAsia"/>
                <w:color w:val="auto"/>
                <w:sz w:val="21"/>
                <w:szCs w:val="21"/>
              </w:rPr>
            </w:pPr>
            <w:r>
              <w:rPr>
                <w:rFonts w:hint="eastAsia"/>
                <w:color w:val="auto"/>
                <w:sz w:val="21"/>
                <w:szCs w:val="21"/>
              </w:rPr>
              <w:t>喷漆</w:t>
            </w:r>
          </w:p>
        </w:tc>
        <w:tc>
          <w:tcPr>
            <w:tcW w:w="998" w:type="pct"/>
            <w:noWrap w:val="0"/>
            <w:vAlign w:val="center"/>
          </w:tcPr>
          <w:p w14:paraId="3B99CF43">
            <w:pPr>
              <w:jc w:val="center"/>
              <w:rPr>
                <w:rFonts w:hint="eastAsia"/>
                <w:color w:val="auto"/>
                <w:sz w:val="21"/>
                <w:szCs w:val="21"/>
              </w:rPr>
            </w:pPr>
            <w:r>
              <w:rPr>
                <w:rFonts w:hint="eastAsia"/>
                <w:color w:val="auto"/>
                <w:sz w:val="21"/>
                <w:szCs w:val="21"/>
              </w:rPr>
              <w:t>面漆房（8m*7.4m*3.1m）</w:t>
            </w:r>
          </w:p>
        </w:tc>
        <w:tc>
          <w:tcPr>
            <w:tcW w:w="792" w:type="pct"/>
            <w:noWrap w:val="0"/>
            <w:vAlign w:val="center"/>
          </w:tcPr>
          <w:p w14:paraId="7B8584D3">
            <w:pPr>
              <w:jc w:val="center"/>
              <w:rPr>
                <w:rFonts w:hint="eastAsia"/>
                <w:color w:val="auto"/>
                <w:sz w:val="21"/>
                <w:szCs w:val="21"/>
              </w:rPr>
            </w:pPr>
            <w:r>
              <w:rPr>
                <w:rFonts w:hint="eastAsia"/>
                <w:color w:val="auto"/>
                <w:sz w:val="21"/>
                <w:szCs w:val="21"/>
              </w:rPr>
              <w:t>25kW</w:t>
            </w:r>
          </w:p>
        </w:tc>
        <w:tc>
          <w:tcPr>
            <w:tcW w:w="1549" w:type="pct"/>
            <w:noWrap w:val="0"/>
            <w:vAlign w:val="center"/>
          </w:tcPr>
          <w:p w14:paraId="58EE8BA3">
            <w:pPr>
              <w:jc w:val="center"/>
              <w:rPr>
                <w:rFonts w:hint="eastAsia"/>
                <w:color w:val="auto"/>
                <w:sz w:val="21"/>
                <w:szCs w:val="21"/>
              </w:rPr>
            </w:pPr>
            <w:r>
              <w:rPr>
                <w:rFonts w:hint="eastAsia"/>
                <w:color w:val="auto"/>
                <w:sz w:val="21"/>
                <w:szCs w:val="21"/>
              </w:rPr>
              <w:t>1</w:t>
            </w:r>
          </w:p>
        </w:tc>
      </w:tr>
    </w:tbl>
    <w:p w14:paraId="114F3460">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对照《重点监管危险化工工艺目录》，公司所采用生产工艺不属于重点监管危险化工工艺，也不存在国家规定的淘汰类落后生产工艺装备。</w:t>
      </w:r>
    </w:p>
    <w:p w14:paraId="077E7BE1">
      <w:pPr>
        <w:pStyle w:val="252"/>
        <w:outlineLvl w:val="2"/>
      </w:pPr>
      <w:bookmarkStart w:id="114" w:name="_Toc6678"/>
      <w:bookmarkStart w:id="115" w:name="_Toc247"/>
      <w:bookmarkStart w:id="116" w:name="_Toc20839"/>
      <w:bookmarkStart w:id="117" w:name="_Toc11399"/>
      <w:r>
        <w:rPr>
          <w:rFonts w:hint="eastAsia"/>
        </w:rPr>
        <w:t>3.5.3</w:t>
      </w:r>
      <w:r>
        <w:rPr>
          <w:rFonts w:hint="eastAsia" w:ascii="宋体" w:hAnsi="宋体" w:eastAsia="宋体" w:cs="宋体"/>
        </w:rPr>
        <w:t>生产工艺过程含有风险工艺和设备情况</w:t>
      </w:r>
      <w:bookmarkEnd w:id="114"/>
      <w:bookmarkEnd w:id="115"/>
      <w:bookmarkEnd w:id="116"/>
    </w:p>
    <w:p w14:paraId="7E3ABA51">
      <w:pPr>
        <w:adjustRightInd w:val="0"/>
        <w:snapToGrid w:val="0"/>
        <w:spacing w:line="500" w:lineRule="exact"/>
        <w:ind w:firstLine="480" w:firstLineChars="200"/>
        <w:rPr>
          <w:rFonts w:eastAsiaTheme="minorEastAsia"/>
          <w:color w:val="000000" w:themeColor="text1"/>
          <w14:textFill>
            <w14:solidFill>
              <w14:schemeClr w14:val="tx1"/>
            </w14:solidFill>
          </w14:textFill>
        </w:rPr>
      </w:pPr>
      <w:r>
        <w:rPr>
          <w:rFonts w:eastAsia="宋体"/>
        </w:rPr>
        <w:t>对照《企业突发环境事件风险分级方法（发布稿）》中6.2中表1评估企业生产工艺情况。具有多套工艺单元的企业，对每套生产工艺分别评分并求和。企业生产工艺最高分值为30分，超过30分则按最高分计。</w:t>
      </w:r>
      <w:r>
        <w:rPr>
          <w:rFonts w:eastAsiaTheme="minorEastAsia"/>
          <w:color w:val="000000" w:themeColor="text1"/>
          <w14:textFill>
            <w14:solidFill>
              <w14:schemeClr w14:val="tx1"/>
            </w14:solidFill>
          </w14:textFill>
        </w:rPr>
        <w:t>根据表</w:t>
      </w:r>
      <w:r>
        <w:rPr>
          <w:rFonts w:hint="eastAsia" w:eastAsiaTheme="minorEastAsia"/>
          <w:color w:val="000000" w:themeColor="text1"/>
          <w14:textFill>
            <w14:solidFill>
              <w14:schemeClr w14:val="tx1"/>
            </w14:solidFill>
          </w14:textFill>
        </w:rPr>
        <w:t>3-1</w:t>
      </w:r>
      <w:r>
        <w:rPr>
          <w:rFonts w:eastAsiaTheme="minorEastAsia"/>
          <w:color w:val="000000" w:themeColor="text1"/>
          <w14:textFill>
            <w14:solidFill>
              <w14:schemeClr w14:val="tx1"/>
            </w14:solidFill>
          </w14:textFill>
        </w:rPr>
        <w:t>2，可知生产工艺分值为</w:t>
      </w:r>
      <w:r>
        <w:rPr>
          <w:rFonts w:hint="eastAsia" w:eastAsiaTheme="minorEastAsia"/>
          <w:color w:val="000000" w:themeColor="text1"/>
          <w14:textFill>
            <w14:solidFill>
              <w14:schemeClr w14:val="tx1"/>
            </w14:solidFill>
          </w14:textFill>
        </w:rPr>
        <w:t>5</w:t>
      </w:r>
      <w:r>
        <w:rPr>
          <w:rFonts w:eastAsiaTheme="minorEastAsia"/>
          <w:color w:val="000000" w:themeColor="text1"/>
          <w14:textFill>
            <w14:solidFill>
              <w14:schemeClr w14:val="tx1"/>
            </w14:solidFill>
          </w14:textFill>
        </w:rPr>
        <w:t>分。</w:t>
      </w:r>
    </w:p>
    <w:p w14:paraId="58C36F7B">
      <w:pPr>
        <w:pStyle w:val="255"/>
        <w:adjustRightInd w:val="0"/>
        <w:snapToGrid w:val="0"/>
        <w:ind w:firstLine="171" w:firstLineChars="71"/>
        <w:jc w:val="center"/>
        <w:rPr>
          <w:rFonts w:eastAsia="宋体"/>
          <w:b/>
          <w:sz w:val="24"/>
        </w:rPr>
      </w:pPr>
      <w:r>
        <w:rPr>
          <w:rFonts w:eastAsia="宋体"/>
          <w:b/>
          <w:sz w:val="24"/>
        </w:rPr>
        <w:t>表</w:t>
      </w:r>
      <w:r>
        <w:rPr>
          <w:rFonts w:hint="eastAsia" w:eastAsia="宋体"/>
          <w:b/>
          <w:sz w:val="24"/>
        </w:rPr>
        <w:t>3-1</w:t>
      </w:r>
      <w:r>
        <w:rPr>
          <w:rFonts w:eastAsia="宋体"/>
          <w:b/>
          <w:sz w:val="24"/>
        </w:rPr>
        <w:t>2企业生产工艺</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69"/>
        <w:gridCol w:w="867"/>
        <w:gridCol w:w="1864"/>
        <w:gridCol w:w="986"/>
      </w:tblGrid>
      <w:tr w14:paraId="549E6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82" w:type="pct"/>
            <w:gridSpan w:val="2"/>
            <w:vAlign w:val="center"/>
          </w:tcPr>
          <w:p w14:paraId="71937F7D">
            <w:pPr>
              <w:pStyle w:val="7"/>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企业突发环境事件风险评估指南</w:t>
            </w:r>
          </w:p>
        </w:tc>
        <w:tc>
          <w:tcPr>
            <w:tcW w:w="1518" w:type="pct"/>
            <w:gridSpan w:val="2"/>
            <w:vAlign w:val="center"/>
          </w:tcPr>
          <w:p w14:paraId="575A1D9E">
            <w:pPr>
              <w:pStyle w:val="7"/>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企业现状</w:t>
            </w:r>
          </w:p>
        </w:tc>
      </w:tr>
      <w:tr w14:paraId="54E3B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57C6EACF">
            <w:pPr>
              <w:pStyle w:val="7"/>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评估依据</w:t>
            </w:r>
          </w:p>
        </w:tc>
        <w:tc>
          <w:tcPr>
            <w:tcW w:w="462" w:type="pct"/>
            <w:vAlign w:val="center"/>
          </w:tcPr>
          <w:p w14:paraId="6ADC0867">
            <w:pPr>
              <w:pStyle w:val="7"/>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c>
          <w:tcPr>
            <w:tcW w:w="993" w:type="pct"/>
            <w:vAlign w:val="center"/>
          </w:tcPr>
          <w:p w14:paraId="5D2F7B13">
            <w:pPr>
              <w:pStyle w:val="7"/>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企业目前情况</w:t>
            </w:r>
          </w:p>
        </w:tc>
        <w:tc>
          <w:tcPr>
            <w:tcW w:w="525" w:type="pct"/>
            <w:vAlign w:val="center"/>
          </w:tcPr>
          <w:p w14:paraId="533CA582">
            <w:pPr>
              <w:pStyle w:val="7"/>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得分</w:t>
            </w:r>
          </w:p>
        </w:tc>
      </w:tr>
      <w:tr w14:paraId="5B8DD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70E548CD">
            <w:pPr>
              <w:pStyle w:val="7"/>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462" w:type="pct"/>
            <w:vAlign w:val="center"/>
          </w:tcPr>
          <w:p w14:paraId="63ADC171">
            <w:pPr>
              <w:pStyle w:val="7"/>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10/每套</w:t>
            </w:r>
          </w:p>
        </w:tc>
        <w:tc>
          <w:tcPr>
            <w:tcW w:w="993" w:type="pct"/>
            <w:vAlign w:val="center"/>
          </w:tcPr>
          <w:p w14:paraId="0C6B76CD">
            <w:pPr>
              <w:pStyle w:val="7"/>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4C9150A8">
            <w:pPr>
              <w:pStyle w:val="7"/>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0EFF6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1A5FA150">
            <w:pPr>
              <w:pStyle w:val="7"/>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其他高温或高压、涉及易燃易爆等物质的工艺过程</w:t>
            </w:r>
            <w:r>
              <w:rPr>
                <w:rFonts w:eastAsiaTheme="minorEastAsia"/>
                <w:color w:val="000000" w:themeColor="text1"/>
                <w:sz w:val="21"/>
                <w:szCs w:val="21"/>
                <w:vertAlign w:val="superscript"/>
                <w14:textFill>
                  <w14:solidFill>
                    <w14:schemeClr w14:val="tx1"/>
                  </w14:solidFill>
                </w14:textFill>
              </w:rPr>
              <w:t>1</w:t>
            </w:r>
          </w:p>
        </w:tc>
        <w:tc>
          <w:tcPr>
            <w:tcW w:w="462" w:type="pct"/>
            <w:vAlign w:val="center"/>
          </w:tcPr>
          <w:p w14:paraId="103082BE">
            <w:pPr>
              <w:pStyle w:val="7"/>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5/每套</w:t>
            </w:r>
          </w:p>
        </w:tc>
        <w:tc>
          <w:tcPr>
            <w:tcW w:w="993" w:type="pct"/>
            <w:vAlign w:val="center"/>
          </w:tcPr>
          <w:p w14:paraId="2659BCC3">
            <w:pPr>
              <w:pStyle w:val="7"/>
              <w:ind w:firstLine="0" w:firstLineChars="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企业生产中使用</w:t>
            </w:r>
            <w:r>
              <w:rPr>
                <w:rFonts w:hint="eastAsia" w:eastAsiaTheme="minorEastAsia"/>
                <w:color w:val="000000" w:themeColor="text1"/>
                <w:sz w:val="21"/>
                <w:szCs w:val="21"/>
                <w:lang w:val="en-US" w:eastAsia="zh-CN"/>
                <w14:textFill>
                  <w14:solidFill>
                    <w14:schemeClr w14:val="tx1"/>
                  </w14:solidFill>
                </w14:textFill>
              </w:rPr>
              <w:t>水性漆</w:t>
            </w:r>
            <w:r>
              <w:rPr>
                <w:rFonts w:hint="eastAsia" w:eastAsiaTheme="minorEastAsia"/>
                <w:color w:val="000000" w:themeColor="text1"/>
                <w:sz w:val="21"/>
                <w:szCs w:val="21"/>
                <w14:textFill>
                  <w14:solidFill>
                    <w14:schemeClr w14:val="tx1"/>
                  </w14:solidFill>
                </w14:textFill>
              </w:rPr>
              <w:t>等</w:t>
            </w:r>
          </w:p>
        </w:tc>
        <w:tc>
          <w:tcPr>
            <w:tcW w:w="525" w:type="pct"/>
            <w:vAlign w:val="center"/>
          </w:tcPr>
          <w:p w14:paraId="7DFFC527">
            <w:pPr>
              <w:pStyle w:val="7"/>
              <w:ind w:firstLine="0" w:firstLineChars="0"/>
              <w:jc w:val="center"/>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0</w:t>
            </w:r>
          </w:p>
        </w:tc>
      </w:tr>
      <w:tr w14:paraId="2384F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5EAD6026">
            <w:pPr>
              <w:pStyle w:val="7"/>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具有国家规定限期淘汰的工艺名录和设备</w:t>
            </w:r>
            <w:r>
              <w:rPr>
                <w:rFonts w:eastAsiaTheme="minorEastAsia"/>
                <w:color w:val="000000" w:themeColor="text1"/>
                <w:sz w:val="21"/>
                <w:szCs w:val="21"/>
                <w:vertAlign w:val="superscript"/>
                <w14:textFill>
                  <w14:solidFill>
                    <w14:schemeClr w14:val="tx1"/>
                  </w14:solidFill>
                </w14:textFill>
              </w:rPr>
              <w:t>2</w:t>
            </w:r>
          </w:p>
        </w:tc>
        <w:tc>
          <w:tcPr>
            <w:tcW w:w="462" w:type="pct"/>
            <w:vAlign w:val="center"/>
          </w:tcPr>
          <w:p w14:paraId="553A2656">
            <w:pPr>
              <w:pStyle w:val="7"/>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5/每套</w:t>
            </w:r>
          </w:p>
        </w:tc>
        <w:tc>
          <w:tcPr>
            <w:tcW w:w="993" w:type="pct"/>
            <w:vAlign w:val="center"/>
          </w:tcPr>
          <w:p w14:paraId="025B6B1E">
            <w:pPr>
              <w:pStyle w:val="7"/>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677F360E">
            <w:pPr>
              <w:pStyle w:val="7"/>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6C18FA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71B4A29E">
            <w:pPr>
              <w:pStyle w:val="7"/>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不涉及以上危险工艺过程或国家规定的禁用工艺/设备</w:t>
            </w:r>
          </w:p>
        </w:tc>
        <w:tc>
          <w:tcPr>
            <w:tcW w:w="462" w:type="pct"/>
            <w:vAlign w:val="center"/>
          </w:tcPr>
          <w:p w14:paraId="0B71051E">
            <w:pPr>
              <w:pStyle w:val="7"/>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993" w:type="pct"/>
            <w:vAlign w:val="center"/>
          </w:tcPr>
          <w:p w14:paraId="2A61B57E">
            <w:pPr>
              <w:pStyle w:val="7"/>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1EA3FC4F">
            <w:pPr>
              <w:pStyle w:val="7"/>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6BAF55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357D4C66">
            <w:pPr>
              <w:pStyle w:val="7"/>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合计</w:t>
            </w:r>
          </w:p>
        </w:tc>
        <w:tc>
          <w:tcPr>
            <w:tcW w:w="462" w:type="pct"/>
            <w:vAlign w:val="center"/>
          </w:tcPr>
          <w:p w14:paraId="5274071F">
            <w:pPr>
              <w:pStyle w:val="7"/>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993" w:type="pct"/>
            <w:vAlign w:val="center"/>
          </w:tcPr>
          <w:p w14:paraId="5FD2698D">
            <w:pPr>
              <w:pStyle w:val="7"/>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525" w:type="pct"/>
            <w:vAlign w:val="center"/>
          </w:tcPr>
          <w:p w14:paraId="4E6EB474">
            <w:pPr>
              <w:pStyle w:val="7"/>
              <w:ind w:firstLine="0" w:firstLineChars="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5</w:t>
            </w:r>
          </w:p>
        </w:tc>
      </w:tr>
    </w:tbl>
    <w:p w14:paraId="38C5338A">
      <w:pPr>
        <w:adjustRightInd w:val="0"/>
        <w:snapToGrid w:val="0"/>
        <w:ind w:firstLine="360" w:firstLineChars="200"/>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注1：高温指工艺温度≥300</w:t>
      </w:r>
      <w:r>
        <w:rPr>
          <w:rFonts w:hint="eastAsia" w:ascii="宋体" w:hAnsi="宋体" w:cs="宋体"/>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，高压指压力容器的设计压力（p）≥10.0MPa，易燃易爆等物质是指按照《化学品分类、警示标签和警示性说明安全规范》所确定的化学物质；</w:t>
      </w:r>
    </w:p>
    <w:p w14:paraId="3576CBBB">
      <w:pPr>
        <w:adjustRightInd w:val="0"/>
        <w:ind w:firstLine="360" w:firstLineChars="200"/>
        <w:jc w:val="left"/>
        <w:rPr>
          <w:rFonts w:ascii="宋体" w:hAnsi="宋体" w:eastAsia="宋体" w:cs="宋体"/>
          <w:sz w:val="18"/>
          <w:szCs w:val="18"/>
        </w:rPr>
      </w:pPr>
      <w:r>
        <w:rPr>
          <w:rFonts w:eastAsiaTheme="minorEastAsia"/>
          <w:color w:val="000000" w:themeColor="text1"/>
          <w:sz w:val="18"/>
          <w:szCs w:val="18"/>
          <w14:textFill>
            <w14:solidFill>
              <w14:schemeClr w14:val="tx1"/>
            </w14:solidFill>
          </w14:textFill>
        </w:rPr>
        <w:t>注2：指根据国家发展改革委发布的《产业结构调整指导目录》（最新年本）中有淘汰期限的淘汰类落后生产工艺装备。</w:t>
      </w:r>
    </w:p>
    <w:p w14:paraId="2C62A101">
      <w:pPr>
        <w:pStyle w:val="4"/>
        <w:adjustRightInd w:val="0"/>
        <w:snapToGrid w:val="0"/>
        <w:spacing w:line="500" w:lineRule="exact"/>
        <w:rPr>
          <w:rFonts w:eastAsia="宋体"/>
          <w:szCs w:val="24"/>
        </w:rPr>
      </w:pPr>
      <w:bookmarkStart w:id="118" w:name="_Toc10361"/>
      <w:bookmarkStart w:id="119" w:name="_Toc28286"/>
      <w:bookmarkStart w:id="120" w:name="_Toc10409"/>
      <w:r>
        <w:rPr>
          <w:rFonts w:eastAsia="宋体"/>
          <w:szCs w:val="24"/>
        </w:rPr>
        <w:t>3.</w:t>
      </w:r>
      <w:r>
        <w:rPr>
          <w:rFonts w:hint="eastAsia" w:eastAsia="宋体"/>
          <w:szCs w:val="24"/>
        </w:rPr>
        <w:t>5</w:t>
      </w:r>
      <w:r>
        <w:rPr>
          <w:rFonts w:eastAsia="宋体"/>
          <w:szCs w:val="24"/>
        </w:rPr>
        <w:t>.</w:t>
      </w:r>
      <w:r>
        <w:rPr>
          <w:rFonts w:hint="eastAsia" w:eastAsia="宋体"/>
          <w:szCs w:val="24"/>
        </w:rPr>
        <w:t>4</w:t>
      </w:r>
      <w:r>
        <w:rPr>
          <w:rFonts w:eastAsia="宋体"/>
          <w:szCs w:val="24"/>
        </w:rPr>
        <w:t>公用辅助工程情况</w:t>
      </w:r>
      <w:bookmarkEnd w:id="117"/>
      <w:bookmarkEnd w:id="118"/>
      <w:bookmarkEnd w:id="119"/>
      <w:bookmarkEnd w:id="120"/>
    </w:p>
    <w:p w14:paraId="1C4862DE">
      <w:pPr>
        <w:pStyle w:val="252"/>
        <w:snapToGrid w:val="0"/>
        <w:rPr>
          <w:rFonts w:eastAsia="宋体"/>
          <w:szCs w:val="24"/>
        </w:rPr>
      </w:pPr>
      <w:r>
        <w:rPr>
          <w:rFonts w:eastAsia="宋体"/>
          <w:szCs w:val="24"/>
        </w:rPr>
        <w:t>3.</w:t>
      </w:r>
      <w:r>
        <w:rPr>
          <w:rFonts w:hint="eastAsia"/>
          <w:szCs w:val="24"/>
        </w:rPr>
        <w:t>5</w:t>
      </w:r>
      <w:r>
        <w:rPr>
          <w:szCs w:val="24"/>
        </w:rPr>
        <w:t>.</w:t>
      </w:r>
      <w:r>
        <w:rPr>
          <w:rFonts w:hint="eastAsia"/>
          <w:szCs w:val="24"/>
        </w:rPr>
        <w:t>4</w:t>
      </w:r>
      <w:r>
        <w:rPr>
          <w:szCs w:val="24"/>
        </w:rPr>
        <w:t>.1</w:t>
      </w:r>
      <w:r>
        <w:rPr>
          <w:rFonts w:eastAsia="宋体"/>
          <w:szCs w:val="24"/>
        </w:rPr>
        <w:t>给水与排水</w:t>
      </w:r>
    </w:p>
    <w:p w14:paraId="715E4FB7">
      <w:pPr>
        <w:snapToGrid w:val="0"/>
        <w:spacing w:line="500" w:lineRule="exact"/>
        <w:ind w:firstLine="480" w:firstLineChars="200"/>
        <w:rPr>
          <w:rFonts w:eastAsia="宋体"/>
        </w:rPr>
      </w:pPr>
      <w:r>
        <w:rPr>
          <w:rFonts w:eastAsia="宋体"/>
        </w:rPr>
        <w:t>（1）供水</w:t>
      </w:r>
    </w:p>
    <w:p w14:paraId="12749BA8">
      <w:pPr>
        <w:snapToGrid w:val="0"/>
        <w:spacing w:line="500" w:lineRule="exact"/>
        <w:ind w:firstLine="480" w:firstLineChars="200"/>
        <w:rPr>
          <w:rFonts w:eastAsia="宋体"/>
        </w:rPr>
      </w:pPr>
      <w:r>
        <w:rPr>
          <w:rFonts w:eastAsia="宋体"/>
        </w:rPr>
        <w:t>本项目所需生活用水水源由市政自来水管网统一供给。</w:t>
      </w:r>
    </w:p>
    <w:p w14:paraId="51D9E3F7">
      <w:pPr>
        <w:snapToGrid w:val="0"/>
        <w:spacing w:line="500" w:lineRule="exact"/>
        <w:ind w:firstLine="480" w:firstLineChars="200"/>
        <w:rPr>
          <w:rFonts w:eastAsia="宋体"/>
        </w:rPr>
      </w:pPr>
      <w:r>
        <w:rPr>
          <w:rFonts w:eastAsia="宋体"/>
        </w:rPr>
        <w:t>（2）排水</w:t>
      </w:r>
    </w:p>
    <w:p w14:paraId="5A8B3E50">
      <w:pPr>
        <w:numPr>
          <w:ilvl w:val="0"/>
          <w:numId w:val="0"/>
        </w:numPr>
        <w:snapToGrid/>
        <w:spacing w:line="500" w:lineRule="exact"/>
        <w:ind w:firstLine="480" w:firstLineChars="200"/>
        <w:jc w:val="left"/>
        <w:rPr>
          <w:rFonts w:eastAsia="宋体"/>
        </w:rPr>
      </w:pPr>
      <w:bookmarkStart w:id="121" w:name="_Toc28463"/>
      <w:r>
        <w:rPr>
          <w:rFonts w:eastAsia="宋体"/>
        </w:rPr>
        <w:t>建设项目实行雨污分流、清污分流。</w:t>
      </w:r>
      <w:r>
        <w:rPr>
          <w:rFonts w:hint="eastAsia" w:eastAsia="宋体"/>
          <w:bCs/>
        </w:rPr>
        <w:t>本项目</w:t>
      </w:r>
      <w:r>
        <w:rPr>
          <w:rFonts w:hint="eastAsia" w:eastAsia="Times New Roman"/>
          <w:color w:val="auto"/>
          <w:sz w:val="24"/>
          <w:szCs w:val="24"/>
          <w:lang w:val="en-US" w:eastAsia="zh-CN"/>
        </w:rPr>
        <w:t>喷淋废水经气浮+絮凝沉淀处理后回用于水喷淋装置，不外排；</w:t>
      </w:r>
      <w:r>
        <w:rPr>
          <w:rFonts w:hint="eastAsia" w:eastAsia="宋体"/>
          <w:color w:val="000000" w:themeColor="text1"/>
          <w:lang w:val="en-US" w:eastAsia="zh-CN"/>
          <w14:textFill>
            <w14:solidFill>
              <w14:schemeClr w14:val="tx1"/>
            </w14:solidFill>
          </w14:textFill>
        </w:rPr>
        <w:t>生活污水经化粪池预处理达到接管标准后排入</w:t>
      </w:r>
      <w:r>
        <w:rPr>
          <w:rFonts w:hint="eastAsia" w:eastAsia="宋体"/>
          <w:color w:val="000000" w:themeColor="text1"/>
          <w:lang w:eastAsia="zh-CN"/>
          <w14:textFill>
            <w14:solidFill>
              <w14:schemeClr w14:val="tx1"/>
            </w14:solidFill>
          </w14:textFill>
        </w:rPr>
        <w:t>海安金港水务环保科技有限公司</w:t>
      </w:r>
      <w:r>
        <w:rPr>
          <w:rFonts w:hint="eastAsia" w:eastAsia="宋体"/>
          <w:color w:val="000000" w:themeColor="text1"/>
          <w:lang w:val="en-US" w:eastAsia="zh-CN"/>
          <w14:textFill>
            <w14:solidFill>
              <w14:schemeClr w14:val="tx1"/>
            </w14:solidFill>
          </w14:textFill>
        </w:rPr>
        <w:t>集中处理。</w:t>
      </w:r>
    </w:p>
    <w:p w14:paraId="2CCEAEFD">
      <w:pPr>
        <w:pStyle w:val="252"/>
        <w:rPr>
          <w:rFonts w:eastAsia="宋体"/>
        </w:rPr>
      </w:pPr>
      <w:r>
        <w:rPr>
          <w:rFonts w:eastAsia="宋体"/>
        </w:rPr>
        <w:t>3.</w:t>
      </w:r>
      <w:r>
        <w:rPr>
          <w:rFonts w:hint="eastAsia" w:eastAsia="宋体"/>
        </w:rPr>
        <w:t>5</w:t>
      </w:r>
      <w:r>
        <w:rPr>
          <w:rFonts w:eastAsia="宋体"/>
        </w:rPr>
        <w:t>.</w:t>
      </w:r>
      <w:r>
        <w:rPr>
          <w:rFonts w:hint="eastAsia" w:eastAsia="宋体"/>
        </w:rPr>
        <w:t>4</w:t>
      </w:r>
      <w:r>
        <w:rPr>
          <w:rFonts w:eastAsia="宋体"/>
        </w:rPr>
        <w:t>.2供电、供热及电讯</w:t>
      </w:r>
      <w:bookmarkEnd w:id="121"/>
    </w:p>
    <w:p w14:paraId="6291C785">
      <w:pPr>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（1）供电</w:t>
      </w:r>
    </w:p>
    <w:p w14:paraId="292C832F">
      <w:pPr>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供电依托市政电网。</w:t>
      </w:r>
    </w:p>
    <w:p w14:paraId="41D4CBD8">
      <w:pPr>
        <w:numPr>
          <w:ilvl w:val="0"/>
          <w:numId w:val="4"/>
        </w:numPr>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通讯</w:t>
      </w:r>
    </w:p>
    <w:p w14:paraId="22B75CA0">
      <w:pPr>
        <w:snapToGrid w:val="0"/>
        <w:spacing w:line="500" w:lineRule="exact"/>
        <w:ind w:firstLine="480" w:firstLineChars="200"/>
        <w:rPr>
          <w:rFonts w:ascii="宋体" w:hAnsi="宋体" w:eastAsia="宋体" w:cs="宋体"/>
        </w:rPr>
      </w:pPr>
      <w:r>
        <w:rPr>
          <w:rFonts w:eastAsia="宋体"/>
        </w:rPr>
        <w:t>公司根据国家有关规范和工艺流程对电讯的要求，设计装置专用电话线</w:t>
      </w:r>
      <w:r>
        <w:rPr>
          <w:rFonts w:hint="eastAsia" w:ascii="宋体" w:hAnsi="宋体" w:eastAsia="宋体" w:cs="宋体"/>
        </w:rPr>
        <w:t>路。</w:t>
      </w:r>
    </w:p>
    <w:p w14:paraId="5A946033">
      <w:pPr>
        <w:pStyle w:val="252"/>
      </w:pPr>
      <w:bookmarkStart w:id="122" w:name="_Toc10586"/>
      <w:r>
        <w:rPr>
          <w:rFonts w:hint="eastAsia"/>
        </w:rPr>
        <w:t>3.5.4.3</w:t>
      </w:r>
      <w:r>
        <w:rPr>
          <w:rFonts w:hint="eastAsia" w:ascii="宋体" w:hAnsi="宋体" w:eastAsia="宋体" w:cs="宋体"/>
        </w:rPr>
        <w:t>仓储及运输</w:t>
      </w:r>
      <w:bookmarkEnd w:id="122"/>
    </w:p>
    <w:p w14:paraId="3F36C04B">
      <w:pPr>
        <w:snapToGrid w:val="0"/>
        <w:spacing w:line="500" w:lineRule="exact"/>
        <w:ind w:firstLine="480" w:firstLineChars="200"/>
        <w:rPr>
          <w:rFonts w:ascii="宋体" w:hAnsi="宋体" w:eastAsia="宋体" w:cs="宋体"/>
        </w:rPr>
      </w:pPr>
      <w:r>
        <w:rPr>
          <w:rFonts w:hint="eastAsia" w:ascii="宋体" w:hAnsi="宋体" w:eastAsia="宋体" w:cs="宋体"/>
        </w:rPr>
        <w:t>（1）仓储</w:t>
      </w:r>
    </w:p>
    <w:p w14:paraId="541308FA">
      <w:pPr>
        <w:snapToGrid w:val="0"/>
        <w:spacing w:line="500" w:lineRule="exact"/>
        <w:ind w:firstLine="480" w:firstLineChars="200"/>
        <w:rPr>
          <w:rFonts w:ascii="宋体" w:hAnsi="宋体" w:eastAsia="宋体" w:cs="宋体"/>
        </w:rPr>
      </w:pPr>
      <w:r>
        <w:rPr>
          <w:rFonts w:hint="eastAsia" w:ascii="宋体" w:hAnsi="宋体" w:eastAsia="宋体" w:cs="宋体"/>
        </w:rPr>
        <w:t>项目划分有油漆仓库</w:t>
      </w:r>
      <w:r>
        <w:rPr>
          <w:rFonts w:eastAsia="宋体"/>
        </w:rPr>
        <w:t>、</w:t>
      </w:r>
      <w:r>
        <w:rPr>
          <w:rFonts w:hint="eastAsia" w:eastAsia="宋体"/>
        </w:rPr>
        <w:t>一般固废仓库、危废仓库及</w:t>
      </w:r>
      <w:r>
        <w:rPr>
          <w:rFonts w:eastAsia="宋体"/>
        </w:rPr>
        <w:t>成品仓库</w:t>
      </w:r>
      <w:r>
        <w:rPr>
          <w:rFonts w:hint="eastAsia" w:ascii="宋体" w:hAnsi="宋体" w:eastAsia="宋体" w:cs="宋体"/>
        </w:rPr>
        <w:t>。</w:t>
      </w:r>
    </w:p>
    <w:p w14:paraId="5C17C405">
      <w:pPr>
        <w:snapToGrid w:val="0"/>
        <w:spacing w:line="500" w:lineRule="exact"/>
        <w:ind w:firstLine="480" w:firstLineChars="200"/>
        <w:rPr>
          <w:rFonts w:ascii="宋体" w:hAnsi="宋体" w:eastAsia="宋体" w:cs="宋体"/>
        </w:rPr>
      </w:pPr>
      <w:r>
        <w:rPr>
          <w:rFonts w:hint="eastAsia" w:ascii="宋体" w:hAnsi="宋体" w:eastAsia="宋体" w:cs="宋体"/>
        </w:rPr>
        <w:t>（2）运输</w:t>
      </w:r>
    </w:p>
    <w:p w14:paraId="047704E0">
      <w:pPr>
        <w:snapToGrid w:val="0"/>
        <w:spacing w:line="500" w:lineRule="exact"/>
        <w:ind w:firstLine="480" w:firstLineChars="200"/>
        <w:rPr>
          <w:rFonts w:ascii="宋体" w:hAnsi="宋体" w:eastAsia="宋体" w:cs="宋体"/>
        </w:rPr>
      </w:pPr>
      <w:r>
        <w:rPr>
          <w:rFonts w:hint="eastAsia" w:ascii="宋体" w:hAnsi="宋体" w:eastAsia="宋体" w:cs="宋体"/>
        </w:rPr>
        <w:t>项目主要采用汽车公路运输。原料运输外委社会运输单位。产品购买单位自行运输，本公司不负责运输任务。</w:t>
      </w:r>
    </w:p>
    <w:p w14:paraId="6BD94F98">
      <w:pPr>
        <w:pStyle w:val="4"/>
        <w:adjustRightInd w:val="0"/>
        <w:snapToGrid w:val="0"/>
        <w:spacing w:line="500" w:lineRule="exact"/>
        <w:rPr>
          <w:rFonts w:eastAsia="宋体"/>
          <w:szCs w:val="24"/>
        </w:rPr>
      </w:pPr>
      <w:bookmarkStart w:id="123" w:name="_Toc10543"/>
      <w:bookmarkStart w:id="124" w:name="_Toc27428"/>
      <w:bookmarkStart w:id="125" w:name="_Toc18121"/>
      <w:bookmarkStart w:id="126" w:name="_Toc23740"/>
      <w:bookmarkStart w:id="127" w:name="_Toc535414245"/>
      <w:r>
        <w:rPr>
          <w:rFonts w:eastAsia="宋体"/>
          <w:szCs w:val="24"/>
        </w:rPr>
        <w:t>3.</w:t>
      </w:r>
      <w:r>
        <w:rPr>
          <w:rFonts w:hint="eastAsia" w:eastAsia="宋体"/>
          <w:szCs w:val="24"/>
        </w:rPr>
        <w:t>5</w:t>
      </w:r>
      <w:r>
        <w:rPr>
          <w:rFonts w:eastAsia="宋体"/>
          <w:szCs w:val="24"/>
        </w:rPr>
        <w:t>.</w:t>
      </w:r>
      <w:r>
        <w:rPr>
          <w:rFonts w:hint="eastAsia" w:eastAsia="宋体"/>
          <w:szCs w:val="24"/>
        </w:rPr>
        <w:t>5</w:t>
      </w:r>
      <w:r>
        <w:rPr>
          <w:rFonts w:eastAsia="宋体"/>
          <w:szCs w:val="24"/>
        </w:rPr>
        <w:t>“三废”排放及处理情况</w:t>
      </w:r>
      <w:bookmarkEnd w:id="123"/>
      <w:bookmarkEnd w:id="124"/>
      <w:bookmarkEnd w:id="125"/>
      <w:bookmarkEnd w:id="126"/>
    </w:p>
    <w:p w14:paraId="034340DD">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（1）大气污染源及污染物排放情况</w:t>
      </w:r>
    </w:p>
    <w:p w14:paraId="77983C92">
      <w:pPr>
        <w:adjustRightInd w:val="0"/>
        <w:snapToGrid w:val="0"/>
        <w:spacing w:line="500" w:lineRule="exact"/>
        <w:ind w:firstLine="480" w:firstLineChars="200"/>
        <w:rPr>
          <w:rFonts w:eastAsia="宋体"/>
          <w:bCs/>
          <w:color w:val="000000" w:themeColor="text1"/>
          <w14:textFill>
            <w14:solidFill>
              <w14:schemeClr w14:val="tx1"/>
            </w14:solidFill>
          </w14:textFill>
        </w:rPr>
      </w:pPr>
      <w:r>
        <w:rPr>
          <w:rFonts w:hint="eastAsia" w:eastAsia="宋体"/>
          <w:bCs/>
          <w:color w:val="000000" w:themeColor="text1"/>
          <w14:textFill>
            <w14:solidFill>
              <w14:schemeClr w14:val="tx1"/>
            </w14:solidFill>
          </w14:textFill>
        </w:rPr>
        <w:t>本项目</w:t>
      </w:r>
      <w:r>
        <w:rPr>
          <w:rFonts w:hint="eastAsia" w:eastAsia="宋体"/>
          <w:bCs/>
          <w:color w:val="000000" w:themeColor="text1"/>
          <w:lang w:val="en-US" w:eastAsia="zh-CN"/>
          <w14:textFill>
            <w14:solidFill>
              <w14:schemeClr w14:val="tx1"/>
            </w14:solidFill>
          </w14:textFill>
        </w:rPr>
        <w:t>有组织</w:t>
      </w:r>
      <w:r>
        <w:rPr>
          <w:rFonts w:hint="eastAsia" w:eastAsia="宋体"/>
          <w:bCs/>
          <w:color w:val="000000" w:themeColor="text1"/>
          <w14:textFill>
            <w14:solidFill>
              <w14:schemeClr w14:val="tx1"/>
            </w14:solidFill>
          </w14:textFill>
        </w:rPr>
        <w:t>废气主要为</w:t>
      </w:r>
      <w:r>
        <w:rPr>
          <w:rFonts w:hint="eastAsia" w:eastAsia="宋体"/>
          <w:color w:val="000000" w:themeColor="text1"/>
          <w:lang w:val="en-US" w:eastAsia="zh-CN"/>
          <w14:textFill>
            <w14:solidFill>
              <w14:schemeClr w14:val="tx1"/>
            </w14:solidFill>
          </w14:textFill>
        </w:rPr>
        <w:t>木工粉尘、喷漆废气。</w:t>
      </w:r>
      <w:r>
        <w:rPr>
          <w:rFonts w:eastAsia="宋体"/>
          <w:color w:val="000000" w:themeColor="text1"/>
          <w14:textFill>
            <w14:solidFill>
              <w14:schemeClr w14:val="tx1"/>
            </w14:solidFill>
          </w14:textFill>
        </w:rPr>
        <w:t>本项目</w:t>
      </w:r>
      <w:r>
        <w:rPr>
          <w:rFonts w:hint="eastAsia" w:eastAsia="宋体"/>
          <w:color w:val="000000" w:themeColor="text1"/>
          <w14:textFill>
            <w14:solidFill>
              <w14:schemeClr w14:val="tx1"/>
            </w14:solidFill>
          </w14:textFill>
        </w:rPr>
        <w:t>有组织</w:t>
      </w:r>
      <w:r>
        <w:rPr>
          <w:rFonts w:eastAsia="宋体"/>
          <w:color w:val="000000" w:themeColor="text1"/>
          <w14:textFill>
            <w14:solidFill>
              <w14:schemeClr w14:val="tx1"/>
            </w14:solidFill>
          </w14:textFill>
        </w:rPr>
        <w:t>废气主要为</w:t>
      </w:r>
      <w:r>
        <w:rPr>
          <w:rFonts w:hint="eastAsia" w:eastAsia="宋体"/>
          <w:color w:val="000000" w:themeColor="text1"/>
          <w:lang w:val="en-US" w:eastAsia="zh-CN"/>
          <w14:textFill>
            <w14:solidFill>
              <w14:schemeClr w14:val="tx1"/>
            </w14:solidFill>
          </w14:textFill>
        </w:rPr>
        <w:t>木工粉尘、喷漆废气、打磨粉尘。木工粉尘经中央除尘器处理后通过20</w:t>
      </w:r>
      <w:r>
        <w:rPr>
          <w:rFonts w:hint="default" w:eastAsia="宋体"/>
          <w:color w:val="000000" w:themeColor="text1"/>
          <w:lang w:val="en-US" w:eastAsia="zh-CN"/>
          <w14:textFill>
            <w14:solidFill>
              <w14:schemeClr w14:val="tx1"/>
            </w14:solidFill>
          </w14:textFill>
        </w:rPr>
        <w:t>m</w:t>
      </w:r>
      <w:r>
        <w:rPr>
          <w:rFonts w:hint="eastAsia" w:eastAsia="宋体"/>
          <w:color w:val="000000" w:themeColor="text1"/>
          <w:lang w:val="en-US" w:eastAsia="zh-CN"/>
          <w14:textFill>
            <w14:solidFill>
              <w14:schemeClr w14:val="tx1"/>
            </w14:solidFill>
          </w14:textFill>
        </w:rPr>
        <w:t>高排气筒（</w:t>
      </w:r>
      <w:r>
        <w:rPr>
          <w:rFonts w:hint="default" w:eastAsia="宋体"/>
          <w:color w:val="000000" w:themeColor="text1"/>
          <w:lang w:val="en-US" w:eastAsia="zh-CN"/>
          <w14:textFill>
            <w14:solidFill>
              <w14:schemeClr w14:val="tx1"/>
            </w14:solidFill>
          </w14:textFill>
        </w:rPr>
        <w:t>1#</w:t>
      </w:r>
      <w:r>
        <w:rPr>
          <w:rFonts w:hint="eastAsia" w:eastAsia="宋体"/>
          <w:color w:val="000000" w:themeColor="text1"/>
          <w:lang w:val="en-US" w:eastAsia="zh-CN"/>
          <w14:textFill>
            <w14:solidFill>
              <w14:schemeClr w14:val="tx1"/>
            </w14:solidFill>
          </w14:textFill>
        </w:rPr>
        <w:t>）达标排放；喷漆废气经</w:t>
      </w:r>
      <w:r>
        <w:rPr>
          <w:rFonts w:hint="eastAsia" w:ascii="Times New Roman" w:hAnsi="Times New Roman" w:eastAsia="宋体" w:cs="Times New Roman"/>
          <w:i w:val="0"/>
          <w:iCs w:val="0"/>
          <w:caps w:val="0"/>
          <w:color w:val="000000" w:themeColor="text1"/>
          <w:spacing w:val="0"/>
          <w:sz w:val="24"/>
          <w:szCs w:val="24"/>
          <w:shd w:val="clear"/>
          <w14:textFill>
            <w14:solidFill>
              <w14:schemeClr w14:val="tx1"/>
            </w14:solidFill>
          </w14:textFill>
        </w:rPr>
        <w:t>水旋柜+</w:t>
      </w:r>
      <w:r>
        <w:rPr>
          <w:rFonts w:hint="eastAsia" w:eastAsia="宋体" w:cs="Times New Roman"/>
          <w:i w:val="0"/>
          <w:iCs w:val="0"/>
          <w:caps w:val="0"/>
          <w:color w:val="000000" w:themeColor="text1"/>
          <w:spacing w:val="0"/>
          <w:sz w:val="24"/>
          <w:szCs w:val="24"/>
          <w:shd w:val="clear"/>
          <w:lang w:val="en-US" w:eastAsia="zh-CN"/>
          <w14:textFill>
            <w14:solidFill>
              <w14:schemeClr w14:val="tx1"/>
            </w14:solidFill>
          </w14:textFill>
        </w:rPr>
        <w:t>活性炭</w:t>
      </w:r>
      <w:r>
        <w:rPr>
          <w:rFonts w:hint="eastAsia" w:eastAsia="宋体"/>
          <w:color w:val="000000" w:themeColor="text1"/>
          <w:lang w:val="en-US" w:eastAsia="zh-CN"/>
          <w14:textFill>
            <w14:solidFill>
              <w14:schemeClr w14:val="tx1"/>
            </w14:solidFill>
          </w14:textFill>
        </w:rPr>
        <w:t>处理后通过20</w:t>
      </w:r>
      <w:r>
        <w:rPr>
          <w:rFonts w:hint="default" w:eastAsia="宋体"/>
          <w:color w:val="000000" w:themeColor="text1"/>
          <w:lang w:val="en-US" w:eastAsia="zh-CN"/>
          <w14:textFill>
            <w14:solidFill>
              <w14:schemeClr w14:val="tx1"/>
            </w14:solidFill>
          </w14:textFill>
        </w:rPr>
        <w:t>m</w:t>
      </w:r>
      <w:r>
        <w:rPr>
          <w:rFonts w:hint="eastAsia" w:eastAsia="宋体"/>
          <w:color w:val="000000" w:themeColor="text1"/>
          <w:lang w:val="en-US" w:eastAsia="zh-CN"/>
          <w14:textFill>
            <w14:solidFill>
              <w14:schemeClr w14:val="tx1"/>
            </w14:solidFill>
          </w14:textFill>
        </w:rPr>
        <w:t>高排气筒（3#）、（4#）；打磨废气经过布袋除尘器通过20m高排气筒（2#）。</w:t>
      </w:r>
    </w:p>
    <w:p w14:paraId="7F428030">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根据环评报告</w:t>
      </w:r>
      <w:r>
        <w:rPr>
          <w:rFonts w:eastAsia="宋体"/>
          <w:color w:val="000000" w:themeColor="text1"/>
          <w14:textFill>
            <w14:solidFill>
              <w14:schemeClr w14:val="tx1"/>
            </w14:solidFill>
          </w14:textFill>
        </w:rPr>
        <w:t>废气产生</w:t>
      </w:r>
      <w:r>
        <w:rPr>
          <w:rFonts w:hint="eastAsia" w:eastAsia="宋体"/>
          <w:color w:val="000000" w:themeColor="text1"/>
          <w14:textFill>
            <w14:solidFill>
              <w14:schemeClr w14:val="tx1"/>
            </w14:solidFill>
          </w14:textFill>
        </w:rPr>
        <w:t>及</w:t>
      </w:r>
      <w:r>
        <w:rPr>
          <w:rFonts w:eastAsia="宋体"/>
          <w:color w:val="000000" w:themeColor="text1"/>
          <w14:textFill>
            <w14:solidFill>
              <w14:schemeClr w14:val="tx1"/>
            </w14:solidFill>
          </w14:textFill>
        </w:rPr>
        <w:t>处理的情况见表3-13</w:t>
      </w:r>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以1#、2#、3#、4#排气筒为例</w:t>
      </w:r>
      <w:r>
        <w:rPr>
          <w:rFonts w:hint="eastAsia" w:eastAsia="宋体"/>
          <w:color w:val="000000" w:themeColor="text1"/>
          <w:lang w:eastAsia="zh-CN"/>
          <w14:textFill>
            <w14:solidFill>
              <w14:schemeClr w14:val="tx1"/>
            </w14:solidFill>
          </w14:textFill>
        </w:rPr>
        <w:t>）</w:t>
      </w:r>
      <w:r>
        <w:rPr>
          <w:rFonts w:eastAsia="宋体"/>
          <w:color w:val="000000" w:themeColor="text1"/>
          <w14:textFill>
            <w14:solidFill>
              <w14:schemeClr w14:val="tx1"/>
            </w14:solidFill>
          </w14:textFill>
        </w:rPr>
        <w:t>。</w:t>
      </w:r>
    </w:p>
    <w:p w14:paraId="0FB67B9F">
      <w:pPr>
        <w:snapToGrid w:val="0"/>
        <w:spacing w:line="500" w:lineRule="exact"/>
        <w:jc w:val="center"/>
        <w:rPr>
          <w:rFonts w:eastAsia="宋体"/>
          <w:b/>
          <w:bCs/>
        </w:rPr>
      </w:pPr>
      <w:r>
        <w:rPr>
          <w:rFonts w:eastAsia="宋体"/>
          <w:b/>
          <w:bCs/>
        </w:rPr>
        <w:t>表3-13</w:t>
      </w:r>
      <w:r>
        <w:rPr>
          <w:rFonts w:hint="eastAsia" w:eastAsia="宋体"/>
          <w:b/>
          <w:bCs/>
        </w:rPr>
        <w:t>有组织废气产生及处理</w:t>
      </w:r>
      <w:r>
        <w:rPr>
          <w:rFonts w:eastAsia="宋体"/>
          <w:b/>
          <w:bCs/>
        </w:rPr>
        <w:t>一览表</w:t>
      </w:r>
    </w:p>
    <w:tbl>
      <w:tblPr>
        <w:tblStyle w:val="246"/>
        <w:tblW w:w="537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19"/>
        <w:gridCol w:w="897"/>
        <w:gridCol w:w="939"/>
        <w:gridCol w:w="518"/>
        <w:gridCol w:w="532"/>
        <w:gridCol w:w="915"/>
        <w:gridCol w:w="745"/>
        <w:gridCol w:w="803"/>
        <w:gridCol w:w="599"/>
        <w:gridCol w:w="621"/>
        <w:gridCol w:w="992"/>
        <w:gridCol w:w="508"/>
        <w:gridCol w:w="548"/>
        <w:gridCol w:w="642"/>
      </w:tblGrid>
      <w:tr w14:paraId="7AD53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313" w:type="pct"/>
            <w:vMerge w:val="restart"/>
            <w:tcBorders>
              <w:top w:val="single" w:color="000000" w:sz="10" w:space="0"/>
              <w:left w:val="single" w:color="000000" w:sz="10" w:space="0"/>
              <w:bottom w:val="nil"/>
            </w:tcBorders>
            <w:vAlign w:val="center"/>
          </w:tcPr>
          <w:p w14:paraId="7311643E">
            <w:pPr>
              <w:autoSpaceDE w:val="0"/>
              <w:autoSpaceDN w:val="0"/>
              <w:spacing w:line="262" w:lineRule="auto"/>
              <w:rPr>
                <w:rFonts w:ascii="Arial"/>
                <w:sz w:val="21"/>
              </w:rPr>
            </w:pPr>
          </w:p>
          <w:p w14:paraId="1311B5BA">
            <w:pPr>
              <w:autoSpaceDE w:val="0"/>
              <w:autoSpaceDN w:val="0"/>
              <w:spacing w:line="262" w:lineRule="auto"/>
              <w:rPr>
                <w:rFonts w:ascii="Arial"/>
                <w:sz w:val="21"/>
              </w:rPr>
            </w:pPr>
          </w:p>
          <w:p w14:paraId="1B8F8B80">
            <w:pPr>
              <w:pStyle w:val="259"/>
              <w:autoSpaceDE w:val="0"/>
              <w:autoSpaceDN w:val="0"/>
              <w:spacing w:before="65" w:line="229" w:lineRule="auto"/>
              <w:ind w:left="340"/>
              <w:rPr>
                <w:sz w:val="20"/>
                <w:szCs w:val="20"/>
              </w:rPr>
            </w:pPr>
            <w:r>
              <w:rPr>
                <w:spacing w:val="7"/>
                <w:sz w:val="20"/>
                <w:szCs w:val="20"/>
                <w14:textOutline w14:w="3795" w14:cap="sq" w14:cmpd="sng">
                  <w14:solidFill>
                    <w14:srgbClr w14:val="000000"/>
                  </w14:solidFill>
                  <w14:prstDash w14:val="solid"/>
                  <w14:bevel/>
                </w14:textOutline>
              </w:rPr>
              <w:t>排放源</w:t>
            </w:r>
          </w:p>
        </w:tc>
        <w:tc>
          <w:tcPr>
            <w:tcW w:w="454" w:type="pct"/>
            <w:vMerge w:val="restart"/>
            <w:tcBorders>
              <w:top w:val="single" w:color="000000" w:sz="10" w:space="0"/>
              <w:bottom w:val="nil"/>
            </w:tcBorders>
            <w:vAlign w:val="center"/>
          </w:tcPr>
          <w:p w14:paraId="4627AA04">
            <w:pPr>
              <w:autoSpaceDE w:val="0"/>
              <w:autoSpaceDN w:val="0"/>
              <w:spacing w:line="402" w:lineRule="auto"/>
              <w:rPr>
                <w:rFonts w:ascii="Arial"/>
                <w:sz w:val="21"/>
              </w:rPr>
            </w:pPr>
          </w:p>
          <w:p w14:paraId="2E986494">
            <w:pPr>
              <w:pStyle w:val="259"/>
              <w:autoSpaceDE w:val="0"/>
              <w:autoSpaceDN w:val="0"/>
              <w:spacing w:before="65" w:line="236" w:lineRule="auto"/>
              <w:ind w:left="248" w:right="153" w:hanging="108"/>
              <w:rPr>
                <w:rFonts w:ascii="Times New Roman" w:hAnsi="Times New Roman" w:eastAsia="Times New Roman" w:cs="Times New Roman"/>
                <w:sz w:val="20"/>
                <w:szCs w:val="20"/>
              </w:rPr>
            </w:pPr>
            <w:r>
              <w:rPr>
                <w:spacing w:val="8"/>
                <w:sz w:val="20"/>
                <w:szCs w:val="20"/>
                <w14:textOutline w14:w="3795" w14:cap="sq" w14:cmpd="sng">
                  <w14:solidFill>
                    <w14:srgbClr w14:val="000000"/>
                  </w14:solidFill>
                  <w14:prstDash w14:val="solid"/>
                  <w14:bevel/>
                </w14:textOutline>
              </w:rPr>
              <w:t>废气量</w:t>
            </w:r>
            <w:r>
              <w:rPr>
                <w:rFonts w:ascii="Times New Roman" w:hAnsi="Times New Roman" w:eastAsia="Times New Roman" w:cs="Times New Roman"/>
                <w:b/>
                <w:bCs/>
                <w:spacing w:val="2"/>
                <w:position w:val="-1"/>
                <w:sz w:val="20"/>
                <w:szCs w:val="20"/>
              </w:rPr>
              <w:t>m</w:t>
            </w:r>
            <w:r>
              <w:rPr>
                <w:rFonts w:ascii="Times New Roman" w:hAnsi="Times New Roman" w:eastAsia="Times New Roman" w:cs="Times New Roman"/>
                <w:b/>
                <w:bCs/>
                <w:spacing w:val="2"/>
                <w:position w:val="5"/>
                <w:sz w:val="13"/>
                <w:szCs w:val="13"/>
              </w:rPr>
              <w:t>3</w:t>
            </w:r>
            <w:r>
              <w:rPr>
                <w:rFonts w:ascii="Times New Roman" w:hAnsi="Times New Roman" w:eastAsia="Times New Roman" w:cs="Times New Roman"/>
                <w:b/>
                <w:bCs/>
                <w:spacing w:val="2"/>
                <w:position w:val="-1"/>
                <w:sz w:val="20"/>
                <w:szCs w:val="20"/>
              </w:rPr>
              <w:t>/h</w:t>
            </w:r>
          </w:p>
        </w:tc>
        <w:tc>
          <w:tcPr>
            <w:tcW w:w="475" w:type="pct"/>
            <w:vMerge w:val="restart"/>
            <w:tcBorders>
              <w:top w:val="single" w:color="000000" w:sz="10" w:space="0"/>
              <w:bottom w:val="nil"/>
            </w:tcBorders>
            <w:vAlign w:val="center"/>
          </w:tcPr>
          <w:p w14:paraId="5027BEB6">
            <w:pPr>
              <w:autoSpaceDE w:val="0"/>
              <w:autoSpaceDN w:val="0"/>
              <w:spacing w:line="388" w:lineRule="auto"/>
              <w:rPr>
                <w:rFonts w:ascii="Arial"/>
                <w:sz w:val="21"/>
              </w:rPr>
            </w:pPr>
          </w:p>
          <w:p w14:paraId="4DD1629C">
            <w:pPr>
              <w:pStyle w:val="259"/>
              <w:autoSpaceDE w:val="0"/>
              <w:autoSpaceDN w:val="0"/>
              <w:spacing w:before="65" w:line="228" w:lineRule="auto"/>
              <w:ind w:left="252"/>
              <w:rPr>
                <w:sz w:val="20"/>
                <w:szCs w:val="20"/>
              </w:rPr>
            </w:pPr>
            <w:r>
              <w:rPr>
                <w:spacing w:val="7"/>
                <w:sz w:val="20"/>
                <w:szCs w:val="20"/>
                <w14:textOutline w14:w="3795" w14:cap="sq" w14:cmpd="sng">
                  <w14:solidFill>
                    <w14:srgbClr w14:val="000000"/>
                  </w14:solidFill>
                  <w14:prstDash w14:val="solid"/>
                  <w14:bevel/>
                </w14:textOutline>
              </w:rPr>
              <w:t>污染物</w:t>
            </w:r>
          </w:p>
          <w:p w14:paraId="44B07C04">
            <w:pPr>
              <w:pStyle w:val="259"/>
              <w:autoSpaceDE w:val="0"/>
              <w:autoSpaceDN w:val="0"/>
              <w:spacing w:before="25" w:line="230" w:lineRule="auto"/>
              <w:ind w:left="358"/>
              <w:rPr>
                <w:sz w:val="20"/>
                <w:szCs w:val="20"/>
              </w:rPr>
            </w:pPr>
            <w:r>
              <w:rPr>
                <w:spacing w:val="4"/>
                <w:sz w:val="20"/>
                <w:szCs w:val="20"/>
                <w14:textOutline w14:w="3795" w14:cap="sq" w14:cmpd="sng">
                  <w14:solidFill>
                    <w14:srgbClr w14:val="000000"/>
                  </w14:solidFill>
                  <w14:prstDash w14:val="solid"/>
                  <w14:bevel/>
                </w14:textOutline>
              </w:rPr>
              <w:t>名称</w:t>
            </w:r>
          </w:p>
        </w:tc>
        <w:tc>
          <w:tcPr>
            <w:tcW w:w="262" w:type="pct"/>
            <w:vMerge w:val="restart"/>
            <w:tcBorders>
              <w:top w:val="single" w:color="000000" w:sz="10" w:space="0"/>
              <w:bottom w:val="nil"/>
            </w:tcBorders>
            <w:vAlign w:val="center"/>
          </w:tcPr>
          <w:p w14:paraId="443B5B97">
            <w:pPr>
              <w:autoSpaceDE w:val="0"/>
              <w:autoSpaceDN w:val="0"/>
              <w:spacing w:line="262" w:lineRule="auto"/>
              <w:rPr>
                <w:rFonts w:ascii="Arial"/>
                <w:sz w:val="21"/>
              </w:rPr>
            </w:pPr>
          </w:p>
          <w:p w14:paraId="5BE17359">
            <w:pPr>
              <w:autoSpaceDE w:val="0"/>
              <w:autoSpaceDN w:val="0"/>
              <w:spacing w:line="262" w:lineRule="auto"/>
              <w:rPr>
                <w:rFonts w:ascii="Arial"/>
                <w:sz w:val="21"/>
              </w:rPr>
            </w:pPr>
          </w:p>
          <w:p w14:paraId="1890504D">
            <w:pPr>
              <w:pStyle w:val="259"/>
              <w:autoSpaceDE w:val="0"/>
              <w:autoSpaceDN w:val="0"/>
              <w:spacing w:before="65" w:line="228" w:lineRule="auto"/>
              <w:ind w:left="164"/>
              <w:rPr>
                <w:sz w:val="20"/>
                <w:szCs w:val="20"/>
              </w:rPr>
            </w:pPr>
            <w:r>
              <w:rPr>
                <w:spacing w:val="7"/>
                <w:sz w:val="20"/>
                <w:szCs w:val="20"/>
                <w14:textOutline w14:w="3795" w14:cap="sq" w14:cmpd="sng">
                  <w14:solidFill>
                    <w14:srgbClr w14:val="000000"/>
                  </w14:solidFill>
                  <w14:prstDash w14:val="solid"/>
                  <w14:bevel/>
                </w14:textOutline>
              </w:rPr>
              <w:t>治理措施</w:t>
            </w:r>
          </w:p>
        </w:tc>
        <w:tc>
          <w:tcPr>
            <w:tcW w:w="269" w:type="pct"/>
            <w:vMerge w:val="restart"/>
            <w:tcBorders>
              <w:top w:val="single" w:color="000000" w:sz="10" w:space="0"/>
              <w:bottom w:val="nil"/>
            </w:tcBorders>
            <w:vAlign w:val="center"/>
          </w:tcPr>
          <w:p w14:paraId="51664DD6">
            <w:pPr>
              <w:autoSpaceDE w:val="0"/>
              <w:autoSpaceDN w:val="0"/>
              <w:spacing w:line="252" w:lineRule="auto"/>
              <w:rPr>
                <w:rFonts w:ascii="Arial"/>
                <w:sz w:val="21"/>
              </w:rPr>
            </w:pPr>
          </w:p>
          <w:p w14:paraId="44162F2E">
            <w:pPr>
              <w:pStyle w:val="259"/>
              <w:autoSpaceDE w:val="0"/>
              <w:autoSpaceDN w:val="0"/>
              <w:spacing w:before="65" w:line="232" w:lineRule="auto"/>
              <w:ind w:left="183"/>
              <w:rPr>
                <w:sz w:val="20"/>
                <w:szCs w:val="20"/>
              </w:rPr>
            </w:pPr>
            <w:r>
              <w:rPr>
                <w:spacing w:val="3"/>
                <w:sz w:val="20"/>
                <w:szCs w:val="20"/>
                <w14:textOutline w14:w="3795" w14:cap="sq" w14:cmpd="sng">
                  <w14:solidFill>
                    <w14:srgbClr w14:val="000000"/>
                  </w14:solidFill>
                  <w14:prstDash w14:val="solid"/>
                  <w14:bevel/>
                </w14:textOutline>
              </w:rPr>
              <w:t>处理</w:t>
            </w:r>
          </w:p>
          <w:p w14:paraId="2F22949C">
            <w:pPr>
              <w:pStyle w:val="259"/>
              <w:autoSpaceDE w:val="0"/>
              <w:autoSpaceDN w:val="0"/>
              <w:spacing w:before="19" w:line="228" w:lineRule="auto"/>
              <w:ind w:left="183"/>
              <w:rPr>
                <w:sz w:val="20"/>
                <w:szCs w:val="20"/>
              </w:rPr>
            </w:pPr>
            <w:r>
              <w:rPr>
                <w:spacing w:val="3"/>
                <w:sz w:val="20"/>
                <w:szCs w:val="20"/>
                <w14:textOutline w14:w="3795" w14:cap="sq" w14:cmpd="sng">
                  <w14:solidFill>
                    <w14:srgbClr w14:val="000000"/>
                  </w14:solidFill>
                  <w14:prstDash w14:val="solid"/>
                  <w14:bevel/>
                </w14:textOutline>
              </w:rPr>
              <w:t>效率</w:t>
            </w:r>
          </w:p>
          <w:p w14:paraId="384E4DB1">
            <w:pPr>
              <w:pStyle w:val="259"/>
              <w:autoSpaceDE w:val="0"/>
              <w:autoSpaceDN w:val="0"/>
              <w:spacing w:before="26" w:line="269" w:lineRule="exact"/>
              <w:ind w:left="308"/>
              <w:rPr>
                <w:sz w:val="20"/>
                <w:szCs w:val="20"/>
              </w:rPr>
            </w:pPr>
            <w:r>
              <w:rPr>
                <w:spacing w:val="8"/>
                <w:w w:val="141"/>
                <w:position w:val="1"/>
                <w:sz w:val="20"/>
                <w:szCs w:val="20"/>
                <w14:textOutline w14:w="3795" w14:cap="sq" w14:cmpd="sng">
                  <w14:solidFill>
                    <w14:srgbClr w14:val="000000"/>
                  </w14:solidFill>
                  <w14:prstDash w14:val="solid"/>
                  <w14:bevel/>
                </w14:textOutline>
              </w:rPr>
              <w:t>%</w:t>
            </w:r>
          </w:p>
        </w:tc>
        <w:tc>
          <w:tcPr>
            <w:tcW w:w="1246" w:type="pct"/>
            <w:gridSpan w:val="3"/>
            <w:tcBorders>
              <w:top w:val="single" w:color="000000" w:sz="10" w:space="0"/>
            </w:tcBorders>
            <w:vAlign w:val="center"/>
          </w:tcPr>
          <w:p w14:paraId="152705B2">
            <w:pPr>
              <w:pStyle w:val="259"/>
              <w:autoSpaceDE w:val="0"/>
              <w:autoSpaceDN w:val="0"/>
              <w:spacing w:before="69" w:line="228" w:lineRule="auto"/>
              <w:ind w:left="699"/>
              <w:rPr>
                <w:sz w:val="20"/>
                <w:szCs w:val="20"/>
              </w:rPr>
            </w:pPr>
            <w:r>
              <w:rPr>
                <w:spacing w:val="8"/>
                <w:sz w:val="20"/>
                <w:szCs w:val="20"/>
                <w14:textOutline w14:w="3795" w14:cap="sq" w14:cmpd="sng">
                  <w14:solidFill>
                    <w14:srgbClr w14:val="000000"/>
                  </w14:solidFill>
                  <w14:prstDash w14:val="solid"/>
                  <w14:bevel/>
                </w14:textOutline>
              </w:rPr>
              <w:t>排放情况</w:t>
            </w:r>
          </w:p>
        </w:tc>
        <w:tc>
          <w:tcPr>
            <w:tcW w:w="617" w:type="pct"/>
            <w:gridSpan w:val="2"/>
            <w:tcBorders>
              <w:top w:val="single" w:color="000000" w:sz="10" w:space="0"/>
            </w:tcBorders>
            <w:shd w:val="clear" w:color="auto" w:fill="D9D9D9"/>
            <w:vAlign w:val="center"/>
          </w:tcPr>
          <w:p w14:paraId="26A00C65">
            <w:pPr>
              <w:pStyle w:val="259"/>
              <w:autoSpaceDE w:val="0"/>
              <w:autoSpaceDN w:val="0"/>
              <w:spacing w:before="69" w:line="228" w:lineRule="auto"/>
              <w:ind w:left="290"/>
              <w:rPr>
                <w:sz w:val="20"/>
                <w:szCs w:val="20"/>
              </w:rPr>
            </w:pPr>
            <w:r>
              <w:rPr>
                <w:spacing w:val="8"/>
                <w:sz w:val="20"/>
                <w:szCs w:val="20"/>
                <w14:textOutline w14:w="3795" w14:cap="sq" w14:cmpd="sng">
                  <w14:solidFill>
                    <w14:srgbClr w14:val="000000"/>
                  </w14:solidFill>
                  <w14:prstDash w14:val="solid"/>
                  <w14:bevel/>
                </w14:textOutline>
              </w:rPr>
              <w:t>执行标准</w:t>
            </w:r>
          </w:p>
        </w:tc>
        <w:tc>
          <w:tcPr>
            <w:tcW w:w="1036" w:type="pct"/>
            <w:gridSpan w:val="3"/>
            <w:tcBorders>
              <w:top w:val="single" w:color="000000" w:sz="10" w:space="0"/>
            </w:tcBorders>
            <w:vAlign w:val="center"/>
          </w:tcPr>
          <w:p w14:paraId="2B69B473">
            <w:pPr>
              <w:pStyle w:val="259"/>
              <w:autoSpaceDE w:val="0"/>
              <w:autoSpaceDN w:val="0"/>
              <w:spacing w:before="69" w:line="228" w:lineRule="auto"/>
              <w:ind w:left="349"/>
              <w:rPr>
                <w:sz w:val="20"/>
                <w:szCs w:val="20"/>
              </w:rPr>
            </w:pPr>
            <w:r>
              <w:rPr>
                <w:spacing w:val="8"/>
                <w:sz w:val="20"/>
                <w:szCs w:val="20"/>
                <w14:textOutline w14:w="3795" w14:cap="sq" w14:cmpd="sng">
                  <w14:solidFill>
                    <w14:srgbClr w14:val="000000"/>
                  </w14:solidFill>
                  <w14:prstDash w14:val="solid"/>
                  <w14:bevel/>
                </w14:textOutline>
              </w:rPr>
              <w:t>排放源参数</w:t>
            </w:r>
          </w:p>
        </w:tc>
        <w:tc>
          <w:tcPr>
            <w:tcW w:w="325" w:type="pct"/>
            <w:vMerge w:val="restart"/>
            <w:tcBorders>
              <w:top w:val="single" w:color="000000" w:sz="10" w:space="0"/>
              <w:bottom w:val="nil"/>
              <w:right w:val="single" w:color="000000" w:sz="10" w:space="0"/>
            </w:tcBorders>
            <w:vAlign w:val="center"/>
          </w:tcPr>
          <w:p w14:paraId="1875E502">
            <w:pPr>
              <w:pStyle w:val="259"/>
              <w:autoSpaceDE w:val="0"/>
              <w:autoSpaceDN w:val="0"/>
              <w:spacing w:before="209" w:line="241" w:lineRule="auto"/>
              <w:ind w:left="159" w:right="121" w:hanging="9"/>
              <w:rPr>
                <w:sz w:val="20"/>
                <w:szCs w:val="20"/>
              </w:rPr>
            </w:pPr>
            <w:r>
              <w:rPr>
                <w:spacing w:val="6"/>
                <w:sz w:val="20"/>
                <w:szCs w:val="20"/>
                <w14:textOutline w14:w="3795" w14:cap="sq" w14:cmpd="sng">
                  <w14:solidFill>
                    <w14:srgbClr w14:val="000000"/>
                  </w14:solidFill>
                  <w14:prstDash w14:val="solid"/>
                  <w14:bevel/>
                </w14:textOutline>
              </w:rPr>
              <w:t>排放</w:t>
            </w:r>
            <w:r>
              <w:rPr>
                <w:spacing w:val="1"/>
                <w:sz w:val="20"/>
                <w:szCs w:val="20"/>
                <w14:textOutline w14:w="3795" w14:cap="sq" w14:cmpd="sng">
                  <w14:solidFill>
                    <w14:srgbClr w14:val="000000"/>
                  </w14:solidFill>
                  <w14:prstDash w14:val="solid"/>
                  <w14:bevel/>
                </w14:textOutline>
              </w:rPr>
              <w:t>时间</w:t>
            </w:r>
          </w:p>
        </w:tc>
      </w:tr>
      <w:tr w14:paraId="34FEA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jc w:val="center"/>
        </w:trPr>
        <w:tc>
          <w:tcPr>
            <w:tcW w:w="313" w:type="pct"/>
            <w:vMerge w:val="continue"/>
            <w:tcBorders>
              <w:top w:val="nil"/>
              <w:left w:val="single" w:color="000000" w:sz="10" w:space="0"/>
              <w:bottom w:val="nil"/>
            </w:tcBorders>
            <w:vAlign w:val="center"/>
          </w:tcPr>
          <w:p w14:paraId="21EC6436">
            <w:pPr>
              <w:autoSpaceDE w:val="0"/>
              <w:autoSpaceDN w:val="0"/>
              <w:rPr>
                <w:rFonts w:ascii="Arial"/>
                <w:sz w:val="21"/>
              </w:rPr>
            </w:pPr>
          </w:p>
        </w:tc>
        <w:tc>
          <w:tcPr>
            <w:tcW w:w="454" w:type="pct"/>
            <w:vMerge w:val="continue"/>
            <w:tcBorders>
              <w:top w:val="nil"/>
              <w:bottom w:val="nil"/>
            </w:tcBorders>
            <w:vAlign w:val="center"/>
          </w:tcPr>
          <w:p w14:paraId="3C47C07C">
            <w:pPr>
              <w:autoSpaceDE w:val="0"/>
              <w:autoSpaceDN w:val="0"/>
              <w:rPr>
                <w:rFonts w:ascii="Arial"/>
                <w:sz w:val="21"/>
              </w:rPr>
            </w:pPr>
          </w:p>
        </w:tc>
        <w:tc>
          <w:tcPr>
            <w:tcW w:w="475" w:type="pct"/>
            <w:vMerge w:val="continue"/>
            <w:tcBorders>
              <w:top w:val="nil"/>
              <w:bottom w:val="nil"/>
            </w:tcBorders>
            <w:vAlign w:val="center"/>
          </w:tcPr>
          <w:p w14:paraId="6BB22FFD">
            <w:pPr>
              <w:autoSpaceDE w:val="0"/>
              <w:autoSpaceDN w:val="0"/>
              <w:rPr>
                <w:rFonts w:ascii="Arial"/>
                <w:sz w:val="21"/>
              </w:rPr>
            </w:pPr>
          </w:p>
        </w:tc>
        <w:tc>
          <w:tcPr>
            <w:tcW w:w="262" w:type="pct"/>
            <w:vMerge w:val="continue"/>
            <w:tcBorders>
              <w:top w:val="nil"/>
              <w:bottom w:val="nil"/>
            </w:tcBorders>
            <w:vAlign w:val="center"/>
          </w:tcPr>
          <w:p w14:paraId="738F20E6">
            <w:pPr>
              <w:autoSpaceDE w:val="0"/>
              <w:autoSpaceDN w:val="0"/>
              <w:rPr>
                <w:rFonts w:ascii="Arial"/>
                <w:sz w:val="21"/>
              </w:rPr>
            </w:pPr>
          </w:p>
        </w:tc>
        <w:tc>
          <w:tcPr>
            <w:tcW w:w="269" w:type="pct"/>
            <w:vMerge w:val="continue"/>
            <w:tcBorders>
              <w:top w:val="nil"/>
              <w:bottom w:val="nil"/>
            </w:tcBorders>
            <w:vAlign w:val="center"/>
          </w:tcPr>
          <w:p w14:paraId="55A8E1AB">
            <w:pPr>
              <w:autoSpaceDE w:val="0"/>
              <w:autoSpaceDN w:val="0"/>
              <w:rPr>
                <w:rFonts w:ascii="Arial"/>
                <w:sz w:val="21"/>
              </w:rPr>
            </w:pPr>
          </w:p>
        </w:tc>
        <w:tc>
          <w:tcPr>
            <w:tcW w:w="463" w:type="pct"/>
            <w:vAlign w:val="center"/>
          </w:tcPr>
          <w:p w14:paraId="48EEBCE5">
            <w:pPr>
              <w:pStyle w:val="259"/>
              <w:autoSpaceDE w:val="0"/>
              <w:autoSpaceDN w:val="0"/>
              <w:spacing w:before="167" w:line="228" w:lineRule="auto"/>
              <w:ind w:left="178"/>
              <w:rPr>
                <w:sz w:val="20"/>
                <w:szCs w:val="20"/>
              </w:rPr>
            </w:pPr>
            <w:r>
              <w:rPr>
                <w:spacing w:val="6"/>
                <w:sz w:val="20"/>
                <w:szCs w:val="20"/>
                <w14:textOutline w14:w="3795" w14:cap="sq" w14:cmpd="sng">
                  <w14:solidFill>
                    <w14:srgbClr w14:val="000000"/>
                  </w14:solidFill>
                  <w14:prstDash w14:val="solid"/>
                  <w14:bevel/>
                </w14:textOutline>
              </w:rPr>
              <w:t>浓度</w:t>
            </w:r>
          </w:p>
        </w:tc>
        <w:tc>
          <w:tcPr>
            <w:tcW w:w="377" w:type="pct"/>
            <w:vAlign w:val="center"/>
          </w:tcPr>
          <w:p w14:paraId="783C2197">
            <w:pPr>
              <w:pStyle w:val="259"/>
              <w:autoSpaceDE w:val="0"/>
              <w:autoSpaceDN w:val="0"/>
              <w:spacing w:before="166" w:line="228" w:lineRule="auto"/>
              <w:ind w:left="171"/>
              <w:rPr>
                <w:sz w:val="20"/>
                <w:szCs w:val="20"/>
              </w:rPr>
            </w:pPr>
            <w:r>
              <w:rPr>
                <w:spacing w:val="6"/>
                <w:sz w:val="20"/>
                <w:szCs w:val="20"/>
                <w14:textOutline w14:w="3795" w14:cap="sq" w14:cmpd="sng">
                  <w14:solidFill>
                    <w14:srgbClr w14:val="000000"/>
                  </w14:solidFill>
                  <w14:prstDash w14:val="solid"/>
                  <w14:bevel/>
                </w14:textOutline>
              </w:rPr>
              <w:t>速率</w:t>
            </w:r>
          </w:p>
        </w:tc>
        <w:tc>
          <w:tcPr>
            <w:tcW w:w="405" w:type="pct"/>
            <w:vAlign w:val="center"/>
          </w:tcPr>
          <w:p w14:paraId="04C1BF6F">
            <w:pPr>
              <w:pStyle w:val="259"/>
              <w:autoSpaceDE w:val="0"/>
              <w:autoSpaceDN w:val="0"/>
              <w:spacing w:before="33" w:line="233" w:lineRule="auto"/>
              <w:ind w:left="264" w:right="139" w:hanging="103"/>
              <w:rPr>
                <w:sz w:val="20"/>
                <w:szCs w:val="20"/>
              </w:rPr>
            </w:pPr>
            <w:r>
              <w:rPr>
                <w:spacing w:val="6"/>
                <w:sz w:val="20"/>
                <w:szCs w:val="20"/>
                <w14:textOutline w14:w="3795" w14:cap="sq" w14:cmpd="sng">
                  <w14:solidFill>
                    <w14:srgbClr w14:val="000000"/>
                  </w14:solidFill>
                  <w14:prstDash w14:val="solid"/>
                  <w14:bevel/>
                </w14:textOutline>
              </w:rPr>
              <w:t>排放</w:t>
            </w:r>
            <w:r>
              <w:rPr>
                <w:sz w:val="20"/>
                <w:szCs w:val="20"/>
                <w14:textOutline w14:w="3795" w14:cap="sq" w14:cmpd="sng">
                  <w14:solidFill>
                    <w14:srgbClr w14:val="000000"/>
                  </w14:solidFill>
                  <w14:prstDash w14:val="solid"/>
                  <w14:bevel/>
                </w14:textOutline>
              </w:rPr>
              <w:t>量</w:t>
            </w:r>
          </w:p>
        </w:tc>
        <w:tc>
          <w:tcPr>
            <w:tcW w:w="303" w:type="pct"/>
            <w:shd w:val="clear" w:color="auto" w:fill="D9D9D9"/>
            <w:vAlign w:val="center"/>
          </w:tcPr>
          <w:p w14:paraId="274B90D3">
            <w:pPr>
              <w:pStyle w:val="259"/>
              <w:autoSpaceDE w:val="0"/>
              <w:autoSpaceDN w:val="0"/>
              <w:spacing w:before="167" w:line="228" w:lineRule="auto"/>
              <w:ind w:left="165"/>
              <w:rPr>
                <w:sz w:val="20"/>
                <w:szCs w:val="20"/>
              </w:rPr>
            </w:pPr>
            <w:r>
              <w:rPr>
                <w:spacing w:val="6"/>
                <w:sz w:val="20"/>
                <w:szCs w:val="20"/>
                <w14:textOutline w14:w="3795" w14:cap="sq" w14:cmpd="sng">
                  <w14:solidFill>
                    <w14:srgbClr w14:val="000000"/>
                  </w14:solidFill>
                  <w14:prstDash w14:val="solid"/>
                  <w14:bevel/>
                </w14:textOutline>
              </w:rPr>
              <w:t>浓度</w:t>
            </w:r>
          </w:p>
        </w:tc>
        <w:tc>
          <w:tcPr>
            <w:tcW w:w="314" w:type="pct"/>
            <w:shd w:val="clear" w:color="auto" w:fill="D9D9D9"/>
            <w:vAlign w:val="center"/>
          </w:tcPr>
          <w:p w14:paraId="66F135BF">
            <w:pPr>
              <w:pStyle w:val="259"/>
              <w:autoSpaceDE w:val="0"/>
              <w:autoSpaceDN w:val="0"/>
              <w:spacing w:before="166" w:line="228" w:lineRule="auto"/>
              <w:ind w:left="133"/>
              <w:rPr>
                <w:sz w:val="20"/>
                <w:szCs w:val="20"/>
              </w:rPr>
            </w:pPr>
            <w:r>
              <w:rPr>
                <w:spacing w:val="7"/>
                <w:sz w:val="20"/>
                <w:szCs w:val="20"/>
                <w14:textOutline w14:w="3795" w14:cap="sq" w14:cmpd="sng">
                  <w14:solidFill>
                    <w14:srgbClr w14:val="000000"/>
                  </w14:solidFill>
                  <w14:prstDash w14:val="solid"/>
                  <w14:bevel/>
                </w14:textOutline>
              </w:rPr>
              <w:t>速率</w:t>
            </w:r>
          </w:p>
        </w:tc>
        <w:tc>
          <w:tcPr>
            <w:tcW w:w="502" w:type="pct"/>
            <w:vAlign w:val="center"/>
          </w:tcPr>
          <w:p w14:paraId="63E11737">
            <w:pPr>
              <w:pStyle w:val="259"/>
              <w:autoSpaceDE w:val="0"/>
              <w:autoSpaceDN w:val="0"/>
              <w:spacing w:before="166" w:line="228" w:lineRule="auto"/>
              <w:ind w:left="187"/>
              <w:rPr>
                <w:sz w:val="20"/>
                <w:szCs w:val="20"/>
              </w:rPr>
            </w:pPr>
            <w:r>
              <w:rPr>
                <w:spacing w:val="3"/>
                <w:sz w:val="20"/>
                <w:szCs w:val="20"/>
                <w14:textOutline w14:w="3795" w14:cap="sq" w14:cmpd="sng">
                  <w14:solidFill>
                    <w14:srgbClr w14:val="000000"/>
                  </w14:solidFill>
                  <w14:prstDash w14:val="solid"/>
                  <w14:bevel/>
                </w14:textOutline>
              </w:rPr>
              <w:t>高度</w:t>
            </w:r>
          </w:p>
        </w:tc>
        <w:tc>
          <w:tcPr>
            <w:tcW w:w="257" w:type="pct"/>
            <w:textDirection w:val="tbRlV"/>
            <w:vAlign w:val="center"/>
          </w:tcPr>
          <w:p w14:paraId="26D667E9">
            <w:pPr>
              <w:pStyle w:val="259"/>
              <w:autoSpaceDE w:val="0"/>
              <w:autoSpaceDN w:val="0"/>
              <w:spacing w:before="137" w:line="216" w:lineRule="auto"/>
              <w:ind w:left="32"/>
              <w:rPr>
                <w:sz w:val="20"/>
                <w:szCs w:val="20"/>
              </w:rPr>
            </w:pPr>
            <w:r>
              <w:rPr>
                <w:spacing w:val="8"/>
                <w:sz w:val="20"/>
                <w:szCs w:val="20"/>
                <w14:textOutline w14:w="3795" w14:cap="sq" w14:cmpd="sng">
                  <w14:solidFill>
                    <w14:srgbClr w14:val="000000"/>
                  </w14:solidFill>
                  <w14:prstDash w14:val="solid"/>
                  <w14:bevel/>
                </w14:textOutline>
              </w:rPr>
              <w:t>直径</w:t>
            </w:r>
          </w:p>
        </w:tc>
        <w:tc>
          <w:tcPr>
            <w:tcW w:w="277" w:type="pct"/>
            <w:textDirection w:val="tbRlV"/>
            <w:vAlign w:val="center"/>
          </w:tcPr>
          <w:p w14:paraId="5367540D">
            <w:pPr>
              <w:pStyle w:val="259"/>
              <w:autoSpaceDE w:val="0"/>
              <w:autoSpaceDN w:val="0"/>
              <w:spacing w:before="107" w:line="217" w:lineRule="auto"/>
              <w:ind w:left="32"/>
              <w:rPr>
                <w:sz w:val="20"/>
                <w:szCs w:val="20"/>
              </w:rPr>
            </w:pPr>
            <w:r>
              <w:rPr>
                <w:spacing w:val="8"/>
                <w:sz w:val="20"/>
                <w:szCs w:val="20"/>
                <w14:textOutline w14:w="3795" w14:cap="sq" w14:cmpd="sng">
                  <w14:solidFill>
                    <w14:srgbClr w14:val="000000"/>
                  </w14:solidFill>
                  <w14:prstDash w14:val="solid"/>
                  <w14:bevel/>
                </w14:textOutline>
              </w:rPr>
              <w:t>温度</w:t>
            </w:r>
          </w:p>
        </w:tc>
        <w:tc>
          <w:tcPr>
            <w:tcW w:w="325" w:type="pct"/>
            <w:vMerge w:val="continue"/>
            <w:tcBorders>
              <w:top w:val="nil"/>
              <w:right w:val="single" w:color="000000" w:sz="10" w:space="0"/>
            </w:tcBorders>
            <w:vAlign w:val="center"/>
          </w:tcPr>
          <w:p w14:paraId="1E68BEDC">
            <w:pPr>
              <w:autoSpaceDE w:val="0"/>
              <w:autoSpaceDN w:val="0"/>
              <w:rPr>
                <w:rFonts w:ascii="Arial"/>
                <w:sz w:val="21"/>
              </w:rPr>
            </w:pPr>
          </w:p>
        </w:tc>
      </w:tr>
      <w:tr w14:paraId="3A0D9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jc w:val="center"/>
        </w:trPr>
        <w:tc>
          <w:tcPr>
            <w:tcW w:w="313" w:type="pct"/>
            <w:vMerge w:val="continue"/>
            <w:tcBorders>
              <w:top w:val="nil"/>
              <w:left w:val="single" w:color="000000" w:sz="10" w:space="0"/>
            </w:tcBorders>
            <w:vAlign w:val="center"/>
          </w:tcPr>
          <w:p w14:paraId="59DB5F5F">
            <w:pPr>
              <w:autoSpaceDE w:val="0"/>
              <w:autoSpaceDN w:val="0"/>
              <w:rPr>
                <w:rFonts w:ascii="Arial"/>
                <w:sz w:val="21"/>
              </w:rPr>
            </w:pPr>
          </w:p>
        </w:tc>
        <w:tc>
          <w:tcPr>
            <w:tcW w:w="454" w:type="pct"/>
            <w:vMerge w:val="continue"/>
            <w:tcBorders>
              <w:top w:val="nil"/>
            </w:tcBorders>
            <w:vAlign w:val="center"/>
          </w:tcPr>
          <w:p w14:paraId="2354D19F">
            <w:pPr>
              <w:autoSpaceDE w:val="0"/>
              <w:autoSpaceDN w:val="0"/>
              <w:rPr>
                <w:rFonts w:ascii="Arial"/>
                <w:sz w:val="21"/>
              </w:rPr>
            </w:pPr>
          </w:p>
        </w:tc>
        <w:tc>
          <w:tcPr>
            <w:tcW w:w="475" w:type="pct"/>
            <w:vMerge w:val="continue"/>
            <w:tcBorders>
              <w:top w:val="nil"/>
            </w:tcBorders>
            <w:vAlign w:val="center"/>
          </w:tcPr>
          <w:p w14:paraId="3FC0DA34">
            <w:pPr>
              <w:autoSpaceDE w:val="0"/>
              <w:autoSpaceDN w:val="0"/>
              <w:rPr>
                <w:rFonts w:ascii="Arial"/>
                <w:sz w:val="21"/>
              </w:rPr>
            </w:pPr>
          </w:p>
        </w:tc>
        <w:tc>
          <w:tcPr>
            <w:tcW w:w="262" w:type="pct"/>
            <w:vMerge w:val="continue"/>
            <w:tcBorders>
              <w:top w:val="nil"/>
            </w:tcBorders>
            <w:vAlign w:val="center"/>
          </w:tcPr>
          <w:p w14:paraId="5CBBBC31">
            <w:pPr>
              <w:autoSpaceDE w:val="0"/>
              <w:autoSpaceDN w:val="0"/>
              <w:rPr>
                <w:rFonts w:ascii="Arial"/>
                <w:sz w:val="21"/>
              </w:rPr>
            </w:pPr>
          </w:p>
        </w:tc>
        <w:tc>
          <w:tcPr>
            <w:tcW w:w="269" w:type="pct"/>
            <w:vMerge w:val="continue"/>
            <w:tcBorders>
              <w:top w:val="nil"/>
            </w:tcBorders>
            <w:vAlign w:val="center"/>
          </w:tcPr>
          <w:p w14:paraId="2B35E3A1">
            <w:pPr>
              <w:autoSpaceDE w:val="0"/>
              <w:autoSpaceDN w:val="0"/>
              <w:rPr>
                <w:rFonts w:ascii="Arial"/>
                <w:sz w:val="21"/>
              </w:rPr>
            </w:pPr>
          </w:p>
        </w:tc>
        <w:tc>
          <w:tcPr>
            <w:tcW w:w="463" w:type="pct"/>
            <w:vAlign w:val="center"/>
          </w:tcPr>
          <w:p w14:paraId="0617ADC1">
            <w:pPr>
              <w:autoSpaceDE w:val="0"/>
              <w:autoSpaceDN w:val="0"/>
              <w:spacing w:before="55" w:line="216" w:lineRule="auto"/>
              <w:ind w:left="349" w:right="119" w:hanging="217"/>
              <w:rPr>
                <w:rFonts w:ascii="Times New Roman" w:hAnsi="Times New Roman" w:eastAsia="Times New Roman" w:cs="Times New Roman"/>
                <w:sz w:val="13"/>
                <w:szCs w:val="13"/>
              </w:rPr>
            </w:pPr>
            <w:r>
              <w:rPr>
                <w:rFonts w:ascii="Times New Roman" w:hAnsi="Times New Roman" w:eastAsia="Times New Roman" w:cs="Times New Roman"/>
                <w:b/>
                <w:bCs/>
                <w:sz w:val="20"/>
                <w:szCs w:val="20"/>
              </w:rPr>
              <w:t>mg</w:t>
            </w:r>
            <w:r>
              <w:rPr>
                <w:rFonts w:ascii="Times New Roman" w:hAnsi="Times New Roman" w:eastAsia="Times New Roman" w:cs="Times New Roman"/>
                <w:b/>
                <w:bCs/>
                <w:spacing w:val="6"/>
                <w:sz w:val="20"/>
                <w:szCs w:val="20"/>
              </w:rPr>
              <w:t>/m</w:t>
            </w:r>
            <w:r>
              <w:rPr>
                <w:rFonts w:ascii="Times New Roman" w:hAnsi="Times New Roman" w:eastAsia="Times New Roman" w:cs="Times New Roman"/>
                <w:b/>
                <w:bCs/>
                <w:spacing w:val="1"/>
                <w:sz w:val="13"/>
                <w:szCs w:val="13"/>
              </w:rPr>
              <w:t>3</w:t>
            </w:r>
          </w:p>
        </w:tc>
        <w:tc>
          <w:tcPr>
            <w:tcW w:w="377" w:type="pct"/>
            <w:vAlign w:val="center"/>
          </w:tcPr>
          <w:p w14:paraId="66A3C0BB">
            <w:pPr>
              <w:autoSpaceDE w:val="0"/>
              <w:autoSpaceDN w:val="0"/>
              <w:spacing w:before="175" w:line="197" w:lineRule="auto"/>
              <w:ind w:left="15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Kg</w:t>
            </w:r>
            <w:r>
              <w:rPr>
                <w:rFonts w:ascii="Times New Roman" w:hAnsi="Times New Roman" w:eastAsia="Times New Roman" w:cs="Times New Roman"/>
                <w:b/>
                <w:bCs/>
                <w:spacing w:val="7"/>
                <w:sz w:val="20"/>
                <w:szCs w:val="20"/>
              </w:rPr>
              <w:t>/h</w:t>
            </w:r>
          </w:p>
        </w:tc>
        <w:tc>
          <w:tcPr>
            <w:tcW w:w="405" w:type="pct"/>
            <w:vAlign w:val="center"/>
          </w:tcPr>
          <w:p w14:paraId="2799F0B3">
            <w:pPr>
              <w:autoSpaceDE w:val="0"/>
              <w:autoSpaceDN w:val="0"/>
              <w:spacing w:before="175" w:line="195" w:lineRule="auto"/>
              <w:ind w:left="250"/>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t/a</w:t>
            </w:r>
          </w:p>
        </w:tc>
        <w:tc>
          <w:tcPr>
            <w:tcW w:w="303" w:type="pct"/>
            <w:shd w:val="clear" w:color="auto" w:fill="D9D9D9"/>
            <w:vAlign w:val="center"/>
          </w:tcPr>
          <w:p w14:paraId="7EEDE3B0">
            <w:pPr>
              <w:autoSpaceDE w:val="0"/>
              <w:autoSpaceDN w:val="0"/>
              <w:spacing w:before="54" w:line="230" w:lineRule="auto"/>
              <w:ind w:left="20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mg</w:t>
            </w:r>
            <w:r>
              <w:rPr>
                <w:rFonts w:ascii="Times New Roman" w:hAnsi="Times New Roman" w:eastAsia="Times New Roman" w:cs="Times New Roman"/>
                <w:b/>
                <w:bCs/>
                <w:spacing w:val="7"/>
                <w:sz w:val="20"/>
                <w:szCs w:val="20"/>
              </w:rPr>
              <w:t>/</w:t>
            </w:r>
          </w:p>
          <w:p w14:paraId="4CA5F186">
            <w:pPr>
              <w:autoSpaceDE w:val="0"/>
              <w:autoSpaceDN w:val="0"/>
              <w:spacing w:line="210" w:lineRule="auto"/>
              <w:ind w:left="254"/>
              <w:rPr>
                <w:rFonts w:ascii="Times New Roman" w:hAnsi="Times New Roman" w:eastAsia="Times New Roman" w:cs="Times New Roman"/>
                <w:sz w:val="13"/>
                <w:szCs w:val="13"/>
              </w:rPr>
            </w:pPr>
            <w:r>
              <w:rPr>
                <w:rFonts w:ascii="Times New Roman" w:hAnsi="Times New Roman" w:eastAsia="Times New Roman" w:cs="Times New Roman"/>
                <w:b/>
                <w:bCs/>
                <w:spacing w:val="2"/>
                <w:position w:val="-3"/>
                <w:sz w:val="20"/>
                <w:szCs w:val="20"/>
              </w:rPr>
              <w:t>m</w:t>
            </w:r>
            <w:r>
              <w:rPr>
                <w:rFonts w:ascii="Times New Roman" w:hAnsi="Times New Roman" w:eastAsia="Times New Roman" w:cs="Times New Roman"/>
                <w:b/>
                <w:bCs/>
                <w:spacing w:val="2"/>
                <w:position w:val="3"/>
                <w:sz w:val="13"/>
                <w:szCs w:val="13"/>
              </w:rPr>
              <w:t>3</w:t>
            </w:r>
          </w:p>
        </w:tc>
        <w:tc>
          <w:tcPr>
            <w:tcW w:w="314" w:type="pct"/>
            <w:shd w:val="clear" w:color="auto" w:fill="D9D9D9"/>
            <w:vAlign w:val="center"/>
          </w:tcPr>
          <w:p w14:paraId="484D5220">
            <w:pPr>
              <w:autoSpaceDE w:val="0"/>
              <w:autoSpaceDN w:val="0"/>
              <w:spacing w:before="175" w:line="197" w:lineRule="auto"/>
              <w:ind w:left="14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kg</w:t>
            </w:r>
            <w:r>
              <w:rPr>
                <w:rFonts w:ascii="Times New Roman" w:hAnsi="Times New Roman" w:eastAsia="Times New Roman" w:cs="Times New Roman"/>
                <w:b/>
                <w:bCs/>
                <w:spacing w:val="6"/>
                <w:sz w:val="20"/>
                <w:szCs w:val="20"/>
              </w:rPr>
              <w:t>/h</w:t>
            </w:r>
          </w:p>
        </w:tc>
        <w:tc>
          <w:tcPr>
            <w:tcW w:w="502" w:type="pct"/>
            <w:vAlign w:val="center"/>
          </w:tcPr>
          <w:p w14:paraId="1DA7C00E">
            <w:pPr>
              <w:autoSpaceDE w:val="0"/>
              <w:autoSpaceDN w:val="0"/>
              <w:spacing w:before="219" w:line="143" w:lineRule="exact"/>
              <w:ind w:left="30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m</w:t>
            </w:r>
          </w:p>
        </w:tc>
        <w:tc>
          <w:tcPr>
            <w:tcW w:w="257" w:type="pct"/>
            <w:vAlign w:val="center"/>
          </w:tcPr>
          <w:p w14:paraId="2BC4C779">
            <w:pPr>
              <w:autoSpaceDE w:val="0"/>
              <w:autoSpaceDN w:val="0"/>
              <w:spacing w:before="219" w:line="143" w:lineRule="exact"/>
              <w:ind w:left="18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m</w:t>
            </w:r>
          </w:p>
        </w:tc>
        <w:tc>
          <w:tcPr>
            <w:tcW w:w="277" w:type="pct"/>
            <w:vAlign w:val="center"/>
          </w:tcPr>
          <w:p w14:paraId="2EBF61AC">
            <w:pPr>
              <w:autoSpaceDE w:val="0"/>
              <w:autoSpaceDN w:val="0"/>
              <w:spacing w:before="175" w:line="195" w:lineRule="auto"/>
              <w:ind w:left="135"/>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325" w:type="pct"/>
            <w:tcBorders>
              <w:right w:val="single" w:color="000000" w:sz="10" w:space="0"/>
            </w:tcBorders>
            <w:vAlign w:val="center"/>
          </w:tcPr>
          <w:p w14:paraId="20E50E9E">
            <w:pPr>
              <w:autoSpaceDE w:val="0"/>
              <w:autoSpaceDN w:val="0"/>
              <w:spacing w:before="175" w:line="195" w:lineRule="auto"/>
              <w:ind w:left="218"/>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h/a</w:t>
            </w:r>
          </w:p>
        </w:tc>
      </w:tr>
      <w:tr w14:paraId="2D0E8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jc w:val="center"/>
        </w:trPr>
        <w:tc>
          <w:tcPr>
            <w:tcW w:w="313" w:type="pct"/>
            <w:tcBorders>
              <w:left w:val="single" w:color="000000" w:sz="10" w:space="0"/>
            </w:tcBorders>
            <w:vAlign w:val="center"/>
          </w:tcPr>
          <w:p w14:paraId="71E7CC3F">
            <w:pPr>
              <w:widowControl/>
              <w:autoSpaceDE w:val="0"/>
              <w:autoSpaceDN w:val="0"/>
              <w:jc w:val="center"/>
              <w:rPr>
                <w:spacing w:val="8"/>
                <w:sz w:val="20"/>
                <w:szCs w:val="20"/>
              </w:rPr>
            </w:pPr>
            <w:r>
              <w:rPr>
                <w:rFonts w:hint="eastAsia" w:ascii="宋体" w:hAnsi="宋体" w:cs="宋体"/>
                <w:color w:val="000000"/>
                <w:kern w:val="0"/>
                <w:sz w:val="18"/>
                <w:szCs w:val="18"/>
              </w:rPr>
              <w:t>木工</w:t>
            </w:r>
          </w:p>
        </w:tc>
        <w:tc>
          <w:tcPr>
            <w:tcW w:w="454" w:type="pct"/>
            <w:vAlign w:val="center"/>
          </w:tcPr>
          <w:p w14:paraId="76D7BE64">
            <w:pPr>
              <w:widowControl/>
              <w:autoSpaceDE w:val="0"/>
              <w:autoSpaceDN w:val="0"/>
              <w:jc w:val="center"/>
              <w:rPr>
                <w:rFonts w:hint="default" w:ascii="仿宋" w:hAnsi="仿宋" w:eastAsia="等线" w:cs="仿宋"/>
                <w:spacing w:val="8"/>
                <w:sz w:val="20"/>
                <w:szCs w:val="20"/>
                <w:lang w:val="en-US" w:eastAsia="zh-CN"/>
              </w:rPr>
            </w:pPr>
            <w:r>
              <w:rPr>
                <w:rFonts w:hint="eastAsia" w:eastAsia="等线"/>
                <w:color w:val="000000"/>
                <w:kern w:val="0"/>
                <w:sz w:val="18"/>
                <w:szCs w:val="18"/>
                <w:lang w:val="en-US" w:eastAsia="zh-CN"/>
              </w:rPr>
              <w:t>40000</w:t>
            </w:r>
          </w:p>
        </w:tc>
        <w:tc>
          <w:tcPr>
            <w:tcW w:w="475" w:type="pct"/>
            <w:vAlign w:val="center"/>
          </w:tcPr>
          <w:p w14:paraId="4FFB993F">
            <w:pPr>
              <w:widowControl/>
              <w:autoSpaceDE w:val="0"/>
              <w:autoSpaceDN w:val="0"/>
              <w:jc w:val="center"/>
              <w:rPr>
                <w:spacing w:val="8"/>
                <w:sz w:val="20"/>
                <w:szCs w:val="20"/>
              </w:rPr>
            </w:pPr>
            <w:r>
              <w:rPr>
                <w:rFonts w:hint="eastAsia" w:ascii="宋体" w:hAnsi="宋体" w:cs="宋体"/>
                <w:color w:val="000000"/>
                <w:kern w:val="0"/>
                <w:sz w:val="18"/>
                <w:szCs w:val="18"/>
              </w:rPr>
              <w:t>颗粒物</w:t>
            </w:r>
          </w:p>
        </w:tc>
        <w:tc>
          <w:tcPr>
            <w:tcW w:w="262" w:type="pct"/>
            <w:vAlign w:val="center"/>
          </w:tcPr>
          <w:p w14:paraId="7223C8C7">
            <w:pPr>
              <w:widowControl/>
              <w:autoSpaceDE w:val="0"/>
              <w:autoSpaceDN w:val="0"/>
              <w:jc w:val="center"/>
              <w:rPr>
                <w:spacing w:val="8"/>
                <w:sz w:val="20"/>
                <w:szCs w:val="20"/>
              </w:rPr>
            </w:pPr>
            <w:r>
              <w:rPr>
                <w:color w:val="auto"/>
                <w:kern w:val="0"/>
                <w:sz w:val="18"/>
                <w:szCs w:val="18"/>
              </w:rPr>
              <w:t>布袋除尘器</w:t>
            </w:r>
          </w:p>
        </w:tc>
        <w:tc>
          <w:tcPr>
            <w:tcW w:w="269" w:type="pct"/>
            <w:vAlign w:val="center"/>
          </w:tcPr>
          <w:p w14:paraId="03EB3B54">
            <w:pPr>
              <w:pStyle w:val="259"/>
              <w:autoSpaceDE w:val="0"/>
              <w:autoSpaceDN w:val="0"/>
              <w:spacing w:before="143" w:line="228" w:lineRule="auto"/>
              <w:ind w:left="131"/>
              <w:rPr>
                <w:rFonts w:ascii="仿宋" w:hAnsi="仿宋" w:eastAsia="仿宋" w:cs="仿宋"/>
                <w:spacing w:val="8"/>
                <w:sz w:val="20"/>
                <w:szCs w:val="20"/>
              </w:rPr>
            </w:pPr>
            <w:r>
              <w:rPr>
                <w:rFonts w:ascii="仿宋" w:hAnsi="仿宋" w:eastAsia="仿宋" w:cs="仿宋"/>
                <w:spacing w:val="8"/>
                <w:sz w:val="20"/>
                <w:szCs w:val="20"/>
              </w:rPr>
              <w:t>95</w:t>
            </w:r>
          </w:p>
        </w:tc>
        <w:tc>
          <w:tcPr>
            <w:tcW w:w="463" w:type="pct"/>
            <w:vAlign w:val="center"/>
          </w:tcPr>
          <w:p w14:paraId="5DA5FCDE">
            <w:pPr>
              <w:widowControl/>
              <w:autoSpaceDE w:val="0"/>
              <w:autoSpaceDN w:val="0"/>
              <w:adjustRightInd w:val="0"/>
              <w:snapToGrid w:val="0"/>
              <w:jc w:val="center"/>
              <w:rPr>
                <w:rFonts w:ascii="仿宋" w:hAnsi="仿宋" w:eastAsia="仿宋" w:cs="仿宋"/>
                <w:spacing w:val="8"/>
                <w:sz w:val="20"/>
                <w:szCs w:val="20"/>
              </w:rPr>
            </w:pPr>
            <w:r>
              <w:rPr>
                <w:color w:val="auto"/>
                <w:kern w:val="0"/>
                <w:sz w:val="18"/>
                <w:szCs w:val="18"/>
              </w:rPr>
              <w:t xml:space="preserve">4.7 </w:t>
            </w:r>
          </w:p>
        </w:tc>
        <w:tc>
          <w:tcPr>
            <w:tcW w:w="377" w:type="pct"/>
            <w:vAlign w:val="center"/>
          </w:tcPr>
          <w:p w14:paraId="2D9DF9CE">
            <w:pPr>
              <w:widowControl/>
              <w:autoSpaceDE w:val="0"/>
              <w:autoSpaceDN w:val="0"/>
              <w:adjustRightInd w:val="0"/>
              <w:snapToGrid w:val="0"/>
              <w:jc w:val="center"/>
              <w:rPr>
                <w:rFonts w:ascii="仿宋" w:hAnsi="仿宋" w:eastAsia="仿宋" w:cs="仿宋"/>
                <w:spacing w:val="8"/>
                <w:sz w:val="20"/>
                <w:szCs w:val="20"/>
              </w:rPr>
            </w:pPr>
            <w:r>
              <w:rPr>
                <w:color w:val="auto"/>
                <w:kern w:val="0"/>
                <w:sz w:val="18"/>
                <w:szCs w:val="18"/>
              </w:rPr>
              <w:t xml:space="preserve">0.186 </w:t>
            </w:r>
          </w:p>
        </w:tc>
        <w:tc>
          <w:tcPr>
            <w:tcW w:w="405" w:type="pct"/>
            <w:vAlign w:val="center"/>
          </w:tcPr>
          <w:p w14:paraId="305ADBEA">
            <w:pPr>
              <w:widowControl/>
              <w:autoSpaceDE w:val="0"/>
              <w:autoSpaceDN w:val="0"/>
              <w:adjustRightInd w:val="0"/>
              <w:snapToGrid w:val="0"/>
              <w:jc w:val="center"/>
              <w:rPr>
                <w:rFonts w:ascii="仿宋" w:hAnsi="仿宋" w:eastAsia="仿宋" w:cs="仿宋"/>
                <w:spacing w:val="8"/>
                <w:sz w:val="20"/>
                <w:szCs w:val="20"/>
              </w:rPr>
            </w:pPr>
            <w:r>
              <w:rPr>
                <w:color w:val="auto"/>
                <w:kern w:val="0"/>
                <w:sz w:val="18"/>
                <w:szCs w:val="18"/>
              </w:rPr>
              <w:t xml:space="preserve">0.446 </w:t>
            </w:r>
          </w:p>
        </w:tc>
        <w:tc>
          <w:tcPr>
            <w:tcW w:w="303" w:type="pct"/>
            <w:shd w:val="clear" w:color="auto" w:fill="D9D9D9"/>
            <w:vAlign w:val="center"/>
          </w:tcPr>
          <w:p w14:paraId="53499F96">
            <w:pPr>
              <w:pStyle w:val="259"/>
              <w:autoSpaceDE w:val="0"/>
              <w:autoSpaceDN w:val="0"/>
              <w:spacing w:before="143" w:line="228" w:lineRule="auto"/>
              <w:ind w:left="131"/>
              <w:rPr>
                <w:rFonts w:hint="default" w:ascii="仿宋" w:hAnsi="仿宋" w:eastAsia="仿宋" w:cs="仿宋"/>
                <w:spacing w:val="8"/>
                <w:sz w:val="20"/>
                <w:szCs w:val="20"/>
                <w:lang w:val="en-US" w:eastAsia="zh-CN"/>
              </w:rPr>
            </w:pPr>
            <w:r>
              <w:rPr>
                <w:rFonts w:hint="eastAsia" w:cs="仿宋"/>
                <w:spacing w:val="8"/>
                <w:sz w:val="20"/>
                <w:szCs w:val="20"/>
                <w:lang w:val="en-US" w:eastAsia="zh-CN"/>
              </w:rPr>
              <w:t>20</w:t>
            </w:r>
          </w:p>
        </w:tc>
        <w:tc>
          <w:tcPr>
            <w:tcW w:w="314" w:type="pct"/>
            <w:shd w:val="clear" w:color="auto" w:fill="D9D9D9"/>
            <w:vAlign w:val="center"/>
          </w:tcPr>
          <w:p w14:paraId="21B76DEC">
            <w:pPr>
              <w:pStyle w:val="259"/>
              <w:autoSpaceDE w:val="0"/>
              <w:autoSpaceDN w:val="0"/>
              <w:spacing w:before="143" w:line="228" w:lineRule="auto"/>
              <w:ind w:left="131"/>
              <w:rPr>
                <w:rFonts w:hint="eastAsia" w:ascii="仿宋" w:hAnsi="仿宋" w:eastAsia="仿宋" w:cs="仿宋"/>
                <w:spacing w:val="8"/>
                <w:sz w:val="20"/>
                <w:szCs w:val="20"/>
                <w:lang w:eastAsia="zh-CN"/>
              </w:rPr>
            </w:pPr>
            <w:r>
              <w:rPr>
                <w:rFonts w:hint="eastAsia" w:cs="仿宋"/>
                <w:spacing w:val="8"/>
                <w:sz w:val="20"/>
                <w:szCs w:val="20"/>
                <w:lang w:val="en-US" w:eastAsia="zh-CN"/>
              </w:rPr>
              <w:t>1</w:t>
            </w:r>
          </w:p>
        </w:tc>
        <w:tc>
          <w:tcPr>
            <w:tcW w:w="502" w:type="pct"/>
            <w:vAlign w:val="center"/>
          </w:tcPr>
          <w:p w14:paraId="26117F96">
            <w:pPr>
              <w:pStyle w:val="259"/>
              <w:autoSpaceDE w:val="0"/>
              <w:autoSpaceDN w:val="0"/>
              <w:spacing w:before="143" w:line="228" w:lineRule="auto"/>
              <w:ind w:left="131"/>
              <w:rPr>
                <w:rFonts w:ascii="仿宋" w:hAnsi="仿宋" w:eastAsia="仿宋" w:cs="仿宋"/>
                <w:spacing w:val="8"/>
                <w:sz w:val="20"/>
                <w:szCs w:val="20"/>
              </w:rPr>
            </w:pPr>
            <w:r>
              <w:rPr>
                <w:rFonts w:hint="default" w:cs="仿宋"/>
                <w:spacing w:val="8"/>
                <w:position w:val="0"/>
                <w:sz w:val="20"/>
                <w:szCs w:val="20"/>
                <w:lang w:val="en-US" w:eastAsia="zh-CN"/>
              </w:rPr>
              <w:t>2</w:t>
            </w:r>
            <w:r>
              <w:rPr>
                <w:rFonts w:ascii="仿宋" w:hAnsi="仿宋" w:eastAsia="仿宋" w:cs="仿宋"/>
                <w:spacing w:val="8"/>
                <w:position w:val="0"/>
                <w:sz w:val="20"/>
                <w:szCs w:val="20"/>
              </w:rPr>
              <w:t>0</w:t>
            </w:r>
            <w:r>
              <w:rPr>
                <w:rFonts w:ascii="仿宋" w:hAnsi="仿宋" w:eastAsia="仿宋" w:cs="仿宋"/>
                <w:spacing w:val="8"/>
                <w:sz w:val="20"/>
                <w:szCs w:val="20"/>
              </w:rPr>
              <w:t>(1#)</w:t>
            </w:r>
          </w:p>
        </w:tc>
        <w:tc>
          <w:tcPr>
            <w:tcW w:w="257" w:type="pct"/>
            <w:vAlign w:val="center"/>
          </w:tcPr>
          <w:p w14:paraId="6633A936">
            <w:pPr>
              <w:pStyle w:val="259"/>
              <w:autoSpaceDE w:val="0"/>
              <w:autoSpaceDN w:val="0"/>
              <w:spacing w:before="143" w:line="228" w:lineRule="auto"/>
              <w:ind w:left="131"/>
              <w:rPr>
                <w:rFonts w:hint="default" w:ascii="仿宋" w:hAnsi="仿宋" w:eastAsia="仿宋" w:cs="仿宋"/>
                <w:spacing w:val="8"/>
                <w:sz w:val="20"/>
                <w:szCs w:val="20"/>
                <w:lang w:val="en-US" w:eastAsia="zh-CN"/>
              </w:rPr>
            </w:pPr>
            <w:r>
              <w:rPr>
                <w:rFonts w:hint="eastAsia" w:cs="仿宋"/>
                <w:spacing w:val="8"/>
                <w:sz w:val="20"/>
                <w:szCs w:val="20"/>
                <w:lang w:val="en-US" w:eastAsia="zh-CN"/>
              </w:rPr>
              <w:t>1</w:t>
            </w:r>
          </w:p>
        </w:tc>
        <w:tc>
          <w:tcPr>
            <w:tcW w:w="277" w:type="pct"/>
            <w:vAlign w:val="center"/>
          </w:tcPr>
          <w:p w14:paraId="23C1F63A">
            <w:pPr>
              <w:pStyle w:val="259"/>
              <w:autoSpaceDE w:val="0"/>
              <w:autoSpaceDN w:val="0"/>
              <w:spacing w:before="143" w:line="228" w:lineRule="auto"/>
              <w:ind w:left="131"/>
              <w:rPr>
                <w:rFonts w:ascii="仿宋" w:hAnsi="仿宋" w:eastAsia="仿宋" w:cs="仿宋"/>
                <w:spacing w:val="8"/>
                <w:sz w:val="20"/>
                <w:szCs w:val="20"/>
              </w:rPr>
            </w:pPr>
            <w:r>
              <w:rPr>
                <w:rFonts w:ascii="仿宋" w:hAnsi="仿宋" w:eastAsia="仿宋" w:cs="仿宋"/>
                <w:spacing w:val="8"/>
                <w:sz w:val="20"/>
                <w:szCs w:val="20"/>
              </w:rPr>
              <w:t>25</w:t>
            </w:r>
          </w:p>
        </w:tc>
        <w:tc>
          <w:tcPr>
            <w:tcW w:w="325" w:type="pct"/>
            <w:tcBorders>
              <w:right w:val="single" w:color="000000" w:sz="10" w:space="0"/>
            </w:tcBorders>
            <w:vAlign w:val="center"/>
          </w:tcPr>
          <w:p w14:paraId="2A55D5EF">
            <w:pPr>
              <w:pStyle w:val="259"/>
              <w:autoSpaceDE w:val="0"/>
              <w:autoSpaceDN w:val="0"/>
              <w:spacing w:before="143" w:line="228" w:lineRule="auto"/>
              <w:ind w:left="131"/>
              <w:rPr>
                <w:rFonts w:ascii="仿宋" w:hAnsi="仿宋" w:eastAsia="仿宋" w:cs="仿宋"/>
                <w:spacing w:val="8"/>
                <w:sz w:val="20"/>
                <w:szCs w:val="20"/>
              </w:rPr>
            </w:pPr>
            <w:r>
              <w:rPr>
                <w:rFonts w:ascii="仿宋" w:hAnsi="仿宋" w:eastAsia="仿宋" w:cs="仿宋"/>
                <w:spacing w:val="8"/>
                <w:sz w:val="20"/>
                <w:szCs w:val="20"/>
              </w:rPr>
              <w:t>2400</w:t>
            </w:r>
          </w:p>
        </w:tc>
      </w:tr>
      <w:tr w14:paraId="042F4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313" w:type="pct"/>
            <w:tcBorders>
              <w:left w:val="single" w:color="000000" w:sz="10" w:space="0"/>
            </w:tcBorders>
            <w:vAlign w:val="center"/>
          </w:tcPr>
          <w:p w14:paraId="2D2D944C">
            <w:pPr>
              <w:widowControl/>
              <w:autoSpaceDE w:val="0"/>
              <w:autoSpaceDN w:val="0"/>
              <w:jc w:val="center"/>
              <w:rPr>
                <w:rFonts w:hint="eastAsia" w:ascii="宋体" w:hAnsi="宋体" w:cs="宋体"/>
                <w:color w:val="000000"/>
                <w:kern w:val="0"/>
                <w:sz w:val="18"/>
                <w:szCs w:val="18"/>
              </w:rPr>
            </w:pPr>
            <w:r>
              <w:rPr>
                <w:rFonts w:hint="eastAsia" w:ascii="宋体" w:hAnsi="宋体" w:cs="宋体"/>
                <w:color w:val="000000"/>
                <w:kern w:val="0"/>
                <w:sz w:val="18"/>
                <w:szCs w:val="18"/>
              </w:rPr>
              <w:t>底漆打磨</w:t>
            </w:r>
          </w:p>
        </w:tc>
        <w:tc>
          <w:tcPr>
            <w:tcW w:w="454" w:type="pct"/>
            <w:vAlign w:val="center"/>
          </w:tcPr>
          <w:p w14:paraId="79457F63">
            <w:pPr>
              <w:widowControl/>
              <w:autoSpaceDE w:val="0"/>
              <w:autoSpaceDN w:val="0"/>
              <w:jc w:val="center"/>
              <w:rPr>
                <w:rFonts w:hint="default" w:eastAsia="等线"/>
                <w:color w:val="000000"/>
                <w:kern w:val="0"/>
                <w:sz w:val="18"/>
                <w:szCs w:val="18"/>
                <w:lang w:val="en-US" w:eastAsia="zh-CN"/>
              </w:rPr>
            </w:pPr>
            <w:r>
              <w:rPr>
                <w:rFonts w:hint="eastAsia" w:eastAsia="等线"/>
                <w:color w:val="000000"/>
                <w:kern w:val="0"/>
                <w:sz w:val="18"/>
                <w:szCs w:val="18"/>
                <w:lang w:val="en-US" w:eastAsia="zh-CN"/>
              </w:rPr>
              <w:t>2000</w:t>
            </w:r>
          </w:p>
        </w:tc>
        <w:tc>
          <w:tcPr>
            <w:tcW w:w="475" w:type="pct"/>
            <w:vAlign w:val="center"/>
          </w:tcPr>
          <w:p w14:paraId="29ADE1A1">
            <w:pPr>
              <w:widowControl/>
              <w:autoSpaceDE w:val="0"/>
              <w:autoSpaceDN w:val="0"/>
              <w:jc w:val="center"/>
              <w:rPr>
                <w:rFonts w:hint="eastAsia" w:ascii="宋体" w:hAnsi="宋体" w:cs="宋体"/>
                <w:color w:val="000000"/>
                <w:kern w:val="0"/>
                <w:sz w:val="18"/>
                <w:szCs w:val="18"/>
              </w:rPr>
            </w:pPr>
            <w:r>
              <w:rPr>
                <w:rFonts w:hint="eastAsia" w:ascii="宋体" w:hAnsi="宋体" w:cs="宋体"/>
                <w:color w:val="000000"/>
                <w:kern w:val="0"/>
                <w:sz w:val="18"/>
                <w:szCs w:val="18"/>
              </w:rPr>
              <w:t>颗粒物</w:t>
            </w:r>
          </w:p>
        </w:tc>
        <w:tc>
          <w:tcPr>
            <w:tcW w:w="262" w:type="pct"/>
            <w:vAlign w:val="center"/>
          </w:tcPr>
          <w:p w14:paraId="6AF6654F">
            <w:pPr>
              <w:widowControl/>
              <w:autoSpaceDE w:val="0"/>
              <w:autoSpaceDN w:val="0"/>
              <w:jc w:val="center"/>
              <w:rPr>
                <w:color w:val="000000"/>
                <w:kern w:val="0"/>
                <w:sz w:val="18"/>
                <w:szCs w:val="18"/>
              </w:rPr>
            </w:pPr>
            <w:r>
              <w:rPr>
                <w:color w:val="auto"/>
                <w:kern w:val="0"/>
                <w:sz w:val="18"/>
                <w:szCs w:val="18"/>
              </w:rPr>
              <w:t>干式打磨除尘柜</w:t>
            </w:r>
          </w:p>
        </w:tc>
        <w:tc>
          <w:tcPr>
            <w:tcW w:w="269" w:type="pct"/>
            <w:vAlign w:val="center"/>
          </w:tcPr>
          <w:p w14:paraId="176B7E8C">
            <w:pPr>
              <w:autoSpaceDE w:val="0"/>
              <w:autoSpaceDN w:val="0"/>
              <w:spacing w:before="178" w:line="195" w:lineRule="auto"/>
              <w:ind w:left="0" w:firstLine="200" w:firstLineChars="100"/>
              <w:rPr>
                <w:rFonts w:hint="default" w:eastAsia="宋体" w:cs="Times New Roman"/>
                <w:sz w:val="20"/>
                <w:szCs w:val="20"/>
                <w:lang w:val="en-US" w:eastAsia="zh-CN"/>
              </w:rPr>
            </w:pPr>
            <w:r>
              <w:rPr>
                <w:rFonts w:hint="eastAsia" w:eastAsia="宋体" w:cs="Times New Roman"/>
                <w:sz w:val="20"/>
                <w:szCs w:val="20"/>
                <w:lang w:val="en-US" w:eastAsia="zh-CN"/>
              </w:rPr>
              <w:t>90</w:t>
            </w:r>
          </w:p>
        </w:tc>
        <w:tc>
          <w:tcPr>
            <w:tcW w:w="463" w:type="pct"/>
            <w:shd w:val="clear" w:color="auto" w:fill="auto"/>
            <w:vAlign w:val="center"/>
          </w:tcPr>
          <w:p w14:paraId="7B2E9020">
            <w:pPr>
              <w:widowControl/>
              <w:autoSpaceDE w:val="0"/>
              <w:autoSpaceDN w:val="0"/>
              <w:adjustRightInd w:val="0"/>
              <w:snapToGrid w:val="0"/>
              <w:jc w:val="center"/>
              <w:rPr>
                <w:rFonts w:ascii="Times New Roman" w:hAnsi="Times New Roman" w:eastAsia="仿宋_GB2312" w:cs="Times New Roman"/>
                <w:color w:val="auto"/>
                <w:kern w:val="0"/>
                <w:sz w:val="18"/>
                <w:szCs w:val="18"/>
                <w:lang w:val="en-US" w:eastAsia="zh-CN" w:bidi="ar-SA"/>
              </w:rPr>
            </w:pPr>
            <w:r>
              <w:rPr>
                <w:color w:val="auto"/>
                <w:kern w:val="0"/>
                <w:sz w:val="18"/>
                <w:szCs w:val="18"/>
              </w:rPr>
              <w:t xml:space="preserve">9.4 </w:t>
            </w:r>
          </w:p>
        </w:tc>
        <w:tc>
          <w:tcPr>
            <w:tcW w:w="377" w:type="pct"/>
            <w:shd w:val="clear" w:color="auto" w:fill="auto"/>
            <w:vAlign w:val="center"/>
          </w:tcPr>
          <w:p w14:paraId="0D0A37E0">
            <w:pPr>
              <w:widowControl/>
              <w:autoSpaceDE w:val="0"/>
              <w:autoSpaceDN w:val="0"/>
              <w:adjustRightInd w:val="0"/>
              <w:snapToGrid w:val="0"/>
              <w:jc w:val="center"/>
              <w:rPr>
                <w:rFonts w:ascii="Times New Roman" w:hAnsi="Times New Roman" w:eastAsia="仿宋_GB2312" w:cs="Times New Roman"/>
                <w:color w:val="auto"/>
                <w:kern w:val="0"/>
                <w:sz w:val="18"/>
                <w:szCs w:val="18"/>
                <w:lang w:val="en-US" w:eastAsia="zh-CN" w:bidi="ar-SA"/>
              </w:rPr>
            </w:pPr>
            <w:r>
              <w:rPr>
                <w:color w:val="auto"/>
                <w:kern w:val="0"/>
                <w:sz w:val="18"/>
                <w:szCs w:val="18"/>
              </w:rPr>
              <w:t xml:space="preserve">0.038 </w:t>
            </w:r>
          </w:p>
        </w:tc>
        <w:tc>
          <w:tcPr>
            <w:tcW w:w="405" w:type="pct"/>
            <w:shd w:val="clear" w:color="auto" w:fill="auto"/>
            <w:vAlign w:val="center"/>
          </w:tcPr>
          <w:p w14:paraId="0E146E10">
            <w:pPr>
              <w:widowControl/>
              <w:autoSpaceDE w:val="0"/>
              <w:autoSpaceDN w:val="0"/>
              <w:adjustRightInd w:val="0"/>
              <w:snapToGrid w:val="0"/>
              <w:jc w:val="center"/>
              <w:rPr>
                <w:rFonts w:ascii="Times New Roman" w:hAnsi="Times New Roman" w:eastAsia="仿宋_GB2312" w:cs="Times New Roman"/>
                <w:color w:val="auto"/>
                <w:kern w:val="0"/>
                <w:sz w:val="18"/>
                <w:szCs w:val="18"/>
                <w:lang w:val="en-US" w:eastAsia="zh-CN" w:bidi="ar-SA"/>
              </w:rPr>
            </w:pPr>
            <w:r>
              <w:rPr>
                <w:color w:val="auto"/>
                <w:kern w:val="0"/>
                <w:sz w:val="18"/>
                <w:szCs w:val="18"/>
              </w:rPr>
              <w:t xml:space="preserve">0.075 </w:t>
            </w:r>
          </w:p>
        </w:tc>
        <w:tc>
          <w:tcPr>
            <w:tcW w:w="303" w:type="pct"/>
            <w:shd w:val="clear" w:color="auto" w:fill="D9D9D9"/>
            <w:vAlign w:val="center"/>
          </w:tcPr>
          <w:p w14:paraId="6F61F6A9">
            <w:pPr>
              <w:autoSpaceDE w:val="0"/>
              <w:autoSpaceDN w:val="0"/>
              <w:spacing w:before="178" w:line="195" w:lineRule="auto"/>
              <w:ind w:left="287"/>
              <w:rPr>
                <w:rFonts w:hint="default" w:ascii="Times New Roman" w:hAnsi="Times New Roman" w:eastAsia="宋体" w:cs="Times New Roman"/>
                <w:spacing w:val="-8"/>
                <w:sz w:val="20"/>
                <w:szCs w:val="20"/>
                <w:lang w:val="en-US" w:eastAsia="zh-CN"/>
              </w:rPr>
            </w:pPr>
            <w:r>
              <w:rPr>
                <w:rFonts w:hint="eastAsia" w:eastAsia="宋体" w:cs="Times New Roman"/>
                <w:spacing w:val="-8"/>
                <w:sz w:val="20"/>
                <w:szCs w:val="20"/>
                <w:lang w:val="en-US" w:eastAsia="zh-CN"/>
              </w:rPr>
              <w:t>15</w:t>
            </w:r>
          </w:p>
        </w:tc>
        <w:tc>
          <w:tcPr>
            <w:tcW w:w="314" w:type="pct"/>
            <w:shd w:val="clear" w:color="auto" w:fill="D9D9D9"/>
            <w:vAlign w:val="center"/>
          </w:tcPr>
          <w:p w14:paraId="631678CB">
            <w:pPr>
              <w:autoSpaceDE w:val="0"/>
              <w:autoSpaceDN w:val="0"/>
              <w:spacing w:before="178" w:line="195" w:lineRule="auto"/>
              <w:ind w:left="216"/>
              <w:rPr>
                <w:rFonts w:hint="default" w:ascii="Times New Roman" w:hAnsi="Times New Roman" w:eastAsia="宋体" w:cs="Times New Roman"/>
                <w:spacing w:val="1"/>
                <w:sz w:val="20"/>
                <w:szCs w:val="20"/>
                <w:lang w:val="en-US" w:eastAsia="zh-CN"/>
              </w:rPr>
            </w:pPr>
            <w:r>
              <w:rPr>
                <w:rFonts w:hint="eastAsia" w:eastAsia="宋体" w:cs="Times New Roman"/>
                <w:spacing w:val="1"/>
                <w:sz w:val="20"/>
                <w:szCs w:val="20"/>
                <w:lang w:val="en-US" w:eastAsia="zh-CN"/>
              </w:rPr>
              <w:t>0.51</w:t>
            </w:r>
          </w:p>
        </w:tc>
        <w:tc>
          <w:tcPr>
            <w:tcW w:w="502" w:type="pct"/>
            <w:vAlign w:val="center"/>
          </w:tcPr>
          <w:p w14:paraId="73D0AFAC">
            <w:pPr>
              <w:autoSpaceDE w:val="0"/>
              <w:autoSpaceDN w:val="0"/>
              <w:spacing w:before="59" w:line="242" w:lineRule="auto"/>
              <w:ind w:left="0" w:firstLine="200" w:firstLineChars="100"/>
              <w:rPr>
                <w:rFonts w:hint="default" w:ascii="Times New Roman" w:hAnsi="Times New Roman" w:eastAsia="宋体" w:cs="Times New Roman"/>
                <w:sz w:val="20"/>
                <w:szCs w:val="20"/>
                <w:lang w:val="en-US" w:eastAsia="zh-CN"/>
              </w:rPr>
            </w:pPr>
            <w:r>
              <w:rPr>
                <w:rFonts w:hint="eastAsia" w:eastAsia="宋体" w:cs="Times New Roman"/>
                <w:sz w:val="20"/>
                <w:szCs w:val="20"/>
                <w:lang w:val="en-US" w:eastAsia="zh-CN"/>
              </w:rPr>
              <w:t>20</w:t>
            </w:r>
            <w:r>
              <w:rPr>
                <w:rFonts w:ascii="仿宋" w:hAnsi="仿宋" w:eastAsia="仿宋" w:cs="仿宋"/>
                <w:spacing w:val="8"/>
                <w:sz w:val="20"/>
                <w:szCs w:val="20"/>
              </w:rPr>
              <w:t>(</w:t>
            </w:r>
            <w:r>
              <w:rPr>
                <w:rFonts w:hint="eastAsia" w:cs="仿宋"/>
                <w:spacing w:val="8"/>
                <w:sz w:val="20"/>
                <w:szCs w:val="20"/>
                <w:lang w:val="en-US" w:eastAsia="zh-CN"/>
              </w:rPr>
              <w:t>2</w:t>
            </w:r>
            <w:r>
              <w:rPr>
                <w:rFonts w:ascii="仿宋" w:hAnsi="仿宋" w:eastAsia="仿宋" w:cs="仿宋"/>
                <w:spacing w:val="8"/>
                <w:sz w:val="20"/>
                <w:szCs w:val="20"/>
              </w:rPr>
              <w:t>#)</w:t>
            </w:r>
          </w:p>
        </w:tc>
        <w:tc>
          <w:tcPr>
            <w:tcW w:w="257" w:type="pct"/>
            <w:vAlign w:val="center"/>
          </w:tcPr>
          <w:p w14:paraId="3A510E2B">
            <w:pPr>
              <w:autoSpaceDE w:val="0"/>
              <w:autoSpaceDN w:val="0"/>
              <w:spacing w:before="178" w:line="195" w:lineRule="auto"/>
              <w:ind w:left="140"/>
              <w:rPr>
                <w:rFonts w:hint="default" w:ascii="Times New Roman" w:hAnsi="Times New Roman" w:eastAsia="宋体" w:cs="Times New Roman"/>
                <w:spacing w:val="1"/>
                <w:sz w:val="20"/>
                <w:szCs w:val="20"/>
                <w:lang w:val="en-US" w:eastAsia="zh-CN"/>
              </w:rPr>
            </w:pPr>
            <w:r>
              <w:rPr>
                <w:rFonts w:hint="eastAsia" w:eastAsia="宋体" w:cs="Times New Roman"/>
                <w:spacing w:val="1"/>
                <w:sz w:val="20"/>
                <w:szCs w:val="20"/>
                <w:lang w:val="en-US" w:eastAsia="zh-CN"/>
              </w:rPr>
              <w:t>0.4</w:t>
            </w:r>
          </w:p>
        </w:tc>
        <w:tc>
          <w:tcPr>
            <w:tcW w:w="277" w:type="pct"/>
            <w:vAlign w:val="center"/>
          </w:tcPr>
          <w:p w14:paraId="15C03E7D">
            <w:pPr>
              <w:autoSpaceDE w:val="0"/>
              <w:autoSpaceDN w:val="0"/>
              <w:spacing w:before="178" w:line="195" w:lineRule="auto"/>
              <w:ind w:left="132"/>
              <w:rPr>
                <w:rFonts w:hint="default" w:ascii="Times New Roman" w:hAnsi="Times New Roman" w:eastAsia="宋体" w:cs="Times New Roman"/>
                <w:spacing w:val="2"/>
                <w:sz w:val="20"/>
                <w:szCs w:val="20"/>
                <w:lang w:val="en-US" w:eastAsia="zh-CN"/>
              </w:rPr>
            </w:pPr>
            <w:r>
              <w:rPr>
                <w:rFonts w:hint="eastAsia" w:eastAsia="宋体" w:cs="Times New Roman"/>
                <w:spacing w:val="2"/>
                <w:sz w:val="20"/>
                <w:szCs w:val="20"/>
                <w:lang w:val="en-US" w:eastAsia="zh-CN"/>
              </w:rPr>
              <w:t>25</w:t>
            </w:r>
          </w:p>
        </w:tc>
        <w:tc>
          <w:tcPr>
            <w:tcW w:w="325" w:type="pct"/>
            <w:tcBorders>
              <w:right w:val="single" w:color="000000" w:sz="10" w:space="0"/>
            </w:tcBorders>
            <w:vAlign w:val="center"/>
          </w:tcPr>
          <w:p w14:paraId="01D26A82">
            <w:pPr>
              <w:autoSpaceDE w:val="0"/>
              <w:autoSpaceDN w:val="0"/>
              <w:spacing w:before="178" w:line="195" w:lineRule="auto"/>
              <w:ind w:left="146"/>
              <w:rPr>
                <w:rFonts w:hint="default" w:ascii="Times New Roman" w:hAnsi="Times New Roman" w:eastAsia="宋体" w:cs="Times New Roman"/>
                <w:spacing w:val="4"/>
                <w:sz w:val="20"/>
                <w:szCs w:val="20"/>
                <w:lang w:val="en-US" w:eastAsia="zh-CN"/>
              </w:rPr>
            </w:pPr>
            <w:r>
              <w:rPr>
                <w:rFonts w:hint="eastAsia" w:eastAsia="宋体" w:cs="Times New Roman"/>
                <w:spacing w:val="4"/>
                <w:sz w:val="20"/>
                <w:szCs w:val="20"/>
                <w:lang w:val="en-US" w:eastAsia="zh-CN"/>
              </w:rPr>
              <w:t>2000</w:t>
            </w:r>
          </w:p>
        </w:tc>
      </w:tr>
      <w:tr w14:paraId="20143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313" w:type="pct"/>
            <w:vMerge w:val="restart"/>
            <w:tcBorders>
              <w:left w:val="single" w:color="000000" w:sz="10" w:space="0"/>
            </w:tcBorders>
            <w:vAlign w:val="center"/>
          </w:tcPr>
          <w:p w14:paraId="766A78F1">
            <w:pPr>
              <w:widowControl/>
              <w:autoSpaceDE w:val="0"/>
              <w:autoSpaceDN w:val="0"/>
              <w:jc w:val="center"/>
              <w:rPr>
                <w:rFonts w:hint="eastAsia" w:ascii="Times New Roman" w:hAnsi="Times New Roman" w:eastAsia="等线" w:cs="Times New Roman"/>
                <w:color w:val="000000"/>
                <w:kern w:val="0"/>
                <w:sz w:val="18"/>
                <w:szCs w:val="18"/>
                <w:lang w:val="en-US" w:eastAsia="zh-CN" w:bidi="ar-SA"/>
              </w:rPr>
            </w:pPr>
            <w:r>
              <w:rPr>
                <w:rFonts w:hint="eastAsia"/>
                <w:color w:val="000000"/>
                <w:sz w:val="18"/>
                <w:szCs w:val="18"/>
              </w:rPr>
              <w:t>调漆、喷底漆</w:t>
            </w:r>
          </w:p>
        </w:tc>
        <w:tc>
          <w:tcPr>
            <w:tcW w:w="454" w:type="pct"/>
            <w:vMerge w:val="restart"/>
            <w:vAlign w:val="center"/>
          </w:tcPr>
          <w:p w14:paraId="7EEF6DAC">
            <w:pPr>
              <w:autoSpaceDE w:val="0"/>
              <w:autoSpaceDN w:val="0"/>
              <w:adjustRightInd w:val="0"/>
              <w:snapToGrid w:val="0"/>
              <w:jc w:val="center"/>
              <w:rPr>
                <w:rFonts w:hint="default" w:ascii="宋体" w:hAnsi="宋体" w:eastAsia="仿宋_GB2312" w:cs="宋体"/>
                <w:color w:val="000000"/>
                <w:kern w:val="0"/>
                <w:sz w:val="18"/>
                <w:szCs w:val="18"/>
                <w:lang w:val="en-US" w:eastAsia="zh-CN" w:bidi="ar-SA"/>
              </w:rPr>
            </w:pPr>
            <w:r>
              <w:rPr>
                <w:rFonts w:hint="eastAsia"/>
                <w:color w:val="000000"/>
                <w:sz w:val="18"/>
                <w:szCs w:val="18"/>
                <w:lang w:val="en-US" w:eastAsia="zh-CN"/>
              </w:rPr>
              <w:t>3266</w:t>
            </w:r>
          </w:p>
        </w:tc>
        <w:tc>
          <w:tcPr>
            <w:tcW w:w="475" w:type="pct"/>
            <w:vAlign w:val="center"/>
          </w:tcPr>
          <w:p w14:paraId="730ED6DA">
            <w:pPr>
              <w:widowControl/>
              <w:autoSpaceDE w:val="0"/>
              <w:autoSpaceDN w:val="0"/>
              <w:adjustRightInd w:val="0"/>
              <w:snapToGrid w:val="0"/>
              <w:jc w:val="center"/>
              <w:rPr>
                <w:rFonts w:hint="eastAsia" w:ascii="宋体" w:hAnsi="宋体" w:eastAsia="仿宋_GB2312" w:cs="宋体"/>
                <w:color w:val="000000"/>
                <w:kern w:val="0"/>
                <w:sz w:val="18"/>
                <w:szCs w:val="18"/>
                <w:lang w:val="en-US" w:eastAsia="zh-CN" w:bidi="ar-SA"/>
              </w:rPr>
            </w:pPr>
            <w:r>
              <w:rPr>
                <w:rFonts w:hint="eastAsia" w:ascii="宋体" w:hAnsi="宋体" w:cs="宋体"/>
                <w:color w:val="000000"/>
                <w:kern w:val="0"/>
                <w:sz w:val="18"/>
                <w:szCs w:val="18"/>
              </w:rPr>
              <w:t>染料尘</w:t>
            </w:r>
          </w:p>
        </w:tc>
        <w:tc>
          <w:tcPr>
            <w:tcW w:w="262" w:type="pct"/>
            <w:vMerge w:val="restart"/>
            <w:vAlign w:val="center"/>
          </w:tcPr>
          <w:p w14:paraId="6E24B6C6">
            <w:pPr>
              <w:widowControl/>
              <w:autoSpaceDE w:val="0"/>
              <w:autoSpaceDN w:val="0"/>
              <w:jc w:val="center"/>
              <w:rPr>
                <w:color w:val="000000"/>
                <w:kern w:val="0"/>
                <w:sz w:val="18"/>
                <w:szCs w:val="18"/>
              </w:rPr>
            </w:pPr>
            <w:r>
              <w:rPr>
                <w:rFonts w:hint="default" w:ascii="Times New Roman" w:hAnsi="Times New Roman" w:eastAsia="宋体" w:cs="Times New Roman"/>
                <w:color w:val="FF0000"/>
                <w:kern w:val="0"/>
                <w:sz w:val="18"/>
                <w:szCs w:val="18"/>
              </w:rPr>
              <w:t>水帘柜+过滤棉+二级活性炭吸附装置</w:t>
            </w:r>
          </w:p>
        </w:tc>
        <w:tc>
          <w:tcPr>
            <w:tcW w:w="269" w:type="pct"/>
            <w:vMerge w:val="restart"/>
            <w:vAlign w:val="center"/>
          </w:tcPr>
          <w:p w14:paraId="02204B78">
            <w:pPr>
              <w:autoSpaceDE w:val="0"/>
              <w:autoSpaceDN w:val="0"/>
              <w:spacing w:before="178" w:line="195" w:lineRule="auto"/>
              <w:ind w:left="0" w:firstLine="200" w:firstLineChars="100"/>
              <w:rPr>
                <w:rFonts w:hint="default" w:eastAsia="宋体" w:cs="Times New Roman"/>
                <w:sz w:val="20"/>
                <w:szCs w:val="20"/>
                <w:lang w:val="en-US" w:eastAsia="zh-CN"/>
              </w:rPr>
            </w:pPr>
            <w:r>
              <w:rPr>
                <w:rFonts w:hint="eastAsia" w:eastAsia="宋体" w:cs="Times New Roman"/>
                <w:sz w:val="20"/>
                <w:szCs w:val="20"/>
                <w:lang w:val="en-US" w:eastAsia="zh-CN"/>
              </w:rPr>
              <w:t>90</w:t>
            </w:r>
          </w:p>
        </w:tc>
        <w:tc>
          <w:tcPr>
            <w:tcW w:w="463" w:type="pct"/>
            <w:vAlign w:val="center"/>
          </w:tcPr>
          <w:p w14:paraId="79B7478A">
            <w:pPr>
              <w:widowControl/>
              <w:autoSpaceDE w:val="0"/>
              <w:autoSpaceDN w:val="0"/>
              <w:jc w:val="center"/>
              <w:rPr>
                <w:rFonts w:ascii="Times New Roman" w:hAnsi="Times New Roman" w:eastAsia="仿宋_GB2312" w:cs="Times New Roman"/>
                <w:color w:val="000000"/>
                <w:kern w:val="0"/>
                <w:sz w:val="18"/>
                <w:szCs w:val="18"/>
                <w:lang w:val="en-US" w:eastAsia="zh-CN" w:bidi="ar-SA"/>
              </w:rPr>
            </w:pPr>
            <w:r>
              <w:rPr>
                <w:rFonts w:hint="default" w:ascii="Times New Roman" w:hAnsi="Times New Roman" w:eastAsia="宋体" w:cs="Times New Roman"/>
                <w:color w:val="FF0000"/>
                <w:kern w:val="0"/>
                <w:sz w:val="18"/>
                <w:szCs w:val="18"/>
                <w:lang w:val="en-US" w:eastAsia="zh-CN"/>
              </w:rPr>
              <w:t xml:space="preserve">4.2 </w:t>
            </w:r>
          </w:p>
        </w:tc>
        <w:tc>
          <w:tcPr>
            <w:tcW w:w="377" w:type="pct"/>
            <w:vAlign w:val="center"/>
          </w:tcPr>
          <w:p w14:paraId="15706155">
            <w:pPr>
              <w:widowControl/>
              <w:autoSpaceDE w:val="0"/>
              <w:autoSpaceDN w:val="0"/>
              <w:jc w:val="center"/>
              <w:rPr>
                <w:rFonts w:ascii="Times New Roman" w:hAnsi="Times New Roman" w:eastAsia="仿宋_GB2312" w:cs="Times New Roman"/>
                <w:color w:val="000000"/>
                <w:kern w:val="0"/>
                <w:sz w:val="18"/>
                <w:szCs w:val="18"/>
                <w:lang w:val="en-US" w:eastAsia="zh-CN" w:bidi="ar-SA"/>
              </w:rPr>
            </w:pPr>
            <w:r>
              <w:rPr>
                <w:rFonts w:hint="default" w:ascii="Times New Roman" w:hAnsi="Times New Roman" w:eastAsia="宋体" w:cs="Times New Roman"/>
                <w:color w:val="FF0000"/>
                <w:kern w:val="0"/>
                <w:sz w:val="18"/>
                <w:szCs w:val="18"/>
                <w:lang w:val="en-US" w:eastAsia="zh-CN"/>
              </w:rPr>
              <w:t xml:space="preserve">0.084 </w:t>
            </w:r>
          </w:p>
        </w:tc>
        <w:tc>
          <w:tcPr>
            <w:tcW w:w="405" w:type="pct"/>
            <w:vAlign w:val="center"/>
          </w:tcPr>
          <w:p w14:paraId="22627A8E">
            <w:pPr>
              <w:widowControl/>
              <w:autoSpaceDE w:val="0"/>
              <w:autoSpaceDN w:val="0"/>
              <w:jc w:val="center"/>
              <w:rPr>
                <w:rFonts w:ascii="Times New Roman" w:hAnsi="Times New Roman" w:eastAsia="仿宋_GB2312" w:cs="Times New Roman"/>
                <w:color w:val="000000"/>
                <w:kern w:val="0"/>
                <w:sz w:val="18"/>
                <w:szCs w:val="18"/>
                <w:lang w:val="en-US" w:eastAsia="zh-CN" w:bidi="ar-SA"/>
              </w:rPr>
            </w:pPr>
            <w:r>
              <w:rPr>
                <w:rFonts w:hint="default" w:ascii="Times New Roman" w:hAnsi="Times New Roman" w:eastAsia="宋体" w:cs="Times New Roman"/>
                <w:color w:val="FF0000"/>
                <w:kern w:val="0"/>
                <w:sz w:val="18"/>
                <w:szCs w:val="18"/>
                <w:lang w:val="en-US" w:eastAsia="zh-CN"/>
              </w:rPr>
              <w:t xml:space="preserve">0.137 </w:t>
            </w:r>
          </w:p>
        </w:tc>
        <w:tc>
          <w:tcPr>
            <w:tcW w:w="303" w:type="pct"/>
            <w:shd w:val="clear" w:color="auto" w:fill="D9D9D9"/>
            <w:vAlign w:val="center"/>
          </w:tcPr>
          <w:p w14:paraId="13B50340">
            <w:pPr>
              <w:autoSpaceDE w:val="0"/>
              <w:autoSpaceDN w:val="0"/>
              <w:spacing w:before="178" w:line="195" w:lineRule="auto"/>
              <w:ind w:left="287" w:leftChars="0"/>
              <w:rPr>
                <w:rFonts w:hint="default" w:eastAsia="宋体" w:cs="Times New Roman"/>
                <w:spacing w:val="-8"/>
                <w:sz w:val="20"/>
                <w:szCs w:val="20"/>
                <w:lang w:val="en-US" w:eastAsia="zh-CN"/>
              </w:rPr>
            </w:pPr>
            <w:r>
              <w:rPr>
                <w:rFonts w:hint="eastAsia" w:eastAsia="宋体" w:cs="Times New Roman"/>
                <w:spacing w:val="-8"/>
                <w:sz w:val="20"/>
                <w:szCs w:val="20"/>
                <w:lang w:val="en-US" w:eastAsia="zh-CN"/>
              </w:rPr>
              <w:t>15</w:t>
            </w:r>
          </w:p>
        </w:tc>
        <w:tc>
          <w:tcPr>
            <w:tcW w:w="314" w:type="pct"/>
            <w:shd w:val="clear" w:color="auto" w:fill="D9D9D9"/>
            <w:vAlign w:val="center"/>
          </w:tcPr>
          <w:p w14:paraId="3560B9DE">
            <w:pPr>
              <w:autoSpaceDE w:val="0"/>
              <w:autoSpaceDN w:val="0"/>
              <w:spacing w:before="178" w:line="195" w:lineRule="auto"/>
              <w:ind w:left="216" w:leftChars="0"/>
              <w:rPr>
                <w:rFonts w:hint="default" w:eastAsia="宋体" w:cs="Times New Roman"/>
                <w:spacing w:val="1"/>
                <w:sz w:val="20"/>
                <w:szCs w:val="20"/>
                <w:lang w:val="en-US" w:eastAsia="zh-CN"/>
              </w:rPr>
            </w:pPr>
            <w:r>
              <w:rPr>
                <w:rFonts w:hint="eastAsia" w:eastAsia="宋体" w:cs="Times New Roman"/>
                <w:spacing w:val="1"/>
                <w:sz w:val="20"/>
                <w:szCs w:val="20"/>
                <w:lang w:val="en-US" w:eastAsia="zh-CN"/>
              </w:rPr>
              <w:t>0.51</w:t>
            </w:r>
          </w:p>
        </w:tc>
        <w:tc>
          <w:tcPr>
            <w:tcW w:w="502" w:type="pct"/>
            <w:vMerge w:val="restart"/>
            <w:vAlign w:val="center"/>
          </w:tcPr>
          <w:p w14:paraId="090F1C27">
            <w:pPr>
              <w:autoSpaceDE w:val="0"/>
              <w:autoSpaceDN w:val="0"/>
              <w:spacing w:before="59" w:line="242" w:lineRule="auto"/>
              <w:ind w:left="0" w:firstLine="216" w:firstLineChars="100"/>
              <w:rPr>
                <w:rFonts w:hint="eastAsia" w:eastAsia="宋体" w:cs="Times New Roman"/>
                <w:sz w:val="20"/>
                <w:szCs w:val="20"/>
                <w:lang w:val="en-US" w:eastAsia="zh-CN"/>
              </w:rPr>
            </w:pPr>
            <w:r>
              <w:rPr>
                <w:rFonts w:hint="eastAsia" w:cs="仿宋"/>
                <w:spacing w:val="8"/>
                <w:position w:val="0"/>
                <w:sz w:val="20"/>
                <w:szCs w:val="20"/>
                <w:lang w:val="en-US" w:eastAsia="zh-CN"/>
              </w:rPr>
              <w:t>2</w:t>
            </w:r>
            <w:r>
              <w:rPr>
                <w:rFonts w:ascii="仿宋" w:hAnsi="仿宋" w:eastAsia="仿宋" w:cs="仿宋"/>
                <w:spacing w:val="8"/>
                <w:position w:val="0"/>
                <w:sz w:val="20"/>
                <w:szCs w:val="20"/>
              </w:rPr>
              <w:t>0</w:t>
            </w:r>
            <w:r>
              <w:rPr>
                <w:rFonts w:ascii="仿宋" w:hAnsi="仿宋" w:eastAsia="仿宋" w:cs="仿宋"/>
                <w:spacing w:val="8"/>
                <w:sz w:val="20"/>
                <w:szCs w:val="20"/>
              </w:rPr>
              <w:t>(</w:t>
            </w:r>
            <w:r>
              <w:rPr>
                <w:rFonts w:hint="eastAsia" w:cs="仿宋"/>
                <w:spacing w:val="8"/>
                <w:sz w:val="20"/>
                <w:szCs w:val="20"/>
                <w:lang w:val="en-US" w:eastAsia="zh-CN"/>
              </w:rPr>
              <w:t>3</w:t>
            </w:r>
            <w:r>
              <w:rPr>
                <w:rFonts w:ascii="仿宋" w:hAnsi="仿宋" w:eastAsia="仿宋" w:cs="仿宋"/>
                <w:spacing w:val="8"/>
                <w:sz w:val="20"/>
                <w:szCs w:val="20"/>
              </w:rPr>
              <w:t>#)</w:t>
            </w:r>
          </w:p>
        </w:tc>
        <w:tc>
          <w:tcPr>
            <w:tcW w:w="257" w:type="pct"/>
            <w:vMerge w:val="restart"/>
            <w:vAlign w:val="center"/>
          </w:tcPr>
          <w:p w14:paraId="1F27146B">
            <w:pPr>
              <w:autoSpaceDE w:val="0"/>
              <w:autoSpaceDN w:val="0"/>
              <w:spacing w:before="178" w:line="195" w:lineRule="auto"/>
              <w:ind w:left="140"/>
              <w:rPr>
                <w:rFonts w:hint="default" w:eastAsia="宋体" w:cs="Times New Roman"/>
                <w:spacing w:val="1"/>
                <w:sz w:val="20"/>
                <w:szCs w:val="20"/>
                <w:lang w:val="en-US" w:eastAsia="zh-CN"/>
              </w:rPr>
            </w:pPr>
            <w:r>
              <w:rPr>
                <w:rFonts w:hint="eastAsia" w:eastAsia="宋体" w:cs="Times New Roman"/>
                <w:spacing w:val="1"/>
                <w:sz w:val="20"/>
                <w:szCs w:val="20"/>
                <w:lang w:val="en-US" w:eastAsia="zh-CN"/>
              </w:rPr>
              <w:t>0.8</w:t>
            </w:r>
          </w:p>
        </w:tc>
        <w:tc>
          <w:tcPr>
            <w:tcW w:w="277" w:type="pct"/>
            <w:vMerge w:val="restart"/>
            <w:vAlign w:val="center"/>
          </w:tcPr>
          <w:p w14:paraId="75D8381A">
            <w:pPr>
              <w:autoSpaceDE w:val="0"/>
              <w:autoSpaceDN w:val="0"/>
              <w:spacing w:before="178" w:line="195" w:lineRule="auto"/>
              <w:ind w:left="132"/>
              <w:rPr>
                <w:rFonts w:hint="default" w:eastAsia="宋体" w:cs="Times New Roman"/>
                <w:spacing w:val="2"/>
                <w:sz w:val="20"/>
                <w:szCs w:val="20"/>
                <w:lang w:val="en-US" w:eastAsia="zh-CN"/>
              </w:rPr>
            </w:pPr>
            <w:r>
              <w:rPr>
                <w:rFonts w:hint="eastAsia" w:eastAsia="宋体" w:cs="Times New Roman"/>
                <w:spacing w:val="2"/>
                <w:sz w:val="20"/>
                <w:szCs w:val="20"/>
                <w:lang w:val="en-US" w:eastAsia="zh-CN"/>
              </w:rPr>
              <w:t>25</w:t>
            </w:r>
          </w:p>
        </w:tc>
        <w:tc>
          <w:tcPr>
            <w:tcW w:w="325" w:type="pct"/>
            <w:vMerge w:val="restart"/>
            <w:tcBorders>
              <w:right w:val="single" w:color="000000" w:sz="10" w:space="0"/>
            </w:tcBorders>
            <w:vAlign w:val="center"/>
          </w:tcPr>
          <w:p w14:paraId="0C608AFE">
            <w:pPr>
              <w:autoSpaceDE w:val="0"/>
              <w:autoSpaceDN w:val="0"/>
              <w:spacing w:before="178" w:line="195" w:lineRule="auto"/>
              <w:ind w:left="146"/>
              <w:rPr>
                <w:rFonts w:hint="default" w:eastAsia="宋体" w:cs="Times New Roman"/>
                <w:spacing w:val="4"/>
                <w:sz w:val="20"/>
                <w:szCs w:val="20"/>
                <w:lang w:val="en-US" w:eastAsia="zh-CN"/>
              </w:rPr>
            </w:pPr>
            <w:r>
              <w:rPr>
                <w:rFonts w:ascii="仿宋" w:hAnsi="仿宋" w:eastAsia="仿宋" w:cs="仿宋"/>
                <w:spacing w:val="8"/>
                <w:sz w:val="20"/>
                <w:szCs w:val="20"/>
              </w:rPr>
              <w:t>2400</w:t>
            </w:r>
          </w:p>
        </w:tc>
      </w:tr>
      <w:tr w14:paraId="4CDA8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313" w:type="pct"/>
            <w:vMerge w:val="continue"/>
            <w:tcBorders>
              <w:left w:val="single" w:color="000000" w:sz="10" w:space="0"/>
            </w:tcBorders>
            <w:vAlign w:val="center"/>
          </w:tcPr>
          <w:p w14:paraId="4C3B6B14">
            <w:pPr>
              <w:widowControl/>
              <w:autoSpaceDE w:val="0"/>
              <w:autoSpaceDN w:val="0"/>
              <w:jc w:val="center"/>
              <w:rPr>
                <w:rFonts w:hint="eastAsia" w:ascii="宋体" w:hAnsi="宋体" w:cs="宋体"/>
                <w:color w:val="000000"/>
                <w:kern w:val="0"/>
                <w:sz w:val="18"/>
                <w:szCs w:val="18"/>
              </w:rPr>
            </w:pPr>
          </w:p>
        </w:tc>
        <w:tc>
          <w:tcPr>
            <w:tcW w:w="454" w:type="pct"/>
            <w:vMerge w:val="continue"/>
            <w:vAlign w:val="center"/>
          </w:tcPr>
          <w:p w14:paraId="3E193C08">
            <w:pPr>
              <w:widowControl/>
              <w:autoSpaceDE w:val="0"/>
              <w:autoSpaceDN w:val="0"/>
              <w:jc w:val="center"/>
              <w:rPr>
                <w:rFonts w:hint="eastAsia" w:eastAsia="等线"/>
                <w:color w:val="000000"/>
                <w:kern w:val="0"/>
                <w:sz w:val="18"/>
                <w:szCs w:val="18"/>
                <w:lang w:val="en-US" w:eastAsia="zh-CN"/>
              </w:rPr>
            </w:pPr>
          </w:p>
        </w:tc>
        <w:tc>
          <w:tcPr>
            <w:tcW w:w="475" w:type="pct"/>
            <w:vAlign w:val="center"/>
          </w:tcPr>
          <w:p w14:paraId="2F2D1524">
            <w:pPr>
              <w:widowControl/>
              <w:autoSpaceDE w:val="0"/>
              <w:autoSpaceDN w:val="0"/>
              <w:adjustRightInd w:val="0"/>
              <w:snapToGrid w:val="0"/>
              <w:jc w:val="center"/>
              <w:rPr>
                <w:rFonts w:hint="eastAsia" w:ascii="宋体" w:hAnsi="宋体" w:eastAsia="仿宋_GB2312" w:cs="宋体"/>
                <w:color w:val="000000"/>
                <w:kern w:val="0"/>
                <w:sz w:val="18"/>
                <w:szCs w:val="18"/>
                <w:lang w:val="en-US" w:eastAsia="zh-CN" w:bidi="ar-SA"/>
              </w:rPr>
            </w:pPr>
            <w:r>
              <w:rPr>
                <w:color w:val="000000"/>
                <w:kern w:val="0"/>
                <w:sz w:val="18"/>
                <w:szCs w:val="18"/>
              </w:rPr>
              <w:t>TVOC</w:t>
            </w:r>
          </w:p>
        </w:tc>
        <w:tc>
          <w:tcPr>
            <w:tcW w:w="262" w:type="pct"/>
            <w:vMerge w:val="continue"/>
            <w:vAlign w:val="center"/>
          </w:tcPr>
          <w:p w14:paraId="4E97F55E">
            <w:pPr>
              <w:widowControl/>
              <w:autoSpaceDE w:val="0"/>
              <w:autoSpaceDN w:val="0"/>
              <w:jc w:val="center"/>
              <w:rPr>
                <w:color w:val="000000"/>
                <w:kern w:val="0"/>
                <w:sz w:val="18"/>
                <w:szCs w:val="18"/>
              </w:rPr>
            </w:pPr>
          </w:p>
        </w:tc>
        <w:tc>
          <w:tcPr>
            <w:tcW w:w="269" w:type="pct"/>
            <w:vMerge w:val="continue"/>
            <w:vAlign w:val="center"/>
          </w:tcPr>
          <w:p w14:paraId="35376EB1">
            <w:pPr>
              <w:autoSpaceDE w:val="0"/>
              <w:autoSpaceDN w:val="0"/>
              <w:spacing w:before="178" w:line="195" w:lineRule="auto"/>
              <w:ind w:left="0" w:firstLine="200" w:firstLineChars="100"/>
              <w:rPr>
                <w:rFonts w:hint="eastAsia" w:eastAsia="宋体" w:cs="Times New Roman"/>
                <w:sz w:val="20"/>
                <w:szCs w:val="20"/>
                <w:lang w:val="en-US" w:eastAsia="zh-CN"/>
              </w:rPr>
            </w:pPr>
          </w:p>
        </w:tc>
        <w:tc>
          <w:tcPr>
            <w:tcW w:w="463" w:type="pct"/>
            <w:vAlign w:val="center"/>
          </w:tcPr>
          <w:p w14:paraId="4CC304C0">
            <w:pPr>
              <w:widowControl/>
              <w:autoSpaceDE w:val="0"/>
              <w:autoSpaceDN w:val="0"/>
              <w:jc w:val="center"/>
              <w:rPr>
                <w:rFonts w:ascii="Times New Roman" w:hAnsi="Times New Roman" w:eastAsia="仿宋_GB2312" w:cs="Times New Roman"/>
                <w:color w:val="000000"/>
                <w:kern w:val="0"/>
                <w:sz w:val="18"/>
                <w:szCs w:val="18"/>
                <w:lang w:val="en-US" w:eastAsia="zh-CN" w:bidi="ar-SA"/>
              </w:rPr>
            </w:pPr>
            <w:r>
              <w:rPr>
                <w:rFonts w:hint="default" w:ascii="Times New Roman" w:hAnsi="Times New Roman" w:eastAsia="宋体" w:cs="Times New Roman"/>
                <w:color w:val="FF0000"/>
                <w:kern w:val="0"/>
                <w:sz w:val="18"/>
                <w:szCs w:val="18"/>
                <w:lang w:val="en-US" w:eastAsia="zh-CN"/>
              </w:rPr>
              <w:t xml:space="preserve">1.5 </w:t>
            </w:r>
          </w:p>
        </w:tc>
        <w:tc>
          <w:tcPr>
            <w:tcW w:w="377" w:type="pct"/>
            <w:vAlign w:val="center"/>
          </w:tcPr>
          <w:p w14:paraId="00A25D70">
            <w:pPr>
              <w:widowControl/>
              <w:autoSpaceDE w:val="0"/>
              <w:autoSpaceDN w:val="0"/>
              <w:jc w:val="center"/>
              <w:rPr>
                <w:rFonts w:ascii="Times New Roman" w:hAnsi="Times New Roman" w:eastAsia="仿宋_GB2312" w:cs="Times New Roman"/>
                <w:color w:val="000000"/>
                <w:kern w:val="0"/>
                <w:sz w:val="18"/>
                <w:szCs w:val="18"/>
                <w:lang w:val="en-US" w:eastAsia="zh-CN" w:bidi="ar-SA"/>
              </w:rPr>
            </w:pPr>
            <w:r>
              <w:rPr>
                <w:rFonts w:hint="default" w:ascii="Times New Roman" w:hAnsi="Times New Roman" w:eastAsia="宋体" w:cs="Times New Roman"/>
                <w:color w:val="FF0000"/>
                <w:kern w:val="0"/>
                <w:sz w:val="18"/>
                <w:szCs w:val="18"/>
                <w:lang w:val="en-US" w:eastAsia="zh-CN"/>
              </w:rPr>
              <w:t xml:space="preserve">0.030 </w:t>
            </w:r>
          </w:p>
        </w:tc>
        <w:tc>
          <w:tcPr>
            <w:tcW w:w="405" w:type="pct"/>
            <w:vAlign w:val="center"/>
          </w:tcPr>
          <w:p w14:paraId="13CA2AFB">
            <w:pPr>
              <w:widowControl/>
              <w:autoSpaceDE w:val="0"/>
              <w:autoSpaceDN w:val="0"/>
              <w:jc w:val="center"/>
              <w:rPr>
                <w:rFonts w:ascii="Times New Roman" w:hAnsi="Times New Roman" w:eastAsia="仿宋_GB2312" w:cs="Times New Roman"/>
                <w:color w:val="000000"/>
                <w:kern w:val="0"/>
                <w:sz w:val="18"/>
                <w:szCs w:val="18"/>
                <w:lang w:val="en-US" w:eastAsia="zh-CN" w:bidi="ar-SA"/>
              </w:rPr>
            </w:pPr>
            <w:r>
              <w:rPr>
                <w:rFonts w:hint="default" w:ascii="Times New Roman" w:hAnsi="Times New Roman" w:eastAsia="宋体" w:cs="Times New Roman"/>
                <w:color w:val="FF0000"/>
                <w:kern w:val="0"/>
                <w:sz w:val="18"/>
                <w:szCs w:val="18"/>
                <w:lang w:val="en-US" w:eastAsia="zh-CN"/>
              </w:rPr>
              <w:t xml:space="preserve">0.048 </w:t>
            </w:r>
          </w:p>
        </w:tc>
        <w:tc>
          <w:tcPr>
            <w:tcW w:w="303" w:type="pct"/>
            <w:shd w:val="clear" w:color="auto" w:fill="D9D9D9"/>
            <w:vAlign w:val="center"/>
          </w:tcPr>
          <w:p w14:paraId="74D0EBA4">
            <w:pPr>
              <w:autoSpaceDE w:val="0"/>
              <w:autoSpaceDN w:val="0"/>
              <w:spacing w:before="178" w:line="195" w:lineRule="auto"/>
              <w:ind w:left="287" w:leftChars="0"/>
              <w:rPr>
                <w:rFonts w:hint="default" w:eastAsia="宋体" w:cs="Times New Roman"/>
                <w:spacing w:val="-8"/>
                <w:sz w:val="20"/>
                <w:szCs w:val="20"/>
                <w:lang w:val="en-US" w:eastAsia="zh-CN"/>
              </w:rPr>
            </w:pPr>
            <w:r>
              <w:rPr>
                <w:rFonts w:hint="eastAsia" w:eastAsia="宋体" w:cs="Times New Roman"/>
                <w:spacing w:val="-8"/>
                <w:sz w:val="20"/>
                <w:szCs w:val="20"/>
                <w:lang w:val="en-US" w:eastAsia="zh-CN"/>
              </w:rPr>
              <w:t>40</w:t>
            </w:r>
          </w:p>
        </w:tc>
        <w:tc>
          <w:tcPr>
            <w:tcW w:w="314" w:type="pct"/>
            <w:shd w:val="clear" w:color="auto" w:fill="D9D9D9"/>
            <w:vAlign w:val="center"/>
          </w:tcPr>
          <w:p w14:paraId="67319983">
            <w:pPr>
              <w:autoSpaceDE w:val="0"/>
              <w:autoSpaceDN w:val="0"/>
              <w:spacing w:before="178" w:line="195" w:lineRule="auto"/>
              <w:ind w:left="216" w:leftChars="0"/>
              <w:rPr>
                <w:rFonts w:hint="default" w:eastAsia="宋体" w:cs="Times New Roman"/>
                <w:spacing w:val="1"/>
                <w:sz w:val="20"/>
                <w:szCs w:val="20"/>
                <w:lang w:val="en-US" w:eastAsia="zh-CN"/>
              </w:rPr>
            </w:pPr>
            <w:r>
              <w:rPr>
                <w:rFonts w:hint="eastAsia" w:eastAsia="宋体" w:cs="Times New Roman"/>
                <w:spacing w:val="1"/>
                <w:sz w:val="20"/>
                <w:szCs w:val="20"/>
                <w:lang w:val="en-US" w:eastAsia="zh-CN"/>
              </w:rPr>
              <w:t>2.9</w:t>
            </w:r>
          </w:p>
        </w:tc>
        <w:tc>
          <w:tcPr>
            <w:tcW w:w="502" w:type="pct"/>
            <w:vMerge w:val="continue"/>
            <w:vAlign w:val="center"/>
          </w:tcPr>
          <w:p w14:paraId="5927D022">
            <w:pPr>
              <w:autoSpaceDE w:val="0"/>
              <w:autoSpaceDN w:val="0"/>
              <w:spacing w:before="59" w:line="242" w:lineRule="auto"/>
              <w:ind w:left="0" w:firstLine="200" w:firstLineChars="100"/>
              <w:rPr>
                <w:rFonts w:hint="eastAsia" w:eastAsia="宋体" w:cs="Times New Roman"/>
                <w:sz w:val="20"/>
                <w:szCs w:val="20"/>
                <w:lang w:val="en-US" w:eastAsia="zh-CN"/>
              </w:rPr>
            </w:pPr>
          </w:p>
        </w:tc>
        <w:tc>
          <w:tcPr>
            <w:tcW w:w="257" w:type="pct"/>
            <w:vMerge w:val="continue"/>
            <w:vAlign w:val="center"/>
          </w:tcPr>
          <w:p w14:paraId="3F93F955">
            <w:pPr>
              <w:autoSpaceDE w:val="0"/>
              <w:autoSpaceDN w:val="0"/>
              <w:spacing w:before="178" w:line="195" w:lineRule="auto"/>
              <w:ind w:left="140"/>
              <w:rPr>
                <w:rFonts w:hint="default" w:eastAsia="宋体" w:cs="Times New Roman"/>
                <w:spacing w:val="1"/>
                <w:sz w:val="20"/>
                <w:szCs w:val="20"/>
                <w:lang w:val="en-US" w:eastAsia="zh-CN"/>
              </w:rPr>
            </w:pPr>
          </w:p>
        </w:tc>
        <w:tc>
          <w:tcPr>
            <w:tcW w:w="277" w:type="pct"/>
            <w:vMerge w:val="continue"/>
            <w:vAlign w:val="center"/>
          </w:tcPr>
          <w:p w14:paraId="3E696191">
            <w:pPr>
              <w:autoSpaceDE w:val="0"/>
              <w:autoSpaceDN w:val="0"/>
              <w:spacing w:before="178" w:line="195" w:lineRule="auto"/>
              <w:ind w:left="132"/>
              <w:rPr>
                <w:rFonts w:hint="eastAsia" w:eastAsia="宋体" w:cs="Times New Roman"/>
                <w:spacing w:val="2"/>
                <w:sz w:val="20"/>
                <w:szCs w:val="20"/>
                <w:lang w:val="en-US" w:eastAsia="zh-CN"/>
              </w:rPr>
            </w:pPr>
          </w:p>
        </w:tc>
        <w:tc>
          <w:tcPr>
            <w:tcW w:w="325" w:type="pct"/>
            <w:vMerge w:val="continue"/>
            <w:tcBorders>
              <w:right w:val="single" w:color="000000" w:sz="10" w:space="0"/>
            </w:tcBorders>
            <w:vAlign w:val="center"/>
          </w:tcPr>
          <w:p w14:paraId="501F46C3">
            <w:pPr>
              <w:autoSpaceDE w:val="0"/>
              <w:autoSpaceDN w:val="0"/>
              <w:spacing w:before="178" w:line="195" w:lineRule="auto"/>
              <w:ind w:left="146"/>
              <w:rPr>
                <w:rFonts w:hint="eastAsia" w:eastAsia="宋体" w:cs="Times New Roman"/>
                <w:spacing w:val="4"/>
                <w:sz w:val="20"/>
                <w:szCs w:val="20"/>
                <w:lang w:val="en-US" w:eastAsia="zh-CN"/>
              </w:rPr>
            </w:pPr>
          </w:p>
        </w:tc>
      </w:tr>
      <w:tr w14:paraId="45261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313" w:type="pct"/>
            <w:vMerge w:val="restart"/>
            <w:tcBorders>
              <w:left w:val="single" w:color="000000" w:sz="10" w:space="0"/>
            </w:tcBorders>
            <w:vAlign w:val="center"/>
          </w:tcPr>
          <w:p w14:paraId="47B1DBA6">
            <w:pPr>
              <w:widowControl/>
              <w:autoSpaceDE w:val="0"/>
              <w:autoSpaceDN w:val="0"/>
              <w:jc w:val="center"/>
              <w:rPr>
                <w:rFonts w:hint="eastAsia"/>
                <w:color w:val="000000"/>
                <w:sz w:val="18"/>
                <w:szCs w:val="18"/>
              </w:rPr>
            </w:pPr>
            <w:r>
              <w:rPr>
                <w:rFonts w:hint="eastAsia"/>
                <w:b/>
                <w:color w:val="000000"/>
                <w:sz w:val="18"/>
                <w:szCs w:val="18"/>
              </w:rPr>
              <w:t>调漆、喷面漆</w:t>
            </w:r>
          </w:p>
        </w:tc>
        <w:tc>
          <w:tcPr>
            <w:tcW w:w="454" w:type="pct"/>
            <w:vMerge w:val="restart"/>
            <w:vAlign w:val="center"/>
          </w:tcPr>
          <w:p w14:paraId="5B9DE606">
            <w:pPr>
              <w:widowControl/>
              <w:autoSpaceDE w:val="0"/>
              <w:autoSpaceDN w:val="0"/>
              <w:jc w:val="center"/>
              <w:rPr>
                <w:rFonts w:hint="default" w:eastAsia="等线"/>
                <w:color w:val="000000"/>
                <w:kern w:val="0"/>
                <w:sz w:val="18"/>
                <w:szCs w:val="18"/>
                <w:lang w:val="en-US" w:eastAsia="zh-CN"/>
              </w:rPr>
            </w:pPr>
            <w:r>
              <w:rPr>
                <w:rFonts w:hint="eastAsia" w:eastAsia="等线"/>
                <w:color w:val="000000"/>
                <w:kern w:val="0"/>
                <w:sz w:val="18"/>
                <w:szCs w:val="18"/>
                <w:lang w:val="en-US" w:eastAsia="zh-CN"/>
              </w:rPr>
              <w:t>3266</w:t>
            </w:r>
          </w:p>
        </w:tc>
        <w:tc>
          <w:tcPr>
            <w:tcW w:w="475" w:type="pct"/>
            <w:vAlign w:val="center"/>
          </w:tcPr>
          <w:p w14:paraId="461E27B8">
            <w:pPr>
              <w:widowControl/>
              <w:autoSpaceDE w:val="0"/>
              <w:autoSpaceDN w:val="0"/>
              <w:adjustRightInd w:val="0"/>
              <w:snapToGrid w:val="0"/>
              <w:jc w:val="center"/>
              <w:rPr>
                <w:color w:val="000000"/>
                <w:kern w:val="0"/>
                <w:sz w:val="18"/>
                <w:szCs w:val="18"/>
              </w:rPr>
            </w:pPr>
            <w:r>
              <w:rPr>
                <w:rFonts w:hint="eastAsia" w:ascii="宋体" w:hAnsi="宋体" w:cs="宋体"/>
                <w:color w:val="000000"/>
                <w:kern w:val="0"/>
                <w:sz w:val="18"/>
                <w:szCs w:val="18"/>
              </w:rPr>
              <w:t>染料尘</w:t>
            </w:r>
          </w:p>
        </w:tc>
        <w:tc>
          <w:tcPr>
            <w:tcW w:w="262" w:type="pct"/>
            <w:vMerge w:val="restart"/>
            <w:vAlign w:val="center"/>
          </w:tcPr>
          <w:p w14:paraId="1F6E050F">
            <w:pPr>
              <w:widowControl/>
              <w:autoSpaceDE w:val="0"/>
              <w:autoSpaceDN w:val="0"/>
              <w:jc w:val="center"/>
              <w:rPr>
                <w:color w:val="000000"/>
                <w:kern w:val="0"/>
                <w:sz w:val="18"/>
                <w:szCs w:val="18"/>
              </w:rPr>
            </w:pPr>
            <w:r>
              <w:rPr>
                <w:rFonts w:hint="default" w:ascii="Times New Roman" w:hAnsi="Times New Roman" w:eastAsia="宋体" w:cs="Times New Roman"/>
                <w:color w:val="FF0000"/>
                <w:kern w:val="0"/>
                <w:sz w:val="18"/>
                <w:szCs w:val="18"/>
              </w:rPr>
              <w:t>水帘柜+过滤棉+二级活性炭吸附装置</w:t>
            </w:r>
          </w:p>
        </w:tc>
        <w:tc>
          <w:tcPr>
            <w:tcW w:w="269" w:type="pct"/>
            <w:vMerge w:val="restart"/>
            <w:vAlign w:val="center"/>
          </w:tcPr>
          <w:p w14:paraId="496A82FF">
            <w:pPr>
              <w:autoSpaceDE w:val="0"/>
              <w:autoSpaceDN w:val="0"/>
              <w:spacing w:before="178" w:line="195" w:lineRule="auto"/>
              <w:ind w:left="0" w:firstLine="200" w:firstLineChars="100"/>
              <w:rPr>
                <w:rFonts w:hint="default" w:eastAsia="宋体" w:cs="Times New Roman"/>
                <w:sz w:val="20"/>
                <w:szCs w:val="20"/>
                <w:lang w:val="en-US" w:eastAsia="zh-CN"/>
              </w:rPr>
            </w:pPr>
            <w:r>
              <w:rPr>
                <w:rFonts w:hint="eastAsia" w:eastAsia="宋体" w:cs="Times New Roman"/>
                <w:sz w:val="20"/>
                <w:szCs w:val="20"/>
                <w:lang w:val="en-US" w:eastAsia="zh-CN"/>
              </w:rPr>
              <w:t>90</w:t>
            </w:r>
          </w:p>
        </w:tc>
        <w:tc>
          <w:tcPr>
            <w:tcW w:w="463" w:type="pct"/>
            <w:shd w:val="clear" w:color="auto" w:fill="auto"/>
            <w:vAlign w:val="center"/>
          </w:tcPr>
          <w:p w14:paraId="6A5876FD">
            <w:pPr>
              <w:widowControl/>
              <w:autoSpaceDE w:val="0"/>
              <w:autoSpaceDN w:val="0"/>
              <w:jc w:val="center"/>
              <w:rPr>
                <w:rFonts w:hint="default" w:ascii="Times New Roman" w:hAnsi="Times New Roman" w:eastAsia="宋体" w:cs="Times New Roman"/>
                <w:color w:val="FF0000"/>
                <w:kern w:val="0"/>
                <w:sz w:val="18"/>
                <w:szCs w:val="18"/>
                <w:lang w:val="en-US" w:eastAsia="zh-CN" w:bidi="ar-SA"/>
              </w:rPr>
            </w:pPr>
            <w:r>
              <w:rPr>
                <w:rFonts w:hint="default" w:ascii="Times New Roman" w:hAnsi="Times New Roman" w:eastAsia="宋体" w:cs="Times New Roman"/>
                <w:color w:val="FF0000"/>
                <w:kern w:val="0"/>
                <w:sz w:val="18"/>
                <w:szCs w:val="18"/>
                <w:lang w:val="en-US" w:eastAsia="zh-CN"/>
              </w:rPr>
              <w:t xml:space="preserve">8.6 </w:t>
            </w:r>
          </w:p>
        </w:tc>
        <w:tc>
          <w:tcPr>
            <w:tcW w:w="377" w:type="pct"/>
            <w:shd w:val="clear" w:color="auto" w:fill="auto"/>
            <w:vAlign w:val="center"/>
          </w:tcPr>
          <w:p w14:paraId="40975185">
            <w:pPr>
              <w:widowControl/>
              <w:autoSpaceDE w:val="0"/>
              <w:autoSpaceDN w:val="0"/>
              <w:jc w:val="center"/>
              <w:rPr>
                <w:rFonts w:hint="default" w:ascii="Times New Roman" w:hAnsi="Times New Roman" w:eastAsia="宋体" w:cs="Times New Roman"/>
                <w:color w:val="FF0000"/>
                <w:kern w:val="0"/>
                <w:sz w:val="18"/>
                <w:szCs w:val="18"/>
                <w:lang w:val="en-US" w:eastAsia="zh-CN" w:bidi="ar-SA"/>
              </w:rPr>
            </w:pPr>
            <w:r>
              <w:rPr>
                <w:rFonts w:hint="default" w:ascii="Times New Roman" w:hAnsi="Times New Roman" w:eastAsia="宋体" w:cs="Times New Roman"/>
                <w:color w:val="FF0000"/>
                <w:kern w:val="0"/>
                <w:sz w:val="18"/>
                <w:szCs w:val="18"/>
                <w:lang w:val="en-US" w:eastAsia="zh-CN"/>
              </w:rPr>
              <w:t xml:space="preserve">0.086 </w:t>
            </w:r>
          </w:p>
        </w:tc>
        <w:tc>
          <w:tcPr>
            <w:tcW w:w="405" w:type="pct"/>
            <w:shd w:val="clear" w:color="auto" w:fill="auto"/>
            <w:vAlign w:val="center"/>
          </w:tcPr>
          <w:p w14:paraId="168968A5">
            <w:pPr>
              <w:widowControl/>
              <w:autoSpaceDE w:val="0"/>
              <w:autoSpaceDN w:val="0"/>
              <w:jc w:val="center"/>
              <w:rPr>
                <w:rFonts w:hint="default" w:ascii="Times New Roman" w:hAnsi="Times New Roman" w:eastAsia="宋体" w:cs="Times New Roman"/>
                <w:color w:val="FF0000"/>
                <w:kern w:val="0"/>
                <w:sz w:val="18"/>
                <w:szCs w:val="18"/>
                <w:lang w:val="en-US" w:eastAsia="zh-CN" w:bidi="ar-SA"/>
              </w:rPr>
            </w:pPr>
            <w:r>
              <w:rPr>
                <w:rFonts w:hint="default" w:ascii="Times New Roman" w:hAnsi="Times New Roman" w:eastAsia="宋体" w:cs="Times New Roman"/>
                <w:color w:val="FF0000"/>
                <w:kern w:val="0"/>
                <w:sz w:val="18"/>
                <w:szCs w:val="18"/>
                <w:lang w:val="en-US" w:eastAsia="zh-CN"/>
              </w:rPr>
              <w:t xml:space="preserve">0.096 </w:t>
            </w:r>
          </w:p>
        </w:tc>
        <w:tc>
          <w:tcPr>
            <w:tcW w:w="303" w:type="pct"/>
            <w:tcBorders>
              <w:bottom w:val="single" w:color="auto" w:sz="4" w:space="0"/>
            </w:tcBorders>
            <w:shd w:val="clear" w:color="auto" w:fill="D9D9D9"/>
            <w:vAlign w:val="center"/>
          </w:tcPr>
          <w:p w14:paraId="75C42516">
            <w:pPr>
              <w:autoSpaceDE w:val="0"/>
              <w:autoSpaceDN w:val="0"/>
              <w:spacing w:before="178" w:line="195" w:lineRule="auto"/>
              <w:ind w:left="287" w:leftChars="0"/>
              <w:rPr>
                <w:rFonts w:hint="default" w:eastAsia="宋体" w:cs="Times New Roman"/>
                <w:spacing w:val="-8"/>
                <w:sz w:val="20"/>
                <w:szCs w:val="20"/>
                <w:lang w:val="en-US" w:eastAsia="zh-CN"/>
              </w:rPr>
            </w:pPr>
            <w:r>
              <w:rPr>
                <w:rFonts w:hint="eastAsia" w:eastAsia="宋体" w:cs="Times New Roman"/>
                <w:spacing w:val="-8"/>
                <w:sz w:val="20"/>
                <w:szCs w:val="20"/>
                <w:lang w:val="en-US" w:eastAsia="zh-CN"/>
              </w:rPr>
              <w:t>15</w:t>
            </w:r>
          </w:p>
        </w:tc>
        <w:tc>
          <w:tcPr>
            <w:tcW w:w="314" w:type="pct"/>
            <w:tcBorders>
              <w:bottom w:val="single" w:color="auto" w:sz="4" w:space="0"/>
            </w:tcBorders>
            <w:shd w:val="clear" w:color="auto" w:fill="D9D9D9"/>
            <w:vAlign w:val="center"/>
          </w:tcPr>
          <w:p w14:paraId="04CBD1C1">
            <w:pPr>
              <w:autoSpaceDE w:val="0"/>
              <w:autoSpaceDN w:val="0"/>
              <w:spacing w:before="178" w:line="195" w:lineRule="auto"/>
              <w:ind w:left="216" w:leftChars="0"/>
              <w:rPr>
                <w:rFonts w:hint="default" w:eastAsia="宋体" w:cs="Times New Roman"/>
                <w:spacing w:val="1"/>
                <w:sz w:val="20"/>
                <w:szCs w:val="20"/>
                <w:lang w:val="en-US" w:eastAsia="zh-CN"/>
              </w:rPr>
            </w:pPr>
            <w:r>
              <w:rPr>
                <w:rFonts w:hint="eastAsia" w:eastAsia="宋体" w:cs="Times New Roman"/>
                <w:spacing w:val="1"/>
                <w:sz w:val="20"/>
                <w:szCs w:val="20"/>
                <w:lang w:val="en-US" w:eastAsia="zh-CN"/>
              </w:rPr>
              <w:t>0.51</w:t>
            </w:r>
          </w:p>
        </w:tc>
        <w:tc>
          <w:tcPr>
            <w:tcW w:w="502" w:type="pct"/>
            <w:vMerge w:val="restart"/>
            <w:vAlign w:val="center"/>
          </w:tcPr>
          <w:p w14:paraId="16DB29DA">
            <w:pPr>
              <w:autoSpaceDE w:val="0"/>
              <w:autoSpaceDN w:val="0"/>
              <w:spacing w:before="59" w:line="242" w:lineRule="auto"/>
              <w:ind w:left="0" w:firstLine="216" w:firstLineChars="100"/>
              <w:rPr>
                <w:rFonts w:hint="eastAsia" w:cs="仿宋"/>
                <w:spacing w:val="8"/>
                <w:position w:val="0"/>
                <w:sz w:val="20"/>
                <w:szCs w:val="20"/>
                <w:lang w:val="en-US" w:eastAsia="zh-CN"/>
              </w:rPr>
            </w:pPr>
            <w:r>
              <w:rPr>
                <w:rFonts w:hint="eastAsia" w:cs="仿宋"/>
                <w:spacing w:val="8"/>
                <w:position w:val="0"/>
                <w:sz w:val="20"/>
                <w:szCs w:val="20"/>
                <w:lang w:val="en-US" w:eastAsia="zh-CN"/>
              </w:rPr>
              <w:t>2</w:t>
            </w:r>
            <w:r>
              <w:rPr>
                <w:rFonts w:ascii="仿宋" w:hAnsi="仿宋" w:eastAsia="仿宋" w:cs="仿宋"/>
                <w:spacing w:val="8"/>
                <w:position w:val="0"/>
                <w:sz w:val="20"/>
                <w:szCs w:val="20"/>
              </w:rPr>
              <w:t>0</w:t>
            </w:r>
            <w:r>
              <w:rPr>
                <w:rFonts w:ascii="仿宋" w:hAnsi="仿宋" w:eastAsia="仿宋" w:cs="仿宋"/>
                <w:spacing w:val="8"/>
                <w:sz w:val="20"/>
                <w:szCs w:val="20"/>
              </w:rPr>
              <w:t>(</w:t>
            </w:r>
            <w:r>
              <w:rPr>
                <w:rFonts w:hint="eastAsia" w:cs="仿宋"/>
                <w:spacing w:val="8"/>
                <w:sz w:val="20"/>
                <w:szCs w:val="20"/>
                <w:lang w:val="en-US" w:eastAsia="zh-CN"/>
              </w:rPr>
              <w:t>4</w:t>
            </w:r>
            <w:r>
              <w:rPr>
                <w:rFonts w:ascii="仿宋" w:hAnsi="仿宋" w:eastAsia="仿宋" w:cs="仿宋"/>
                <w:spacing w:val="8"/>
                <w:sz w:val="20"/>
                <w:szCs w:val="20"/>
              </w:rPr>
              <w:t>#)</w:t>
            </w:r>
          </w:p>
        </w:tc>
        <w:tc>
          <w:tcPr>
            <w:tcW w:w="257" w:type="pct"/>
            <w:vMerge w:val="restart"/>
            <w:vAlign w:val="center"/>
          </w:tcPr>
          <w:p w14:paraId="5EC9D728">
            <w:pPr>
              <w:autoSpaceDE w:val="0"/>
              <w:autoSpaceDN w:val="0"/>
              <w:spacing w:before="178" w:line="195" w:lineRule="auto"/>
              <w:ind w:left="140"/>
              <w:rPr>
                <w:rFonts w:hint="default" w:eastAsia="宋体" w:cs="Times New Roman"/>
                <w:spacing w:val="1"/>
                <w:sz w:val="20"/>
                <w:szCs w:val="20"/>
                <w:lang w:val="en-US" w:eastAsia="zh-CN"/>
              </w:rPr>
            </w:pPr>
            <w:r>
              <w:rPr>
                <w:rFonts w:hint="eastAsia" w:eastAsia="宋体" w:cs="Times New Roman"/>
                <w:spacing w:val="1"/>
                <w:sz w:val="20"/>
                <w:szCs w:val="20"/>
                <w:lang w:val="en-US" w:eastAsia="zh-CN"/>
              </w:rPr>
              <w:t>0.8</w:t>
            </w:r>
          </w:p>
        </w:tc>
        <w:tc>
          <w:tcPr>
            <w:tcW w:w="277" w:type="pct"/>
            <w:vMerge w:val="restart"/>
            <w:vAlign w:val="center"/>
          </w:tcPr>
          <w:p w14:paraId="40E469C6">
            <w:pPr>
              <w:autoSpaceDE w:val="0"/>
              <w:autoSpaceDN w:val="0"/>
              <w:spacing w:before="178" w:line="195" w:lineRule="auto"/>
              <w:ind w:left="132"/>
              <w:rPr>
                <w:rFonts w:hint="default" w:eastAsia="宋体" w:cs="Times New Roman"/>
                <w:spacing w:val="2"/>
                <w:sz w:val="20"/>
                <w:szCs w:val="20"/>
                <w:lang w:val="en-US" w:eastAsia="zh-CN"/>
              </w:rPr>
            </w:pPr>
            <w:r>
              <w:rPr>
                <w:rFonts w:hint="eastAsia" w:eastAsia="宋体" w:cs="Times New Roman"/>
                <w:spacing w:val="2"/>
                <w:sz w:val="20"/>
                <w:szCs w:val="20"/>
                <w:lang w:val="en-US" w:eastAsia="zh-CN"/>
              </w:rPr>
              <w:t>25</w:t>
            </w:r>
          </w:p>
        </w:tc>
        <w:tc>
          <w:tcPr>
            <w:tcW w:w="325" w:type="pct"/>
            <w:vMerge w:val="restart"/>
            <w:tcBorders>
              <w:right w:val="single" w:color="000000" w:sz="10" w:space="0"/>
            </w:tcBorders>
            <w:vAlign w:val="center"/>
          </w:tcPr>
          <w:p w14:paraId="28D1262D">
            <w:pPr>
              <w:autoSpaceDE w:val="0"/>
              <w:autoSpaceDN w:val="0"/>
              <w:spacing w:before="178" w:line="195" w:lineRule="auto"/>
              <w:ind w:left="146"/>
              <w:rPr>
                <w:rFonts w:hint="default" w:eastAsia="宋体" w:cs="Times New Roman"/>
                <w:spacing w:val="4"/>
                <w:sz w:val="20"/>
                <w:szCs w:val="20"/>
                <w:lang w:val="en-US" w:eastAsia="zh-CN"/>
              </w:rPr>
            </w:pPr>
            <w:r>
              <w:rPr>
                <w:rFonts w:hint="eastAsia" w:eastAsia="宋体" w:cs="Times New Roman"/>
                <w:spacing w:val="4"/>
                <w:sz w:val="20"/>
                <w:szCs w:val="20"/>
                <w:lang w:val="en-US" w:eastAsia="zh-CN"/>
              </w:rPr>
              <w:t>2400</w:t>
            </w:r>
          </w:p>
        </w:tc>
      </w:tr>
      <w:tr w14:paraId="57220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313" w:type="pct"/>
            <w:vMerge w:val="continue"/>
            <w:tcBorders>
              <w:left w:val="single" w:color="000000" w:sz="10" w:space="0"/>
            </w:tcBorders>
            <w:vAlign w:val="center"/>
          </w:tcPr>
          <w:p w14:paraId="21964D71">
            <w:pPr>
              <w:widowControl/>
              <w:autoSpaceDE w:val="0"/>
              <w:autoSpaceDN w:val="0"/>
              <w:jc w:val="center"/>
              <w:rPr>
                <w:rFonts w:hint="eastAsia"/>
                <w:b/>
                <w:color w:val="000000"/>
                <w:sz w:val="18"/>
                <w:szCs w:val="18"/>
              </w:rPr>
            </w:pPr>
          </w:p>
        </w:tc>
        <w:tc>
          <w:tcPr>
            <w:tcW w:w="454" w:type="pct"/>
            <w:vMerge w:val="continue"/>
            <w:vAlign w:val="center"/>
          </w:tcPr>
          <w:p w14:paraId="00A4CA06">
            <w:pPr>
              <w:widowControl/>
              <w:autoSpaceDE w:val="0"/>
              <w:autoSpaceDN w:val="0"/>
              <w:jc w:val="center"/>
              <w:rPr>
                <w:rFonts w:hint="eastAsia" w:eastAsia="等线"/>
                <w:color w:val="000000"/>
                <w:kern w:val="0"/>
                <w:sz w:val="18"/>
                <w:szCs w:val="18"/>
                <w:lang w:val="en-US" w:eastAsia="zh-CN"/>
              </w:rPr>
            </w:pPr>
          </w:p>
        </w:tc>
        <w:tc>
          <w:tcPr>
            <w:tcW w:w="475" w:type="pct"/>
            <w:vAlign w:val="center"/>
          </w:tcPr>
          <w:p w14:paraId="03BF90E7">
            <w:pPr>
              <w:widowControl/>
              <w:autoSpaceDE w:val="0"/>
              <w:autoSpaceDN w:val="0"/>
              <w:adjustRightInd w:val="0"/>
              <w:snapToGrid w:val="0"/>
              <w:jc w:val="center"/>
              <w:rPr>
                <w:color w:val="000000"/>
                <w:kern w:val="0"/>
                <w:sz w:val="18"/>
                <w:szCs w:val="18"/>
              </w:rPr>
            </w:pPr>
            <w:r>
              <w:rPr>
                <w:color w:val="000000"/>
                <w:kern w:val="0"/>
                <w:sz w:val="18"/>
                <w:szCs w:val="18"/>
              </w:rPr>
              <w:t>TVOC</w:t>
            </w:r>
          </w:p>
        </w:tc>
        <w:tc>
          <w:tcPr>
            <w:tcW w:w="262" w:type="pct"/>
            <w:vMerge w:val="continue"/>
            <w:vAlign w:val="center"/>
          </w:tcPr>
          <w:p w14:paraId="7B74EA49">
            <w:pPr>
              <w:widowControl/>
              <w:autoSpaceDE w:val="0"/>
              <w:autoSpaceDN w:val="0"/>
              <w:jc w:val="center"/>
              <w:rPr>
                <w:color w:val="000000"/>
                <w:kern w:val="0"/>
                <w:sz w:val="18"/>
                <w:szCs w:val="18"/>
              </w:rPr>
            </w:pPr>
          </w:p>
        </w:tc>
        <w:tc>
          <w:tcPr>
            <w:tcW w:w="269" w:type="pct"/>
            <w:vMerge w:val="continue"/>
            <w:vAlign w:val="center"/>
          </w:tcPr>
          <w:p w14:paraId="0ADB9057">
            <w:pPr>
              <w:autoSpaceDE w:val="0"/>
              <w:autoSpaceDN w:val="0"/>
              <w:spacing w:before="178" w:line="195" w:lineRule="auto"/>
              <w:ind w:left="0" w:firstLine="200" w:firstLineChars="100"/>
              <w:rPr>
                <w:rFonts w:hint="eastAsia" w:eastAsia="宋体" w:cs="Times New Roman"/>
                <w:sz w:val="20"/>
                <w:szCs w:val="20"/>
                <w:lang w:val="en-US" w:eastAsia="zh-CN"/>
              </w:rPr>
            </w:pPr>
          </w:p>
        </w:tc>
        <w:tc>
          <w:tcPr>
            <w:tcW w:w="463" w:type="pct"/>
            <w:shd w:val="clear" w:color="auto" w:fill="auto"/>
            <w:vAlign w:val="center"/>
          </w:tcPr>
          <w:p w14:paraId="461A3DDD">
            <w:pPr>
              <w:widowControl/>
              <w:autoSpaceDE w:val="0"/>
              <w:autoSpaceDN w:val="0"/>
              <w:jc w:val="center"/>
              <w:rPr>
                <w:rFonts w:hint="default" w:ascii="Times New Roman" w:hAnsi="Times New Roman" w:eastAsia="宋体" w:cs="Times New Roman"/>
                <w:color w:val="FF0000"/>
                <w:kern w:val="0"/>
                <w:sz w:val="18"/>
                <w:szCs w:val="18"/>
                <w:lang w:val="en-US" w:eastAsia="zh-CN" w:bidi="ar-SA"/>
              </w:rPr>
            </w:pPr>
            <w:r>
              <w:rPr>
                <w:rFonts w:hint="default" w:ascii="Times New Roman" w:hAnsi="Times New Roman" w:eastAsia="宋体" w:cs="Times New Roman"/>
                <w:color w:val="FF0000"/>
                <w:kern w:val="0"/>
                <w:sz w:val="18"/>
                <w:szCs w:val="18"/>
                <w:lang w:val="en-US" w:eastAsia="zh-CN"/>
              </w:rPr>
              <w:t xml:space="preserve">2.5 </w:t>
            </w:r>
          </w:p>
        </w:tc>
        <w:tc>
          <w:tcPr>
            <w:tcW w:w="377" w:type="pct"/>
            <w:shd w:val="clear" w:color="auto" w:fill="auto"/>
            <w:vAlign w:val="center"/>
          </w:tcPr>
          <w:p w14:paraId="363B8351">
            <w:pPr>
              <w:widowControl/>
              <w:autoSpaceDE w:val="0"/>
              <w:autoSpaceDN w:val="0"/>
              <w:jc w:val="center"/>
              <w:rPr>
                <w:rFonts w:hint="default" w:ascii="Times New Roman" w:hAnsi="Times New Roman" w:eastAsia="宋体" w:cs="Times New Roman"/>
                <w:color w:val="FF0000"/>
                <w:kern w:val="0"/>
                <w:sz w:val="18"/>
                <w:szCs w:val="18"/>
                <w:lang w:val="en-US" w:eastAsia="zh-CN" w:bidi="ar-SA"/>
              </w:rPr>
            </w:pPr>
            <w:r>
              <w:rPr>
                <w:rFonts w:hint="default" w:ascii="Times New Roman" w:hAnsi="Times New Roman" w:eastAsia="宋体" w:cs="Times New Roman"/>
                <w:color w:val="FF0000"/>
                <w:kern w:val="0"/>
                <w:sz w:val="18"/>
                <w:szCs w:val="18"/>
                <w:lang w:val="en-US" w:eastAsia="zh-CN"/>
              </w:rPr>
              <w:t xml:space="preserve">0.025 </w:t>
            </w:r>
          </w:p>
        </w:tc>
        <w:tc>
          <w:tcPr>
            <w:tcW w:w="405" w:type="pct"/>
            <w:shd w:val="clear" w:color="auto" w:fill="auto"/>
            <w:vAlign w:val="center"/>
          </w:tcPr>
          <w:p w14:paraId="3D9BD367">
            <w:pPr>
              <w:widowControl/>
              <w:autoSpaceDE w:val="0"/>
              <w:autoSpaceDN w:val="0"/>
              <w:jc w:val="center"/>
              <w:rPr>
                <w:rFonts w:hint="default" w:ascii="Times New Roman" w:hAnsi="Times New Roman" w:eastAsia="宋体" w:cs="Times New Roman"/>
                <w:color w:val="FF0000"/>
                <w:kern w:val="0"/>
                <w:sz w:val="18"/>
                <w:szCs w:val="18"/>
                <w:lang w:val="en-US" w:eastAsia="zh-CN" w:bidi="ar-SA"/>
              </w:rPr>
            </w:pPr>
            <w:r>
              <w:rPr>
                <w:rFonts w:hint="default" w:ascii="Times New Roman" w:hAnsi="Times New Roman" w:eastAsia="宋体" w:cs="Times New Roman"/>
                <w:color w:val="FF0000"/>
                <w:kern w:val="0"/>
                <w:sz w:val="18"/>
                <w:szCs w:val="18"/>
                <w:lang w:val="en-US" w:eastAsia="zh-CN"/>
              </w:rPr>
              <w:t xml:space="preserve">0.029 </w:t>
            </w:r>
          </w:p>
        </w:tc>
        <w:tc>
          <w:tcPr>
            <w:tcW w:w="303" w:type="pct"/>
            <w:tcBorders>
              <w:top w:val="single" w:color="auto" w:sz="4" w:space="0"/>
            </w:tcBorders>
            <w:shd w:val="clear" w:color="auto" w:fill="D9D9D9"/>
            <w:vAlign w:val="center"/>
          </w:tcPr>
          <w:p w14:paraId="236BE9E5">
            <w:pPr>
              <w:autoSpaceDE w:val="0"/>
              <w:autoSpaceDN w:val="0"/>
              <w:spacing w:before="178" w:line="195" w:lineRule="auto"/>
              <w:ind w:left="287" w:leftChars="0"/>
              <w:rPr>
                <w:rFonts w:hint="default" w:eastAsia="宋体" w:cs="Times New Roman"/>
                <w:spacing w:val="-8"/>
                <w:sz w:val="20"/>
                <w:szCs w:val="20"/>
                <w:lang w:val="en-US" w:eastAsia="zh-CN"/>
              </w:rPr>
            </w:pPr>
            <w:r>
              <w:rPr>
                <w:rFonts w:hint="eastAsia" w:eastAsia="宋体" w:cs="Times New Roman"/>
                <w:spacing w:val="-8"/>
                <w:sz w:val="20"/>
                <w:szCs w:val="20"/>
                <w:lang w:val="en-US" w:eastAsia="zh-CN"/>
              </w:rPr>
              <w:t>40</w:t>
            </w:r>
          </w:p>
        </w:tc>
        <w:tc>
          <w:tcPr>
            <w:tcW w:w="314" w:type="pct"/>
            <w:tcBorders>
              <w:top w:val="single" w:color="auto" w:sz="4" w:space="0"/>
            </w:tcBorders>
            <w:shd w:val="clear" w:color="auto" w:fill="D9D9D9"/>
            <w:vAlign w:val="center"/>
          </w:tcPr>
          <w:p w14:paraId="5D4FD230">
            <w:pPr>
              <w:autoSpaceDE w:val="0"/>
              <w:autoSpaceDN w:val="0"/>
              <w:spacing w:before="178" w:line="195" w:lineRule="auto"/>
              <w:ind w:left="216" w:leftChars="0"/>
              <w:rPr>
                <w:rFonts w:hint="default" w:eastAsia="宋体" w:cs="Times New Roman"/>
                <w:spacing w:val="1"/>
                <w:sz w:val="20"/>
                <w:szCs w:val="20"/>
                <w:lang w:val="en-US" w:eastAsia="zh-CN"/>
              </w:rPr>
            </w:pPr>
            <w:r>
              <w:rPr>
                <w:rFonts w:hint="eastAsia" w:eastAsia="宋体" w:cs="Times New Roman"/>
                <w:spacing w:val="1"/>
                <w:sz w:val="20"/>
                <w:szCs w:val="20"/>
                <w:lang w:val="en-US" w:eastAsia="zh-CN"/>
              </w:rPr>
              <w:t>2.9</w:t>
            </w:r>
          </w:p>
        </w:tc>
        <w:tc>
          <w:tcPr>
            <w:tcW w:w="502" w:type="pct"/>
            <w:vMerge w:val="continue"/>
            <w:vAlign w:val="center"/>
          </w:tcPr>
          <w:p w14:paraId="0B767ECF">
            <w:pPr>
              <w:autoSpaceDE w:val="0"/>
              <w:autoSpaceDN w:val="0"/>
              <w:spacing w:before="59" w:line="242" w:lineRule="auto"/>
              <w:ind w:left="0" w:firstLine="216" w:firstLineChars="100"/>
              <w:rPr>
                <w:rFonts w:hint="eastAsia" w:cs="仿宋"/>
                <w:spacing w:val="8"/>
                <w:position w:val="0"/>
                <w:sz w:val="20"/>
                <w:szCs w:val="20"/>
                <w:lang w:val="en-US" w:eastAsia="zh-CN"/>
              </w:rPr>
            </w:pPr>
          </w:p>
        </w:tc>
        <w:tc>
          <w:tcPr>
            <w:tcW w:w="257" w:type="pct"/>
            <w:vMerge w:val="continue"/>
            <w:vAlign w:val="center"/>
          </w:tcPr>
          <w:p w14:paraId="0A6BAEE4">
            <w:pPr>
              <w:autoSpaceDE w:val="0"/>
              <w:autoSpaceDN w:val="0"/>
              <w:spacing w:before="178" w:line="195" w:lineRule="auto"/>
              <w:ind w:left="140"/>
              <w:rPr>
                <w:rFonts w:hint="eastAsia" w:eastAsia="宋体" w:cs="Times New Roman"/>
                <w:spacing w:val="1"/>
                <w:sz w:val="20"/>
                <w:szCs w:val="20"/>
                <w:lang w:val="en-US" w:eastAsia="zh-CN"/>
              </w:rPr>
            </w:pPr>
          </w:p>
        </w:tc>
        <w:tc>
          <w:tcPr>
            <w:tcW w:w="277" w:type="pct"/>
            <w:vMerge w:val="continue"/>
            <w:vAlign w:val="center"/>
          </w:tcPr>
          <w:p w14:paraId="4CFF0EAA">
            <w:pPr>
              <w:autoSpaceDE w:val="0"/>
              <w:autoSpaceDN w:val="0"/>
              <w:spacing w:before="178" w:line="195" w:lineRule="auto"/>
              <w:ind w:left="132"/>
              <w:rPr>
                <w:rFonts w:hint="eastAsia" w:eastAsia="宋体" w:cs="Times New Roman"/>
                <w:spacing w:val="2"/>
                <w:sz w:val="20"/>
                <w:szCs w:val="20"/>
                <w:lang w:val="en-US" w:eastAsia="zh-CN"/>
              </w:rPr>
            </w:pPr>
          </w:p>
        </w:tc>
        <w:tc>
          <w:tcPr>
            <w:tcW w:w="325" w:type="pct"/>
            <w:vMerge w:val="continue"/>
            <w:tcBorders>
              <w:right w:val="single" w:color="000000" w:sz="10" w:space="0"/>
            </w:tcBorders>
            <w:vAlign w:val="center"/>
          </w:tcPr>
          <w:p w14:paraId="2F11F6C6">
            <w:pPr>
              <w:autoSpaceDE w:val="0"/>
              <w:autoSpaceDN w:val="0"/>
              <w:spacing w:before="178" w:line="195" w:lineRule="auto"/>
              <w:ind w:left="146"/>
              <w:rPr>
                <w:rFonts w:hint="eastAsia" w:eastAsia="宋体" w:cs="Times New Roman"/>
                <w:spacing w:val="4"/>
                <w:sz w:val="20"/>
                <w:szCs w:val="20"/>
                <w:lang w:val="en-US" w:eastAsia="zh-CN"/>
              </w:rPr>
            </w:pPr>
          </w:p>
        </w:tc>
      </w:tr>
    </w:tbl>
    <w:p w14:paraId="7214F326">
      <w:pPr>
        <w:adjustRightInd w:val="0"/>
        <w:snapToGrid w:val="0"/>
        <w:spacing w:line="500" w:lineRule="exact"/>
        <w:ind w:firstLine="480" w:firstLineChars="200"/>
        <w:rPr>
          <w:rFonts w:hint="default" w:eastAsia="宋体"/>
          <w:color w:val="000000" w:themeColor="text1"/>
          <w:lang w:val="en-US" w:eastAsia="zh-CN"/>
          <w14:textFill>
            <w14:solidFill>
              <w14:schemeClr w14:val="tx1"/>
            </w14:solidFill>
          </w14:textFill>
        </w:rPr>
      </w:pPr>
      <w:r>
        <w:rPr>
          <w:rFonts w:eastAsia="宋体"/>
          <w:color w:val="000000" w:themeColor="text1"/>
          <w14:textFill>
            <w14:solidFill>
              <w14:schemeClr w14:val="tx1"/>
            </w14:solidFill>
          </w14:textFill>
        </w:rPr>
        <w:t>（2）水污染物排放情况</w:t>
      </w:r>
    </w:p>
    <w:p w14:paraId="7C857A86">
      <w:pPr>
        <w:widowControl/>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建设项目</w:t>
      </w:r>
      <w:r>
        <w:rPr>
          <w:rFonts w:hint="eastAsia" w:eastAsia="宋体"/>
          <w:color w:val="000000" w:themeColor="text1"/>
          <w14:textFill>
            <w14:solidFill>
              <w14:schemeClr w14:val="tx1"/>
            </w14:solidFill>
          </w14:textFill>
        </w:rPr>
        <w:t>产生的废水主要为</w:t>
      </w:r>
      <w:r>
        <w:rPr>
          <w:rFonts w:hint="eastAsia" w:eastAsia="宋体"/>
          <w:color w:val="000000" w:themeColor="text1"/>
          <w:lang w:val="en-US" w:eastAsia="zh-CN"/>
          <w14:textFill>
            <w14:solidFill>
              <w14:schemeClr w14:val="tx1"/>
            </w14:solidFill>
          </w14:textFill>
        </w:rPr>
        <w:t>生活污水、</w:t>
      </w:r>
      <w:r>
        <w:rPr>
          <w:rFonts w:hint="eastAsia" w:eastAsia="Times New Roman"/>
          <w:color w:val="auto"/>
          <w:sz w:val="24"/>
          <w:szCs w:val="24"/>
          <w:lang w:val="en-US" w:eastAsia="zh-CN"/>
        </w:rPr>
        <w:t>喷淋废水</w:t>
      </w:r>
      <w:r>
        <w:rPr>
          <w:rFonts w:hint="eastAsia" w:eastAsia="宋体"/>
          <w:color w:val="000000" w:themeColor="text1"/>
          <w:lang w:val="en-US" w:eastAsia="zh-CN"/>
          <w14:textFill>
            <w14:solidFill>
              <w14:schemeClr w14:val="tx1"/>
            </w14:solidFill>
          </w14:textFill>
        </w:rPr>
        <w:t>。其中，</w:t>
      </w:r>
      <w:r>
        <w:rPr>
          <w:rFonts w:hint="eastAsia" w:eastAsia="Times New Roman"/>
          <w:color w:val="auto"/>
          <w:sz w:val="24"/>
          <w:szCs w:val="24"/>
          <w:lang w:val="en-US" w:eastAsia="zh-CN"/>
        </w:rPr>
        <w:t>喷淋废水经气浮+絮凝沉淀处理后回用于水喷淋装置，不外排；</w:t>
      </w:r>
      <w:r>
        <w:rPr>
          <w:rFonts w:hint="eastAsia" w:eastAsia="宋体"/>
          <w:color w:val="000000" w:themeColor="text1"/>
          <w:lang w:val="en-US" w:eastAsia="zh-CN"/>
          <w14:textFill>
            <w14:solidFill>
              <w14:schemeClr w14:val="tx1"/>
            </w14:solidFill>
          </w14:textFill>
        </w:rPr>
        <w:t>生活污水经化粪池预处理达到接管标准后排入</w:t>
      </w:r>
      <w:r>
        <w:rPr>
          <w:rFonts w:hint="eastAsia" w:eastAsia="宋体"/>
          <w:color w:val="000000" w:themeColor="text1"/>
          <w:lang w:eastAsia="zh-CN"/>
          <w14:textFill>
            <w14:solidFill>
              <w14:schemeClr w14:val="tx1"/>
            </w14:solidFill>
          </w14:textFill>
        </w:rPr>
        <w:t>海安金港水务环保科技有限公司</w:t>
      </w:r>
      <w:r>
        <w:rPr>
          <w:rFonts w:hint="eastAsia" w:eastAsia="宋体"/>
          <w:color w:val="000000" w:themeColor="text1"/>
          <w:lang w:val="en-US" w:eastAsia="zh-CN"/>
          <w14:textFill>
            <w14:solidFill>
              <w14:schemeClr w14:val="tx1"/>
            </w14:solidFill>
          </w14:textFill>
        </w:rPr>
        <w:t>集中处理。</w:t>
      </w:r>
    </w:p>
    <w:p w14:paraId="42E72F73">
      <w:pPr>
        <w:widowControl/>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废水产生</w:t>
      </w:r>
      <w:r>
        <w:rPr>
          <w:rFonts w:eastAsia="宋体"/>
          <w:color w:val="000000" w:themeColor="text1"/>
          <w14:textFill>
            <w14:solidFill>
              <w14:schemeClr w14:val="tx1"/>
            </w14:solidFill>
          </w14:textFill>
        </w:rPr>
        <w:t>及排放的情况见表3-14。</w:t>
      </w:r>
    </w:p>
    <w:p w14:paraId="61D3293C">
      <w:pPr>
        <w:snapToGrid w:val="0"/>
        <w:spacing w:line="500" w:lineRule="exact"/>
        <w:jc w:val="center"/>
        <w:rPr>
          <w:rFonts w:eastAsia="宋体"/>
          <w:b/>
          <w:bCs/>
        </w:rPr>
      </w:pPr>
      <w:r>
        <w:rPr>
          <w:rFonts w:eastAsia="宋体"/>
          <w:b/>
          <w:bCs/>
        </w:rPr>
        <w:t>表3-14</w:t>
      </w:r>
      <w:r>
        <w:rPr>
          <w:rFonts w:hint="eastAsia" w:eastAsia="宋体"/>
          <w:b/>
          <w:bCs/>
        </w:rPr>
        <w:t>废水产生及</w:t>
      </w:r>
      <w:r>
        <w:rPr>
          <w:rFonts w:eastAsia="宋体"/>
          <w:b/>
          <w:bCs/>
        </w:rPr>
        <w:t>排放一览表</w:t>
      </w:r>
    </w:p>
    <w:tbl>
      <w:tblPr>
        <w:tblStyle w:val="38"/>
        <w:tblW w:w="5045"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67"/>
        <w:gridCol w:w="927"/>
        <w:gridCol w:w="970"/>
        <w:gridCol w:w="814"/>
        <w:gridCol w:w="1263"/>
        <w:gridCol w:w="942"/>
        <w:gridCol w:w="817"/>
        <w:gridCol w:w="1248"/>
        <w:gridCol w:w="1735"/>
      </w:tblGrid>
      <w:tr w14:paraId="36B878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05" w:type="pct"/>
            <w:vMerge w:val="restart"/>
            <w:tcBorders>
              <w:tl2br w:val="nil"/>
              <w:tr2bl w:val="nil"/>
            </w:tcBorders>
            <w:vAlign w:val="center"/>
          </w:tcPr>
          <w:p w14:paraId="010E7E73">
            <w:pPr>
              <w:pStyle w:val="143"/>
              <w:rPr>
                <w:b/>
                <w:sz w:val="21"/>
                <w:szCs w:val="21"/>
              </w:rPr>
            </w:pPr>
            <w:r>
              <w:rPr>
                <w:b/>
                <w:sz w:val="21"/>
                <w:szCs w:val="21"/>
              </w:rPr>
              <w:t>类别</w:t>
            </w:r>
          </w:p>
        </w:tc>
        <w:tc>
          <w:tcPr>
            <w:tcW w:w="499" w:type="pct"/>
            <w:vMerge w:val="restart"/>
            <w:tcBorders>
              <w:tl2br w:val="nil"/>
              <w:tr2bl w:val="nil"/>
            </w:tcBorders>
            <w:vAlign w:val="center"/>
          </w:tcPr>
          <w:p w14:paraId="261EDCA2">
            <w:pPr>
              <w:pStyle w:val="143"/>
              <w:rPr>
                <w:rFonts w:ascii="Times New Roman" w:eastAsia="Times New Roman"/>
                <w:b/>
                <w:sz w:val="21"/>
                <w:szCs w:val="21"/>
              </w:rPr>
            </w:pPr>
            <w:r>
              <w:rPr>
                <w:b/>
                <w:sz w:val="21"/>
                <w:szCs w:val="21"/>
              </w:rPr>
              <w:t>废水量</w:t>
            </w:r>
            <w:r>
              <w:rPr>
                <w:rFonts w:ascii="Times New Roman" w:eastAsia="Times New Roman"/>
                <w:b/>
                <w:sz w:val="21"/>
                <w:szCs w:val="21"/>
              </w:rPr>
              <w:t>t/a</w:t>
            </w:r>
          </w:p>
        </w:tc>
        <w:tc>
          <w:tcPr>
            <w:tcW w:w="522" w:type="pct"/>
            <w:vMerge w:val="restart"/>
            <w:tcBorders>
              <w:tl2br w:val="nil"/>
              <w:tr2bl w:val="nil"/>
            </w:tcBorders>
            <w:vAlign w:val="center"/>
          </w:tcPr>
          <w:p w14:paraId="2AAAC688">
            <w:pPr>
              <w:pStyle w:val="143"/>
              <w:rPr>
                <w:b/>
                <w:sz w:val="21"/>
                <w:szCs w:val="21"/>
              </w:rPr>
            </w:pPr>
            <w:r>
              <w:rPr>
                <w:b/>
                <w:sz w:val="21"/>
                <w:szCs w:val="21"/>
              </w:rPr>
              <w:t>污染物名称</w:t>
            </w:r>
          </w:p>
        </w:tc>
        <w:tc>
          <w:tcPr>
            <w:tcW w:w="1118" w:type="pct"/>
            <w:gridSpan w:val="2"/>
            <w:tcBorders>
              <w:tl2br w:val="nil"/>
              <w:tr2bl w:val="nil"/>
            </w:tcBorders>
            <w:vAlign w:val="center"/>
          </w:tcPr>
          <w:p w14:paraId="136823D8">
            <w:pPr>
              <w:pStyle w:val="143"/>
              <w:rPr>
                <w:b/>
                <w:sz w:val="21"/>
                <w:szCs w:val="21"/>
              </w:rPr>
            </w:pPr>
            <w:r>
              <w:rPr>
                <w:b/>
                <w:sz w:val="21"/>
                <w:szCs w:val="21"/>
              </w:rPr>
              <w:t>产生情况</w:t>
            </w:r>
          </w:p>
        </w:tc>
        <w:tc>
          <w:tcPr>
            <w:tcW w:w="507" w:type="pct"/>
            <w:tcBorders>
              <w:tl2br w:val="nil"/>
              <w:tr2bl w:val="nil"/>
            </w:tcBorders>
            <w:vAlign w:val="center"/>
          </w:tcPr>
          <w:p w14:paraId="56DDF5E6">
            <w:pPr>
              <w:pStyle w:val="143"/>
              <w:rPr>
                <w:b/>
                <w:sz w:val="21"/>
                <w:szCs w:val="21"/>
              </w:rPr>
            </w:pPr>
            <w:r>
              <w:rPr>
                <w:b/>
                <w:sz w:val="21"/>
                <w:szCs w:val="21"/>
              </w:rPr>
              <w:t>治理</w:t>
            </w:r>
          </w:p>
        </w:tc>
        <w:tc>
          <w:tcPr>
            <w:tcW w:w="1112" w:type="pct"/>
            <w:gridSpan w:val="2"/>
            <w:tcBorders>
              <w:tl2br w:val="nil"/>
              <w:tr2bl w:val="nil"/>
            </w:tcBorders>
            <w:vAlign w:val="center"/>
          </w:tcPr>
          <w:p w14:paraId="1C0BAD65">
            <w:pPr>
              <w:pStyle w:val="143"/>
              <w:rPr>
                <w:b/>
                <w:sz w:val="21"/>
                <w:szCs w:val="21"/>
              </w:rPr>
            </w:pPr>
            <w:r>
              <w:rPr>
                <w:b/>
                <w:sz w:val="21"/>
                <w:szCs w:val="21"/>
              </w:rPr>
              <w:t>污染物接管量</w:t>
            </w:r>
          </w:p>
        </w:tc>
        <w:tc>
          <w:tcPr>
            <w:tcW w:w="934" w:type="pct"/>
            <w:vMerge w:val="restart"/>
            <w:tcBorders>
              <w:tl2br w:val="nil"/>
              <w:tr2bl w:val="nil"/>
            </w:tcBorders>
            <w:vAlign w:val="center"/>
          </w:tcPr>
          <w:p w14:paraId="1F5F01FB">
            <w:pPr>
              <w:pStyle w:val="143"/>
              <w:rPr>
                <w:b/>
                <w:sz w:val="21"/>
                <w:szCs w:val="21"/>
              </w:rPr>
            </w:pPr>
            <w:r>
              <w:rPr>
                <w:b/>
                <w:sz w:val="21"/>
                <w:szCs w:val="21"/>
              </w:rPr>
              <w:t>排放方式与去向</w:t>
            </w:r>
          </w:p>
        </w:tc>
      </w:tr>
      <w:tr w14:paraId="3F49CF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305" w:type="pct"/>
            <w:vMerge w:val="continue"/>
            <w:tcBorders>
              <w:tl2br w:val="nil"/>
              <w:tr2bl w:val="nil"/>
            </w:tcBorders>
            <w:vAlign w:val="center"/>
          </w:tcPr>
          <w:p w14:paraId="381B3856">
            <w:pPr>
              <w:jc w:val="center"/>
              <w:rPr>
                <w:sz w:val="21"/>
                <w:szCs w:val="21"/>
              </w:rPr>
            </w:pPr>
          </w:p>
        </w:tc>
        <w:tc>
          <w:tcPr>
            <w:tcW w:w="499" w:type="pct"/>
            <w:vMerge w:val="continue"/>
            <w:tcBorders>
              <w:tl2br w:val="nil"/>
              <w:tr2bl w:val="nil"/>
            </w:tcBorders>
            <w:vAlign w:val="center"/>
          </w:tcPr>
          <w:p w14:paraId="7E9FF428">
            <w:pPr>
              <w:pStyle w:val="143"/>
              <w:rPr>
                <w:rFonts w:ascii="Times New Roman" w:eastAsia="Times New Roman"/>
                <w:b/>
                <w:sz w:val="21"/>
                <w:szCs w:val="21"/>
              </w:rPr>
            </w:pPr>
          </w:p>
        </w:tc>
        <w:tc>
          <w:tcPr>
            <w:tcW w:w="522" w:type="pct"/>
            <w:vMerge w:val="continue"/>
            <w:tcBorders>
              <w:tl2br w:val="nil"/>
              <w:tr2bl w:val="nil"/>
            </w:tcBorders>
            <w:vAlign w:val="center"/>
          </w:tcPr>
          <w:p w14:paraId="5D613A92">
            <w:pPr>
              <w:pStyle w:val="143"/>
              <w:rPr>
                <w:b/>
                <w:sz w:val="21"/>
                <w:szCs w:val="21"/>
              </w:rPr>
            </w:pPr>
          </w:p>
        </w:tc>
        <w:tc>
          <w:tcPr>
            <w:tcW w:w="438" w:type="pct"/>
            <w:tcBorders>
              <w:tl2br w:val="nil"/>
              <w:tr2bl w:val="nil"/>
            </w:tcBorders>
            <w:vAlign w:val="center"/>
          </w:tcPr>
          <w:p w14:paraId="30E26511">
            <w:pPr>
              <w:pStyle w:val="143"/>
              <w:rPr>
                <w:rFonts w:ascii="Times New Roman"/>
                <w:b/>
                <w:sz w:val="21"/>
                <w:szCs w:val="21"/>
              </w:rPr>
            </w:pPr>
            <w:r>
              <w:rPr>
                <w:b/>
                <w:sz w:val="21"/>
                <w:szCs w:val="21"/>
              </w:rPr>
              <w:t>产生浓度</w:t>
            </w:r>
            <w:r>
              <w:rPr>
                <w:rFonts w:ascii="Times New Roman" w:eastAsia="Times New Roman"/>
                <w:b/>
                <w:sz w:val="21"/>
                <w:szCs w:val="21"/>
              </w:rPr>
              <w:t>mg/</w:t>
            </w:r>
            <w:r>
              <w:rPr>
                <w:rFonts w:ascii="Times New Roman"/>
                <w:b/>
                <w:sz w:val="21"/>
                <w:szCs w:val="21"/>
              </w:rPr>
              <w:t>L</w:t>
            </w:r>
          </w:p>
        </w:tc>
        <w:tc>
          <w:tcPr>
            <w:tcW w:w="679" w:type="pct"/>
            <w:tcBorders>
              <w:tl2br w:val="nil"/>
              <w:tr2bl w:val="nil"/>
            </w:tcBorders>
            <w:vAlign w:val="center"/>
          </w:tcPr>
          <w:p w14:paraId="06227C9E">
            <w:pPr>
              <w:pStyle w:val="143"/>
              <w:rPr>
                <w:rFonts w:ascii="Times New Roman"/>
                <w:b/>
                <w:sz w:val="21"/>
                <w:szCs w:val="21"/>
              </w:rPr>
            </w:pPr>
            <w:r>
              <w:rPr>
                <w:b/>
                <w:sz w:val="21"/>
                <w:szCs w:val="21"/>
              </w:rPr>
              <w:t>产生量</w:t>
            </w:r>
            <w:r>
              <w:rPr>
                <w:rFonts w:ascii="Times New Roman"/>
                <w:b/>
                <w:sz w:val="21"/>
                <w:szCs w:val="21"/>
              </w:rPr>
              <w:t>t/a</w:t>
            </w:r>
          </w:p>
        </w:tc>
        <w:tc>
          <w:tcPr>
            <w:tcW w:w="507" w:type="pct"/>
            <w:tcBorders>
              <w:tl2br w:val="nil"/>
              <w:tr2bl w:val="nil"/>
            </w:tcBorders>
            <w:vAlign w:val="center"/>
          </w:tcPr>
          <w:p w14:paraId="08A38111">
            <w:pPr>
              <w:pStyle w:val="143"/>
              <w:rPr>
                <w:b/>
                <w:sz w:val="21"/>
                <w:szCs w:val="21"/>
              </w:rPr>
            </w:pPr>
            <w:r>
              <w:rPr>
                <w:b/>
                <w:sz w:val="21"/>
                <w:szCs w:val="21"/>
              </w:rPr>
              <w:t>措施</w:t>
            </w:r>
          </w:p>
        </w:tc>
        <w:tc>
          <w:tcPr>
            <w:tcW w:w="440" w:type="pct"/>
            <w:tcBorders>
              <w:tl2br w:val="nil"/>
              <w:tr2bl w:val="nil"/>
            </w:tcBorders>
            <w:vAlign w:val="center"/>
          </w:tcPr>
          <w:p w14:paraId="14945515">
            <w:pPr>
              <w:pStyle w:val="143"/>
              <w:rPr>
                <w:rFonts w:ascii="Times New Roman"/>
                <w:b/>
                <w:sz w:val="21"/>
                <w:szCs w:val="21"/>
              </w:rPr>
            </w:pPr>
            <w:r>
              <w:rPr>
                <w:b/>
                <w:sz w:val="21"/>
                <w:szCs w:val="21"/>
              </w:rPr>
              <w:t>接管浓度</w:t>
            </w:r>
            <w:r>
              <w:rPr>
                <w:rFonts w:ascii="Times New Roman" w:eastAsia="Times New Roman"/>
                <w:b/>
                <w:sz w:val="21"/>
                <w:szCs w:val="21"/>
              </w:rPr>
              <w:t>mg/</w:t>
            </w:r>
            <w:r>
              <w:rPr>
                <w:rFonts w:ascii="Times New Roman"/>
                <w:b/>
                <w:sz w:val="21"/>
                <w:szCs w:val="21"/>
              </w:rPr>
              <w:t>L</w:t>
            </w:r>
          </w:p>
        </w:tc>
        <w:tc>
          <w:tcPr>
            <w:tcW w:w="671" w:type="pct"/>
            <w:tcBorders>
              <w:tl2br w:val="nil"/>
              <w:tr2bl w:val="nil"/>
            </w:tcBorders>
            <w:vAlign w:val="center"/>
          </w:tcPr>
          <w:p w14:paraId="3926D028">
            <w:pPr>
              <w:pStyle w:val="143"/>
              <w:rPr>
                <w:rFonts w:ascii="Times New Roman"/>
                <w:b/>
                <w:sz w:val="21"/>
                <w:szCs w:val="21"/>
              </w:rPr>
            </w:pPr>
            <w:r>
              <w:rPr>
                <w:b/>
                <w:sz w:val="21"/>
                <w:szCs w:val="21"/>
              </w:rPr>
              <w:t>排放量</w:t>
            </w:r>
            <w:r>
              <w:rPr>
                <w:rFonts w:ascii="Times New Roman"/>
                <w:b/>
                <w:sz w:val="21"/>
                <w:szCs w:val="21"/>
              </w:rPr>
              <w:t>t/a</w:t>
            </w:r>
          </w:p>
        </w:tc>
        <w:tc>
          <w:tcPr>
            <w:tcW w:w="934" w:type="pct"/>
            <w:vMerge w:val="continue"/>
            <w:tcBorders>
              <w:tl2br w:val="nil"/>
              <w:tr2bl w:val="nil"/>
            </w:tcBorders>
            <w:vAlign w:val="center"/>
          </w:tcPr>
          <w:p w14:paraId="5098B631">
            <w:pPr>
              <w:pStyle w:val="143"/>
              <w:rPr>
                <w:b/>
                <w:sz w:val="21"/>
                <w:szCs w:val="21"/>
              </w:rPr>
            </w:pPr>
          </w:p>
        </w:tc>
      </w:tr>
      <w:tr w14:paraId="35BF1F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05" w:type="pct"/>
            <w:vMerge w:val="restart"/>
            <w:tcBorders>
              <w:tl2br w:val="nil"/>
              <w:tr2bl w:val="nil"/>
            </w:tcBorders>
            <w:vAlign w:val="center"/>
          </w:tcPr>
          <w:p w14:paraId="2AE96BAB">
            <w:pPr>
              <w:jc w:val="center"/>
              <w:rPr>
                <w:sz w:val="21"/>
                <w:szCs w:val="21"/>
              </w:rPr>
            </w:pPr>
            <w:r>
              <w:rPr>
                <w:rFonts w:hint="eastAsia" w:ascii="宋体" w:hAnsi="宋体" w:eastAsia="宋体" w:cs="宋体"/>
                <w:sz w:val="21"/>
                <w:szCs w:val="21"/>
              </w:rPr>
              <w:t>生活污水</w:t>
            </w:r>
          </w:p>
        </w:tc>
        <w:tc>
          <w:tcPr>
            <w:tcW w:w="499" w:type="pct"/>
            <w:vMerge w:val="restart"/>
            <w:tcBorders>
              <w:tl2br w:val="nil"/>
              <w:tr2bl w:val="nil"/>
            </w:tcBorders>
            <w:vAlign w:val="center"/>
          </w:tcPr>
          <w:p w14:paraId="3BD6995D">
            <w:pPr>
              <w:jc w:val="center"/>
              <w:rPr>
                <w:rFonts w:hint="default" w:eastAsia="仿宋_GB2312"/>
                <w:sz w:val="21"/>
                <w:szCs w:val="21"/>
                <w:lang w:val="en-US" w:eastAsia="zh-CN"/>
              </w:rPr>
            </w:pPr>
            <w:r>
              <w:rPr>
                <w:rFonts w:hint="eastAsia"/>
                <w:sz w:val="21"/>
                <w:szCs w:val="21"/>
                <w:lang w:val="en-US" w:eastAsia="zh-CN"/>
              </w:rPr>
              <w:t>2880</w:t>
            </w:r>
          </w:p>
        </w:tc>
        <w:tc>
          <w:tcPr>
            <w:tcW w:w="522" w:type="pct"/>
            <w:tcBorders>
              <w:tl2br w:val="nil"/>
              <w:tr2bl w:val="nil"/>
            </w:tcBorders>
            <w:vAlign w:val="center"/>
          </w:tcPr>
          <w:p w14:paraId="1DE7BE58">
            <w:pPr>
              <w:pStyle w:val="143"/>
              <w:rPr>
                <w:rFonts w:ascii="Times New Roman"/>
                <w:sz w:val="21"/>
                <w:szCs w:val="21"/>
              </w:rPr>
            </w:pPr>
            <w:r>
              <w:rPr>
                <w:rFonts w:ascii="Times New Roman"/>
                <w:sz w:val="21"/>
                <w:szCs w:val="21"/>
              </w:rPr>
              <w:t>COD</w:t>
            </w:r>
          </w:p>
        </w:tc>
        <w:tc>
          <w:tcPr>
            <w:tcW w:w="814" w:type="dxa"/>
            <w:tcBorders>
              <w:tl2br w:val="nil"/>
              <w:tr2bl w:val="nil"/>
            </w:tcBorders>
            <w:vAlign w:val="center"/>
          </w:tcPr>
          <w:p w14:paraId="34482852">
            <w:pPr>
              <w:spacing w:line="260" w:lineRule="exact"/>
              <w:jc w:val="center"/>
              <w:rPr>
                <w:rFonts w:ascii="Times New Roman"/>
                <w:sz w:val="21"/>
                <w:szCs w:val="21"/>
              </w:rPr>
            </w:pPr>
            <w:r>
              <w:rPr>
                <w:color w:val="000000"/>
                <w:sz w:val="21"/>
                <w:szCs w:val="21"/>
              </w:rPr>
              <w:t>500</w:t>
            </w:r>
          </w:p>
        </w:tc>
        <w:tc>
          <w:tcPr>
            <w:tcW w:w="1263" w:type="dxa"/>
            <w:tcBorders>
              <w:tl2br w:val="nil"/>
              <w:tr2bl w:val="nil"/>
            </w:tcBorders>
            <w:vAlign w:val="center"/>
          </w:tcPr>
          <w:p w14:paraId="6B233E58">
            <w:pPr>
              <w:spacing w:line="260" w:lineRule="exact"/>
              <w:jc w:val="center"/>
              <w:rPr>
                <w:rFonts w:hint="default" w:ascii="Times New Roman"/>
                <w:sz w:val="21"/>
                <w:szCs w:val="21"/>
                <w:lang w:val="en-US"/>
              </w:rPr>
            </w:pPr>
            <w:r>
              <w:rPr>
                <w:rFonts w:hint="eastAsia"/>
                <w:color w:val="000000"/>
                <w:sz w:val="21"/>
                <w:szCs w:val="21"/>
              </w:rPr>
              <w:t>1.2</w:t>
            </w:r>
          </w:p>
        </w:tc>
        <w:tc>
          <w:tcPr>
            <w:tcW w:w="507" w:type="pct"/>
            <w:vMerge w:val="restart"/>
            <w:tcBorders>
              <w:tl2br w:val="nil"/>
              <w:tr2bl w:val="nil"/>
            </w:tcBorders>
            <w:vAlign w:val="center"/>
          </w:tcPr>
          <w:p w14:paraId="1CBF9341">
            <w:pPr>
              <w:jc w:val="center"/>
              <w:rPr>
                <w:rFonts w:hint="eastAsia" w:eastAsia="仿宋_GB2312"/>
                <w:sz w:val="21"/>
                <w:szCs w:val="21"/>
                <w:lang w:val="en-US" w:eastAsia="zh-CN"/>
              </w:rPr>
            </w:pPr>
            <w:r>
              <w:rPr>
                <w:rFonts w:hint="eastAsia" w:ascii="宋体" w:hAnsi="宋体" w:eastAsia="宋体" w:cs="宋体"/>
                <w:sz w:val="21"/>
                <w:szCs w:val="21"/>
                <w:lang w:val="en-US" w:eastAsia="zh-CN"/>
              </w:rPr>
              <w:t>化粪池</w:t>
            </w:r>
          </w:p>
        </w:tc>
        <w:tc>
          <w:tcPr>
            <w:tcW w:w="440" w:type="pct"/>
            <w:tcBorders>
              <w:tl2br w:val="nil"/>
              <w:tr2bl w:val="nil"/>
            </w:tcBorders>
            <w:vAlign w:val="center"/>
          </w:tcPr>
          <w:p w14:paraId="1AE45916">
            <w:pPr>
              <w:pStyle w:val="143"/>
              <w:rPr>
                <w:rFonts w:ascii="Times New Roman" w:hAnsi="宋体" w:eastAsia="宋体" w:cs="宋体"/>
                <w:kern w:val="2"/>
                <w:sz w:val="21"/>
                <w:szCs w:val="21"/>
                <w:lang w:val="en-US" w:eastAsia="zh-CN" w:bidi="ar-SA"/>
              </w:rPr>
            </w:pPr>
            <w:r>
              <w:rPr>
                <w:rFonts w:hint="eastAsia" w:ascii="Times New Roman"/>
                <w:sz w:val="21"/>
                <w:szCs w:val="21"/>
                <w:lang w:val="en-US" w:eastAsia="zh-CN"/>
              </w:rPr>
              <w:t>300</w:t>
            </w:r>
          </w:p>
        </w:tc>
        <w:tc>
          <w:tcPr>
            <w:tcW w:w="1248" w:type="dxa"/>
            <w:tcBorders>
              <w:tl2br w:val="nil"/>
              <w:tr2bl w:val="nil"/>
            </w:tcBorders>
            <w:vAlign w:val="center"/>
          </w:tcPr>
          <w:p w14:paraId="39B07C9E">
            <w:pPr>
              <w:spacing w:line="260" w:lineRule="exact"/>
              <w:jc w:val="center"/>
              <w:rPr>
                <w:rFonts w:hint="default" w:ascii="Times New Roman" w:hAnsi="宋体" w:eastAsia="宋体" w:cs="宋体"/>
                <w:kern w:val="2"/>
                <w:sz w:val="21"/>
                <w:szCs w:val="21"/>
                <w:lang w:val="en-US" w:eastAsia="zh-CN" w:bidi="ar-SA"/>
              </w:rPr>
            </w:pPr>
            <w:r>
              <w:rPr>
                <w:rFonts w:hint="eastAsia"/>
                <w:color w:val="000000"/>
                <w:sz w:val="21"/>
                <w:szCs w:val="21"/>
              </w:rPr>
              <w:t>0.96</w:t>
            </w:r>
          </w:p>
        </w:tc>
        <w:tc>
          <w:tcPr>
            <w:tcW w:w="934" w:type="pct"/>
            <w:vMerge w:val="restart"/>
            <w:tcBorders>
              <w:tl2br w:val="nil"/>
              <w:tr2bl w:val="nil"/>
            </w:tcBorders>
            <w:vAlign w:val="center"/>
          </w:tcPr>
          <w:p w14:paraId="1DFCD645">
            <w:pPr>
              <w:jc w:val="center"/>
              <w:rPr>
                <w:rFonts w:ascii="Times New Roman" w:hAnsi="Times New Roman" w:eastAsia="宋体" w:cs="Times New Roman"/>
                <w:kern w:val="2"/>
                <w:sz w:val="21"/>
                <w:szCs w:val="21"/>
                <w:lang w:val="en-US" w:eastAsia="zh-CN" w:bidi="ar-SA"/>
              </w:rPr>
            </w:pPr>
            <w:r>
              <w:rPr>
                <w:rFonts w:hint="eastAsia" w:ascii="宋体" w:hAnsi="宋体" w:eastAsia="宋体" w:cs="宋体"/>
                <w:sz w:val="21"/>
                <w:szCs w:val="21"/>
              </w:rPr>
              <w:t>接管至</w:t>
            </w:r>
            <w:r>
              <w:rPr>
                <w:rFonts w:hint="eastAsia" w:ascii="宋体" w:hAnsi="宋体" w:eastAsia="宋体" w:cs="宋体"/>
                <w:sz w:val="21"/>
                <w:szCs w:val="21"/>
                <w:lang w:eastAsia="zh-CN"/>
              </w:rPr>
              <w:t>海安金港水务环保科技有限公司</w:t>
            </w:r>
            <w:r>
              <w:rPr>
                <w:rFonts w:hint="eastAsia" w:ascii="宋体" w:hAnsi="宋体" w:eastAsia="宋体" w:cs="宋体"/>
                <w:sz w:val="21"/>
                <w:szCs w:val="21"/>
              </w:rPr>
              <w:t>处理</w:t>
            </w:r>
          </w:p>
        </w:tc>
      </w:tr>
      <w:tr w14:paraId="3FCE85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05" w:type="pct"/>
            <w:vMerge w:val="continue"/>
            <w:tcBorders>
              <w:tl2br w:val="nil"/>
              <w:tr2bl w:val="nil"/>
            </w:tcBorders>
            <w:vAlign w:val="center"/>
          </w:tcPr>
          <w:p w14:paraId="055F67B5">
            <w:pPr>
              <w:jc w:val="center"/>
              <w:rPr>
                <w:sz w:val="21"/>
                <w:szCs w:val="21"/>
              </w:rPr>
            </w:pPr>
          </w:p>
        </w:tc>
        <w:tc>
          <w:tcPr>
            <w:tcW w:w="499" w:type="pct"/>
            <w:vMerge w:val="continue"/>
            <w:tcBorders>
              <w:tl2br w:val="nil"/>
              <w:tr2bl w:val="nil"/>
            </w:tcBorders>
            <w:vAlign w:val="center"/>
          </w:tcPr>
          <w:p w14:paraId="236FA11C">
            <w:pPr>
              <w:jc w:val="center"/>
              <w:rPr>
                <w:sz w:val="21"/>
                <w:szCs w:val="21"/>
              </w:rPr>
            </w:pPr>
          </w:p>
        </w:tc>
        <w:tc>
          <w:tcPr>
            <w:tcW w:w="522" w:type="pct"/>
            <w:tcBorders>
              <w:tl2br w:val="nil"/>
              <w:tr2bl w:val="nil"/>
            </w:tcBorders>
            <w:vAlign w:val="center"/>
          </w:tcPr>
          <w:p w14:paraId="7DEE2D4A">
            <w:pPr>
              <w:pStyle w:val="143"/>
              <w:rPr>
                <w:sz w:val="21"/>
                <w:szCs w:val="21"/>
              </w:rPr>
            </w:pPr>
            <w:r>
              <w:rPr>
                <w:rFonts w:ascii="Times New Roman"/>
                <w:sz w:val="21"/>
                <w:szCs w:val="21"/>
              </w:rPr>
              <w:t>SS</w:t>
            </w:r>
          </w:p>
        </w:tc>
        <w:tc>
          <w:tcPr>
            <w:tcW w:w="814" w:type="dxa"/>
            <w:tcBorders>
              <w:tl2br w:val="nil"/>
              <w:tr2bl w:val="nil"/>
            </w:tcBorders>
            <w:vAlign w:val="center"/>
          </w:tcPr>
          <w:p w14:paraId="7837785E">
            <w:pPr>
              <w:spacing w:line="260" w:lineRule="exact"/>
              <w:jc w:val="center"/>
              <w:rPr>
                <w:rFonts w:ascii="Times New Roman"/>
                <w:sz w:val="21"/>
                <w:szCs w:val="21"/>
              </w:rPr>
            </w:pPr>
            <w:r>
              <w:rPr>
                <w:color w:val="000000"/>
                <w:sz w:val="21"/>
                <w:szCs w:val="21"/>
              </w:rPr>
              <w:t>350</w:t>
            </w:r>
          </w:p>
        </w:tc>
        <w:tc>
          <w:tcPr>
            <w:tcW w:w="1263" w:type="dxa"/>
            <w:tcBorders>
              <w:tl2br w:val="nil"/>
              <w:tr2bl w:val="nil"/>
            </w:tcBorders>
            <w:vAlign w:val="center"/>
          </w:tcPr>
          <w:p w14:paraId="25C87BE0">
            <w:pPr>
              <w:spacing w:line="260" w:lineRule="exact"/>
              <w:jc w:val="center"/>
              <w:rPr>
                <w:rFonts w:hint="default" w:ascii="Times New Roman"/>
                <w:sz w:val="21"/>
                <w:szCs w:val="21"/>
                <w:lang w:val="en-US"/>
              </w:rPr>
            </w:pPr>
            <w:r>
              <w:rPr>
                <w:rFonts w:hint="eastAsia"/>
                <w:color w:val="000000"/>
                <w:sz w:val="21"/>
                <w:szCs w:val="21"/>
              </w:rPr>
              <w:t>0.84</w:t>
            </w:r>
          </w:p>
        </w:tc>
        <w:tc>
          <w:tcPr>
            <w:tcW w:w="507" w:type="pct"/>
            <w:vMerge w:val="continue"/>
            <w:tcBorders>
              <w:tl2br w:val="nil"/>
              <w:tr2bl w:val="nil"/>
            </w:tcBorders>
            <w:vAlign w:val="center"/>
          </w:tcPr>
          <w:p w14:paraId="72179512">
            <w:pPr>
              <w:jc w:val="center"/>
              <w:rPr>
                <w:sz w:val="21"/>
                <w:szCs w:val="21"/>
              </w:rPr>
            </w:pPr>
          </w:p>
        </w:tc>
        <w:tc>
          <w:tcPr>
            <w:tcW w:w="440" w:type="pct"/>
            <w:tcBorders>
              <w:tl2br w:val="nil"/>
              <w:tr2bl w:val="nil"/>
            </w:tcBorders>
            <w:vAlign w:val="center"/>
          </w:tcPr>
          <w:p w14:paraId="59D2B2F1">
            <w:pPr>
              <w:pStyle w:val="143"/>
              <w:rPr>
                <w:rFonts w:ascii="Times New Roman" w:hAnsi="宋体" w:eastAsia="宋体" w:cs="宋体"/>
                <w:kern w:val="2"/>
                <w:sz w:val="21"/>
                <w:szCs w:val="21"/>
                <w:lang w:val="en-US" w:eastAsia="zh-CN" w:bidi="ar-SA"/>
              </w:rPr>
            </w:pPr>
            <w:r>
              <w:rPr>
                <w:rFonts w:hint="eastAsia" w:ascii="Times New Roman"/>
                <w:sz w:val="21"/>
                <w:szCs w:val="21"/>
                <w:lang w:val="en-US" w:eastAsia="zh-CN"/>
              </w:rPr>
              <w:t>250</w:t>
            </w:r>
          </w:p>
        </w:tc>
        <w:tc>
          <w:tcPr>
            <w:tcW w:w="1248" w:type="dxa"/>
            <w:tcBorders>
              <w:tl2br w:val="nil"/>
              <w:tr2bl w:val="nil"/>
            </w:tcBorders>
            <w:vAlign w:val="center"/>
          </w:tcPr>
          <w:p w14:paraId="1C11CB28">
            <w:pPr>
              <w:spacing w:line="260" w:lineRule="exact"/>
              <w:jc w:val="center"/>
              <w:rPr>
                <w:rFonts w:hint="default" w:ascii="Times New Roman" w:hAnsi="宋体" w:eastAsia="宋体" w:cs="宋体"/>
                <w:kern w:val="2"/>
                <w:sz w:val="21"/>
                <w:szCs w:val="21"/>
                <w:lang w:val="en-US" w:eastAsia="zh-CN" w:bidi="ar-SA"/>
              </w:rPr>
            </w:pPr>
            <w:r>
              <w:rPr>
                <w:rFonts w:hint="eastAsia"/>
                <w:color w:val="000000"/>
                <w:sz w:val="21"/>
                <w:szCs w:val="21"/>
              </w:rPr>
              <w:t>0.72</w:t>
            </w:r>
          </w:p>
        </w:tc>
        <w:tc>
          <w:tcPr>
            <w:tcW w:w="934" w:type="pct"/>
            <w:vMerge w:val="continue"/>
            <w:tcBorders>
              <w:tl2br w:val="nil"/>
              <w:tr2bl w:val="nil"/>
            </w:tcBorders>
            <w:vAlign w:val="center"/>
          </w:tcPr>
          <w:p w14:paraId="71DE784B">
            <w:pPr>
              <w:jc w:val="center"/>
              <w:rPr>
                <w:sz w:val="21"/>
                <w:szCs w:val="21"/>
              </w:rPr>
            </w:pPr>
          </w:p>
        </w:tc>
      </w:tr>
      <w:tr w14:paraId="3D2F8F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305" w:type="pct"/>
            <w:vMerge w:val="continue"/>
            <w:tcBorders>
              <w:tl2br w:val="nil"/>
              <w:tr2bl w:val="nil"/>
            </w:tcBorders>
            <w:vAlign w:val="center"/>
          </w:tcPr>
          <w:p w14:paraId="759625EA">
            <w:pPr>
              <w:jc w:val="center"/>
              <w:rPr>
                <w:sz w:val="21"/>
                <w:szCs w:val="21"/>
              </w:rPr>
            </w:pPr>
          </w:p>
        </w:tc>
        <w:tc>
          <w:tcPr>
            <w:tcW w:w="499" w:type="pct"/>
            <w:vMerge w:val="continue"/>
            <w:tcBorders>
              <w:tl2br w:val="nil"/>
              <w:tr2bl w:val="nil"/>
            </w:tcBorders>
            <w:vAlign w:val="center"/>
          </w:tcPr>
          <w:p w14:paraId="718D8730">
            <w:pPr>
              <w:jc w:val="center"/>
              <w:rPr>
                <w:sz w:val="21"/>
                <w:szCs w:val="21"/>
              </w:rPr>
            </w:pPr>
          </w:p>
        </w:tc>
        <w:tc>
          <w:tcPr>
            <w:tcW w:w="522" w:type="pct"/>
            <w:tcBorders>
              <w:tl2br w:val="nil"/>
              <w:tr2bl w:val="nil"/>
            </w:tcBorders>
            <w:vAlign w:val="center"/>
          </w:tcPr>
          <w:p w14:paraId="5B7AA961">
            <w:pPr>
              <w:pStyle w:val="143"/>
              <w:rPr>
                <w:sz w:val="21"/>
                <w:szCs w:val="21"/>
              </w:rPr>
            </w:pPr>
            <w:r>
              <w:rPr>
                <w:sz w:val="21"/>
                <w:szCs w:val="21"/>
              </w:rPr>
              <w:t>氨氮</w:t>
            </w:r>
          </w:p>
        </w:tc>
        <w:tc>
          <w:tcPr>
            <w:tcW w:w="814" w:type="dxa"/>
            <w:tcBorders>
              <w:tl2br w:val="nil"/>
              <w:tr2bl w:val="nil"/>
            </w:tcBorders>
            <w:vAlign w:val="center"/>
          </w:tcPr>
          <w:p w14:paraId="687D100D">
            <w:pPr>
              <w:spacing w:line="260" w:lineRule="exact"/>
              <w:jc w:val="center"/>
              <w:rPr>
                <w:rFonts w:ascii="Times New Roman"/>
                <w:sz w:val="21"/>
                <w:szCs w:val="21"/>
              </w:rPr>
            </w:pPr>
            <w:r>
              <w:rPr>
                <w:color w:val="000000"/>
                <w:sz w:val="21"/>
                <w:szCs w:val="21"/>
              </w:rPr>
              <w:t>35</w:t>
            </w:r>
          </w:p>
        </w:tc>
        <w:tc>
          <w:tcPr>
            <w:tcW w:w="1263" w:type="dxa"/>
            <w:tcBorders>
              <w:tl2br w:val="nil"/>
              <w:tr2bl w:val="nil"/>
            </w:tcBorders>
            <w:vAlign w:val="center"/>
          </w:tcPr>
          <w:p w14:paraId="5414F8B7">
            <w:pPr>
              <w:spacing w:line="260" w:lineRule="exact"/>
              <w:jc w:val="center"/>
              <w:rPr>
                <w:rFonts w:hint="default" w:ascii="Times New Roman"/>
                <w:sz w:val="21"/>
                <w:szCs w:val="21"/>
                <w:lang w:val="en-US"/>
              </w:rPr>
            </w:pPr>
            <w:r>
              <w:rPr>
                <w:rFonts w:hint="eastAsia"/>
                <w:color w:val="000000"/>
                <w:sz w:val="21"/>
                <w:szCs w:val="21"/>
              </w:rPr>
              <w:t>0.084</w:t>
            </w:r>
          </w:p>
        </w:tc>
        <w:tc>
          <w:tcPr>
            <w:tcW w:w="507" w:type="pct"/>
            <w:vMerge w:val="continue"/>
            <w:tcBorders>
              <w:tl2br w:val="nil"/>
              <w:tr2bl w:val="nil"/>
            </w:tcBorders>
            <w:vAlign w:val="center"/>
          </w:tcPr>
          <w:p w14:paraId="6596C668">
            <w:pPr>
              <w:jc w:val="center"/>
              <w:rPr>
                <w:sz w:val="21"/>
                <w:szCs w:val="21"/>
              </w:rPr>
            </w:pPr>
          </w:p>
        </w:tc>
        <w:tc>
          <w:tcPr>
            <w:tcW w:w="440" w:type="pct"/>
            <w:tcBorders>
              <w:tl2br w:val="nil"/>
              <w:tr2bl w:val="nil"/>
            </w:tcBorders>
            <w:vAlign w:val="center"/>
          </w:tcPr>
          <w:p w14:paraId="4EA9FA79">
            <w:pPr>
              <w:pStyle w:val="143"/>
              <w:rPr>
                <w:rFonts w:ascii="Times New Roman" w:hAnsi="宋体" w:eastAsia="宋体" w:cs="宋体"/>
                <w:kern w:val="2"/>
                <w:sz w:val="21"/>
                <w:szCs w:val="21"/>
                <w:lang w:val="en-US" w:eastAsia="zh-CN" w:bidi="ar-SA"/>
              </w:rPr>
            </w:pPr>
            <w:r>
              <w:rPr>
                <w:rFonts w:hint="eastAsia" w:ascii="Times New Roman"/>
                <w:sz w:val="21"/>
                <w:szCs w:val="21"/>
                <w:lang w:val="en-US" w:eastAsia="zh-CN"/>
              </w:rPr>
              <w:t>35</w:t>
            </w:r>
          </w:p>
        </w:tc>
        <w:tc>
          <w:tcPr>
            <w:tcW w:w="1248" w:type="dxa"/>
            <w:tcBorders>
              <w:tl2br w:val="nil"/>
              <w:tr2bl w:val="nil"/>
            </w:tcBorders>
            <w:vAlign w:val="center"/>
          </w:tcPr>
          <w:p w14:paraId="3C32BA47">
            <w:pPr>
              <w:spacing w:line="260" w:lineRule="exact"/>
              <w:jc w:val="center"/>
              <w:rPr>
                <w:rFonts w:hint="default" w:ascii="Times New Roman" w:hAnsi="宋体" w:eastAsia="宋体" w:cs="宋体"/>
                <w:kern w:val="2"/>
                <w:sz w:val="21"/>
                <w:szCs w:val="21"/>
                <w:lang w:val="en-US" w:eastAsia="zh-CN" w:bidi="ar-SA"/>
              </w:rPr>
            </w:pPr>
            <w:r>
              <w:rPr>
                <w:rFonts w:hint="eastAsia"/>
                <w:color w:val="000000"/>
                <w:sz w:val="21"/>
                <w:szCs w:val="21"/>
              </w:rPr>
              <w:t>0.084</w:t>
            </w:r>
          </w:p>
        </w:tc>
        <w:tc>
          <w:tcPr>
            <w:tcW w:w="934" w:type="pct"/>
            <w:vMerge w:val="continue"/>
            <w:tcBorders>
              <w:tl2br w:val="nil"/>
              <w:tr2bl w:val="nil"/>
            </w:tcBorders>
            <w:vAlign w:val="center"/>
          </w:tcPr>
          <w:p w14:paraId="7E337F77">
            <w:pPr>
              <w:jc w:val="center"/>
              <w:rPr>
                <w:sz w:val="21"/>
                <w:szCs w:val="21"/>
              </w:rPr>
            </w:pPr>
          </w:p>
        </w:tc>
      </w:tr>
      <w:tr w14:paraId="47A906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305" w:type="pct"/>
            <w:vMerge w:val="continue"/>
            <w:tcBorders>
              <w:tl2br w:val="nil"/>
              <w:tr2bl w:val="nil"/>
            </w:tcBorders>
            <w:vAlign w:val="center"/>
          </w:tcPr>
          <w:p w14:paraId="1B26C148">
            <w:pPr>
              <w:jc w:val="center"/>
              <w:rPr>
                <w:sz w:val="21"/>
                <w:szCs w:val="21"/>
              </w:rPr>
            </w:pPr>
          </w:p>
        </w:tc>
        <w:tc>
          <w:tcPr>
            <w:tcW w:w="499" w:type="pct"/>
            <w:vMerge w:val="continue"/>
            <w:tcBorders>
              <w:tl2br w:val="nil"/>
              <w:tr2bl w:val="nil"/>
            </w:tcBorders>
            <w:vAlign w:val="center"/>
          </w:tcPr>
          <w:p w14:paraId="3269BAA7">
            <w:pPr>
              <w:jc w:val="center"/>
              <w:rPr>
                <w:sz w:val="21"/>
                <w:szCs w:val="21"/>
              </w:rPr>
            </w:pPr>
          </w:p>
        </w:tc>
        <w:tc>
          <w:tcPr>
            <w:tcW w:w="522" w:type="pct"/>
            <w:tcBorders>
              <w:tl2br w:val="nil"/>
              <w:tr2bl w:val="nil"/>
            </w:tcBorders>
            <w:vAlign w:val="center"/>
          </w:tcPr>
          <w:p w14:paraId="78AA0145">
            <w:pPr>
              <w:pStyle w:val="143"/>
              <w:rPr>
                <w:sz w:val="21"/>
                <w:szCs w:val="21"/>
              </w:rPr>
            </w:pPr>
            <w:r>
              <w:rPr>
                <w:rFonts w:hint="eastAsia"/>
                <w:sz w:val="21"/>
                <w:szCs w:val="21"/>
              </w:rPr>
              <w:t>总磷</w:t>
            </w:r>
          </w:p>
        </w:tc>
        <w:tc>
          <w:tcPr>
            <w:tcW w:w="814" w:type="dxa"/>
            <w:tcBorders>
              <w:tl2br w:val="nil"/>
              <w:tr2bl w:val="nil"/>
            </w:tcBorders>
            <w:vAlign w:val="center"/>
          </w:tcPr>
          <w:p w14:paraId="7DF6C6C0">
            <w:pPr>
              <w:spacing w:line="260" w:lineRule="exact"/>
              <w:jc w:val="center"/>
              <w:rPr>
                <w:rFonts w:hint="eastAsia" w:ascii="Times New Roman"/>
                <w:sz w:val="21"/>
                <w:szCs w:val="21"/>
              </w:rPr>
            </w:pPr>
            <w:r>
              <w:rPr>
                <w:color w:val="000000"/>
                <w:sz w:val="21"/>
                <w:szCs w:val="21"/>
              </w:rPr>
              <w:t>8</w:t>
            </w:r>
          </w:p>
        </w:tc>
        <w:tc>
          <w:tcPr>
            <w:tcW w:w="1263" w:type="dxa"/>
            <w:tcBorders>
              <w:tl2br w:val="nil"/>
              <w:tr2bl w:val="nil"/>
            </w:tcBorders>
            <w:vAlign w:val="center"/>
          </w:tcPr>
          <w:p w14:paraId="70FA9AB1">
            <w:pPr>
              <w:spacing w:line="260" w:lineRule="exact"/>
              <w:jc w:val="center"/>
              <w:rPr>
                <w:rFonts w:hint="default" w:ascii="Times New Roman"/>
                <w:sz w:val="21"/>
                <w:szCs w:val="21"/>
                <w:lang w:val="en-US"/>
              </w:rPr>
            </w:pPr>
            <w:r>
              <w:rPr>
                <w:rFonts w:hint="eastAsia"/>
                <w:color w:val="000000"/>
                <w:sz w:val="21"/>
                <w:szCs w:val="21"/>
              </w:rPr>
              <w:t>0.0192</w:t>
            </w:r>
          </w:p>
        </w:tc>
        <w:tc>
          <w:tcPr>
            <w:tcW w:w="507" w:type="pct"/>
            <w:vMerge w:val="continue"/>
            <w:tcBorders>
              <w:tl2br w:val="nil"/>
              <w:tr2bl w:val="nil"/>
            </w:tcBorders>
            <w:vAlign w:val="center"/>
          </w:tcPr>
          <w:p w14:paraId="3E452FC5">
            <w:pPr>
              <w:jc w:val="center"/>
              <w:rPr>
                <w:sz w:val="21"/>
                <w:szCs w:val="21"/>
              </w:rPr>
            </w:pPr>
          </w:p>
        </w:tc>
        <w:tc>
          <w:tcPr>
            <w:tcW w:w="440" w:type="pct"/>
            <w:tcBorders>
              <w:tl2br w:val="nil"/>
              <w:tr2bl w:val="nil"/>
            </w:tcBorders>
            <w:vAlign w:val="center"/>
          </w:tcPr>
          <w:p w14:paraId="111AF457">
            <w:pPr>
              <w:pStyle w:val="143"/>
              <w:rPr>
                <w:rFonts w:hint="eastAsia" w:ascii="Times New Roman" w:hAnsi="宋体" w:eastAsia="宋体" w:cs="宋体"/>
                <w:kern w:val="2"/>
                <w:sz w:val="21"/>
                <w:szCs w:val="21"/>
                <w:lang w:val="en-US" w:eastAsia="zh-CN" w:bidi="ar-SA"/>
              </w:rPr>
            </w:pPr>
            <w:r>
              <w:rPr>
                <w:rFonts w:hint="eastAsia" w:ascii="Times New Roman"/>
                <w:sz w:val="21"/>
                <w:szCs w:val="21"/>
                <w:lang w:val="en-US" w:eastAsia="zh-CN"/>
              </w:rPr>
              <w:t>4</w:t>
            </w:r>
          </w:p>
        </w:tc>
        <w:tc>
          <w:tcPr>
            <w:tcW w:w="1248" w:type="dxa"/>
            <w:tcBorders>
              <w:tl2br w:val="nil"/>
              <w:tr2bl w:val="nil"/>
            </w:tcBorders>
            <w:vAlign w:val="center"/>
          </w:tcPr>
          <w:p w14:paraId="4F346E36">
            <w:pPr>
              <w:spacing w:line="260" w:lineRule="exact"/>
              <w:jc w:val="center"/>
              <w:rPr>
                <w:rFonts w:hint="default" w:ascii="Times New Roman" w:hAnsi="宋体" w:eastAsia="宋体" w:cs="宋体"/>
                <w:kern w:val="2"/>
                <w:sz w:val="21"/>
                <w:szCs w:val="21"/>
                <w:lang w:val="en-US" w:eastAsia="zh-CN" w:bidi="ar-SA"/>
              </w:rPr>
            </w:pPr>
            <w:r>
              <w:rPr>
                <w:rFonts w:hint="eastAsia"/>
                <w:color w:val="000000"/>
                <w:sz w:val="21"/>
                <w:szCs w:val="21"/>
              </w:rPr>
              <w:t>0.0192</w:t>
            </w:r>
          </w:p>
        </w:tc>
        <w:tc>
          <w:tcPr>
            <w:tcW w:w="934" w:type="pct"/>
            <w:vMerge w:val="continue"/>
            <w:tcBorders>
              <w:tl2br w:val="nil"/>
              <w:tr2bl w:val="nil"/>
            </w:tcBorders>
            <w:vAlign w:val="center"/>
          </w:tcPr>
          <w:p w14:paraId="49D43B31">
            <w:pPr>
              <w:jc w:val="center"/>
              <w:rPr>
                <w:sz w:val="21"/>
                <w:szCs w:val="21"/>
              </w:rPr>
            </w:pPr>
          </w:p>
        </w:tc>
      </w:tr>
    </w:tbl>
    <w:p w14:paraId="34A8B521">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（3）固废排放情况</w:t>
      </w:r>
    </w:p>
    <w:p w14:paraId="297B0A60">
      <w:pPr>
        <w:widowControl/>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建设项目产生的</w:t>
      </w:r>
      <w:r>
        <w:rPr>
          <w:rFonts w:hint="eastAsia" w:eastAsia="宋体"/>
          <w:color w:val="000000" w:themeColor="text1"/>
          <w:lang w:val="en-US" w:eastAsia="zh-CN"/>
          <w14:textFill>
            <w14:solidFill>
              <w14:schemeClr w14:val="tx1"/>
            </w14:solidFill>
          </w14:textFill>
        </w:rPr>
        <w:t>一般固（液）体废物有</w:t>
      </w:r>
      <w:r>
        <w:rPr>
          <w:rFonts w:hint="eastAsia" w:eastAsia="宋体" w:cs="Times New Roman"/>
          <w:color w:val="auto"/>
          <w:spacing w:val="10"/>
          <w:kern w:val="2"/>
          <w:sz w:val="24"/>
          <w:szCs w:val="22"/>
          <w:lang w:val="en-US" w:eastAsia="zh-CN" w:bidi="ar-SA"/>
        </w:rPr>
        <w:t>废木料、除尘器粉尘和</w:t>
      </w:r>
      <w:r>
        <w:rPr>
          <w:rFonts w:hint="default" w:ascii="Times New Roman" w:hAnsi="Times New Roman" w:eastAsia="宋体" w:cs="Times New Roman"/>
          <w:b w:val="0"/>
          <w:bCs w:val="0"/>
          <w:color w:val="auto"/>
          <w:kern w:val="0"/>
          <w:sz w:val="24"/>
          <w:szCs w:val="24"/>
          <w:lang w:val="en-US" w:eastAsia="zh-CN" w:bidi="ar-SA"/>
        </w:rPr>
        <w:t>生活垃圾</w:t>
      </w:r>
      <w:r>
        <w:rPr>
          <w:rFonts w:hint="eastAsia" w:eastAsia="宋体"/>
          <w:color w:val="000000" w:themeColor="text1"/>
          <w:lang w:val="en-US" w:eastAsia="zh-CN"/>
          <w14:textFill>
            <w14:solidFill>
              <w14:schemeClr w14:val="tx1"/>
            </w14:solidFill>
          </w14:textFill>
        </w:rPr>
        <w:t>，其中，生活垃圾由环卫清运；</w:t>
      </w:r>
      <w:r>
        <w:rPr>
          <w:rFonts w:hint="eastAsia" w:eastAsia="宋体" w:cs="Times New Roman"/>
          <w:color w:val="auto"/>
          <w:spacing w:val="10"/>
          <w:kern w:val="2"/>
          <w:sz w:val="24"/>
          <w:szCs w:val="22"/>
          <w:lang w:val="en-US" w:eastAsia="zh-CN" w:bidi="ar-SA"/>
        </w:rPr>
        <w:t>废木料、除尘器粉尘</w:t>
      </w:r>
      <w:r>
        <w:rPr>
          <w:rFonts w:hint="eastAsia" w:eastAsia="宋体"/>
          <w:color w:val="000000" w:themeColor="text1"/>
          <w:lang w:val="en-US" w:eastAsia="zh-CN"/>
          <w14:textFill>
            <w14:solidFill>
              <w14:schemeClr w14:val="tx1"/>
            </w14:solidFill>
          </w14:textFill>
        </w:rPr>
        <w:t>收集后外售综合利用；危险固（液）体废物包括</w:t>
      </w:r>
      <w:r>
        <w:rPr>
          <w:rFonts w:hint="default" w:ascii="Times New Roman" w:hAnsi="Times New Roman" w:eastAsia="宋体" w:cs="Times New Roman"/>
          <w:color w:val="auto"/>
          <w:sz w:val="24"/>
          <w:szCs w:val="24"/>
          <w:lang w:val="en-US" w:eastAsia="zh-CN"/>
        </w:rPr>
        <w:t>废活性炭、漆渣</w:t>
      </w:r>
      <w:r>
        <w:rPr>
          <w:rFonts w:hint="eastAsia" w:ascii="Times New Roman" w:hAnsi="Times New Roman" w:eastAsia="宋体" w:cs="Times New Roman"/>
          <w:color w:val="auto"/>
          <w:sz w:val="24"/>
          <w:szCs w:val="24"/>
          <w:lang w:val="en-US" w:eastAsia="zh-CN"/>
        </w:rPr>
        <w:t>、</w:t>
      </w:r>
      <w:r>
        <w:rPr>
          <w:rFonts w:hint="eastAsia" w:eastAsia="宋体"/>
          <w:color w:val="000000" w:themeColor="text1"/>
          <w:lang w:val="en-US" w:eastAsia="zh-CN"/>
          <w14:textFill>
            <w14:solidFill>
              <w14:schemeClr w14:val="tx1"/>
            </w14:solidFill>
          </w14:textFill>
        </w:rPr>
        <w:t>委托海安蔚蓝环保服务有限公司处置。</w:t>
      </w:r>
    </w:p>
    <w:p w14:paraId="34A9DAA3">
      <w:pPr>
        <w:widowControl/>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危险固（液）体废物和一般固体废物产生</w:t>
      </w:r>
      <w:r>
        <w:rPr>
          <w:rFonts w:eastAsia="宋体"/>
          <w:color w:val="000000" w:themeColor="text1"/>
          <w14:textFill>
            <w14:solidFill>
              <w14:schemeClr w14:val="tx1"/>
            </w14:solidFill>
          </w14:textFill>
        </w:rPr>
        <w:t>情况见表3-1</w:t>
      </w:r>
      <w:r>
        <w:rPr>
          <w:rFonts w:hint="eastAsia" w:eastAsia="宋体"/>
          <w:color w:val="000000" w:themeColor="text1"/>
          <w:lang w:val="en-US" w:eastAsia="zh-CN"/>
          <w14:textFill>
            <w14:solidFill>
              <w14:schemeClr w14:val="tx1"/>
            </w14:solidFill>
          </w14:textFill>
        </w:rPr>
        <w:t>5</w:t>
      </w:r>
      <w:r>
        <w:rPr>
          <w:rFonts w:hint="eastAsia" w:eastAsia="宋体"/>
          <w:color w:val="000000" w:themeColor="text1"/>
          <w14:textFill>
            <w14:solidFill>
              <w14:schemeClr w14:val="tx1"/>
            </w14:solidFill>
          </w14:textFill>
        </w:rPr>
        <w:t>、3-1</w:t>
      </w:r>
      <w:r>
        <w:rPr>
          <w:rFonts w:hint="eastAsia" w:eastAsia="宋体"/>
          <w:color w:val="000000" w:themeColor="text1"/>
          <w:lang w:val="en-US" w:eastAsia="zh-CN"/>
          <w14:textFill>
            <w14:solidFill>
              <w14:schemeClr w14:val="tx1"/>
            </w14:solidFill>
          </w14:textFill>
        </w:rPr>
        <w:t>6</w:t>
      </w:r>
      <w:r>
        <w:rPr>
          <w:rFonts w:eastAsia="宋体"/>
          <w:color w:val="000000" w:themeColor="text1"/>
          <w14:textFill>
            <w14:solidFill>
              <w14:schemeClr w14:val="tx1"/>
            </w14:solidFill>
          </w14:textFill>
        </w:rPr>
        <w:t>。</w:t>
      </w:r>
    </w:p>
    <w:p w14:paraId="4E71E74F">
      <w:pPr>
        <w:snapToGrid w:val="0"/>
        <w:spacing w:line="500" w:lineRule="exact"/>
        <w:jc w:val="center"/>
        <w:rPr>
          <w:rFonts w:eastAsia="宋体"/>
          <w:b/>
          <w:bCs/>
        </w:rPr>
      </w:pPr>
      <w:r>
        <w:rPr>
          <w:rFonts w:eastAsia="宋体"/>
          <w:b/>
          <w:bCs/>
        </w:rPr>
        <w:t>表3-1</w:t>
      </w:r>
      <w:r>
        <w:rPr>
          <w:rFonts w:hint="eastAsia" w:eastAsia="宋体"/>
          <w:b/>
          <w:bCs/>
          <w:lang w:val="en-US" w:eastAsia="zh-CN"/>
        </w:rPr>
        <w:t>5</w:t>
      </w:r>
      <w:r>
        <w:rPr>
          <w:rFonts w:eastAsia="宋体"/>
          <w:b/>
          <w:bCs/>
        </w:rPr>
        <w:t>危险固（液）体</w:t>
      </w:r>
      <w:r>
        <w:rPr>
          <w:rFonts w:hint="eastAsia" w:eastAsia="宋体"/>
          <w:b/>
          <w:bCs/>
        </w:rPr>
        <w:t>废物产生</w:t>
      </w:r>
      <w:r>
        <w:rPr>
          <w:rFonts w:eastAsia="宋体"/>
          <w:b/>
          <w:bCs/>
        </w:rPr>
        <w:t>情况一览表</w:t>
      </w:r>
    </w:p>
    <w:tbl>
      <w:tblPr>
        <w:tblStyle w:val="38"/>
        <w:tblW w:w="5329"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727"/>
        <w:gridCol w:w="1219"/>
        <w:gridCol w:w="1007"/>
        <w:gridCol w:w="909"/>
        <w:gridCol w:w="950"/>
        <w:gridCol w:w="1076"/>
        <w:gridCol w:w="1396"/>
        <w:gridCol w:w="1184"/>
        <w:gridCol w:w="1337"/>
      </w:tblGrid>
      <w:tr w14:paraId="4E5AD5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70" w:hRule="atLeast"/>
          <w:jc w:val="center"/>
        </w:trPr>
        <w:tc>
          <w:tcPr>
            <w:tcW w:w="371" w:type="pct"/>
            <w:tcBorders>
              <w:tl2br w:val="nil"/>
              <w:tr2bl w:val="nil"/>
            </w:tcBorders>
            <w:vAlign w:val="center"/>
          </w:tcPr>
          <w:p w14:paraId="2B1F7BA6">
            <w:pPr>
              <w:pStyle w:val="143"/>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621" w:type="pct"/>
            <w:tcBorders>
              <w:tl2br w:val="nil"/>
              <w:tr2bl w:val="nil"/>
            </w:tcBorders>
            <w:vAlign w:val="center"/>
          </w:tcPr>
          <w:p w14:paraId="04BE2169">
            <w:pPr>
              <w:pStyle w:val="143"/>
              <w:rPr>
                <w:rFonts w:hint="default" w:ascii="Times New Roman" w:hAnsi="Times New Roman" w:cs="Times New Roman"/>
                <w:sz w:val="21"/>
                <w:szCs w:val="21"/>
              </w:rPr>
            </w:pPr>
            <w:r>
              <w:rPr>
                <w:rFonts w:hint="default" w:ascii="Times New Roman" w:hAnsi="Times New Roman" w:cs="Times New Roman"/>
                <w:sz w:val="21"/>
                <w:szCs w:val="21"/>
              </w:rPr>
              <w:t>固废名称</w:t>
            </w:r>
          </w:p>
        </w:tc>
        <w:tc>
          <w:tcPr>
            <w:tcW w:w="513" w:type="pct"/>
            <w:tcBorders>
              <w:tl2br w:val="nil"/>
              <w:tr2bl w:val="nil"/>
            </w:tcBorders>
            <w:vAlign w:val="center"/>
          </w:tcPr>
          <w:p w14:paraId="1F6FCECB">
            <w:pPr>
              <w:pStyle w:val="143"/>
              <w:rPr>
                <w:rFonts w:hint="default" w:ascii="Times New Roman" w:hAnsi="Times New Roman" w:cs="Times New Roman"/>
                <w:sz w:val="21"/>
                <w:szCs w:val="21"/>
              </w:rPr>
            </w:pPr>
            <w:r>
              <w:rPr>
                <w:rFonts w:hint="default" w:ascii="Times New Roman" w:hAnsi="Times New Roman" w:cs="Times New Roman"/>
                <w:sz w:val="21"/>
                <w:szCs w:val="21"/>
              </w:rPr>
              <w:t>产生工序</w:t>
            </w:r>
          </w:p>
        </w:tc>
        <w:tc>
          <w:tcPr>
            <w:tcW w:w="463" w:type="pct"/>
            <w:tcBorders>
              <w:tl2br w:val="nil"/>
              <w:tr2bl w:val="nil"/>
            </w:tcBorders>
            <w:vAlign w:val="center"/>
          </w:tcPr>
          <w:p w14:paraId="156DB843">
            <w:pPr>
              <w:pStyle w:val="143"/>
              <w:rPr>
                <w:rFonts w:hint="default" w:ascii="Times New Roman" w:hAnsi="Times New Roman" w:cs="Times New Roman"/>
                <w:sz w:val="21"/>
                <w:szCs w:val="21"/>
              </w:rPr>
            </w:pPr>
            <w:r>
              <w:rPr>
                <w:rFonts w:hint="default" w:ascii="Times New Roman" w:hAnsi="Times New Roman" w:cs="Times New Roman"/>
                <w:sz w:val="21"/>
                <w:szCs w:val="21"/>
              </w:rPr>
              <w:t>形态</w:t>
            </w:r>
          </w:p>
        </w:tc>
        <w:tc>
          <w:tcPr>
            <w:tcW w:w="484" w:type="pct"/>
            <w:tcBorders>
              <w:tl2br w:val="nil"/>
              <w:tr2bl w:val="nil"/>
            </w:tcBorders>
            <w:vAlign w:val="center"/>
          </w:tcPr>
          <w:p w14:paraId="4C9049E8">
            <w:pPr>
              <w:pStyle w:val="143"/>
              <w:rPr>
                <w:rFonts w:hint="default" w:ascii="Times New Roman" w:hAnsi="Times New Roman" w:cs="Times New Roman"/>
                <w:sz w:val="21"/>
                <w:szCs w:val="21"/>
              </w:rPr>
            </w:pPr>
            <w:r>
              <w:rPr>
                <w:rFonts w:hint="default" w:ascii="Times New Roman" w:hAnsi="Times New Roman" w:cs="Times New Roman"/>
                <w:sz w:val="21"/>
                <w:szCs w:val="21"/>
              </w:rPr>
              <w:t>属性</w:t>
            </w:r>
          </w:p>
        </w:tc>
        <w:tc>
          <w:tcPr>
            <w:tcW w:w="548" w:type="pct"/>
            <w:tcBorders>
              <w:tl2br w:val="nil"/>
              <w:tr2bl w:val="nil"/>
            </w:tcBorders>
            <w:vAlign w:val="center"/>
          </w:tcPr>
          <w:p w14:paraId="2652A960">
            <w:pPr>
              <w:pStyle w:val="143"/>
              <w:rPr>
                <w:rFonts w:hint="default" w:ascii="Times New Roman" w:hAnsi="Times New Roman" w:cs="Times New Roman"/>
                <w:sz w:val="21"/>
                <w:szCs w:val="21"/>
              </w:rPr>
            </w:pPr>
            <w:r>
              <w:rPr>
                <w:rFonts w:hint="default" w:ascii="Times New Roman" w:hAnsi="Times New Roman" w:cs="Times New Roman"/>
                <w:sz w:val="21"/>
                <w:szCs w:val="21"/>
              </w:rPr>
              <w:t>废物类别</w:t>
            </w:r>
          </w:p>
        </w:tc>
        <w:tc>
          <w:tcPr>
            <w:tcW w:w="711" w:type="pct"/>
            <w:tcBorders>
              <w:tl2br w:val="nil"/>
              <w:tr2bl w:val="nil"/>
            </w:tcBorders>
            <w:vAlign w:val="center"/>
          </w:tcPr>
          <w:p w14:paraId="32C8DDF7">
            <w:pPr>
              <w:pStyle w:val="143"/>
              <w:rPr>
                <w:rFonts w:hint="default" w:ascii="Times New Roman" w:hAnsi="Times New Roman" w:cs="Times New Roman"/>
                <w:sz w:val="21"/>
                <w:szCs w:val="21"/>
              </w:rPr>
            </w:pPr>
            <w:r>
              <w:rPr>
                <w:rFonts w:hint="default" w:ascii="Times New Roman" w:hAnsi="Times New Roman" w:cs="Times New Roman"/>
                <w:sz w:val="21"/>
                <w:szCs w:val="21"/>
              </w:rPr>
              <w:t>废物代码</w:t>
            </w:r>
          </w:p>
        </w:tc>
        <w:tc>
          <w:tcPr>
            <w:tcW w:w="603" w:type="pct"/>
            <w:tcBorders>
              <w:tl2br w:val="nil"/>
              <w:tr2bl w:val="nil"/>
            </w:tcBorders>
            <w:vAlign w:val="center"/>
          </w:tcPr>
          <w:p w14:paraId="37C0D301">
            <w:pPr>
              <w:pStyle w:val="143"/>
              <w:rPr>
                <w:rFonts w:hint="default" w:ascii="Times New Roman" w:hAnsi="Times New Roman" w:cs="Times New Roman"/>
                <w:sz w:val="21"/>
                <w:szCs w:val="21"/>
              </w:rPr>
            </w:pPr>
            <w:r>
              <w:rPr>
                <w:rFonts w:hint="default" w:ascii="Times New Roman" w:hAnsi="Times New Roman" w:cs="Times New Roman"/>
                <w:sz w:val="21"/>
                <w:szCs w:val="21"/>
              </w:rPr>
              <w:t>产生量（t/a）</w:t>
            </w:r>
          </w:p>
        </w:tc>
        <w:tc>
          <w:tcPr>
            <w:tcW w:w="681" w:type="pct"/>
            <w:tcBorders>
              <w:tl2br w:val="nil"/>
              <w:tr2bl w:val="nil"/>
            </w:tcBorders>
            <w:vAlign w:val="center"/>
          </w:tcPr>
          <w:p w14:paraId="4E0341A5">
            <w:pPr>
              <w:pStyle w:val="143"/>
              <w:rPr>
                <w:rFonts w:hint="default" w:ascii="Times New Roman" w:hAnsi="Times New Roman" w:cs="Times New Roman"/>
                <w:sz w:val="21"/>
                <w:szCs w:val="21"/>
              </w:rPr>
            </w:pPr>
            <w:r>
              <w:rPr>
                <w:rFonts w:hint="default" w:ascii="Times New Roman" w:hAnsi="Times New Roman" w:cs="Times New Roman"/>
                <w:sz w:val="21"/>
                <w:szCs w:val="21"/>
              </w:rPr>
              <w:t>处置方式</w:t>
            </w:r>
          </w:p>
        </w:tc>
      </w:tr>
      <w:tr w14:paraId="78E3A0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3" w:hRule="atLeast"/>
          <w:jc w:val="center"/>
        </w:trPr>
        <w:tc>
          <w:tcPr>
            <w:tcW w:w="371" w:type="pct"/>
            <w:tcBorders>
              <w:bottom w:val="single" w:color="auto" w:sz="4" w:space="0"/>
              <w:tl2br w:val="nil"/>
              <w:tr2bl w:val="nil"/>
            </w:tcBorders>
            <w:vAlign w:val="center"/>
          </w:tcPr>
          <w:p w14:paraId="1385F4A9">
            <w:pPr>
              <w:widowControl/>
              <w:jc w:val="center"/>
              <w:rPr>
                <w:rFonts w:hint="default" w:eastAsia="宋体" w:cs="Times New Roman"/>
                <w:w w:val="100"/>
                <w:kern w:val="0"/>
                <w:sz w:val="21"/>
                <w:szCs w:val="21"/>
                <w:lang w:val="en-US" w:eastAsia="zh-CN"/>
              </w:rPr>
            </w:pPr>
            <w:r>
              <w:rPr>
                <w:rFonts w:hint="eastAsia" w:eastAsia="宋体" w:cs="Times New Roman"/>
                <w:w w:val="100"/>
                <w:kern w:val="0"/>
                <w:sz w:val="21"/>
                <w:szCs w:val="21"/>
                <w:lang w:val="en-US" w:eastAsia="zh-CN"/>
              </w:rPr>
              <w:t>1</w:t>
            </w:r>
          </w:p>
        </w:tc>
        <w:tc>
          <w:tcPr>
            <w:tcW w:w="621" w:type="pct"/>
            <w:tcBorders>
              <w:bottom w:val="single" w:color="auto" w:sz="4" w:space="0"/>
              <w:tl2br w:val="nil"/>
              <w:tr2bl w:val="nil"/>
            </w:tcBorders>
            <w:vAlign w:val="center"/>
          </w:tcPr>
          <w:p w14:paraId="787A8308">
            <w:pPr>
              <w:jc w:val="center"/>
              <w:rPr>
                <w:rFonts w:hint="default" w:ascii="Times New Roman" w:eastAsia="宋体"/>
                <w:sz w:val="21"/>
                <w:szCs w:val="21"/>
                <w:lang w:val="en-US" w:eastAsia="zh-CN"/>
              </w:rPr>
            </w:pPr>
            <w:r>
              <w:rPr>
                <w:rFonts w:hint="eastAsia"/>
                <w:color w:val="auto"/>
                <w:sz w:val="21"/>
                <w:szCs w:val="21"/>
              </w:rPr>
              <w:t>废包装桶</w:t>
            </w:r>
          </w:p>
        </w:tc>
        <w:tc>
          <w:tcPr>
            <w:tcW w:w="513" w:type="pct"/>
            <w:tcBorders>
              <w:bottom w:val="single" w:color="auto" w:sz="4" w:space="0"/>
              <w:tl2br w:val="nil"/>
              <w:tr2bl w:val="nil"/>
            </w:tcBorders>
            <w:vAlign w:val="center"/>
          </w:tcPr>
          <w:p w14:paraId="5F184D79">
            <w:pPr>
              <w:jc w:val="center"/>
              <w:rPr>
                <w:rFonts w:hint="default" w:eastAsia="宋体"/>
                <w:kern w:val="0"/>
                <w:sz w:val="21"/>
                <w:szCs w:val="21"/>
                <w:lang w:val="en-US" w:eastAsia="zh-CN"/>
              </w:rPr>
            </w:pPr>
            <w:r>
              <w:rPr>
                <w:rFonts w:hint="eastAsia"/>
                <w:color w:val="auto"/>
                <w:sz w:val="21"/>
                <w:szCs w:val="21"/>
              </w:rPr>
              <w:t>化学品</w:t>
            </w:r>
          </w:p>
        </w:tc>
        <w:tc>
          <w:tcPr>
            <w:tcW w:w="463" w:type="pct"/>
            <w:tcBorders>
              <w:bottom w:val="single" w:color="auto" w:sz="4" w:space="0"/>
              <w:tl2br w:val="nil"/>
              <w:tr2bl w:val="nil"/>
            </w:tcBorders>
            <w:vAlign w:val="center"/>
          </w:tcPr>
          <w:p w14:paraId="5F68B411">
            <w:pPr>
              <w:jc w:val="center"/>
              <w:rPr>
                <w:rFonts w:hint="eastAsia" w:eastAsia="宋体"/>
                <w:kern w:val="0"/>
                <w:sz w:val="21"/>
                <w:szCs w:val="21"/>
                <w:lang w:val="en-US" w:eastAsia="zh-CN"/>
              </w:rPr>
            </w:pPr>
            <w:r>
              <w:rPr>
                <w:rFonts w:hint="eastAsia"/>
                <w:color w:val="auto"/>
                <w:sz w:val="21"/>
                <w:szCs w:val="21"/>
              </w:rPr>
              <w:t>固态</w:t>
            </w:r>
          </w:p>
        </w:tc>
        <w:tc>
          <w:tcPr>
            <w:tcW w:w="484" w:type="pct"/>
            <w:tcBorders>
              <w:bottom w:val="single" w:color="auto" w:sz="4" w:space="0"/>
              <w:tl2br w:val="nil"/>
              <w:tr2bl w:val="nil"/>
            </w:tcBorders>
            <w:vAlign w:val="center"/>
          </w:tcPr>
          <w:p w14:paraId="39C15DA2">
            <w:pPr>
              <w:jc w:val="center"/>
              <w:rPr>
                <w:rFonts w:hint="default" w:ascii="Times New Roman" w:hAnsi="Times New Roman" w:cs="Times New Roman"/>
                <w:sz w:val="21"/>
                <w:szCs w:val="21"/>
              </w:rPr>
            </w:pPr>
            <w:r>
              <w:rPr>
                <w:color w:val="auto"/>
                <w:sz w:val="21"/>
                <w:szCs w:val="21"/>
              </w:rPr>
              <w:t>危险废物</w:t>
            </w:r>
          </w:p>
        </w:tc>
        <w:tc>
          <w:tcPr>
            <w:tcW w:w="548" w:type="pct"/>
            <w:tcBorders>
              <w:bottom w:val="single" w:color="auto" w:sz="4" w:space="0"/>
              <w:tl2br w:val="nil"/>
              <w:tr2bl w:val="nil"/>
            </w:tcBorders>
            <w:vAlign w:val="center"/>
          </w:tcPr>
          <w:p w14:paraId="098E3012">
            <w:pPr>
              <w:jc w:val="center"/>
              <w:rPr>
                <w:rFonts w:hint="eastAsia" w:eastAsia="宋体"/>
                <w:kern w:val="0"/>
                <w:sz w:val="21"/>
                <w:szCs w:val="21"/>
                <w:lang w:eastAsia="zh-CN"/>
              </w:rPr>
            </w:pPr>
            <w:r>
              <w:rPr>
                <w:color w:val="auto"/>
                <w:sz w:val="21"/>
                <w:szCs w:val="21"/>
              </w:rPr>
              <w:t>HW49</w:t>
            </w:r>
          </w:p>
        </w:tc>
        <w:tc>
          <w:tcPr>
            <w:tcW w:w="711" w:type="pct"/>
            <w:tcBorders>
              <w:bottom w:val="single" w:color="auto" w:sz="4" w:space="0"/>
              <w:tl2br w:val="nil"/>
              <w:tr2bl w:val="nil"/>
            </w:tcBorders>
            <w:vAlign w:val="center"/>
          </w:tcPr>
          <w:p w14:paraId="0167231F">
            <w:pPr>
              <w:jc w:val="center"/>
              <w:rPr>
                <w:rFonts w:hint="default" w:eastAsia="宋体"/>
                <w:sz w:val="21"/>
                <w:szCs w:val="21"/>
              </w:rPr>
            </w:pPr>
            <w:r>
              <w:rPr>
                <w:color w:val="auto"/>
                <w:sz w:val="21"/>
                <w:szCs w:val="21"/>
              </w:rPr>
              <w:t>900-0</w:t>
            </w:r>
            <w:r>
              <w:rPr>
                <w:rFonts w:hint="eastAsia"/>
                <w:color w:val="auto"/>
                <w:sz w:val="21"/>
                <w:szCs w:val="21"/>
              </w:rPr>
              <w:t>41</w:t>
            </w:r>
            <w:r>
              <w:rPr>
                <w:color w:val="auto"/>
                <w:sz w:val="21"/>
                <w:szCs w:val="21"/>
              </w:rPr>
              <w:t>-49</w:t>
            </w:r>
          </w:p>
        </w:tc>
        <w:tc>
          <w:tcPr>
            <w:tcW w:w="603" w:type="pct"/>
            <w:tcBorders>
              <w:bottom w:val="single" w:color="auto" w:sz="4" w:space="0"/>
              <w:tl2br w:val="nil"/>
              <w:tr2bl w:val="nil"/>
            </w:tcBorders>
            <w:vAlign w:val="center"/>
          </w:tcPr>
          <w:p w14:paraId="40298B04">
            <w:pPr>
              <w:jc w:val="center"/>
              <w:rPr>
                <w:rFonts w:hint="default" w:ascii="Times New Roman" w:hAnsi="Times New Roman" w:cs="Times New Roman"/>
                <w:color w:val="auto"/>
                <w:sz w:val="21"/>
                <w:szCs w:val="21"/>
                <w:lang w:val="en-US" w:eastAsia="zh-CN"/>
              </w:rPr>
            </w:pPr>
            <w:r>
              <w:rPr>
                <w:rFonts w:hint="eastAsia"/>
                <w:color w:val="auto"/>
                <w:sz w:val="21"/>
                <w:szCs w:val="21"/>
                <w:lang w:eastAsia="zh-CN"/>
              </w:rPr>
              <w:t>1.037</w:t>
            </w:r>
          </w:p>
        </w:tc>
        <w:tc>
          <w:tcPr>
            <w:tcW w:w="681" w:type="pct"/>
            <w:vMerge w:val="restart"/>
            <w:tcBorders>
              <w:tl2br w:val="nil"/>
              <w:tr2bl w:val="nil"/>
            </w:tcBorders>
            <w:vAlign w:val="center"/>
          </w:tcPr>
          <w:p w14:paraId="709DFC0B">
            <w:pPr>
              <w:pStyle w:val="143"/>
              <w:rPr>
                <w:rFonts w:hint="default" w:ascii="Times New Roman" w:hAnsi="Times New Roman" w:cs="Times New Roman"/>
                <w:sz w:val="21"/>
                <w:szCs w:val="21"/>
              </w:rPr>
            </w:pPr>
            <w:r>
              <w:rPr>
                <w:rFonts w:hint="default" w:ascii="Times New Roman" w:hAnsi="Times New Roman" w:cs="Times New Roman"/>
                <w:sz w:val="21"/>
                <w:szCs w:val="21"/>
              </w:rPr>
              <w:t>收集后由</w:t>
            </w:r>
            <w:r>
              <w:rPr>
                <w:rFonts w:hint="default" w:ascii="Times New Roman" w:hAnsi="Times New Roman" w:cs="Times New Roman"/>
                <w:sz w:val="21"/>
                <w:szCs w:val="21"/>
                <w:lang w:eastAsia="zh-CN"/>
              </w:rPr>
              <w:t>海安蔚蓝环保服务</w:t>
            </w:r>
            <w:r>
              <w:rPr>
                <w:rFonts w:hint="default" w:ascii="Times New Roman" w:hAnsi="Times New Roman" w:cs="Times New Roman"/>
                <w:sz w:val="21"/>
                <w:szCs w:val="21"/>
              </w:rPr>
              <w:t>有限公司进行处置</w:t>
            </w:r>
          </w:p>
        </w:tc>
      </w:tr>
      <w:tr w14:paraId="20781F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6" w:hRule="atLeast"/>
          <w:jc w:val="center"/>
        </w:trPr>
        <w:tc>
          <w:tcPr>
            <w:tcW w:w="371" w:type="pct"/>
            <w:tcBorders>
              <w:top w:val="single" w:color="auto" w:sz="4" w:space="0"/>
              <w:bottom w:val="single" w:color="auto" w:sz="4" w:space="0"/>
              <w:tl2br w:val="nil"/>
              <w:tr2bl w:val="nil"/>
            </w:tcBorders>
            <w:vAlign w:val="center"/>
          </w:tcPr>
          <w:p w14:paraId="035A4C7F">
            <w:pPr>
              <w:widowControl/>
              <w:jc w:val="center"/>
              <w:rPr>
                <w:rFonts w:hint="default" w:eastAsia="宋体" w:cs="Times New Roman"/>
                <w:w w:val="100"/>
                <w:kern w:val="0"/>
                <w:sz w:val="21"/>
                <w:szCs w:val="21"/>
                <w:lang w:val="en-US" w:eastAsia="zh-CN"/>
              </w:rPr>
            </w:pPr>
            <w:r>
              <w:rPr>
                <w:rFonts w:hint="eastAsia" w:eastAsia="宋体" w:cs="Times New Roman"/>
                <w:w w:val="100"/>
                <w:kern w:val="0"/>
                <w:sz w:val="21"/>
                <w:szCs w:val="21"/>
                <w:lang w:val="en-US" w:eastAsia="zh-CN"/>
              </w:rPr>
              <w:t>2</w:t>
            </w:r>
          </w:p>
        </w:tc>
        <w:tc>
          <w:tcPr>
            <w:tcW w:w="621" w:type="pct"/>
            <w:tcBorders>
              <w:top w:val="single" w:color="auto" w:sz="4" w:space="0"/>
              <w:bottom w:val="single" w:color="auto" w:sz="4" w:space="0"/>
              <w:tl2br w:val="nil"/>
              <w:tr2bl w:val="nil"/>
            </w:tcBorders>
            <w:vAlign w:val="center"/>
          </w:tcPr>
          <w:p w14:paraId="1C10DE31">
            <w:pPr>
              <w:jc w:val="center"/>
              <w:rPr>
                <w:rFonts w:hint="default" w:eastAsia="宋体"/>
                <w:sz w:val="21"/>
                <w:szCs w:val="21"/>
                <w:lang w:val="en-US" w:eastAsia="zh-CN"/>
              </w:rPr>
            </w:pPr>
            <w:r>
              <w:rPr>
                <w:color w:val="auto"/>
                <w:sz w:val="21"/>
                <w:szCs w:val="21"/>
              </w:rPr>
              <w:t>废活性炭</w:t>
            </w:r>
          </w:p>
        </w:tc>
        <w:tc>
          <w:tcPr>
            <w:tcW w:w="513" w:type="pct"/>
            <w:tcBorders>
              <w:top w:val="single" w:color="auto" w:sz="4" w:space="0"/>
              <w:bottom w:val="single" w:color="auto" w:sz="4" w:space="0"/>
              <w:tl2br w:val="nil"/>
              <w:tr2bl w:val="nil"/>
            </w:tcBorders>
            <w:vAlign w:val="center"/>
          </w:tcPr>
          <w:p w14:paraId="6B204667">
            <w:pPr>
              <w:jc w:val="center"/>
              <w:rPr>
                <w:rFonts w:hint="eastAsia" w:eastAsia="宋体"/>
                <w:kern w:val="0"/>
                <w:sz w:val="21"/>
                <w:szCs w:val="21"/>
                <w:lang w:val="en-US" w:eastAsia="zh-CN"/>
              </w:rPr>
            </w:pPr>
            <w:r>
              <w:rPr>
                <w:color w:val="auto"/>
                <w:sz w:val="21"/>
                <w:szCs w:val="21"/>
              </w:rPr>
              <w:t>有机物</w:t>
            </w:r>
          </w:p>
        </w:tc>
        <w:tc>
          <w:tcPr>
            <w:tcW w:w="463" w:type="pct"/>
            <w:tcBorders>
              <w:top w:val="single" w:color="auto" w:sz="4" w:space="0"/>
              <w:bottom w:val="single" w:color="auto" w:sz="4" w:space="0"/>
              <w:tl2br w:val="nil"/>
              <w:tr2bl w:val="nil"/>
            </w:tcBorders>
            <w:vAlign w:val="center"/>
          </w:tcPr>
          <w:p w14:paraId="765A290E">
            <w:pPr>
              <w:jc w:val="center"/>
              <w:rPr>
                <w:rFonts w:hint="eastAsia" w:eastAsia="宋体"/>
                <w:kern w:val="0"/>
                <w:sz w:val="21"/>
                <w:szCs w:val="21"/>
                <w:lang w:val="en-US" w:eastAsia="zh-CN"/>
              </w:rPr>
            </w:pPr>
            <w:r>
              <w:rPr>
                <w:color w:val="auto"/>
                <w:sz w:val="21"/>
                <w:szCs w:val="21"/>
              </w:rPr>
              <w:t>固态</w:t>
            </w:r>
          </w:p>
        </w:tc>
        <w:tc>
          <w:tcPr>
            <w:tcW w:w="484" w:type="pct"/>
            <w:tcBorders>
              <w:top w:val="single" w:color="auto" w:sz="4" w:space="0"/>
              <w:bottom w:val="single" w:color="auto" w:sz="4" w:space="0"/>
              <w:tl2br w:val="nil"/>
              <w:tr2bl w:val="nil"/>
            </w:tcBorders>
            <w:vAlign w:val="center"/>
          </w:tcPr>
          <w:p w14:paraId="64788AA3">
            <w:pPr>
              <w:jc w:val="center"/>
              <w:rPr>
                <w:rFonts w:hint="default" w:ascii="Times New Roman" w:hAnsi="Times New Roman" w:cs="Times New Roman"/>
                <w:sz w:val="21"/>
                <w:szCs w:val="21"/>
              </w:rPr>
            </w:pPr>
            <w:r>
              <w:rPr>
                <w:color w:val="auto"/>
                <w:sz w:val="21"/>
                <w:szCs w:val="21"/>
              </w:rPr>
              <w:t>危险废物</w:t>
            </w:r>
          </w:p>
        </w:tc>
        <w:tc>
          <w:tcPr>
            <w:tcW w:w="548" w:type="pct"/>
            <w:tcBorders>
              <w:top w:val="single" w:color="auto" w:sz="4" w:space="0"/>
              <w:bottom w:val="single" w:color="auto" w:sz="4" w:space="0"/>
              <w:tl2br w:val="nil"/>
              <w:tr2bl w:val="nil"/>
            </w:tcBorders>
            <w:vAlign w:val="center"/>
          </w:tcPr>
          <w:p w14:paraId="46D8220A">
            <w:pPr>
              <w:jc w:val="center"/>
              <w:rPr>
                <w:rFonts w:hint="default" w:ascii="Arial" w:hAnsi="Arial" w:eastAsia="宋体" w:cs="Arial"/>
                <w:i w:val="0"/>
                <w:iCs w:val="0"/>
                <w:caps w:val="0"/>
                <w:color w:val="333333"/>
                <w:spacing w:val="0"/>
                <w:sz w:val="21"/>
                <w:szCs w:val="21"/>
                <w:shd w:val="clear" w:fill="FFFFFF"/>
                <w:lang w:val="en-US" w:eastAsia="zh-CN"/>
              </w:rPr>
            </w:pPr>
            <w:r>
              <w:rPr>
                <w:color w:val="auto"/>
                <w:sz w:val="21"/>
                <w:szCs w:val="21"/>
              </w:rPr>
              <w:t>HW49</w:t>
            </w:r>
          </w:p>
        </w:tc>
        <w:tc>
          <w:tcPr>
            <w:tcW w:w="711" w:type="pct"/>
            <w:tcBorders>
              <w:top w:val="single" w:color="auto" w:sz="4" w:space="0"/>
              <w:bottom w:val="single" w:color="auto" w:sz="4" w:space="0"/>
              <w:tl2br w:val="nil"/>
              <w:tr2bl w:val="nil"/>
            </w:tcBorders>
            <w:vAlign w:val="center"/>
          </w:tcPr>
          <w:p w14:paraId="6B00CCD3">
            <w:pPr>
              <w:jc w:val="center"/>
              <w:rPr>
                <w:rFonts w:hint="default" w:ascii="Arial" w:hAnsi="Arial" w:eastAsia="宋体" w:cs="Arial"/>
                <w:i w:val="0"/>
                <w:iCs w:val="0"/>
                <w:caps w:val="0"/>
                <w:color w:val="333333"/>
                <w:spacing w:val="0"/>
                <w:sz w:val="21"/>
                <w:szCs w:val="21"/>
                <w:shd w:val="clear" w:fill="FFFFFF"/>
                <w:lang w:val="en-US" w:eastAsia="zh-CN"/>
              </w:rPr>
            </w:pPr>
            <w:r>
              <w:rPr>
                <w:color w:val="auto"/>
                <w:sz w:val="21"/>
                <w:szCs w:val="21"/>
              </w:rPr>
              <w:t>900-039-49</w:t>
            </w:r>
          </w:p>
        </w:tc>
        <w:tc>
          <w:tcPr>
            <w:tcW w:w="603" w:type="pct"/>
            <w:tcBorders>
              <w:top w:val="single" w:color="auto" w:sz="4" w:space="0"/>
              <w:bottom w:val="single" w:color="auto" w:sz="4" w:space="0"/>
              <w:tl2br w:val="nil"/>
              <w:tr2bl w:val="nil"/>
            </w:tcBorders>
            <w:vAlign w:val="center"/>
          </w:tcPr>
          <w:p w14:paraId="121560D5">
            <w:pPr>
              <w:jc w:val="center"/>
              <w:rPr>
                <w:rFonts w:hint="default" w:ascii="Times New Roman" w:hAnsi="Times New Roman" w:cs="Times New Roman"/>
                <w:color w:val="auto"/>
                <w:sz w:val="21"/>
                <w:szCs w:val="21"/>
                <w:lang w:val="en-US" w:eastAsia="zh-CN"/>
              </w:rPr>
            </w:pPr>
            <w:r>
              <w:rPr>
                <w:rFonts w:hint="eastAsia"/>
                <w:color w:val="auto"/>
                <w:sz w:val="21"/>
                <w:szCs w:val="21"/>
                <w:lang w:eastAsia="zh-CN"/>
              </w:rPr>
              <w:t>21.427</w:t>
            </w:r>
          </w:p>
        </w:tc>
        <w:tc>
          <w:tcPr>
            <w:tcW w:w="681" w:type="pct"/>
            <w:vMerge w:val="continue"/>
            <w:tcBorders>
              <w:tl2br w:val="nil"/>
              <w:tr2bl w:val="nil"/>
            </w:tcBorders>
            <w:vAlign w:val="center"/>
          </w:tcPr>
          <w:p w14:paraId="2EEC3BC3">
            <w:pPr>
              <w:pStyle w:val="143"/>
              <w:rPr>
                <w:rFonts w:hint="default" w:ascii="Times New Roman" w:hAnsi="Times New Roman" w:cs="Times New Roman"/>
                <w:sz w:val="21"/>
                <w:szCs w:val="21"/>
              </w:rPr>
            </w:pPr>
          </w:p>
        </w:tc>
      </w:tr>
      <w:tr w14:paraId="6B648D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6" w:hRule="atLeast"/>
          <w:jc w:val="center"/>
        </w:trPr>
        <w:tc>
          <w:tcPr>
            <w:tcW w:w="371" w:type="pct"/>
            <w:tcBorders>
              <w:top w:val="single" w:color="auto" w:sz="4" w:space="0"/>
              <w:bottom w:val="single" w:color="auto" w:sz="4" w:space="0"/>
              <w:tl2br w:val="nil"/>
              <w:tr2bl w:val="nil"/>
            </w:tcBorders>
            <w:vAlign w:val="center"/>
          </w:tcPr>
          <w:p w14:paraId="4A87436B">
            <w:pPr>
              <w:widowControl/>
              <w:jc w:val="center"/>
              <w:rPr>
                <w:rFonts w:hint="default" w:eastAsia="宋体" w:cs="Times New Roman"/>
                <w:w w:val="100"/>
                <w:kern w:val="0"/>
                <w:sz w:val="21"/>
                <w:szCs w:val="21"/>
                <w:lang w:val="en-US" w:eastAsia="zh-CN"/>
              </w:rPr>
            </w:pPr>
            <w:r>
              <w:rPr>
                <w:rFonts w:hint="eastAsia" w:eastAsia="宋体" w:cs="Times New Roman"/>
                <w:w w:val="100"/>
                <w:kern w:val="0"/>
                <w:sz w:val="21"/>
                <w:szCs w:val="21"/>
                <w:lang w:val="en-US" w:eastAsia="zh-CN"/>
              </w:rPr>
              <w:t>3</w:t>
            </w:r>
          </w:p>
        </w:tc>
        <w:tc>
          <w:tcPr>
            <w:tcW w:w="621" w:type="pct"/>
            <w:tcBorders>
              <w:top w:val="single" w:color="auto" w:sz="4" w:space="0"/>
              <w:bottom w:val="single" w:color="auto" w:sz="4" w:space="0"/>
              <w:tl2br w:val="nil"/>
              <w:tr2bl w:val="nil"/>
            </w:tcBorders>
            <w:vAlign w:val="center"/>
          </w:tcPr>
          <w:p w14:paraId="348E04FD">
            <w:pPr>
              <w:jc w:val="center"/>
              <w:rPr>
                <w:rFonts w:hint="default" w:eastAsia="宋体"/>
                <w:sz w:val="21"/>
                <w:szCs w:val="21"/>
                <w:lang w:val="en-US" w:eastAsia="zh-CN"/>
              </w:rPr>
            </w:pPr>
            <w:r>
              <w:rPr>
                <w:rFonts w:hint="eastAsia"/>
                <w:color w:val="auto"/>
                <w:sz w:val="21"/>
                <w:szCs w:val="21"/>
              </w:rPr>
              <w:t>废过滤棉</w:t>
            </w:r>
          </w:p>
        </w:tc>
        <w:tc>
          <w:tcPr>
            <w:tcW w:w="513" w:type="pct"/>
            <w:tcBorders>
              <w:top w:val="single" w:color="auto" w:sz="4" w:space="0"/>
              <w:bottom w:val="single" w:color="auto" w:sz="4" w:space="0"/>
              <w:tl2br w:val="nil"/>
              <w:tr2bl w:val="nil"/>
            </w:tcBorders>
            <w:vAlign w:val="center"/>
          </w:tcPr>
          <w:p w14:paraId="0BC7417A">
            <w:pPr>
              <w:jc w:val="center"/>
              <w:rPr>
                <w:rFonts w:hint="default" w:ascii="Times New Roman" w:hAnsi="Times New Roman" w:eastAsia="宋体" w:cs="Times New Roman"/>
                <w:kern w:val="0"/>
                <w:sz w:val="21"/>
                <w:szCs w:val="21"/>
                <w:lang w:val="en-US" w:eastAsia="zh-CN" w:bidi="ar-SA"/>
              </w:rPr>
            </w:pPr>
            <w:r>
              <w:rPr>
                <w:rFonts w:hint="eastAsia"/>
                <w:color w:val="auto"/>
                <w:sz w:val="21"/>
                <w:szCs w:val="21"/>
              </w:rPr>
              <w:t>漆料</w:t>
            </w:r>
          </w:p>
        </w:tc>
        <w:tc>
          <w:tcPr>
            <w:tcW w:w="463" w:type="pct"/>
            <w:tcBorders>
              <w:top w:val="single" w:color="auto" w:sz="4" w:space="0"/>
              <w:bottom w:val="single" w:color="auto" w:sz="4" w:space="0"/>
              <w:tl2br w:val="nil"/>
              <w:tr2bl w:val="nil"/>
            </w:tcBorders>
            <w:vAlign w:val="center"/>
          </w:tcPr>
          <w:p w14:paraId="0F8D4EC9">
            <w:pPr>
              <w:jc w:val="center"/>
              <w:rPr>
                <w:rFonts w:hint="default" w:ascii="Times New Roman" w:hAnsi="Times New Roman" w:eastAsia="宋体" w:cs="Times New Roman"/>
                <w:kern w:val="0"/>
                <w:sz w:val="21"/>
                <w:szCs w:val="21"/>
                <w:lang w:val="en-US" w:eastAsia="zh-CN" w:bidi="ar-SA"/>
              </w:rPr>
            </w:pPr>
            <w:r>
              <w:rPr>
                <w:rFonts w:hint="eastAsia"/>
                <w:color w:val="auto"/>
                <w:sz w:val="21"/>
                <w:szCs w:val="21"/>
              </w:rPr>
              <w:t>固态</w:t>
            </w:r>
          </w:p>
        </w:tc>
        <w:tc>
          <w:tcPr>
            <w:tcW w:w="484" w:type="pct"/>
            <w:tcBorders>
              <w:top w:val="single" w:color="auto" w:sz="4" w:space="0"/>
              <w:bottom w:val="single" w:color="auto" w:sz="4" w:space="0"/>
              <w:tl2br w:val="nil"/>
              <w:tr2bl w:val="nil"/>
            </w:tcBorders>
            <w:vAlign w:val="center"/>
          </w:tcPr>
          <w:p w14:paraId="78E10C1A">
            <w:pPr>
              <w:jc w:val="center"/>
              <w:rPr>
                <w:rFonts w:hint="default" w:ascii="Times New Roman" w:hAnsi="Times New Roman" w:eastAsia="宋体" w:cs="Times New Roman"/>
                <w:kern w:val="2"/>
                <w:sz w:val="21"/>
                <w:szCs w:val="21"/>
                <w:lang w:val="en-US" w:eastAsia="zh-CN" w:bidi="ar-SA"/>
              </w:rPr>
            </w:pPr>
            <w:r>
              <w:rPr>
                <w:color w:val="auto"/>
                <w:sz w:val="21"/>
                <w:szCs w:val="21"/>
              </w:rPr>
              <w:t>危险废物</w:t>
            </w:r>
          </w:p>
        </w:tc>
        <w:tc>
          <w:tcPr>
            <w:tcW w:w="548" w:type="pct"/>
            <w:tcBorders>
              <w:top w:val="single" w:color="auto" w:sz="4" w:space="0"/>
              <w:bottom w:val="single" w:color="auto" w:sz="4" w:space="0"/>
              <w:tl2br w:val="nil"/>
              <w:tr2bl w:val="nil"/>
            </w:tcBorders>
            <w:vAlign w:val="center"/>
          </w:tcPr>
          <w:p w14:paraId="6E9C9558">
            <w:pPr>
              <w:jc w:val="center"/>
              <w:rPr>
                <w:rFonts w:hint="default" w:ascii="Arial" w:hAnsi="Arial" w:eastAsia="宋体" w:cs="Arial"/>
                <w:i w:val="0"/>
                <w:iCs w:val="0"/>
                <w:caps w:val="0"/>
                <w:color w:val="333333"/>
                <w:spacing w:val="0"/>
                <w:sz w:val="21"/>
                <w:szCs w:val="21"/>
                <w:shd w:val="clear" w:fill="FFFFFF"/>
                <w:lang w:val="en-US" w:eastAsia="zh-CN"/>
              </w:rPr>
            </w:pPr>
            <w:r>
              <w:rPr>
                <w:color w:val="auto"/>
                <w:sz w:val="21"/>
                <w:szCs w:val="21"/>
              </w:rPr>
              <w:t>HW49</w:t>
            </w:r>
          </w:p>
        </w:tc>
        <w:tc>
          <w:tcPr>
            <w:tcW w:w="711" w:type="pct"/>
            <w:tcBorders>
              <w:top w:val="single" w:color="auto" w:sz="4" w:space="0"/>
              <w:bottom w:val="single" w:color="auto" w:sz="4" w:space="0"/>
              <w:tl2br w:val="nil"/>
              <w:tr2bl w:val="nil"/>
            </w:tcBorders>
            <w:vAlign w:val="center"/>
          </w:tcPr>
          <w:p w14:paraId="07F77F16">
            <w:pPr>
              <w:jc w:val="center"/>
              <w:rPr>
                <w:rFonts w:hint="default" w:ascii="Arial" w:hAnsi="Arial" w:eastAsia="宋体" w:cs="Arial"/>
                <w:i w:val="0"/>
                <w:iCs w:val="0"/>
                <w:caps w:val="0"/>
                <w:color w:val="333333"/>
                <w:spacing w:val="0"/>
                <w:sz w:val="21"/>
                <w:szCs w:val="21"/>
                <w:shd w:val="clear" w:fill="FFFFFF"/>
                <w:lang w:val="en-US" w:eastAsia="zh-CN"/>
              </w:rPr>
            </w:pPr>
            <w:r>
              <w:rPr>
                <w:color w:val="auto"/>
                <w:sz w:val="21"/>
                <w:szCs w:val="21"/>
              </w:rPr>
              <w:t>900-0</w:t>
            </w:r>
            <w:r>
              <w:rPr>
                <w:rFonts w:hint="eastAsia"/>
                <w:color w:val="auto"/>
                <w:sz w:val="21"/>
                <w:szCs w:val="21"/>
              </w:rPr>
              <w:t>41</w:t>
            </w:r>
            <w:r>
              <w:rPr>
                <w:color w:val="auto"/>
                <w:sz w:val="21"/>
                <w:szCs w:val="21"/>
              </w:rPr>
              <w:t>-49</w:t>
            </w:r>
          </w:p>
        </w:tc>
        <w:tc>
          <w:tcPr>
            <w:tcW w:w="603" w:type="pct"/>
            <w:tcBorders>
              <w:top w:val="single" w:color="auto" w:sz="4" w:space="0"/>
              <w:bottom w:val="single" w:color="auto" w:sz="4" w:space="0"/>
              <w:tl2br w:val="nil"/>
              <w:tr2bl w:val="nil"/>
            </w:tcBorders>
            <w:vAlign w:val="center"/>
          </w:tcPr>
          <w:p w14:paraId="4F9A1F2B">
            <w:pPr>
              <w:jc w:val="center"/>
              <w:rPr>
                <w:rFonts w:hint="default" w:ascii="Times New Roman" w:hAnsi="Times New Roman" w:cs="Times New Roman"/>
                <w:color w:val="auto"/>
                <w:sz w:val="21"/>
                <w:szCs w:val="21"/>
                <w:lang w:val="en-US" w:eastAsia="zh-CN"/>
              </w:rPr>
            </w:pPr>
            <w:r>
              <w:rPr>
                <w:rFonts w:hint="eastAsia"/>
                <w:color w:val="auto"/>
                <w:sz w:val="21"/>
                <w:szCs w:val="21"/>
              </w:rPr>
              <w:t>1</w:t>
            </w:r>
          </w:p>
        </w:tc>
        <w:tc>
          <w:tcPr>
            <w:tcW w:w="681" w:type="pct"/>
            <w:vMerge w:val="continue"/>
            <w:tcBorders>
              <w:tl2br w:val="nil"/>
              <w:tr2bl w:val="nil"/>
            </w:tcBorders>
            <w:vAlign w:val="center"/>
          </w:tcPr>
          <w:p w14:paraId="2D7DD79A">
            <w:pPr>
              <w:pStyle w:val="143"/>
              <w:rPr>
                <w:rFonts w:hint="default" w:ascii="Times New Roman" w:hAnsi="Times New Roman" w:cs="Times New Roman"/>
                <w:sz w:val="21"/>
                <w:szCs w:val="21"/>
              </w:rPr>
            </w:pPr>
          </w:p>
        </w:tc>
      </w:tr>
      <w:tr w14:paraId="727F84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6" w:hRule="atLeast"/>
          <w:jc w:val="center"/>
        </w:trPr>
        <w:tc>
          <w:tcPr>
            <w:tcW w:w="371" w:type="pct"/>
            <w:tcBorders>
              <w:top w:val="single" w:color="auto" w:sz="4" w:space="0"/>
              <w:bottom w:val="single" w:color="auto" w:sz="4" w:space="0"/>
              <w:tl2br w:val="nil"/>
              <w:tr2bl w:val="nil"/>
            </w:tcBorders>
            <w:vAlign w:val="center"/>
          </w:tcPr>
          <w:p w14:paraId="4F13E3FB">
            <w:pPr>
              <w:widowControl/>
              <w:jc w:val="center"/>
              <w:rPr>
                <w:rFonts w:hint="default" w:eastAsia="宋体" w:cs="Times New Roman"/>
                <w:w w:val="100"/>
                <w:kern w:val="0"/>
                <w:sz w:val="21"/>
                <w:szCs w:val="21"/>
                <w:lang w:val="en-US" w:eastAsia="zh-CN"/>
              </w:rPr>
            </w:pPr>
            <w:r>
              <w:rPr>
                <w:rFonts w:hint="eastAsia" w:eastAsia="宋体" w:cs="Times New Roman"/>
                <w:w w:val="100"/>
                <w:kern w:val="0"/>
                <w:sz w:val="21"/>
                <w:szCs w:val="21"/>
                <w:lang w:val="en-US" w:eastAsia="zh-CN"/>
              </w:rPr>
              <w:t>4</w:t>
            </w:r>
          </w:p>
        </w:tc>
        <w:tc>
          <w:tcPr>
            <w:tcW w:w="621" w:type="pct"/>
            <w:tcBorders>
              <w:top w:val="single" w:color="auto" w:sz="4" w:space="0"/>
              <w:bottom w:val="single" w:color="auto" w:sz="4" w:space="0"/>
              <w:tl2br w:val="nil"/>
              <w:tr2bl w:val="nil"/>
            </w:tcBorders>
            <w:vAlign w:val="center"/>
          </w:tcPr>
          <w:p w14:paraId="0EF0D715">
            <w:pPr>
              <w:jc w:val="center"/>
              <w:rPr>
                <w:rFonts w:hint="default" w:eastAsia="宋体"/>
                <w:sz w:val="21"/>
                <w:szCs w:val="21"/>
                <w:lang w:val="en-US" w:eastAsia="zh-CN"/>
              </w:rPr>
            </w:pPr>
            <w:r>
              <w:rPr>
                <w:rFonts w:hint="eastAsia"/>
                <w:color w:val="auto"/>
                <w:sz w:val="21"/>
                <w:szCs w:val="21"/>
              </w:rPr>
              <w:t>漆渣</w:t>
            </w:r>
          </w:p>
        </w:tc>
        <w:tc>
          <w:tcPr>
            <w:tcW w:w="513" w:type="pct"/>
            <w:tcBorders>
              <w:top w:val="single" w:color="auto" w:sz="4" w:space="0"/>
              <w:bottom w:val="single" w:color="auto" w:sz="4" w:space="0"/>
              <w:tl2br w:val="nil"/>
              <w:tr2bl w:val="nil"/>
            </w:tcBorders>
            <w:vAlign w:val="center"/>
          </w:tcPr>
          <w:p w14:paraId="73438731">
            <w:pPr>
              <w:jc w:val="center"/>
              <w:rPr>
                <w:rFonts w:hint="default" w:ascii="Times New Roman" w:hAnsi="Times New Roman" w:eastAsia="宋体" w:cs="Times New Roman"/>
                <w:kern w:val="0"/>
                <w:sz w:val="21"/>
                <w:szCs w:val="21"/>
                <w:lang w:val="en-US" w:eastAsia="zh-CN" w:bidi="ar-SA"/>
              </w:rPr>
            </w:pPr>
            <w:r>
              <w:rPr>
                <w:rFonts w:hint="eastAsia"/>
                <w:color w:val="auto"/>
                <w:sz w:val="21"/>
                <w:szCs w:val="21"/>
              </w:rPr>
              <w:t>漆料</w:t>
            </w:r>
          </w:p>
        </w:tc>
        <w:tc>
          <w:tcPr>
            <w:tcW w:w="463" w:type="pct"/>
            <w:tcBorders>
              <w:top w:val="single" w:color="auto" w:sz="4" w:space="0"/>
              <w:bottom w:val="single" w:color="auto" w:sz="4" w:space="0"/>
              <w:tl2br w:val="nil"/>
              <w:tr2bl w:val="nil"/>
            </w:tcBorders>
            <w:vAlign w:val="center"/>
          </w:tcPr>
          <w:p w14:paraId="0D32B61E">
            <w:pPr>
              <w:jc w:val="center"/>
              <w:rPr>
                <w:rFonts w:hint="default" w:ascii="Times New Roman" w:hAnsi="Times New Roman" w:eastAsia="宋体" w:cs="Times New Roman"/>
                <w:kern w:val="0"/>
                <w:sz w:val="21"/>
                <w:szCs w:val="21"/>
                <w:lang w:val="en-US" w:eastAsia="zh-CN" w:bidi="ar-SA"/>
              </w:rPr>
            </w:pPr>
            <w:r>
              <w:rPr>
                <w:color w:val="auto"/>
                <w:sz w:val="21"/>
                <w:szCs w:val="21"/>
              </w:rPr>
              <w:t>固态</w:t>
            </w:r>
          </w:p>
        </w:tc>
        <w:tc>
          <w:tcPr>
            <w:tcW w:w="484" w:type="pct"/>
            <w:tcBorders>
              <w:top w:val="single" w:color="auto" w:sz="4" w:space="0"/>
              <w:bottom w:val="single" w:color="auto" w:sz="4" w:space="0"/>
              <w:tl2br w:val="nil"/>
              <w:tr2bl w:val="nil"/>
            </w:tcBorders>
            <w:vAlign w:val="center"/>
          </w:tcPr>
          <w:p w14:paraId="07FEA229">
            <w:pPr>
              <w:jc w:val="center"/>
              <w:rPr>
                <w:rFonts w:hint="default" w:ascii="Times New Roman" w:hAnsi="Times New Roman" w:eastAsia="宋体" w:cs="Times New Roman"/>
                <w:kern w:val="2"/>
                <w:sz w:val="21"/>
                <w:szCs w:val="21"/>
                <w:lang w:val="en-US" w:eastAsia="zh-CN" w:bidi="ar-SA"/>
              </w:rPr>
            </w:pPr>
            <w:r>
              <w:rPr>
                <w:color w:val="auto"/>
                <w:sz w:val="21"/>
                <w:szCs w:val="21"/>
              </w:rPr>
              <w:t>危险废物</w:t>
            </w:r>
          </w:p>
        </w:tc>
        <w:tc>
          <w:tcPr>
            <w:tcW w:w="548" w:type="pct"/>
            <w:tcBorders>
              <w:top w:val="single" w:color="auto" w:sz="4" w:space="0"/>
              <w:bottom w:val="single" w:color="auto" w:sz="4" w:space="0"/>
              <w:tl2br w:val="nil"/>
              <w:tr2bl w:val="nil"/>
            </w:tcBorders>
            <w:vAlign w:val="center"/>
          </w:tcPr>
          <w:p w14:paraId="29F3D70A">
            <w:pPr>
              <w:jc w:val="center"/>
              <w:rPr>
                <w:rFonts w:hint="eastAsia" w:ascii="Arial" w:hAnsi="Arial" w:eastAsia="宋体" w:cs="Arial"/>
                <w:i w:val="0"/>
                <w:iCs w:val="0"/>
                <w:caps w:val="0"/>
                <w:color w:val="333333"/>
                <w:spacing w:val="0"/>
                <w:kern w:val="2"/>
                <w:sz w:val="21"/>
                <w:szCs w:val="21"/>
                <w:shd w:val="clear" w:fill="FFFFFF"/>
                <w:lang w:val="en-US" w:eastAsia="zh-CN" w:bidi="ar-SA"/>
              </w:rPr>
            </w:pPr>
            <w:r>
              <w:rPr>
                <w:color w:val="auto"/>
                <w:sz w:val="21"/>
                <w:szCs w:val="21"/>
                <w:lang w:val="zh-CN"/>
              </w:rPr>
              <w:t>HW12</w:t>
            </w:r>
          </w:p>
        </w:tc>
        <w:tc>
          <w:tcPr>
            <w:tcW w:w="711" w:type="pct"/>
            <w:tcBorders>
              <w:top w:val="single" w:color="auto" w:sz="4" w:space="0"/>
              <w:bottom w:val="single" w:color="auto" w:sz="4" w:space="0"/>
              <w:tl2br w:val="nil"/>
              <w:tr2bl w:val="nil"/>
            </w:tcBorders>
            <w:vAlign w:val="center"/>
          </w:tcPr>
          <w:p w14:paraId="5DC1ED12">
            <w:pPr>
              <w:jc w:val="center"/>
              <w:rPr>
                <w:rFonts w:hint="eastAsia" w:ascii="Arial" w:hAnsi="Arial" w:eastAsia="宋体" w:cs="Arial"/>
                <w:i w:val="0"/>
                <w:iCs w:val="0"/>
                <w:caps w:val="0"/>
                <w:color w:val="333333"/>
                <w:spacing w:val="0"/>
                <w:kern w:val="2"/>
                <w:sz w:val="21"/>
                <w:szCs w:val="21"/>
                <w:shd w:val="clear" w:fill="FFFFFF"/>
                <w:lang w:val="en-US" w:eastAsia="zh-CN" w:bidi="ar-SA"/>
              </w:rPr>
            </w:pPr>
            <w:r>
              <w:rPr>
                <w:color w:val="auto"/>
                <w:sz w:val="21"/>
                <w:szCs w:val="21"/>
                <w:lang w:val="zh-CN"/>
              </w:rPr>
              <w:t>900-252-12</w:t>
            </w:r>
          </w:p>
        </w:tc>
        <w:tc>
          <w:tcPr>
            <w:tcW w:w="603" w:type="pct"/>
            <w:tcBorders>
              <w:top w:val="single" w:color="auto" w:sz="4" w:space="0"/>
              <w:bottom w:val="single" w:color="auto" w:sz="4" w:space="0"/>
              <w:tl2br w:val="nil"/>
              <w:tr2bl w:val="nil"/>
            </w:tcBorders>
            <w:vAlign w:val="center"/>
          </w:tcPr>
          <w:p w14:paraId="247BAE5C">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9.278</w:t>
            </w:r>
          </w:p>
        </w:tc>
        <w:tc>
          <w:tcPr>
            <w:tcW w:w="681" w:type="pct"/>
            <w:vMerge w:val="continue"/>
            <w:tcBorders>
              <w:tl2br w:val="nil"/>
              <w:tr2bl w:val="nil"/>
            </w:tcBorders>
            <w:vAlign w:val="center"/>
          </w:tcPr>
          <w:p w14:paraId="258415CA">
            <w:pPr>
              <w:pStyle w:val="143"/>
              <w:rPr>
                <w:rFonts w:hint="default" w:ascii="Times New Roman" w:hAnsi="Times New Roman" w:cs="Times New Roman"/>
                <w:sz w:val="21"/>
                <w:szCs w:val="21"/>
              </w:rPr>
            </w:pPr>
          </w:p>
        </w:tc>
      </w:tr>
      <w:tr w14:paraId="2C621C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6" w:hRule="atLeast"/>
          <w:jc w:val="center"/>
        </w:trPr>
        <w:tc>
          <w:tcPr>
            <w:tcW w:w="371" w:type="pct"/>
            <w:tcBorders>
              <w:top w:val="single" w:color="auto" w:sz="4" w:space="0"/>
              <w:bottom w:val="single" w:color="auto" w:sz="4" w:space="0"/>
              <w:tl2br w:val="nil"/>
              <w:tr2bl w:val="nil"/>
            </w:tcBorders>
            <w:vAlign w:val="center"/>
          </w:tcPr>
          <w:p w14:paraId="136CFA36">
            <w:pPr>
              <w:widowControl/>
              <w:jc w:val="center"/>
              <w:rPr>
                <w:rFonts w:hint="default" w:eastAsia="宋体" w:cs="Times New Roman"/>
                <w:w w:val="100"/>
                <w:kern w:val="0"/>
                <w:sz w:val="21"/>
                <w:szCs w:val="21"/>
                <w:lang w:val="en-US" w:eastAsia="zh-CN"/>
              </w:rPr>
            </w:pPr>
            <w:r>
              <w:rPr>
                <w:rFonts w:hint="eastAsia" w:eastAsia="宋体" w:cs="Times New Roman"/>
                <w:w w:val="100"/>
                <w:kern w:val="0"/>
                <w:sz w:val="21"/>
                <w:szCs w:val="21"/>
                <w:lang w:val="en-US" w:eastAsia="zh-CN"/>
              </w:rPr>
              <w:t>5</w:t>
            </w:r>
          </w:p>
        </w:tc>
        <w:tc>
          <w:tcPr>
            <w:tcW w:w="621" w:type="pct"/>
            <w:tcBorders>
              <w:top w:val="single" w:color="auto" w:sz="4" w:space="0"/>
              <w:bottom w:val="single" w:color="auto" w:sz="4" w:space="0"/>
              <w:tl2br w:val="nil"/>
              <w:tr2bl w:val="nil"/>
            </w:tcBorders>
            <w:vAlign w:val="center"/>
          </w:tcPr>
          <w:p w14:paraId="675458CB">
            <w:pPr>
              <w:jc w:val="center"/>
              <w:rPr>
                <w:rFonts w:hint="eastAsia" w:eastAsia="宋体"/>
                <w:sz w:val="21"/>
                <w:szCs w:val="21"/>
                <w:lang w:val="en-US" w:eastAsia="zh-CN"/>
              </w:rPr>
            </w:pPr>
            <w:r>
              <w:rPr>
                <w:rFonts w:hint="eastAsia"/>
                <w:color w:val="auto"/>
                <w:sz w:val="21"/>
                <w:szCs w:val="21"/>
              </w:rPr>
              <w:t>废滤料、填料</w:t>
            </w:r>
          </w:p>
        </w:tc>
        <w:tc>
          <w:tcPr>
            <w:tcW w:w="513" w:type="pct"/>
            <w:tcBorders>
              <w:top w:val="single" w:color="auto" w:sz="4" w:space="0"/>
              <w:bottom w:val="single" w:color="auto" w:sz="4" w:space="0"/>
              <w:tl2br w:val="nil"/>
              <w:tr2bl w:val="nil"/>
            </w:tcBorders>
            <w:vAlign w:val="center"/>
          </w:tcPr>
          <w:p w14:paraId="30EA7CEC">
            <w:pPr>
              <w:jc w:val="center"/>
              <w:rPr>
                <w:rFonts w:hint="default" w:eastAsia="宋体"/>
                <w:kern w:val="0"/>
                <w:sz w:val="21"/>
                <w:szCs w:val="21"/>
                <w:lang w:val="en-US" w:eastAsia="zh-CN"/>
              </w:rPr>
            </w:pPr>
            <w:r>
              <w:rPr>
                <w:rFonts w:hint="eastAsia"/>
                <w:color w:val="auto"/>
                <w:sz w:val="21"/>
                <w:szCs w:val="21"/>
              </w:rPr>
              <w:t>漆料</w:t>
            </w:r>
          </w:p>
        </w:tc>
        <w:tc>
          <w:tcPr>
            <w:tcW w:w="463" w:type="pct"/>
            <w:tcBorders>
              <w:top w:val="single" w:color="auto" w:sz="4" w:space="0"/>
              <w:bottom w:val="single" w:color="auto" w:sz="4" w:space="0"/>
              <w:tl2br w:val="nil"/>
              <w:tr2bl w:val="nil"/>
            </w:tcBorders>
            <w:vAlign w:val="center"/>
          </w:tcPr>
          <w:p w14:paraId="673C0B89">
            <w:pPr>
              <w:jc w:val="center"/>
              <w:rPr>
                <w:rFonts w:hint="default" w:eastAsia="宋体"/>
                <w:kern w:val="0"/>
                <w:sz w:val="21"/>
                <w:szCs w:val="21"/>
              </w:rPr>
            </w:pPr>
            <w:r>
              <w:rPr>
                <w:color w:val="auto"/>
                <w:sz w:val="21"/>
                <w:szCs w:val="21"/>
              </w:rPr>
              <w:t>固态</w:t>
            </w:r>
          </w:p>
        </w:tc>
        <w:tc>
          <w:tcPr>
            <w:tcW w:w="484" w:type="pct"/>
            <w:tcBorders>
              <w:top w:val="single" w:color="auto" w:sz="4" w:space="0"/>
              <w:bottom w:val="single" w:color="auto" w:sz="4" w:space="0"/>
              <w:tl2br w:val="nil"/>
              <w:tr2bl w:val="nil"/>
            </w:tcBorders>
            <w:vAlign w:val="center"/>
          </w:tcPr>
          <w:p w14:paraId="4C5377EC">
            <w:pPr>
              <w:jc w:val="center"/>
              <w:rPr>
                <w:rFonts w:hint="default" w:ascii="Times New Roman" w:hAnsi="Times New Roman" w:cs="Times New Roman"/>
                <w:sz w:val="21"/>
                <w:szCs w:val="21"/>
              </w:rPr>
            </w:pPr>
            <w:r>
              <w:rPr>
                <w:color w:val="auto"/>
                <w:sz w:val="21"/>
                <w:szCs w:val="21"/>
              </w:rPr>
              <w:t>危险废物</w:t>
            </w:r>
          </w:p>
        </w:tc>
        <w:tc>
          <w:tcPr>
            <w:tcW w:w="548" w:type="pct"/>
            <w:tcBorders>
              <w:top w:val="single" w:color="auto" w:sz="4" w:space="0"/>
              <w:bottom w:val="single" w:color="auto" w:sz="4" w:space="0"/>
              <w:tl2br w:val="nil"/>
              <w:tr2bl w:val="nil"/>
            </w:tcBorders>
            <w:vAlign w:val="center"/>
          </w:tcPr>
          <w:p w14:paraId="1C105C43">
            <w:pPr>
              <w:jc w:val="center"/>
              <w:rPr>
                <w:rFonts w:hint="eastAsia" w:ascii="Arial" w:hAnsi="Arial" w:eastAsia="宋体" w:cs="Arial"/>
                <w:i w:val="0"/>
                <w:iCs w:val="0"/>
                <w:caps w:val="0"/>
                <w:color w:val="333333"/>
                <w:spacing w:val="0"/>
                <w:sz w:val="21"/>
                <w:szCs w:val="21"/>
                <w:shd w:val="clear" w:fill="FFFFFF"/>
                <w:lang w:val="en-US" w:eastAsia="zh-CN"/>
              </w:rPr>
            </w:pPr>
            <w:r>
              <w:rPr>
                <w:color w:val="auto"/>
                <w:sz w:val="21"/>
                <w:szCs w:val="21"/>
              </w:rPr>
              <w:t>HW49</w:t>
            </w:r>
          </w:p>
        </w:tc>
        <w:tc>
          <w:tcPr>
            <w:tcW w:w="711" w:type="pct"/>
            <w:tcBorders>
              <w:top w:val="single" w:color="auto" w:sz="4" w:space="0"/>
              <w:bottom w:val="single" w:color="auto" w:sz="4" w:space="0"/>
              <w:tl2br w:val="nil"/>
              <w:tr2bl w:val="nil"/>
            </w:tcBorders>
            <w:vAlign w:val="center"/>
          </w:tcPr>
          <w:p w14:paraId="58E0E796">
            <w:pPr>
              <w:jc w:val="center"/>
              <w:rPr>
                <w:rFonts w:hint="eastAsia" w:ascii="Arial" w:hAnsi="Arial" w:eastAsia="宋体" w:cs="Arial"/>
                <w:i w:val="0"/>
                <w:iCs w:val="0"/>
                <w:caps w:val="0"/>
                <w:color w:val="333333"/>
                <w:spacing w:val="0"/>
                <w:sz w:val="21"/>
                <w:szCs w:val="21"/>
                <w:shd w:val="clear" w:fill="FFFFFF"/>
                <w:lang w:val="en-US" w:eastAsia="zh-CN"/>
              </w:rPr>
            </w:pPr>
            <w:r>
              <w:rPr>
                <w:color w:val="auto"/>
                <w:sz w:val="21"/>
                <w:szCs w:val="21"/>
              </w:rPr>
              <w:t>900-0</w:t>
            </w:r>
            <w:r>
              <w:rPr>
                <w:rFonts w:hint="eastAsia"/>
                <w:color w:val="auto"/>
                <w:sz w:val="21"/>
                <w:szCs w:val="21"/>
              </w:rPr>
              <w:t>41</w:t>
            </w:r>
            <w:r>
              <w:rPr>
                <w:color w:val="auto"/>
                <w:sz w:val="21"/>
                <w:szCs w:val="21"/>
              </w:rPr>
              <w:t>-49</w:t>
            </w:r>
          </w:p>
        </w:tc>
        <w:tc>
          <w:tcPr>
            <w:tcW w:w="603" w:type="pct"/>
            <w:tcBorders>
              <w:top w:val="single" w:color="auto" w:sz="4" w:space="0"/>
              <w:bottom w:val="single" w:color="auto" w:sz="4" w:space="0"/>
              <w:tl2br w:val="nil"/>
              <w:tr2bl w:val="nil"/>
            </w:tcBorders>
            <w:vAlign w:val="center"/>
          </w:tcPr>
          <w:p w14:paraId="2AE7A4CF">
            <w:pPr>
              <w:jc w:val="center"/>
              <w:rPr>
                <w:rFonts w:hint="eastAsia" w:ascii="Times New Roman" w:hAnsi="Times New Roman" w:cs="Times New Roman"/>
                <w:color w:val="auto"/>
                <w:sz w:val="21"/>
                <w:szCs w:val="21"/>
                <w:lang w:val="en-US" w:eastAsia="zh-CN"/>
              </w:rPr>
            </w:pPr>
            <w:r>
              <w:rPr>
                <w:rFonts w:hint="eastAsia"/>
                <w:color w:val="auto"/>
                <w:sz w:val="21"/>
                <w:szCs w:val="21"/>
              </w:rPr>
              <w:t>0.5</w:t>
            </w:r>
          </w:p>
        </w:tc>
        <w:tc>
          <w:tcPr>
            <w:tcW w:w="681" w:type="pct"/>
            <w:vMerge w:val="continue"/>
            <w:tcBorders>
              <w:tl2br w:val="nil"/>
              <w:tr2bl w:val="nil"/>
            </w:tcBorders>
            <w:vAlign w:val="center"/>
          </w:tcPr>
          <w:p w14:paraId="31E5CF12">
            <w:pPr>
              <w:pStyle w:val="143"/>
              <w:rPr>
                <w:rFonts w:hint="default" w:ascii="Times New Roman" w:hAnsi="Times New Roman" w:cs="Times New Roman"/>
                <w:sz w:val="21"/>
                <w:szCs w:val="21"/>
              </w:rPr>
            </w:pPr>
          </w:p>
        </w:tc>
      </w:tr>
      <w:tr w14:paraId="53EB46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6" w:hRule="atLeast"/>
          <w:jc w:val="center"/>
        </w:trPr>
        <w:tc>
          <w:tcPr>
            <w:tcW w:w="371" w:type="pct"/>
            <w:tcBorders>
              <w:top w:val="single" w:color="auto" w:sz="4" w:space="0"/>
              <w:bottom w:val="single" w:color="auto" w:sz="4" w:space="0"/>
              <w:tl2br w:val="nil"/>
              <w:tr2bl w:val="nil"/>
            </w:tcBorders>
            <w:vAlign w:val="center"/>
          </w:tcPr>
          <w:p w14:paraId="6B57DB1D">
            <w:pPr>
              <w:widowControl/>
              <w:jc w:val="center"/>
              <w:rPr>
                <w:rFonts w:hint="default" w:eastAsia="宋体" w:cs="Times New Roman"/>
                <w:w w:val="100"/>
                <w:kern w:val="0"/>
                <w:sz w:val="21"/>
                <w:szCs w:val="21"/>
                <w:lang w:val="en-US" w:eastAsia="zh-CN"/>
              </w:rPr>
            </w:pPr>
            <w:r>
              <w:rPr>
                <w:rFonts w:hint="eastAsia" w:eastAsia="宋体" w:cs="Times New Roman"/>
                <w:w w:val="100"/>
                <w:kern w:val="0"/>
                <w:sz w:val="21"/>
                <w:szCs w:val="21"/>
                <w:lang w:val="en-US" w:eastAsia="zh-CN"/>
              </w:rPr>
              <w:t>6</w:t>
            </w:r>
          </w:p>
        </w:tc>
        <w:tc>
          <w:tcPr>
            <w:tcW w:w="621" w:type="pct"/>
            <w:tcBorders>
              <w:top w:val="single" w:color="auto" w:sz="4" w:space="0"/>
              <w:bottom w:val="single" w:color="auto" w:sz="4" w:space="0"/>
              <w:tl2br w:val="nil"/>
              <w:tr2bl w:val="nil"/>
            </w:tcBorders>
            <w:vAlign w:val="center"/>
          </w:tcPr>
          <w:p w14:paraId="744FCC9A">
            <w:pPr>
              <w:jc w:val="center"/>
              <w:rPr>
                <w:rFonts w:hint="eastAsia" w:eastAsia="宋体"/>
                <w:sz w:val="21"/>
                <w:szCs w:val="21"/>
                <w:lang w:val="en-US" w:eastAsia="zh-CN"/>
              </w:rPr>
            </w:pPr>
            <w:r>
              <w:rPr>
                <w:rFonts w:hint="eastAsia"/>
                <w:color w:val="auto"/>
                <w:sz w:val="21"/>
                <w:szCs w:val="21"/>
              </w:rPr>
              <w:t>废机油</w:t>
            </w:r>
          </w:p>
        </w:tc>
        <w:tc>
          <w:tcPr>
            <w:tcW w:w="513" w:type="pct"/>
            <w:tcBorders>
              <w:top w:val="single" w:color="auto" w:sz="4" w:space="0"/>
              <w:bottom w:val="single" w:color="auto" w:sz="4" w:space="0"/>
              <w:tl2br w:val="nil"/>
              <w:tr2bl w:val="nil"/>
            </w:tcBorders>
            <w:vAlign w:val="center"/>
          </w:tcPr>
          <w:p w14:paraId="2E77972E">
            <w:pPr>
              <w:jc w:val="center"/>
              <w:rPr>
                <w:rFonts w:hint="default" w:eastAsia="宋体"/>
                <w:kern w:val="0"/>
                <w:sz w:val="21"/>
                <w:szCs w:val="21"/>
                <w:lang w:val="en-US" w:eastAsia="zh-CN"/>
              </w:rPr>
            </w:pPr>
            <w:r>
              <w:rPr>
                <w:rFonts w:hint="eastAsia"/>
                <w:color w:val="auto"/>
                <w:sz w:val="21"/>
                <w:szCs w:val="21"/>
              </w:rPr>
              <w:t>矿物油</w:t>
            </w:r>
          </w:p>
        </w:tc>
        <w:tc>
          <w:tcPr>
            <w:tcW w:w="463" w:type="pct"/>
            <w:tcBorders>
              <w:top w:val="single" w:color="auto" w:sz="4" w:space="0"/>
              <w:bottom w:val="single" w:color="auto" w:sz="4" w:space="0"/>
              <w:tl2br w:val="nil"/>
              <w:tr2bl w:val="nil"/>
            </w:tcBorders>
            <w:vAlign w:val="center"/>
          </w:tcPr>
          <w:p w14:paraId="5C2A49E8">
            <w:pPr>
              <w:jc w:val="center"/>
              <w:rPr>
                <w:rFonts w:hint="default" w:eastAsia="宋体"/>
                <w:kern w:val="0"/>
                <w:sz w:val="21"/>
                <w:szCs w:val="21"/>
              </w:rPr>
            </w:pPr>
            <w:r>
              <w:rPr>
                <w:color w:val="auto"/>
                <w:sz w:val="21"/>
                <w:szCs w:val="21"/>
              </w:rPr>
              <w:t>固态</w:t>
            </w:r>
          </w:p>
        </w:tc>
        <w:tc>
          <w:tcPr>
            <w:tcW w:w="484" w:type="pct"/>
            <w:tcBorders>
              <w:top w:val="single" w:color="auto" w:sz="4" w:space="0"/>
              <w:bottom w:val="single" w:color="auto" w:sz="4" w:space="0"/>
              <w:tl2br w:val="nil"/>
              <w:tr2bl w:val="nil"/>
            </w:tcBorders>
            <w:vAlign w:val="center"/>
          </w:tcPr>
          <w:p w14:paraId="261B3A78">
            <w:pPr>
              <w:jc w:val="center"/>
              <w:rPr>
                <w:rFonts w:hint="default" w:ascii="Times New Roman" w:hAnsi="Times New Roman" w:cs="Times New Roman"/>
                <w:sz w:val="21"/>
                <w:szCs w:val="21"/>
              </w:rPr>
            </w:pPr>
            <w:r>
              <w:rPr>
                <w:color w:val="auto"/>
                <w:sz w:val="21"/>
                <w:szCs w:val="21"/>
              </w:rPr>
              <w:t>危险废物</w:t>
            </w:r>
          </w:p>
        </w:tc>
        <w:tc>
          <w:tcPr>
            <w:tcW w:w="548" w:type="pct"/>
            <w:tcBorders>
              <w:top w:val="single" w:color="auto" w:sz="4" w:space="0"/>
              <w:bottom w:val="single" w:color="auto" w:sz="4" w:space="0"/>
              <w:tl2br w:val="nil"/>
              <w:tr2bl w:val="nil"/>
            </w:tcBorders>
            <w:vAlign w:val="center"/>
          </w:tcPr>
          <w:p w14:paraId="402FBA89">
            <w:pPr>
              <w:jc w:val="center"/>
              <w:rPr>
                <w:rFonts w:hint="eastAsia" w:ascii="Arial" w:hAnsi="Arial" w:eastAsia="宋体" w:cs="Arial"/>
                <w:i w:val="0"/>
                <w:iCs w:val="0"/>
                <w:caps w:val="0"/>
                <w:color w:val="333333"/>
                <w:spacing w:val="0"/>
                <w:sz w:val="21"/>
                <w:szCs w:val="21"/>
                <w:shd w:val="clear" w:fill="FFFFFF"/>
                <w:lang w:val="en-US" w:eastAsia="zh-CN"/>
              </w:rPr>
            </w:pPr>
            <w:r>
              <w:rPr>
                <w:rFonts w:hint="eastAsia"/>
                <w:color w:val="auto"/>
                <w:sz w:val="21"/>
                <w:szCs w:val="21"/>
              </w:rPr>
              <w:t>HW08</w:t>
            </w:r>
          </w:p>
        </w:tc>
        <w:tc>
          <w:tcPr>
            <w:tcW w:w="711" w:type="pct"/>
            <w:tcBorders>
              <w:top w:val="single" w:color="auto" w:sz="4" w:space="0"/>
              <w:bottom w:val="single" w:color="auto" w:sz="4" w:space="0"/>
              <w:tl2br w:val="nil"/>
              <w:tr2bl w:val="nil"/>
            </w:tcBorders>
            <w:vAlign w:val="center"/>
          </w:tcPr>
          <w:p w14:paraId="63082CD5">
            <w:pPr>
              <w:jc w:val="center"/>
              <w:rPr>
                <w:rFonts w:hint="eastAsia" w:ascii="Arial" w:hAnsi="Arial" w:eastAsia="宋体" w:cs="Arial"/>
                <w:i w:val="0"/>
                <w:iCs w:val="0"/>
                <w:caps w:val="0"/>
                <w:color w:val="333333"/>
                <w:spacing w:val="0"/>
                <w:sz w:val="21"/>
                <w:szCs w:val="21"/>
                <w:shd w:val="clear" w:fill="FFFFFF"/>
                <w:lang w:val="en-US" w:eastAsia="zh-CN"/>
              </w:rPr>
            </w:pPr>
            <w:r>
              <w:rPr>
                <w:rFonts w:hint="eastAsia"/>
                <w:color w:val="auto"/>
                <w:sz w:val="21"/>
                <w:szCs w:val="21"/>
              </w:rPr>
              <w:t>900-214-08</w:t>
            </w:r>
          </w:p>
        </w:tc>
        <w:tc>
          <w:tcPr>
            <w:tcW w:w="603" w:type="pct"/>
            <w:tcBorders>
              <w:top w:val="single" w:color="auto" w:sz="4" w:space="0"/>
              <w:bottom w:val="single" w:color="auto" w:sz="4" w:space="0"/>
              <w:tl2br w:val="nil"/>
              <w:tr2bl w:val="nil"/>
            </w:tcBorders>
            <w:vAlign w:val="center"/>
          </w:tcPr>
          <w:p w14:paraId="5D788D07">
            <w:pPr>
              <w:jc w:val="center"/>
              <w:rPr>
                <w:rFonts w:hint="eastAsia" w:ascii="Times New Roman" w:hAnsi="Times New Roman" w:cs="Times New Roman"/>
                <w:color w:val="auto"/>
                <w:sz w:val="21"/>
                <w:szCs w:val="21"/>
                <w:lang w:val="en-US" w:eastAsia="zh-CN"/>
              </w:rPr>
            </w:pPr>
            <w:r>
              <w:rPr>
                <w:rFonts w:hint="eastAsia"/>
                <w:color w:val="auto"/>
                <w:sz w:val="21"/>
                <w:szCs w:val="21"/>
              </w:rPr>
              <w:t>0.2</w:t>
            </w:r>
          </w:p>
        </w:tc>
        <w:tc>
          <w:tcPr>
            <w:tcW w:w="681" w:type="pct"/>
            <w:vMerge w:val="continue"/>
            <w:tcBorders>
              <w:tl2br w:val="nil"/>
              <w:tr2bl w:val="nil"/>
            </w:tcBorders>
            <w:vAlign w:val="center"/>
          </w:tcPr>
          <w:p w14:paraId="3455AEBC">
            <w:pPr>
              <w:pStyle w:val="143"/>
              <w:rPr>
                <w:rFonts w:hint="default" w:ascii="Times New Roman" w:hAnsi="Times New Roman" w:cs="Times New Roman"/>
                <w:sz w:val="21"/>
                <w:szCs w:val="21"/>
              </w:rPr>
            </w:pPr>
          </w:p>
        </w:tc>
      </w:tr>
      <w:tr w14:paraId="285EF4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6" w:hRule="atLeast"/>
          <w:jc w:val="center"/>
        </w:trPr>
        <w:tc>
          <w:tcPr>
            <w:tcW w:w="371" w:type="pct"/>
            <w:tcBorders>
              <w:top w:val="single" w:color="auto" w:sz="4" w:space="0"/>
              <w:tl2br w:val="nil"/>
              <w:tr2bl w:val="nil"/>
            </w:tcBorders>
            <w:vAlign w:val="center"/>
          </w:tcPr>
          <w:p w14:paraId="5B48CE8B">
            <w:pPr>
              <w:widowControl/>
              <w:jc w:val="center"/>
              <w:rPr>
                <w:rFonts w:hint="default" w:eastAsia="宋体" w:cs="Times New Roman"/>
                <w:w w:val="100"/>
                <w:kern w:val="0"/>
                <w:sz w:val="21"/>
                <w:szCs w:val="21"/>
                <w:lang w:val="en-US" w:eastAsia="zh-CN"/>
              </w:rPr>
            </w:pPr>
            <w:r>
              <w:rPr>
                <w:rFonts w:hint="eastAsia" w:eastAsia="宋体" w:cs="Times New Roman"/>
                <w:w w:val="100"/>
                <w:kern w:val="0"/>
                <w:sz w:val="21"/>
                <w:szCs w:val="21"/>
                <w:lang w:val="en-US" w:eastAsia="zh-CN"/>
              </w:rPr>
              <w:t>7</w:t>
            </w:r>
          </w:p>
        </w:tc>
        <w:tc>
          <w:tcPr>
            <w:tcW w:w="621" w:type="pct"/>
            <w:tcBorders>
              <w:top w:val="single" w:color="auto" w:sz="4" w:space="0"/>
              <w:tl2br w:val="nil"/>
              <w:tr2bl w:val="nil"/>
            </w:tcBorders>
            <w:vAlign w:val="center"/>
          </w:tcPr>
          <w:p w14:paraId="109D2B40">
            <w:pPr>
              <w:jc w:val="center"/>
              <w:rPr>
                <w:rFonts w:hint="eastAsia" w:eastAsia="宋体"/>
                <w:sz w:val="21"/>
                <w:szCs w:val="21"/>
                <w:lang w:val="en-US" w:eastAsia="zh-CN"/>
              </w:rPr>
            </w:pPr>
            <w:r>
              <w:rPr>
                <w:rFonts w:hint="eastAsia"/>
                <w:color w:val="auto"/>
                <w:sz w:val="21"/>
                <w:szCs w:val="21"/>
              </w:rPr>
              <w:t>废劳保用品</w:t>
            </w:r>
          </w:p>
        </w:tc>
        <w:tc>
          <w:tcPr>
            <w:tcW w:w="513" w:type="pct"/>
            <w:tcBorders>
              <w:top w:val="single" w:color="auto" w:sz="4" w:space="0"/>
              <w:tl2br w:val="nil"/>
              <w:tr2bl w:val="nil"/>
            </w:tcBorders>
            <w:vAlign w:val="center"/>
          </w:tcPr>
          <w:p w14:paraId="797A3EE7">
            <w:pPr>
              <w:jc w:val="center"/>
              <w:rPr>
                <w:rFonts w:hint="default" w:eastAsia="宋体"/>
                <w:kern w:val="0"/>
                <w:sz w:val="21"/>
                <w:szCs w:val="21"/>
                <w:lang w:val="en-US" w:eastAsia="zh-CN"/>
              </w:rPr>
            </w:pPr>
            <w:r>
              <w:rPr>
                <w:rFonts w:hint="eastAsia"/>
                <w:color w:val="auto"/>
                <w:sz w:val="21"/>
                <w:szCs w:val="21"/>
              </w:rPr>
              <w:t>口罩等</w:t>
            </w:r>
          </w:p>
        </w:tc>
        <w:tc>
          <w:tcPr>
            <w:tcW w:w="463" w:type="pct"/>
            <w:tcBorders>
              <w:top w:val="single" w:color="auto" w:sz="4" w:space="0"/>
              <w:tl2br w:val="nil"/>
              <w:tr2bl w:val="nil"/>
            </w:tcBorders>
            <w:vAlign w:val="center"/>
          </w:tcPr>
          <w:p w14:paraId="424ABC68">
            <w:pPr>
              <w:jc w:val="center"/>
              <w:rPr>
                <w:rFonts w:hint="default" w:eastAsia="宋体"/>
                <w:kern w:val="0"/>
                <w:sz w:val="21"/>
                <w:szCs w:val="21"/>
              </w:rPr>
            </w:pPr>
            <w:r>
              <w:rPr>
                <w:color w:val="auto"/>
                <w:sz w:val="21"/>
                <w:szCs w:val="21"/>
              </w:rPr>
              <w:t>固态</w:t>
            </w:r>
          </w:p>
        </w:tc>
        <w:tc>
          <w:tcPr>
            <w:tcW w:w="484" w:type="pct"/>
            <w:tcBorders>
              <w:top w:val="single" w:color="auto" w:sz="4" w:space="0"/>
              <w:tl2br w:val="nil"/>
              <w:tr2bl w:val="nil"/>
            </w:tcBorders>
            <w:vAlign w:val="center"/>
          </w:tcPr>
          <w:p w14:paraId="02CFD2F9">
            <w:pPr>
              <w:jc w:val="center"/>
              <w:rPr>
                <w:rFonts w:hint="default" w:ascii="Times New Roman" w:hAnsi="Times New Roman" w:cs="Times New Roman"/>
                <w:sz w:val="21"/>
                <w:szCs w:val="21"/>
              </w:rPr>
            </w:pPr>
            <w:r>
              <w:rPr>
                <w:color w:val="auto"/>
                <w:sz w:val="21"/>
                <w:szCs w:val="21"/>
              </w:rPr>
              <w:t>危险废物</w:t>
            </w:r>
          </w:p>
        </w:tc>
        <w:tc>
          <w:tcPr>
            <w:tcW w:w="548" w:type="pct"/>
            <w:tcBorders>
              <w:top w:val="single" w:color="auto" w:sz="4" w:space="0"/>
              <w:tl2br w:val="nil"/>
              <w:tr2bl w:val="nil"/>
            </w:tcBorders>
            <w:vAlign w:val="center"/>
          </w:tcPr>
          <w:p w14:paraId="163A142D">
            <w:pPr>
              <w:jc w:val="center"/>
              <w:rPr>
                <w:rFonts w:hint="eastAsia" w:ascii="Arial" w:hAnsi="Arial" w:eastAsia="宋体" w:cs="Arial"/>
                <w:i w:val="0"/>
                <w:iCs w:val="0"/>
                <w:caps w:val="0"/>
                <w:color w:val="333333"/>
                <w:spacing w:val="0"/>
                <w:sz w:val="21"/>
                <w:szCs w:val="21"/>
                <w:shd w:val="clear" w:fill="FFFFFF"/>
                <w:lang w:val="en-US" w:eastAsia="zh-CN"/>
              </w:rPr>
            </w:pPr>
            <w:r>
              <w:rPr>
                <w:color w:val="auto"/>
                <w:sz w:val="21"/>
                <w:szCs w:val="21"/>
              </w:rPr>
              <w:t>HW49</w:t>
            </w:r>
          </w:p>
        </w:tc>
        <w:tc>
          <w:tcPr>
            <w:tcW w:w="711" w:type="pct"/>
            <w:tcBorders>
              <w:top w:val="single" w:color="auto" w:sz="4" w:space="0"/>
              <w:tl2br w:val="nil"/>
              <w:tr2bl w:val="nil"/>
            </w:tcBorders>
            <w:vAlign w:val="center"/>
          </w:tcPr>
          <w:p w14:paraId="4F91478D">
            <w:pPr>
              <w:jc w:val="center"/>
              <w:rPr>
                <w:rFonts w:hint="eastAsia" w:ascii="Arial" w:hAnsi="Arial" w:eastAsia="宋体" w:cs="Arial"/>
                <w:i w:val="0"/>
                <w:iCs w:val="0"/>
                <w:caps w:val="0"/>
                <w:color w:val="333333"/>
                <w:spacing w:val="0"/>
                <w:sz w:val="21"/>
                <w:szCs w:val="21"/>
                <w:shd w:val="clear" w:fill="FFFFFF"/>
                <w:lang w:val="en-US" w:eastAsia="zh-CN"/>
              </w:rPr>
            </w:pPr>
            <w:r>
              <w:rPr>
                <w:color w:val="auto"/>
                <w:sz w:val="21"/>
                <w:szCs w:val="21"/>
              </w:rPr>
              <w:t>900-0</w:t>
            </w:r>
            <w:r>
              <w:rPr>
                <w:rFonts w:hint="eastAsia"/>
                <w:color w:val="auto"/>
                <w:sz w:val="21"/>
                <w:szCs w:val="21"/>
              </w:rPr>
              <w:t>41</w:t>
            </w:r>
            <w:r>
              <w:rPr>
                <w:color w:val="auto"/>
                <w:sz w:val="21"/>
                <w:szCs w:val="21"/>
              </w:rPr>
              <w:t>-49</w:t>
            </w:r>
          </w:p>
        </w:tc>
        <w:tc>
          <w:tcPr>
            <w:tcW w:w="603" w:type="pct"/>
            <w:tcBorders>
              <w:top w:val="single" w:color="auto" w:sz="4" w:space="0"/>
              <w:tl2br w:val="nil"/>
              <w:tr2bl w:val="nil"/>
            </w:tcBorders>
            <w:vAlign w:val="center"/>
          </w:tcPr>
          <w:p w14:paraId="3ADD0CC5">
            <w:pPr>
              <w:jc w:val="center"/>
              <w:rPr>
                <w:rFonts w:hint="eastAsia" w:ascii="Times New Roman" w:hAnsi="Times New Roman" w:cs="Times New Roman"/>
                <w:color w:val="auto"/>
                <w:sz w:val="21"/>
                <w:szCs w:val="21"/>
                <w:lang w:val="en-US" w:eastAsia="zh-CN"/>
              </w:rPr>
            </w:pPr>
            <w:r>
              <w:rPr>
                <w:rFonts w:hint="eastAsia"/>
                <w:color w:val="auto"/>
                <w:sz w:val="21"/>
                <w:szCs w:val="21"/>
              </w:rPr>
              <w:t>1</w:t>
            </w:r>
          </w:p>
        </w:tc>
        <w:tc>
          <w:tcPr>
            <w:tcW w:w="681" w:type="pct"/>
            <w:vMerge w:val="continue"/>
            <w:tcBorders>
              <w:tl2br w:val="nil"/>
              <w:tr2bl w:val="nil"/>
            </w:tcBorders>
            <w:vAlign w:val="center"/>
          </w:tcPr>
          <w:p w14:paraId="48853CBC">
            <w:pPr>
              <w:pStyle w:val="143"/>
              <w:rPr>
                <w:rFonts w:hint="default" w:ascii="Times New Roman" w:hAnsi="Times New Roman" w:cs="Times New Roman"/>
                <w:sz w:val="21"/>
                <w:szCs w:val="21"/>
              </w:rPr>
            </w:pPr>
          </w:p>
        </w:tc>
      </w:tr>
    </w:tbl>
    <w:p w14:paraId="5CD1F545">
      <w:pPr>
        <w:snapToGrid w:val="0"/>
        <w:spacing w:line="500" w:lineRule="exact"/>
        <w:jc w:val="center"/>
        <w:rPr>
          <w:rFonts w:eastAsia="宋体"/>
          <w:b/>
          <w:bCs/>
        </w:rPr>
      </w:pPr>
      <w:r>
        <w:rPr>
          <w:rFonts w:eastAsia="宋体"/>
          <w:b/>
          <w:bCs/>
        </w:rPr>
        <w:t>表3-1</w:t>
      </w:r>
      <w:r>
        <w:rPr>
          <w:rFonts w:hint="eastAsia" w:eastAsia="宋体"/>
          <w:b/>
          <w:bCs/>
          <w:lang w:val="en-US" w:eastAsia="zh-CN"/>
        </w:rPr>
        <w:t>6</w:t>
      </w:r>
      <w:r>
        <w:rPr>
          <w:rFonts w:hint="eastAsia" w:eastAsia="宋体"/>
          <w:b/>
          <w:bCs/>
        </w:rPr>
        <w:t>一般</w:t>
      </w:r>
      <w:r>
        <w:rPr>
          <w:rFonts w:eastAsia="宋体"/>
          <w:b/>
          <w:bCs/>
        </w:rPr>
        <w:t>固（液）体</w:t>
      </w:r>
      <w:r>
        <w:rPr>
          <w:rFonts w:hint="eastAsia" w:eastAsia="宋体"/>
          <w:b/>
          <w:bCs/>
        </w:rPr>
        <w:t>废物产生</w:t>
      </w:r>
      <w:r>
        <w:rPr>
          <w:rFonts w:eastAsia="宋体"/>
          <w:b/>
          <w:bCs/>
        </w:rPr>
        <w:t>情况一览表</w:t>
      </w:r>
    </w:p>
    <w:tbl>
      <w:tblPr>
        <w:tblStyle w:val="38"/>
        <w:tblW w:w="524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851"/>
        <w:gridCol w:w="1519"/>
        <w:gridCol w:w="1094"/>
        <w:gridCol w:w="1094"/>
        <w:gridCol w:w="1583"/>
        <w:gridCol w:w="1608"/>
        <w:gridCol w:w="1894"/>
      </w:tblGrid>
      <w:tr w14:paraId="1F51B7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41" w:type="pct"/>
            <w:tcBorders>
              <w:tl2br w:val="nil"/>
              <w:tr2bl w:val="nil"/>
            </w:tcBorders>
            <w:vAlign w:val="center"/>
          </w:tcPr>
          <w:p w14:paraId="25F0523B">
            <w:pPr>
              <w:pStyle w:val="143"/>
              <w:rPr>
                <w:rFonts w:ascii="Times New Roman" w:hAnsi="Times New Roman" w:cs="Times New Roman"/>
                <w:sz w:val="21"/>
                <w:szCs w:val="21"/>
              </w:rPr>
            </w:pPr>
            <w:r>
              <w:rPr>
                <w:rFonts w:ascii="Times New Roman" w:hAnsi="Times New Roman" w:cs="Times New Roman"/>
                <w:sz w:val="21"/>
                <w:szCs w:val="21"/>
              </w:rPr>
              <w:t>序号</w:t>
            </w:r>
          </w:p>
        </w:tc>
        <w:tc>
          <w:tcPr>
            <w:tcW w:w="787" w:type="pct"/>
            <w:tcBorders>
              <w:tl2br w:val="nil"/>
              <w:tr2bl w:val="nil"/>
            </w:tcBorders>
            <w:vAlign w:val="center"/>
          </w:tcPr>
          <w:p w14:paraId="7F906F47">
            <w:pPr>
              <w:pStyle w:val="143"/>
              <w:rPr>
                <w:rFonts w:ascii="Times New Roman" w:hAnsi="Times New Roman" w:cs="Times New Roman"/>
                <w:sz w:val="21"/>
                <w:szCs w:val="21"/>
              </w:rPr>
            </w:pPr>
            <w:r>
              <w:rPr>
                <w:rFonts w:ascii="Times New Roman" w:hAnsi="Times New Roman" w:cs="Times New Roman"/>
                <w:sz w:val="21"/>
                <w:szCs w:val="21"/>
              </w:rPr>
              <w:t>固废名称</w:t>
            </w:r>
          </w:p>
        </w:tc>
        <w:tc>
          <w:tcPr>
            <w:tcW w:w="567" w:type="pct"/>
            <w:tcBorders>
              <w:tl2br w:val="nil"/>
              <w:tr2bl w:val="nil"/>
            </w:tcBorders>
            <w:vAlign w:val="center"/>
          </w:tcPr>
          <w:p w14:paraId="6563749A">
            <w:pPr>
              <w:pStyle w:val="143"/>
              <w:rPr>
                <w:rFonts w:ascii="Times New Roman" w:hAnsi="Times New Roman" w:cs="Times New Roman"/>
                <w:sz w:val="21"/>
                <w:szCs w:val="21"/>
              </w:rPr>
            </w:pPr>
            <w:r>
              <w:rPr>
                <w:rFonts w:ascii="Times New Roman" w:hAnsi="Times New Roman" w:cs="Times New Roman"/>
                <w:sz w:val="21"/>
                <w:szCs w:val="21"/>
              </w:rPr>
              <w:t>产生工序</w:t>
            </w:r>
          </w:p>
        </w:tc>
        <w:tc>
          <w:tcPr>
            <w:tcW w:w="567" w:type="pct"/>
            <w:tcBorders>
              <w:tl2br w:val="nil"/>
              <w:tr2bl w:val="nil"/>
            </w:tcBorders>
            <w:vAlign w:val="center"/>
          </w:tcPr>
          <w:p w14:paraId="574A1FDD">
            <w:pPr>
              <w:pStyle w:val="143"/>
              <w:rPr>
                <w:rFonts w:ascii="Times New Roman" w:hAnsi="Times New Roman" w:cs="Times New Roman"/>
                <w:sz w:val="21"/>
                <w:szCs w:val="21"/>
              </w:rPr>
            </w:pPr>
            <w:r>
              <w:rPr>
                <w:rFonts w:ascii="Times New Roman" w:hAnsi="Times New Roman" w:cs="Times New Roman"/>
                <w:sz w:val="21"/>
                <w:szCs w:val="21"/>
              </w:rPr>
              <w:t>形态</w:t>
            </w:r>
          </w:p>
        </w:tc>
        <w:tc>
          <w:tcPr>
            <w:tcW w:w="820" w:type="pct"/>
            <w:tcBorders>
              <w:tl2br w:val="nil"/>
              <w:tr2bl w:val="nil"/>
            </w:tcBorders>
            <w:vAlign w:val="center"/>
          </w:tcPr>
          <w:p w14:paraId="16044D3A">
            <w:pPr>
              <w:pStyle w:val="143"/>
              <w:rPr>
                <w:rFonts w:ascii="Times New Roman" w:hAnsi="Times New Roman" w:cs="Times New Roman"/>
                <w:sz w:val="21"/>
                <w:szCs w:val="21"/>
              </w:rPr>
            </w:pPr>
            <w:r>
              <w:rPr>
                <w:rFonts w:ascii="Times New Roman" w:hAnsi="Times New Roman" w:cs="Times New Roman"/>
                <w:sz w:val="21"/>
                <w:szCs w:val="21"/>
              </w:rPr>
              <w:t>属性</w:t>
            </w:r>
          </w:p>
        </w:tc>
        <w:tc>
          <w:tcPr>
            <w:tcW w:w="833" w:type="pct"/>
            <w:tcBorders>
              <w:tl2br w:val="nil"/>
              <w:tr2bl w:val="nil"/>
            </w:tcBorders>
            <w:vAlign w:val="center"/>
          </w:tcPr>
          <w:p w14:paraId="31E86829">
            <w:pPr>
              <w:pStyle w:val="143"/>
              <w:rPr>
                <w:rFonts w:ascii="Times New Roman" w:hAnsi="Times New Roman" w:cs="Times New Roman"/>
                <w:sz w:val="21"/>
                <w:szCs w:val="21"/>
              </w:rPr>
            </w:pPr>
            <w:r>
              <w:rPr>
                <w:rFonts w:ascii="Times New Roman" w:hAnsi="Times New Roman" w:cs="Times New Roman"/>
                <w:sz w:val="21"/>
                <w:szCs w:val="21"/>
              </w:rPr>
              <w:t>产生量（t/a）</w:t>
            </w:r>
          </w:p>
        </w:tc>
        <w:tc>
          <w:tcPr>
            <w:tcW w:w="981" w:type="pct"/>
            <w:tcBorders>
              <w:tl2br w:val="nil"/>
              <w:tr2bl w:val="nil"/>
            </w:tcBorders>
            <w:vAlign w:val="center"/>
          </w:tcPr>
          <w:p w14:paraId="03217E3F">
            <w:pPr>
              <w:pStyle w:val="143"/>
              <w:rPr>
                <w:rFonts w:ascii="Times New Roman" w:hAnsi="Times New Roman" w:cs="Times New Roman"/>
                <w:sz w:val="21"/>
                <w:szCs w:val="21"/>
              </w:rPr>
            </w:pPr>
            <w:r>
              <w:rPr>
                <w:rFonts w:ascii="Times New Roman" w:hAnsi="Times New Roman" w:cs="Times New Roman"/>
                <w:sz w:val="21"/>
                <w:szCs w:val="21"/>
              </w:rPr>
              <w:t>处置方式</w:t>
            </w:r>
          </w:p>
        </w:tc>
      </w:tr>
      <w:tr w14:paraId="6697A3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41" w:type="pct"/>
            <w:tcBorders>
              <w:tl2br w:val="nil"/>
              <w:tr2bl w:val="nil"/>
            </w:tcBorders>
            <w:vAlign w:val="center"/>
          </w:tcPr>
          <w:p w14:paraId="3E12535A">
            <w:pPr>
              <w:widowControl/>
              <w:jc w:val="center"/>
              <w:rPr>
                <w:rFonts w:ascii="Times New Roman" w:hAnsi="Times New Roman" w:eastAsia="宋体" w:cs="Times New Roman"/>
                <w:kern w:val="0"/>
                <w:sz w:val="21"/>
                <w:szCs w:val="21"/>
              </w:rPr>
            </w:pPr>
            <w:r>
              <w:rPr>
                <w:rFonts w:ascii="Times New Roman" w:hAnsi="Times New Roman" w:eastAsia="宋体" w:cs="Times New Roman"/>
                <w:w w:val="100"/>
                <w:kern w:val="0"/>
                <w:sz w:val="21"/>
                <w:szCs w:val="21"/>
              </w:rPr>
              <w:t>1</w:t>
            </w:r>
          </w:p>
        </w:tc>
        <w:tc>
          <w:tcPr>
            <w:tcW w:w="1514" w:type="dxa"/>
            <w:tcBorders>
              <w:tl2br w:val="nil"/>
              <w:tr2bl w:val="nil"/>
            </w:tcBorders>
            <w:vAlign w:val="center"/>
          </w:tcPr>
          <w:p w14:paraId="73FFE58E">
            <w:pPr>
              <w:jc w:val="center"/>
              <w:rPr>
                <w:rFonts w:hint="eastAsia" w:ascii="Times New Roman" w:hAnsi="Times New Roman" w:eastAsia="宋体" w:cs="Times New Roman"/>
                <w:kern w:val="2"/>
                <w:sz w:val="21"/>
                <w:szCs w:val="21"/>
                <w:lang w:val="en-US" w:eastAsia="zh-CN" w:bidi="ar-SA"/>
              </w:rPr>
            </w:pPr>
            <w:r>
              <w:rPr>
                <w:color w:val="auto"/>
                <w:sz w:val="21"/>
                <w:szCs w:val="21"/>
              </w:rPr>
              <w:t>废</w:t>
            </w:r>
            <w:r>
              <w:rPr>
                <w:rFonts w:hint="eastAsia"/>
                <w:color w:val="auto"/>
                <w:sz w:val="21"/>
                <w:szCs w:val="21"/>
              </w:rPr>
              <w:t>木料</w:t>
            </w:r>
          </w:p>
        </w:tc>
        <w:tc>
          <w:tcPr>
            <w:tcW w:w="1091" w:type="dxa"/>
            <w:tcBorders>
              <w:tl2br w:val="nil"/>
              <w:tr2bl w:val="nil"/>
            </w:tcBorders>
            <w:vAlign w:val="center"/>
          </w:tcPr>
          <w:p w14:paraId="79B452C6">
            <w:pPr>
              <w:jc w:val="center"/>
              <w:rPr>
                <w:rFonts w:ascii="Times New Roman" w:hAnsi="Times New Roman" w:eastAsia="宋体" w:cs="Times New Roman"/>
                <w:kern w:val="2"/>
                <w:sz w:val="21"/>
                <w:szCs w:val="21"/>
                <w:lang w:val="en-US" w:eastAsia="zh-CN" w:bidi="ar-SA"/>
              </w:rPr>
            </w:pPr>
            <w:r>
              <w:rPr>
                <w:rFonts w:hint="eastAsia"/>
                <w:color w:val="auto"/>
                <w:sz w:val="21"/>
                <w:szCs w:val="21"/>
              </w:rPr>
              <w:t>断料等</w:t>
            </w:r>
          </w:p>
        </w:tc>
        <w:tc>
          <w:tcPr>
            <w:tcW w:w="567" w:type="pct"/>
            <w:tcBorders>
              <w:tl2br w:val="nil"/>
              <w:tr2bl w:val="nil"/>
            </w:tcBorders>
            <w:vAlign w:val="center"/>
          </w:tcPr>
          <w:p w14:paraId="014FEABA">
            <w:pPr>
              <w:jc w:val="center"/>
              <w:rPr>
                <w:rFonts w:eastAsia="宋体"/>
                <w:sz w:val="21"/>
                <w:szCs w:val="21"/>
              </w:rPr>
            </w:pPr>
            <w:r>
              <w:rPr>
                <w:rFonts w:eastAsia="宋体"/>
                <w:sz w:val="21"/>
                <w:szCs w:val="21"/>
              </w:rPr>
              <w:t>固体</w:t>
            </w:r>
          </w:p>
        </w:tc>
        <w:tc>
          <w:tcPr>
            <w:tcW w:w="820" w:type="pct"/>
            <w:vMerge w:val="restart"/>
            <w:tcBorders>
              <w:tl2br w:val="nil"/>
              <w:tr2bl w:val="nil"/>
            </w:tcBorders>
            <w:vAlign w:val="center"/>
          </w:tcPr>
          <w:p w14:paraId="1B8CAC39">
            <w:pPr>
              <w:pStyle w:val="143"/>
              <w:rPr>
                <w:rFonts w:ascii="Times New Roman" w:hAnsi="Times New Roman" w:cs="Times New Roman"/>
                <w:sz w:val="21"/>
                <w:szCs w:val="21"/>
              </w:rPr>
            </w:pPr>
            <w:r>
              <w:rPr>
                <w:rFonts w:ascii="Times New Roman" w:hAnsi="Times New Roman" w:cs="Times New Roman"/>
                <w:sz w:val="21"/>
                <w:szCs w:val="21"/>
              </w:rPr>
              <w:t>一般固废</w:t>
            </w:r>
          </w:p>
        </w:tc>
        <w:tc>
          <w:tcPr>
            <w:tcW w:w="1603" w:type="dxa"/>
            <w:tcBorders>
              <w:tl2br w:val="nil"/>
              <w:tr2bl w:val="nil"/>
            </w:tcBorders>
            <w:vAlign w:val="center"/>
          </w:tcPr>
          <w:p w14:paraId="5327CA47">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240</w:t>
            </w:r>
          </w:p>
        </w:tc>
        <w:tc>
          <w:tcPr>
            <w:tcW w:w="981" w:type="pct"/>
            <w:vMerge w:val="restart"/>
            <w:tcBorders>
              <w:tl2br w:val="nil"/>
              <w:tr2bl w:val="nil"/>
            </w:tcBorders>
            <w:vAlign w:val="center"/>
          </w:tcPr>
          <w:p w14:paraId="0C62A020">
            <w:pPr>
              <w:pStyle w:val="143"/>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外售综合利用</w:t>
            </w:r>
          </w:p>
        </w:tc>
      </w:tr>
      <w:tr w14:paraId="57E472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41" w:type="pct"/>
            <w:tcBorders>
              <w:tl2br w:val="nil"/>
              <w:tr2bl w:val="nil"/>
            </w:tcBorders>
            <w:vAlign w:val="center"/>
          </w:tcPr>
          <w:p w14:paraId="11780745">
            <w:pPr>
              <w:widowControl/>
              <w:jc w:val="center"/>
              <w:rPr>
                <w:rFonts w:ascii="Times New Roman" w:hAnsi="Times New Roman" w:eastAsia="宋体" w:cs="Times New Roman"/>
                <w:kern w:val="0"/>
                <w:sz w:val="21"/>
                <w:szCs w:val="21"/>
              </w:rPr>
            </w:pPr>
            <w:r>
              <w:rPr>
                <w:rFonts w:ascii="Times New Roman" w:hAnsi="Times New Roman" w:eastAsia="宋体" w:cs="Times New Roman"/>
                <w:w w:val="100"/>
                <w:kern w:val="0"/>
                <w:sz w:val="21"/>
                <w:szCs w:val="21"/>
              </w:rPr>
              <w:t>2</w:t>
            </w:r>
          </w:p>
        </w:tc>
        <w:tc>
          <w:tcPr>
            <w:tcW w:w="1514" w:type="dxa"/>
            <w:tcBorders>
              <w:tl2br w:val="nil"/>
              <w:tr2bl w:val="nil"/>
            </w:tcBorders>
            <w:vAlign w:val="center"/>
          </w:tcPr>
          <w:p w14:paraId="362F4251">
            <w:pPr>
              <w:jc w:val="center"/>
              <w:rPr>
                <w:rFonts w:hint="eastAsia" w:ascii="Times New Roman" w:hAnsi="Times New Roman" w:eastAsia="宋体" w:cs="Times New Roman"/>
                <w:kern w:val="2"/>
                <w:sz w:val="21"/>
                <w:szCs w:val="21"/>
                <w:lang w:val="en-US" w:eastAsia="zh-CN" w:bidi="ar-SA"/>
              </w:rPr>
            </w:pPr>
            <w:r>
              <w:rPr>
                <w:rFonts w:hint="eastAsia"/>
                <w:color w:val="auto"/>
                <w:sz w:val="21"/>
                <w:szCs w:val="21"/>
              </w:rPr>
              <w:t>除尘灰</w:t>
            </w:r>
          </w:p>
        </w:tc>
        <w:tc>
          <w:tcPr>
            <w:tcW w:w="1091" w:type="dxa"/>
            <w:tcBorders>
              <w:tl2br w:val="nil"/>
              <w:tr2bl w:val="nil"/>
            </w:tcBorders>
            <w:vAlign w:val="center"/>
          </w:tcPr>
          <w:p w14:paraId="252244DB">
            <w:pPr>
              <w:jc w:val="center"/>
              <w:rPr>
                <w:rFonts w:hint="eastAsia" w:ascii="Times New Roman" w:hAnsi="Times New Roman" w:eastAsia="宋体" w:cs="Times New Roman"/>
                <w:kern w:val="2"/>
                <w:sz w:val="21"/>
                <w:szCs w:val="21"/>
                <w:lang w:val="en-US" w:eastAsia="zh-CN" w:bidi="ar-SA"/>
              </w:rPr>
            </w:pPr>
            <w:r>
              <w:rPr>
                <w:rFonts w:hint="eastAsia"/>
                <w:color w:val="auto"/>
                <w:sz w:val="21"/>
                <w:szCs w:val="21"/>
              </w:rPr>
              <w:t>废气治理</w:t>
            </w:r>
          </w:p>
        </w:tc>
        <w:tc>
          <w:tcPr>
            <w:tcW w:w="567" w:type="pct"/>
            <w:tcBorders>
              <w:tl2br w:val="nil"/>
              <w:tr2bl w:val="nil"/>
            </w:tcBorders>
            <w:vAlign w:val="center"/>
          </w:tcPr>
          <w:p w14:paraId="7069D349">
            <w:pPr>
              <w:jc w:val="center"/>
              <w:rPr>
                <w:rFonts w:eastAsia="宋体"/>
                <w:sz w:val="21"/>
                <w:szCs w:val="21"/>
              </w:rPr>
            </w:pPr>
            <w:r>
              <w:rPr>
                <w:rFonts w:eastAsia="宋体"/>
                <w:sz w:val="21"/>
                <w:szCs w:val="21"/>
              </w:rPr>
              <w:t>固体</w:t>
            </w:r>
          </w:p>
        </w:tc>
        <w:tc>
          <w:tcPr>
            <w:tcW w:w="820" w:type="pct"/>
            <w:vMerge w:val="continue"/>
            <w:tcBorders>
              <w:tl2br w:val="nil"/>
              <w:tr2bl w:val="nil"/>
            </w:tcBorders>
            <w:vAlign w:val="center"/>
          </w:tcPr>
          <w:p w14:paraId="14EACCB8">
            <w:pPr>
              <w:pStyle w:val="143"/>
              <w:rPr>
                <w:rFonts w:ascii="Times New Roman" w:hAnsi="Times New Roman" w:cs="Times New Roman"/>
                <w:sz w:val="21"/>
                <w:szCs w:val="21"/>
              </w:rPr>
            </w:pPr>
          </w:p>
        </w:tc>
        <w:tc>
          <w:tcPr>
            <w:tcW w:w="1603" w:type="dxa"/>
            <w:tcBorders>
              <w:tl2br w:val="nil"/>
              <w:tr2bl w:val="nil"/>
            </w:tcBorders>
            <w:vAlign w:val="center"/>
          </w:tcPr>
          <w:p w14:paraId="59FE0DDF">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8.48</w:t>
            </w:r>
          </w:p>
        </w:tc>
        <w:tc>
          <w:tcPr>
            <w:tcW w:w="981" w:type="pct"/>
            <w:vMerge w:val="continue"/>
            <w:tcBorders>
              <w:tl2br w:val="nil"/>
              <w:tr2bl w:val="nil"/>
            </w:tcBorders>
            <w:vAlign w:val="center"/>
          </w:tcPr>
          <w:p w14:paraId="2BDF246B">
            <w:pPr>
              <w:pStyle w:val="143"/>
              <w:rPr>
                <w:rFonts w:ascii="Times New Roman" w:hAnsi="Times New Roman" w:cs="Times New Roman"/>
                <w:sz w:val="21"/>
                <w:szCs w:val="21"/>
              </w:rPr>
            </w:pPr>
          </w:p>
        </w:tc>
      </w:tr>
      <w:tr w14:paraId="79DE2F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41" w:type="pct"/>
            <w:tcBorders>
              <w:tl2br w:val="nil"/>
              <w:tr2bl w:val="nil"/>
            </w:tcBorders>
            <w:vAlign w:val="center"/>
          </w:tcPr>
          <w:p w14:paraId="20195AE6">
            <w:pPr>
              <w:widowControl/>
              <w:jc w:val="center"/>
              <w:rPr>
                <w:rFonts w:ascii="Times New Roman" w:hAnsi="Times New Roman" w:eastAsia="宋体" w:cs="Times New Roman"/>
                <w:kern w:val="0"/>
                <w:sz w:val="21"/>
                <w:szCs w:val="21"/>
              </w:rPr>
            </w:pPr>
            <w:r>
              <w:rPr>
                <w:rFonts w:ascii="Times New Roman" w:hAnsi="Times New Roman" w:eastAsia="宋体" w:cs="Times New Roman"/>
                <w:w w:val="100"/>
                <w:kern w:val="0"/>
                <w:sz w:val="21"/>
                <w:szCs w:val="21"/>
              </w:rPr>
              <w:t>3</w:t>
            </w:r>
          </w:p>
        </w:tc>
        <w:tc>
          <w:tcPr>
            <w:tcW w:w="1514" w:type="dxa"/>
            <w:tcBorders>
              <w:tl2br w:val="nil"/>
              <w:tr2bl w:val="nil"/>
            </w:tcBorders>
            <w:vAlign w:val="center"/>
          </w:tcPr>
          <w:p w14:paraId="3CD772B8">
            <w:pPr>
              <w:jc w:val="center"/>
              <w:rPr>
                <w:rFonts w:hint="eastAsia" w:ascii="Times New Roman" w:hAnsi="Times New Roman" w:eastAsia="宋体" w:cs="Times New Roman"/>
                <w:kern w:val="2"/>
                <w:sz w:val="21"/>
                <w:szCs w:val="21"/>
                <w:lang w:val="en-US" w:eastAsia="zh-CN" w:bidi="ar-SA"/>
              </w:rPr>
            </w:pPr>
            <w:r>
              <w:rPr>
                <w:rFonts w:hint="eastAsia"/>
                <w:color w:val="auto"/>
                <w:sz w:val="21"/>
                <w:szCs w:val="21"/>
              </w:rPr>
              <w:t>废布袋</w:t>
            </w:r>
          </w:p>
        </w:tc>
        <w:tc>
          <w:tcPr>
            <w:tcW w:w="1091" w:type="dxa"/>
            <w:tcBorders>
              <w:tl2br w:val="nil"/>
              <w:tr2bl w:val="nil"/>
            </w:tcBorders>
            <w:vAlign w:val="center"/>
          </w:tcPr>
          <w:p w14:paraId="7F5B38ED">
            <w:pPr>
              <w:jc w:val="center"/>
              <w:rPr>
                <w:rFonts w:hint="eastAsia" w:ascii="Times New Roman" w:hAnsi="Times New Roman" w:eastAsia="宋体" w:cs="Times New Roman"/>
                <w:kern w:val="2"/>
                <w:sz w:val="21"/>
                <w:szCs w:val="21"/>
                <w:lang w:val="en-US" w:eastAsia="zh-CN" w:bidi="ar-SA"/>
              </w:rPr>
            </w:pPr>
            <w:r>
              <w:rPr>
                <w:rFonts w:hint="eastAsia"/>
                <w:color w:val="auto"/>
                <w:sz w:val="21"/>
                <w:szCs w:val="21"/>
              </w:rPr>
              <w:t>废气治理</w:t>
            </w:r>
          </w:p>
        </w:tc>
        <w:tc>
          <w:tcPr>
            <w:tcW w:w="567" w:type="pct"/>
            <w:tcBorders>
              <w:tl2br w:val="nil"/>
              <w:tr2bl w:val="nil"/>
            </w:tcBorders>
            <w:vAlign w:val="center"/>
          </w:tcPr>
          <w:p w14:paraId="000C2970">
            <w:pPr>
              <w:jc w:val="center"/>
              <w:rPr>
                <w:rFonts w:eastAsia="宋体"/>
                <w:sz w:val="21"/>
                <w:szCs w:val="21"/>
              </w:rPr>
            </w:pPr>
            <w:r>
              <w:rPr>
                <w:rFonts w:eastAsia="宋体"/>
                <w:sz w:val="21"/>
                <w:szCs w:val="21"/>
              </w:rPr>
              <w:t>固体</w:t>
            </w:r>
          </w:p>
        </w:tc>
        <w:tc>
          <w:tcPr>
            <w:tcW w:w="820" w:type="pct"/>
            <w:vMerge w:val="continue"/>
            <w:tcBorders>
              <w:tl2br w:val="nil"/>
              <w:tr2bl w:val="nil"/>
            </w:tcBorders>
            <w:vAlign w:val="center"/>
          </w:tcPr>
          <w:p w14:paraId="12B1A7C3">
            <w:pPr>
              <w:pStyle w:val="143"/>
              <w:rPr>
                <w:rFonts w:ascii="Times New Roman" w:hAnsi="Times New Roman" w:cs="Times New Roman"/>
                <w:sz w:val="21"/>
                <w:szCs w:val="21"/>
              </w:rPr>
            </w:pPr>
          </w:p>
        </w:tc>
        <w:tc>
          <w:tcPr>
            <w:tcW w:w="1603" w:type="dxa"/>
            <w:tcBorders>
              <w:tl2br w:val="nil"/>
              <w:tr2bl w:val="nil"/>
            </w:tcBorders>
            <w:vAlign w:val="center"/>
          </w:tcPr>
          <w:p w14:paraId="084B23FA">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0.5</w:t>
            </w:r>
          </w:p>
        </w:tc>
        <w:tc>
          <w:tcPr>
            <w:tcW w:w="981" w:type="pct"/>
            <w:vMerge w:val="continue"/>
            <w:tcBorders>
              <w:tl2br w:val="nil"/>
              <w:tr2bl w:val="nil"/>
            </w:tcBorders>
            <w:vAlign w:val="center"/>
          </w:tcPr>
          <w:p w14:paraId="58B363CF">
            <w:pPr>
              <w:pStyle w:val="143"/>
              <w:rPr>
                <w:rFonts w:ascii="Times New Roman" w:hAnsi="Times New Roman" w:cs="Times New Roman"/>
                <w:sz w:val="21"/>
                <w:szCs w:val="21"/>
              </w:rPr>
            </w:pPr>
          </w:p>
        </w:tc>
      </w:tr>
      <w:tr w14:paraId="42162E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41" w:type="pct"/>
            <w:vAlign w:val="center"/>
          </w:tcPr>
          <w:p w14:paraId="6C8CA386">
            <w:pPr>
              <w:widowControl/>
              <w:jc w:val="center"/>
              <w:rPr>
                <w:rFonts w:hint="default" w:ascii="Times New Roman" w:hAnsi="Times New Roman" w:eastAsia="宋体" w:cs="Times New Roman"/>
                <w:w w:val="100"/>
                <w:kern w:val="0"/>
                <w:sz w:val="21"/>
                <w:szCs w:val="21"/>
                <w:lang w:val="en-US" w:eastAsia="zh-CN" w:bidi="ar-SA"/>
              </w:rPr>
            </w:pPr>
            <w:bookmarkStart w:id="128" w:name="_Toc20765"/>
            <w:bookmarkStart w:id="129" w:name="_Toc6390"/>
            <w:bookmarkStart w:id="130" w:name="_Toc8506"/>
            <w:r>
              <w:rPr>
                <w:rFonts w:hint="default" w:ascii="Times New Roman" w:hAnsi="Times New Roman" w:eastAsia="宋体" w:cs="Times New Roman"/>
                <w:w w:val="100"/>
                <w:kern w:val="0"/>
                <w:sz w:val="21"/>
                <w:szCs w:val="21"/>
                <w:lang w:val="en-US" w:eastAsia="zh-CN"/>
              </w:rPr>
              <w:t>4</w:t>
            </w:r>
          </w:p>
        </w:tc>
        <w:tc>
          <w:tcPr>
            <w:tcW w:w="787" w:type="pct"/>
            <w:vAlign w:val="top"/>
          </w:tcPr>
          <w:p w14:paraId="44E1BF98">
            <w:pPr>
              <w:spacing w:before="0" w:line="240" w:lineRule="auto"/>
              <w:ind w:left="0" w:leftChars="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pacing w:val="0"/>
                <w:sz w:val="21"/>
                <w:szCs w:val="21"/>
              </w:rPr>
              <w:t>生活垃圾</w:t>
            </w:r>
          </w:p>
        </w:tc>
        <w:tc>
          <w:tcPr>
            <w:tcW w:w="567" w:type="pct"/>
            <w:vAlign w:val="center"/>
          </w:tcPr>
          <w:p w14:paraId="3DEC58A1">
            <w:pPr>
              <w:rPr>
                <w:rFonts w:hint="eastAsia" w:ascii="Times New Roman" w:hAnsi="Times New Roman" w:eastAsia="仿宋_GB2312" w:cs="Times New Roman"/>
                <w:color w:val="auto"/>
                <w:kern w:val="2"/>
                <w:sz w:val="21"/>
                <w:szCs w:val="21"/>
                <w:lang w:val="en-US" w:eastAsia="zh-CN" w:bidi="ar-SA"/>
              </w:rPr>
            </w:pPr>
            <w:r>
              <w:rPr>
                <w:rFonts w:hint="eastAsia" w:ascii="Times New Roman"/>
                <w:color w:val="auto"/>
                <w:w w:val="100"/>
                <w:sz w:val="21"/>
                <w:szCs w:val="21"/>
                <w:lang w:val="en-US" w:eastAsia="zh-CN"/>
              </w:rPr>
              <w:t>办公生活</w:t>
            </w:r>
          </w:p>
        </w:tc>
        <w:tc>
          <w:tcPr>
            <w:tcW w:w="567" w:type="pct"/>
            <w:vAlign w:val="center"/>
          </w:tcPr>
          <w:p w14:paraId="01C85910">
            <w:pPr>
              <w:jc w:val="center"/>
              <w:rPr>
                <w:rFonts w:hint="default" w:eastAsia="宋体"/>
                <w:sz w:val="21"/>
                <w:szCs w:val="21"/>
                <w:lang w:val="en-US" w:eastAsia="zh-CN"/>
              </w:rPr>
            </w:pPr>
            <w:r>
              <w:rPr>
                <w:rFonts w:hint="eastAsia" w:eastAsia="宋体"/>
                <w:sz w:val="21"/>
                <w:szCs w:val="21"/>
                <w:lang w:val="en-US" w:eastAsia="zh-CN"/>
              </w:rPr>
              <w:t>固体</w:t>
            </w:r>
          </w:p>
        </w:tc>
        <w:tc>
          <w:tcPr>
            <w:tcW w:w="820" w:type="pct"/>
            <w:vMerge w:val="continue"/>
            <w:vAlign w:val="center"/>
          </w:tcPr>
          <w:p w14:paraId="77F9A791">
            <w:pPr>
              <w:pStyle w:val="143"/>
              <w:rPr>
                <w:rFonts w:ascii="Times New Roman" w:hAnsi="Times New Roman" w:cs="Times New Roman"/>
                <w:sz w:val="21"/>
                <w:szCs w:val="21"/>
              </w:rPr>
            </w:pPr>
          </w:p>
        </w:tc>
        <w:tc>
          <w:tcPr>
            <w:tcW w:w="833" w:type="pct"/>
            <w:vAlign w:val="center"/>
          </w:tcPr>
          <w:p w14:paraId="321ACBDA">
            <w:pPr>
              <w:widowControl/>
              <w:spacing w:before="0" w:line="240" w:lineRule="auto"/>
              <w:ind w:left="0" w:leftChars="0"/>
              <w:jc w:val="center"/>
              <w:rPr>
                <w:rFonts w:hint="default" w:ascii="Times New Roman" w:hAnsi="Times New Roman" w:eastAsia="宋体" w:cs="Times New Roman"/>
                <w:kern w:val="0"/>
                <w:sz w:val="21"/>
                <w:szCs w:val="21"/>
                <w:lang w:val="en-US" w:eastAsia="zh-CN" w:bidi="ar-SA"/>
              </w:rPr>
            </w:pPr>
            <w:r>
              <w:rPr>
                <w:rFonts w:hint="eastAsia" w:eastAsia="宋体" w:cs="Times New Roman"/>
                <w:spacing w:val="0"/>
                <w:kern w:val="0"/>
                <w:sz w:val="21"/>
                <w:szCs w:val="21"/>
                <w:lang w:val="en-US" w:eastAsia="zh-CN"/>
              </w:rPr>
              <w:t>9</w:t>
            </w:r>
          </w:p>
        </w:tc>
        <w:tc>
          <w:tcPr>
            <w:tcW w:w="981" w:type="pct"/>
            <w:vAlign w:val="center"/>
          </w:tcPr>
          <w:p w14:paraId="767CC015">
            <w:pPr>
              <w:pStyle w:val="143"/>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环卫清运</w:t>
            </w:r>
          </w:p>
        </w:tc>
      </w:tr>
    </w:tbl>
    <w:p w14:paraId="4367A175">
      <w:pPr>
        <w:pStyle w:val="3"/>
        <w:snapToGrid w:val="0"/>
        <w:spacing w:line="500" w:lineRule="exact"/>
        <w:rPr>
          <w:rFonts w:eastAsiaTheme="minorEastAsia"/>
          <w:color w:val="000000" w:themeColor="text1"/>
          <w:sz w:val="24"/>
          <w:szCs w:val="24"/>
          <w14:textFill>
            <w14:solidFill>
              <w14:schemeClr w14:val="tx1"/>
            </w14:solidFill>
          </w14:textFill>
        </w:rPr>
      </w:pPr>
      <w:bookmarkStart w:id="131" w:name="_Toc398"/>
      <w:bookmarkStart w:id="132" w:name="_Toc16315"/>
      <w:r>
        <w:rPr>
          <w:rFonts w:eastAsiaTheme="minorEastAsia"/>
          <w:color w:val="000000" w:themeColor="text1"/>
          <w:sz w:val="24"/>
          <w:szCs w:val="24"/>
          <w14:textFill>
            <w14:solidFill>
              <w14:schemeClr w14:val="tx1"/>
            </w14:solidFill>
          </w14:textFill>
        </w:rPr>
        <w:t>3.</w:t>
      </w:r>
      <w:r>
        <w:rPr>
          <w:rFonts w:hint="eastAsia" w:eastAsiaTheme="minorEastAsia"/>
          <w:color w:val="000000" w:themeColor="text1"/>
          <w:sz w:val="24"/>
          <w:szCs w:val="24"/>
          <w14:textFill>
            <w14:solidFill>
              <w14:schemeClr w14:val="tx1"/>
            </w14:solidFill>
          </w14:textFill>
        </w:rPr>
        <w:t>6</w:t>
      </w:r>
      <w:r>
        <w:rPr>
          <w:rFonts w:eastAsiaTheme="minorEastAsia"/>
          <w:color w:val="000000" w:themeColor="text1"/>
          <w:sz w:val="24"/>
          <w:szCs w:val="24"/>
          <w14:textFill>
            <w14:solidFill>
              <w14:schemeClr w14:val="tx1"/>
            </w14:solidFill>
          </w14:textFill>
        </w:rPr>
        <w:t>重大环境风险事故发生情况</w:t>
      </w:r>
      <w:bookmarkEnd w:id="128"/>
      <w:bookmarkEnd w:id="129"/>
      <w:bookmarkEnd w:id="130"/>
      <w:bookmarkEnd w:id="131"/>
      <w:bookmarkEnd w:id="132"/>
    </w:p>
    <w:p w14:paraId="70E4BC41">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公司成立至今未发生过</w:t>
      </w:r>
      <w:r>
        <w:rPr>
          <w:rFonts w:eastAsiaTheme="minorEastAsia"/>
          <w:color w:val="000000" w:themeColor="text1"/>
          <w14:textFill>
            <w14:solidFill>
              <w14:schemeClr w14:val="tx1"/>
            </w14:solidFill>
          </w14:textFill>
        </w:rPr>
        <w:t>重大环境风险事故。</w:t>
      </w:r>
    </w:p>
    <w:p w14:paraId="113C2265">
      <w:pPr>
        <w:pStyle w:val="3"/>
        <w:snapToGrid w:val="0"/>
        <w:spacing w:line="500" w:lineRule="exact"/>
        <w:rPr>
          <w:rFonts w:eastAsiaTheme="minorEastAsia"/>
          <w:color w:val="000000" w:themeColor="text1"/>
          <w:sz w:val="24"/>
          <w:szCs w:val="24"/>
          <w14:textFill>
            <w14:solidFill>
              <w14:schemeClr w14:val="tx1"/>
            </w14:solidFill>
          </w14:textFill>
        </w:rPr>
      </w:pPr>
      <w:bookmarkStart w:id="133" w:name="_Toc17748"/>
      <w:bookmarkStart w:id="134" w:name="_Toc456642258"/>
      <w:bookmarkStart w:id="135" w:name="_Toc22281"/>
      <w:bookmarkStart w:id="136" w:name="_Toc19769"/>
      <w:bookmarkStart w:id="137" w:name="_Toc10457"/>
      <w:bookmarkStart w:id="138" w:name="_Toc31165"/>
      <w:bookmarkStart w:id="139" w:name="_Toc25591"/>
      <w:r>
        <w:rPr>
          <w:rFonts w:hint="eastAsia" w:eastAsiaTheme="minorEastAsia"/>
          <w:color w:val="000000" w:themeColor="text1"/>
          <w:sz w:val="24"/>
          <w:szCs w:val="24"/>
          <w14:textFill>
            <w14:solidFill>
              <w14:schemeClr w14:val="tx1"/>
            </w14:solidFill>
          </w14:textFill>
        </w:rPr>
        <w:t>3.7安全生产管理</w:t>
      </w:r>
      <w:bookmarkEnd w:id="133"/>
      <w:bookmarkEnd w:id="134"/>
      <w:bookmarkEnd w:id="135"/>
      <w:bookmarkEnd w:id="136"/>
      <w:bookmarkEnd w:id="137"/>
      <w:bookmarkEnd w:id="138"/>
      <w:bookmarkEnd w:id="139"/>
    </w:p>
    <w:p w14:paraId="57000817">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企业安全生产管理情况见下表。</w:t>
      </w:r>
    </w:p>
    <w:p w14:paraId="15D85863">
      <w:pPr>
        <w:snapToGrid w:val="0"/>
        <w:spacing w:line="500" w:lineRule="exact"/>
        <w:jc w:val="center"/>
        <w:rPr>
          <w:rFonts w:ascii="宋体" w:hAnsi="宋体" w:eastAsia="宋体" w:cs="宋体"/>
          <w:b/>
          <w:bCs/>
        </w:rPr>
      </w:pPr>
      <w:r>
        <w:rPr>
          <w:rFonts w:eastAsia="宋体"/>
          <w:b/>
          <w:bCs/>
        </w:rPr>
        <w:t>表3-1</w:t>
      </w:r>
      <w:r>
        <w:rPr>
          <w:rFonts w:hint="eastAsia" w:eastAsia="宋体"/>
          <w:b/>
          <w:bCs/>
          <w:lang w:val="en-US" w:eastAsia="zh-CN"/>
        </w:rPr>
        <w:t>7</w:t>
      </w:r>
      <w:r>
        <w:rPr>
          <w:rFonts w:eastAsia="宋体"/>
          <w:b/>
          <w:bCs/>
        </w:rPr>
        <w:t>企业安全生产管理</w:t>
      </w:r>
    </w:p>
    <w:tbl>
      <w:tblPr>
        <w:tblStyle w:val="3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5955"/>
        <w:gridCol w:w="1231"/>
      </w:tblGrid>
      <w:tr w14:paraId="2713F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tcBorders>
              <w:tl2br w:val="nil"/>
              <w:tr2bl w:val="nil"/>
            </w:tcBorders>
            <w:vAlign w:val="center"/>
          </w:tcPr>
          <w:p w14:paraId="31A06712">
            <w:pPr>
              <w:adjustRightInd w:val="0"/>
              <w:jc w:val="center"/>
              <w:rPr>
                <w:rFonts w:ascii="宋体" w:hAnsi="宋体" w:eastAsia="宋体" w:cs="宋体"/>
                <w:b/>
                <w:bCs/>
                <w:sz w:val="21"/>
                <w:szCs w:val="21"/>
              </w:rPr>
            </w:pPr>
            <w:r>
              <w:rPr>
                <w:rFonts w:hint="eastAsia" w:ascii="宋体" w:hAnsi="宋体" w:eastAsia="宋体" w:cs="宋体"/>
                <w:b/>
                <w:bCs/>
                <w:sz w:val="21"/>
                <w:szCs w:val="21"/>
              </w:rPr>
              <w:t>评估指标</w:t>
            </w:r>
          </w:p>
        </w:tc>
        <w:tc>
          <w:tcPr>
            <w:tcW w:w="3173" w:type="pct"/>
            <w:tcBorders>
              <w:tl2br w:val="nil"/>
              <w:tr2bl w:val="nil"/>
            </w:tcBorders>
            <w:vAlign w:val="center"/>
          </w:tcPr>
          <w:p w14:paraId="4E253A5E">
            <w:pPr>
              <w:adjustRightInd w:val="0"/>
              <w:jc w:val="center"/>
              <w:rPr>
                <w:rFonts w:ascii="宋体" w:hAnsi="宋体" w:eastAsia="宋体" w:cs="宋体"/>
                <w:b/>
                <w:bCs/>
                <w:sz w:val="21"/>
                <w:szCs w:val="21"/>
              </w:rPr>
            </w:pPr>
            <w:r>
              <w:rPr>
                <w:rFonts w:hint="eastAsia" w:ascii="宋体" w:hAnsi="宋体" w:eastAsia="宋体" w:cs="宋体"/>
                <w:b/>
                <w:bCs/>
                <w:sz w:val="21"/>
                <w:szCs w:val="21"/>
              </w:rPr>
              <w:t>评估依据</w:t>
            </w:r>
          </w:p>
        </w:tc>
        <w:tc>
          <w:tcPr>
            <w:tcW w:w="656" w:type="pct"/>
            <w:tcBorders>
              <w:tl2br w:val="nil"/>
              <w:tr2bl w:val="nil"/>
            </w:tcBorders>
            <w:vAlign w:val="center"/>
          </w:tcPr>
          <w:p w14:paraId="35912A0C">
            <w:pPr>
              <w:adjustRightInd w:val="0"/>
              <w:jc w:val="center"/>
              <w:rPr>
                <w:rFonts w:ascii="宋体" w:hAnsi="宋体" w:eastAsia="宋体" w:cs="宋体"/>
                <w:b/>
                <w:bCs/>
                <w:sz w:val="21"/>
                <w:szCs w:val="21"/>
              </w:rPr>
            </w:pPr>
            <w:r>
              <w:rPr>
                <w:rFonts w:hint="eastAsia" w:ascii="宋体" w:hAnsi="宋体" w:eastAsia="宋体" w:cs="宋体"/>
                <w:b/>
                <w:bCs/>
                <w:sz w:val="21"/>
                <w:szCs w:val="21"/>
              </w:rPr>
              <w:t>企业情况</w:t>
            </w:r>
          </w:p>
        </w:tc>
      </w:tr>
      <w:tr w14:paraId="570CF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2BEECB78">
            <w:pPr>
              <w:adjustRightInd w:val="0"/>
              <w:jc w:val="center"/>
              <w:rPr>
                <w:rFonts w:ascii="宋体" w:hAnsi="宋体" w:eastAsia="宋体" w:cs="宋体"/>
                <w:sz w:val="21"/>
                <w:szCs w:val="21"/>
              </w:rPr>
            </w:pPr>
            <w:r>
              <w:rPr>
                <w:rFonts w:hint="eastAsia" w:ascii="宋体" w:hAnsi="宋体" w:eastAsia="宋体" w:cs="宋体"/>
                <w:sz w:val="21"/>
                <w:szCs w:val="21"/>
              </w:rPr>
              <w:t>消防验收</w:t>
            </w:r>
          </w:p>
        </w:tc>
        <w:tc>
          <w:tcPr>
            <w:tcW w:w="3173" w:type="pct"/>
            <w:tcBorders>
              <w:tl2br w:val="nil"/>
              <w:tr2bl w:val="nil"/>
            </w:tcBorders>
            <w:vAlign w:val="center"/>
          </w:tcPr>
          <w:p w14:paraId="3FA8B04E">
            <w:pPr>
              <w:adjustRightInd w:val="0"/>
              <w:jc w:val="center"/>
              <w:rPr>
                <w:rFonts w:ascii="宋体" w:hAnsi="宋体" w:eastAsia="宋体" w:cs="宋体"/>
                <w:sz w:val="21"/>
                <w:szCs w:val="21"/>
              </w:rPr>
            </w:pPr>
            <w:r>
              <w:rPr>
                <w:rFonts w:hint="eastAsia" w:ascii="宋体" w:hAnsi="宋体" w:eastAsia="宋体" w:cs="宋体"/>
                <w:sz w:val="21"/>
                <w:szCs w:val="21"/>
              </w:rPr>
              <w:t>消防验收意见为合格，且最近一次消防检查合格</w:t>
            </w:r>
          </w:p>
        </w:tc>
        <w:tc>
          <w:tcPr>
            <w:tcW w:w="656" w:type="pct"/>
            <w:tcBorders>
              <w:tl2br w:val="nil"/>
              <w:tr2bl w:val="nil"/>
            </w:tcBorders>
            <w:vAlign w:val="center"/>
          </w:tcPr>
          <w:p w14:paraId="08A220F0">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06A203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20FA1FB5">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3533BF2B">
            <w:pPr>
              <w:adjustRightInd w:val="0"/>
              <w:jc w:val="center"/>
              <w:rPr>
                <w:rFonts w:ascii="宋体" w:hAnsi="宋体" w:eastAsia="宋体" w:cs="宋体"/>
                <w:sz w:val="21"/>
                <w:szCs w:val="21"/>
              </w:rPr>
            </w:pPr>
            <w:r>
              <w:rPr>
                <w:rFonts w:hint="eastAsia" w:ascii="宋体" w:hAnsi="宋体" w:eastAsia="宋体" w:cs="宋体"/>
                <w:sz w:val="21"/>
                <w:szCs w:val="21"/>
              </w:rPr>
              <w:t>消防验收意见不合格，或最近一次消防检查不合格</w:t>
            </w:r>
          </w:p>
        </w:tc>
        <w:tc>
          <w:tcPr>
            <w:tcW w:w="656" w:type="pct"/>
            <w:tcBorders>
              <w:tl2br w:val="nil"/>
              <w:tr2bl w:val="nil"/>
            </w:tcBorders>
            <w:vAlign w:val="center"/>
          </w:tcPr>
          <w:p w14:paraId="14907810">
            <w:pPr>
              <w:adjustRightInd w:val="0"/>
              <w:jc w:val="center"/>
              <w:rPr>
                <w:rFonts w:ascii="宋体" w:hAnsi="宋体" w:eastAsia="宋体" w:cs="宋体"/>
                <w:sz w:val="21"/>
                <w:szCs w:val="21"/>
              </w:rPr>
            </w:pPr>
          </w:p>
        </w:tc>
      </w:tr>
      <w:tr w14:paraId="58306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5ADB45EB">
            <w:pPr>
              <w:adjustRightInd w:val="0"/>
              <w:jc w:val="center"/>
              <w:rPr>
                <w:rFonts w:ascii="宋体" w:hAnsi="宋体" w:eastAsia="宋体" w:cs="宋体"/>
                <w:sz w:val="21"/>
                <w:szCs w:val="21"/>
              </w:rPr>
            </w:pPr>
            <w:r>
              <w:rPr>
                <w:rFonts w:hint="eastAsia" w:ascii="宋体" w:hAnsi="宋体" w:eastAsia="宋体" w:cs="宋体"/>
                <w:sz w:val="21"/>
                <w:szCs w:val="21"/>
              </w:rPr>
              <w:t>安全生产许可</w:t>
            </w:r>
          </w:p>
        </w:tc>
        <w:tc>
          <w:tcPr>
            <w:tcW w:w="3173" w:type="pct"/>
            <w:tcBorders>
              <w:tl2br w:val="nil"/>
              <w:tr2bl w:val="nil"/>
            </w:tcBorders>
            <w:vAlign w:val="center"/>
          </w:tcPr>
          <w:p w14:paraId="2FE5BC7E">
            <w:pPr>
              <w:adjustRightInd w:val="0"/>
              <w:jc w:val="center"/>
              <w:rPr>
                <w:rFonts w:ascii="宋体" w:hAnsi="宋体" w:eastAsia="宋体" w:cs="宋体"/>
                <w:sz w:val="21"/>
                <w:szCs w:val="21"/>
              </w:rPr>
            </w:pPr>
            <w:r>
              <w:rPr>
                <w:rFonts w:hint="eastAsia" w:ascii="宋体" w:hAnsi="宋体" w:eastAsia="宋体" w:cs="宋体"/>
                <w:sz w:val="21"/>
                <w:szCs w:val="21"/>
              </w:rPr>
              <w:t>非化学物质生产企业或化学物质生产企业取得安全生产许可</w:t>
            </w:r>
          </w:p>
        </w:tc>
        <w:tc>
          <w:tcPr>
            <w:tcW w:w="656" w:type="pct"/>
            <w:tcBorders>
              <w:tl2br w:val="nil"/>
              <w:tr2bl w:val="nil"/>
            </w:tcBorders>
            <w:vAlign w:val="center"/>
          </w:tcPr>
          <w:p w14:paraId="4E8B0DCB">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466DC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63454384">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1AB68536">
            <w:pPr>
              <w:adjustRightInd w:val="0"/>
              <w:jc w:val="center"/>
              <w:rPr>
                <w:rFonts w:ascii="宋体" w:hAnsi="宋体" w:eastAsia="宋体" w:cs="宋体"/>
                <w:sz w:val="21"/>
                <w:szCs w:val="21"/>
              </w:rPr>
            </w:pPr>
            <w:r>
              <w:rPr>
                <w:rFonts w:hint="eastAsia" w:ascii="宋体" w:hAnsi="宋体" w:eastAsia="宋体" w:cs="宋体"/>
                <w:sz w:val="21"/>
                <w:szCs w:val="21"/>
              </w:rPr>
              <w:t>化学物质生产企业未取得安全生产许可</w:t>
            </w:r>
          </w:p>
        </w:tc>
        <w:tc>
          <w:tcPr>
            <w:tcW w:w="656" w:type="pct"/>
            <w:tcBorders>
              <w:tl2br w:val="nil"/>
              <w:tr2bl w:val="nil"/>
            </w:tcBorders>
            <w:vAlign w:val="center"/>
          </w:tcPr>
          <w:p w14:paraId="31DCC945">
            <w:pPr>
              <w:adjustRightInd w:val="0"/>
              <w:jc w:val="center"/>
              <w:rPr>
                <w:rFonts w:ascii="宋体" w:hAnsi="宋体" w:eastAsia="宋体" w:cs="宋体"/>
                <w:sz w:val="21"/>
                <w:szCs w:val="21"/>
              </w:rPr>
            </w:pPr>
          </w:p>
        </w:tc>
      </w:tr>
      <w:tr w14:paraId="3D3F4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47DA7967">
            <w:pPr>
              <w:adjustRightInd w:val="0"/>
              <w:jc w:val="center"/>
              <w:rPr>
                <w:rFonts w:ascii="宋体" w:hAnsi="宋体" w:eastAsia="宋体" w:cs="宋体"/>
                <w:sz w:val="21"/>
                <w:szCs w:val="21"/>
              </w:rPr>
            </w:pPr>
            <w:r>
              <w:rPr>
                <w:rFonts w:hint="eastAsia" w:ascii="宋体" w:hAnsi="宋体" w:eastAsia="宋体" w:cs="宋体"/>
                <w:sz w:val="21"/>
                <w:szCs w:val="21"/>
              </w:rPr>
              <w:t>化学物质安全评价</w:t>
            </w:r>
          </w:p>
        </w:tc>
        <w:tc>
          <w:tcPr>
            <w:tcW w:w="3173" w:type="pct"/>
            <w:tcBorders>
              <w:tl2br w:val="nil"/>
              <w:tr2bl w:val="nil"/>
            </w:tcBorders>
            <w:vAlign w:val="center"/>
          </w:tcPr>
          <w:p w14:paraId="2C909CA7">
            <w:pPr>
              <w:adjustRightInd w:val="0"/>
              <w:jc w:val="center"/>
              <w:rPr>
                <w:rFonts w:ascii="宋体" w:hAnsi="宋体" w:eastAsia="宋体" w:cs="宋体"/>
                <w:sz w:val="21"/>
                <w:szCs w:val="21"/>
              </w:rPr>
            </w:pPr>
            <w:r>
              <w:rPr>
                <w:rFonts w:hint="eastAsia" w:ascii="宋体" w:hAnsi="宋体" w:eastAsia="宋体" w:cs="宋体"/>
                <w:sz w:val="21"/>
                <w:szCs w:val="21"/>
              </w:rPr>
              <w:t>展开化学物质安全评价；通过安全设施竣工验收，或无要求</w:t>
            </w:r>
          </w:p>
        </w:tc>
        <w:tc>
          <w:tcPr>
            <w:tcW w:w="656" w:type="pct"/>
            <w:tcBorders>
              <w:tl2br w:val="nil"/>
              <w:tr2bl w:val="nil"/>
            </w:tcBorders>
            <w:vAlign w:val="center"/>
          </w:tcPr>
          <w:p w14:paraId="556B4924">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73D9D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7AD6F44E">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787844DE">
            <w:pPr>
              <w:adjustRightInd w:val="0"/>
              <w:jc w:val="center"/>
              <w:rPr>
                <w:rFonts w:ascii="宋体" w:hAnsi="宋体" w:eastAsia="宋体" w:cs="宋体"/>
                <w:sz w:val="21"/>
                <w:szCs w:val="21"/>
              </w:rPr>
            </w:pPr>
            <w:r>
              <w:rPr>
                <w:rFonts w:hint="eastAsia" w:ascii="宋体" w:hAnsi="宋体" w:eastAsia="宋体" w:cs="宋体"/>
                <w:sz w:val="21"/>
                <w:szCs w:val="21"/>
              </w:rPr>
              <w:t>未展开化学物质安全评价，或未通过安全设施竣工验收</w:t>
            </w:r>
          </w:p>
        </w:tc>
        <w:tc>
          <w:tcPr>
            <w:tcW w:w="656" w:type="pct"/>
            <w:tcBorders>
              <w:tl2br w:val="nil"/>
              <w:tr2bl w:val="nil"/>
            </w:tcBorders>
            <w:vAlign w:val="center"/>
          </w:tcPr>
          <w:p w14:paraId="6E17B747">
            <w:pPr>
              <w:adjustRightInd w:val="0"/>
              <w:jc w:val="center"/>
              <w:rPr>
                <w:rFonts w:ascii="宋体" w:hAnsi="宋体" w:eastAsia="宋体" w:cs="宋体"/>
                <w:sz w:val="21"/>
                <w:szCs w:val="21"/>
              </w:rPr>
            </w:pPr>
          </w:p>
        </w:tc>
      </w:tr>
      <w:tr w14:paraId="320A8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357B118B">
            <w:pPr>
              <w:adjustRightInd w:val="0"/>
              <w:jc w:val="center"/>
              <w:rPr>
                <w:rFonts w:ascii="宋体" w:hAnsi="宋体" w:eastAsia="宋体" w:cs="宋体"/>
                <w:sz w:val="21"/>
                <w:szCs w:val="21"/>
              </w:rPr>
            </w:pPr>
            <w:r>
              <w:rPr>
                <w:rFonts w:hint="eastAsia" w:ascii="宋体" w:hAnsi="宋体" w:eastAsia="宋体" w:cs="宋体"/>
                <w:sz w:val="21"/>
                <w:szCs w:val="21"/>
              </w:rPr>
              <w:t>化学物质重大危险源备案</w:t>
            </w:r>
          </w:p>
        </w:tc>
        <w:tc>
          <w:tcPr>
            <w:tcW w:w="3173" w:type="pct"/>
            <w:tcBorders>
              <w:tl2br w:val="nil"/>
              <w:tr2bl w:val="nil"/>
            </w:tcBorders>
            <w:vAlign w:val="center"/>
          </w:tcPr>
          <w:p w14:paraId="5DD5CC43">
            <w:pPr>
              <w:adjustRightInd w:val="0"/>
              <w:jc w:val="center"/>
              <w:rPr>
                <w:rFonts w:ascii="宋体" w:hAnsi="宋体" w:eastAsia="宋体" w:cs="宋体"/>
                <w:sz w:val="21"/>
                <w:szCs w:val="21"/>
              </w:rPr>
            </w:pPr>
            <w:r>
              <w:rPr>
                <w:rFonts w:hint="eastAsia" w:ascii="宋体" w:hAnsi="宋体" w:eastAsia="宋体" w:cs="宋体"/>
                <w:sz w:val="21"/>
                <w:szCs w:val="21"/>
              </w:rPr>
              <w:t>无重大危险源，或所有化学物质重大危险源均已备案</w:t>
            </w:r>
          </w:p>
        </w:tc>
        <w:tc>
          <w:tcPr>
            <w:tcW w:w="656" w:type="pct"/>
            <w:tcBorders>
              <w:tl2br w:val="nil"/>
              <w:tr2bl w:val="nil"/>
            </w:tcBorders>
            <w:vAlign w:val="center"/>
          </w:tcPr>
          <w:p w14:paraId="1F2F7EEF">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2D8B3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430F0C84">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16549D2B">
            <w:pPr>
              <w:adjustRightInd w:val="0"/>
              <w:jc w:val="center"/>
              <w:rPr>
                <w:rFonts w:ascii="宋体" w:hAnsi="宋体" w:eastAsia="宋体" w:cs="宋体"/>
                <w:sz w:val="21"/>
                <w:szCs w:val="21"/>
              </w:rPr>
            </w:pPr>
            <w:r>
              <w:rPr>
                <w:rFonts w:hint="eastAsia" w:ascii="宋体" w:hAnsi="宋体" w:eastAsia="宋体" w:cs="宋体"/>
                <w:sz w:val="21"/>
                <w:szCs w:val="21"/>
              </w:rPr>
              <w:t>有化学物质重大危险源未备案</w:t>
            </w:r>
          </w:p>
        </w:tc>
        <w:tc>
          <w:tcPr>
            <w:tcW w:w="656" w:type="pct"/>
            <w:tcBorders>
              <w:tl2br w:val="nil"/>
              <w:tr2bl w:val="nil"/>
            </w:tcBorders>
            <w:vAlign w:val="center"/>
          </w:tcPr>
          <w:p w14:paraId="49FCB5DA">
            <w:pPr>
              <w:jc w:val="center"/>
              <w:rPr>
                <w:rFonts w:ascii="宋体" w:hAnsi="宋体" w:eastAsia="宋体" w:cs="宋体"/>
                <w:sz w:val="21"/>
                <w:szCs w:val="21"/>
              </w:rPr>
            </w:pPr>
          </w:p>
        </w:tc>
      </w:tr>
    </w:tbl>
    <w:p w14:paraId="202118BD">
      <w:pPr>
        <w:pStyle w:val="3"/>
        <w:snapToGrid w:val="0"/>
        <w:spacing w:line="500" w:lineRule="exact"/>
        <w:rPr>
          <w:rFonts w:eastAsiaTheme="minorEastAsia"/>
          <w:color w:val="000000" w:themeColor="text1"/>
          <w:sz w:val="24"/>
          <w:szCs w:val="24"/>
          <w14:textFill>
            <w14:solidFill>
              <w14:schemeClr w14:val="tx1"/>
            </w14:solidFill>
          </w14:textFill>
        </w:rPr>
      </w:pPr>
      <w:bookmarkStart w:id="140" w:name="_Toc21635"/>
      <w:bookmarkStart w:id="141" w:name="_Toc22123"/>
      <w:bookmarkStart w:id="142" w:name="_Toc31931"/>
      <w:bookmarkStart w:id="143" w:name="_Toc32103"/>
      <w:bookmarkStart w:id="144" w:name="_Toc23508"/>
      <w:r>
        <w:rPr>
          <w:rFonts w:hint="eastAsia" w:eastAsiaTheme="minorEastAsia"/>
          <w:color w:val="000000" w:themeColor="text1"/>
          <w:sz w:val="24"/>
          <w:szCs w:val="24"/>
          <w14:textFill>
            <w14:solidFill>
              <w14:schemeClr w14:val="tx1"/>
            </w14:solidFill>
          </w14:textFill>
        </w:rPr>
        <w:t>3.8现有环境风险防控与应急措施情况</w:t>
      </w:r>
      <w:bookmarkEnd w:id="140"/>
      <w:bookmarkEnd w:id="141"/>
      <w:bookmarkEnd w:id="142"/>
      <w:bookmarkEnd w:id="143"/>
      <w:bookmarkEnd w:id="144"/>
    </w:p>
    <w:p w14:paraId="28209379">
      <w:pPr>
        <w:pStyle w:val="4"/>
        <w:adjustRightInd w:val="0"/>
        <w:snapToGrid w:val="0"/>
        <w:spacing w:line="500" w:lineRule="exact"/>
        <w:rPr>
          <w:rFonts w:eastAsia="宋体"/>
          <w:szCs w:val="24"/>
        </w:rPr>
      </w:pPr>
      <w:bookmarkStart w:id="145" w:name="_Toc15542"/>
      <w:bookmarkStart w:id="146" w:name="_Toc21216"/>
      <w:bookmarkStart w:id="147" w:name="_Toc13776"/>
      <w:r>
        <w:rPr>
          <w:rFonts w:eastAsia="宋体"/>
          <w:szCs w:val="24"/>
        </w:rPr>
        <w:t>3.</w:t>
      </w:r>
      <w:r>
        <w:rPr>
          <w:rFonts w:hint="eastAsia" w:eastAsia="宋体"/>
          <w:szCs w:val="24"/>
        </w:rPr>
        <w:t>8</w:t>
      </w:r>
      <w:r>
        <w:rPr>
          <w:rFonts w:eastAsia="宋体"/>
          <w:szCs w:val="24"/>
        </w:rPr>
        <w:t>.</w:t>
      </w:r>
      <w:r>
        <w:rPr>
          <w:rFonts w:hint="eastAsia" w:eastAsia="宋体"/>
          <w:szCs w:val="24"/>
        </w:rPr>
        <w:t>1现有环境风险防控措施情况</w:t>
      </w:r>
      <w:bookmarkEnd w:id="145"/>
      <w:bookmarkEnd w:id="146"/>
      <w:bookmarkEnd w:id="147"/>
    </w:p>
    <w:p w14:paraId="0FAF1A66">
      <w:pPr>
        <w:spacing w:line="500" w:lineRule="exact"/>
        <w:ind w:firstLine="480" w:firstLineChars="200"/>
        <w:rPr>
          <w:sz w:val="21"/>
        </w:rPr>
      </w:pPr>
      <w:bookmarkStart w:id="148" w:name="_Toc446074790"/>
      <w:bookmarkStart w:id="149" w:name="_Toc412725538"/>
      <w:bookmarkStart w:id="150" w:name="_Toc18304"/>
      <w:r>
        <w:rPr>
          <w:rFonts w:hint="eastAsia" w:ascii="宋体" w:hAnsi="宋体" w:eastAsia="宋体" w:cs="宋体"/>
        </w:rPr>
        <w:t>根据企业提供的资料和现场踏勘情况，并对照企业提供的其他资料，厂区涉及环境风险物质的环境风险单元及其环境风险防控措施的实施和日常管理情况见下表。</w:t>
      </w:r>
      <w:r>
        <mc:AlternateContent>
          <mc:Choice Requires="wps">
            <w:drawing>
              <wp:anchor distT="0" distB="0" distL="114300" distR="114300" simplePos="0" relativeHeight="251662336" behindDoc="0" locked="0" layoutInCell="1" allowOverlap="1">
                <wp:simplePos x="0" y="0"/>
                <wp:positionH relativeFrom="page">
                  <wp:posOffset>720090</wp:posOffset>
                </wp:positionH>
                <wp:positionV relativeFrom="page">
                  <wp:posOffset>730250</wp:posOffset>
                </wp:positionV>
                <wp:extent cx="907224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907224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6.7pt;margin-top:57.5pt;height:0pt;width:714.35pt;mso-position-horizontal-relative:page;mso-position-vertical-relative:page;z-index:251662336;mso-width-relative:page;mso-height-relative:page;" filled="f" stroked="t" coordsize="21600,21600" o:gfxdata="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E5&#10;ZcjWAAAADAEAAA8AAAAAAAAAAQAgAAAAIgAAAGRycy9kb3ducmV2LnhtbFBLAQIUABQAAAAIAIdO&#10;4kBGhaIl7AEAANgDAAAOAAAAAAAAAAEAIAAAACUBAABkcnMvZTJvRG9jLnhtbFBLBQYAAAAABgAG&#10;AFkBAACDBQAAAAA=&#10;">
                <v:fill on="f" focussize="0,0"/>
                <v:stroke weight="0.72pt" color="#000000" joinstyle="round"/>
                <v:imagedata o:title=""/>
                <o:lock v:ext="edit" aspectratio="f"/>
              </v:line>
            </w:pict>
          </mc:Fallback>
        </mc:AlternateContent>
      </w:r>
    </w:p>
    <w:p w14:paraId="75F1E890">
      <w:pPr>
        <w:snapToGrid w:val="0"/>
        <w:spacing w:line="500" w:lineRule="exact"/>
        <w:jc w:val="center"/>
        <w:rPr>
          <w:rFonts w:ascii="宋体" w:hAnsi="宋体" w:eastAsia="宋体" w:cs="宋体"/>
          <w:b/>
          <w:bCs/>
        </w:rPr>
      </w:pPr>
      <w:r>
        <w:rPr>
          <w:rFonts w:eastAsia="宋体"/>
          <w:b/>
          <w:bCs/>
        </w:rPr>
        <w:t>表3-1</w:t>
      </w:r>
      <w:r>
        <w:rPr>
          <w:rFonts w:hint="eastAsia" w:eastAsia="宋体"/>
          <w:b/>
          <w:bCs/>
          <w:lang w:val="en-US" w:eastAsia="zh-CN"/>
        </w:rPr>
        <w:t>8</w:t>
      </w:r>
      <w:r>
        <w:rPr>
          <w:rFonts w:eastAsia="宋体"/>
          <w:b/>
          <w:bCs/>
        </w:rPr>
        <w:t>企业现有环境风险单元及防控措施一览表</w:t>
      </w:r>
    </w:p>
    <w:tbl>
      <w:tblPr>
        <w:tblStyle w:val="38"/>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Layout w:type="autofit"/>
        <w:tblCellMar>
          <w:top w:w="0" w:type="dxa"/>
          <w:left w:w="0" w:type="dxa"/>
          <w:bottom w:w="0" w:type="dxa"/>
          <w:right w:w="0" w:type="dxa"/>
        </w:tblCellMar>
      </w:tblPr>
      <w:tblGrid>
        <w:gridCol w:w="574"/>
        <w:gridCol w:w="870"/>
        <w:gridCol w:w="1533"/>
        <w:gridCol w:w="1628"/>
        <w:gridCol w:w="1724"/>
        <w:gridCol w:w="2865"/>
      </w:tblGrid>
      <w:tr w14:paraId="5FEEE2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454" w:hRule="atLeast"/>
        </w:trPr>
        <w:tc>
          <w:tcPr>
            <w:tcW w:w="312" w:type="pct"/>
            <w:tcBorders>
              <w:tl2br w:val="nil"/>
              <w:tr2bl w:val="nil"/>
            </w:tcBorders>
            <w:vAlign w:val="center"/>
          </w:tcPr>
          <w:p w14:paraId="5BEE72B5">
            <w:pPr>
              <w:pStyle w:val="143"/>
              <w:rPr>
                <w:b/>
                <w:sz w:val="21"/>
              </w:rPr>
            </w:pPr>
            <w:r>
              <w:rPr>
                <w:b/>
                <w:sz w:val="21"/>
              </w:rPr>
              <w:t>类别</w:t>
            </w:r>
          </w:p>
        </w:tc>
        <w:tc>
          <w:tcPr>
            <w:tcW w:w="473" w:type="pct"/>
            <w:tcBorders>
              <w:tl2br w:val="nil"/>
              <w:tr2bl w:val="nil"/>
            </w:tcBorders>
            <w:vAlign w:val="center"/>
          </w:tcPr>
          <w:p w14:paraId="30B361C5">
            <w:pPr>
              <w:pStyle w:val="143"/>
              <w:rPr>
                <w:b/>
                <w:sz w:val="21"/>
              </w:rPr>
            </w:pPr>
            <w:r>
              <w:rPr>
                <w:b/>
                <w:sz w:val="21"/>
              </w:rPr>
              <w:t>位置</w:t>
            </w:r>
          </w:p>
        </w:tc>
        <w:tc>
          <w:tcPr>
            <w:tcW w:w="833" w:type="pct"/>
            <w:tcBorders>
              <w:tl2br w:val="nil"/>
              <w:tr2bl w:val="nil"/>
            </w:tcBorders>
            <w:vAlign w:val="center"/>
          </w:tcPr>
          <w:p w14:paraId="79F177CE">
            <w:pPr>
              <w:pStyle w:val="143"/>
              <w:rPr>
                <w:b/>
                <w:sz w:val="21"/>
              </w:rPr>
            </w:pPr>
            <w:r>
              <w:rPr>
                <w:b/>
                <w:sz w:val="21"/>
              </w:rPr>
              <w:t>主要危险物质</w:t>
            </w:r>
          </w:p>
        </w:tc>
        <w:tc>
          <w:tcPr>
            <w:tcW w:w="885" w:type="pct"/>
            <w:tcBorders>
              <w:tl2br w:val="nil"/>
              <w:tr2bl w:val="nil"/>
            </w:tcBorders>
            <w:vAlign w:val="center"/>
          </w:tcPr>
          <w:p w14:paraId="29190C0E">
            <w:pPr>
              <w:pStyle w:val="143"/>
              <w:rPr>
                <w:b/>
                <w:sz w:val="21"/>
              </w:rPr>
            </w:pPr>
            <w:r>
              <w:rPr>
                <w:b/>
                <w:sz w:val="21"/>
              </w:rPr>
              <w:t>主要环境风险分析</w:t>
            </w:r>
          </w:p>
        </w:tc>
        <w:tc>
          <w:tcPr>
            <w:tcW w:w="937" w:type="pct"/>
            <w:tcBorders>
              <w:tl2br w:val="nil"/>
              <w:tr2bl w:val="nil"/>
            </w:tcBorders>
            <w:vAlign w:val="center"/>
          </w:tcPr>
          <w:p w14:paraId="7799D78F">
            <w:pPr>
              <w:pStyle w:val="143"/>
              <w:rPr>
                <w:b/>
                <w:sz w:val="21"/>
              </w:rPr>
            </w:pPr>
            <w:r>
              <w:rPr>
                <w:b/>
                <w:sz w:val="21"/>
              </w:rPr>
              <w:t>风险防控</w:t>
            </w:r>
          </w:p>
        </w:tc>
        <w:tc>
          <w:tcPr>
            <w:tcW w:w="1557" w:type="pct"/>
            <w:tcBorders>
              <w:tl2br w:val="nil"/>
              <w:tr2bl w:val="nil"/>
            </w:tcBorders>
            <w:vAlign w:val="center"/>
          </w:tcPr>
          <w:p w14:paraId="627D3730">
            <w:pPr>
              <w:pStyle w:val="143"/>
              <w:rPr>
                <w:b/>
                <w:sz w:val="21"/>
              </w:rPr>
            </w:pPr>
            <w:r>
              <w:rPr>
                <w:b/>
                <w:sz w:val="21"/>
              </w:rPr>
              <w:t>应急处置措施</w:t>
            </w:r>
          </w:p>
        </w:tc>
      </w:tr>
      <w:tr w14:paraId="72438D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1625" w:hRule="atLeast"/>
        </w:trPr>
        <w:tc>
          <w:tcPr>
            <w:tcW w:w="312" w:type="pct"/>
            <w:tcBorders>
              <w:tl2br w:val="nil"/>
              <w:tr2bl w:val="nil"/>
            </w:tcBorders>
            <w:vAlign w:val="center"/>
          </w:tcPr>
          <w:p w14:paraId="60C429E4">
            <w:pPr>
              <w:pStyle w:val="143"/>
              <w:rPr>
                <w:sz w:val="21"/>
              </w:rPr>
            </w:pPr>
            <w:r>
              <w:rPr>
                <w:sz w:val="21"/>
              </w:rPr>
              <w:t>辅助工程</w:t>
            </w:r>
          </w:p>
        </w:tc>
        <w:tc>
          <w:tcPr>
            <w:tcW w:w="473" w:type="pct"/>
            <w:tcBorders>
              <w:tl2br w:val="nil"/>
              <w:tr2bl w:val="nil"/>
            </w:tcBorders>
            <w:vAlign w:val="center"/>
          </w:tcPr>
          <w:p w14:paraId="3030ECB1">
            <w:pPr>
              <w:pStyle w:val="143"/>
              <w:rPr>
                <w:sz w:val="21"/>
              </w:rPr>
            </w:pPr>
            <w:r>
              <w:rPr>
                <w:rFonts w:hint="eastAsia"/>
                <w:sz w:val="21"/>
              </w:rPr>
              <w:t>油漆仓库</w:t>
            </w:r>
          </w:p>
        </w:tc>
        <w:tc>
          <w:tcPr>
            <w:tcW w:w="833" w:type="pct"/>
            <w:tcBorders>
              <w:tl2br w:val="nil"/>
              <w:tr2bl w:val="nil"/>
            </w:tcBorders>
            <w:vAlign w:val="center"/>
          </w:tcPr>
          <w:p w14:paraId="7F5CFD6F">
            <w:pPr>
              <w:pStyle w:val="143"/>
              <w:rPr>
                <w:sz w:val="21"/>
              </w:rPr>
            </w:pPr>
            <w:r>
              <w:rPr>
                <w:rFonts w:hint="eastAsia"/>
                <w:sz w:val="21"/>
              </w:rPr>
              <w:t>水性漆等</w:t>
            </w:r>
          </w:p>
        </w:tc>
        <w:tc>
          <w:tcPr>
            <w:tcW w:w="885" w:type="pct"/>
            <w:tcBorders>
              <w:tl2br w:val="nil"/>
              <w:tr2bl w:val="nil"/>
            </w:tcBorders>
            <w:vAlign w:val="center"/>
          </w:tcPr>
          <w:p w14:paraId="46C857AF">
            <w:pPr>
              <w:pStyle w:val="143"/>
              <w:rPr>
                <w:sz w:val="21"/>
              </w:rPr>
            </w:pPr>
            <w:r>
              <w:rPr>
                <w:sz w:val="21"/>
              </w:rPr>
              <w:t>遇高温或明火引发火灾、爆炸事故；污染下风向大气环境；泄漏物料进入外环境，污染地表水和土壤</w:t>
            </w:r>
          </w:p>
        </w:tc>
        <w:tc>
          <w:tcPr>
            <w:tcW w:w="937" w:type="pct"/>
            <w:tcBorders>
              <w:tl2br w:val="nil"/>
              <w:tr2bl w:val="nil"/>
            </w:tcBorders>
            <w:vAlign w:val="center"/>
          </w:tcPr>
          <w:p w14:paraId="6653E10F">
            <w:pPr>
              <w:pStyle w:val="143"/>
              <w:rPr>
                <w:sz w:val="21"/>
              </w:rPr>
            </w:pPr>
            <w:r>
              <w:rPr>
                <w:sz w:val="21"/>
              </w:rPr>
              <w:t>摄像头、人工巡视点检；地面防腐防渗</w:t>
            </w:r>
          </w:p>
        </w:tc>
        <w:tc>
          <w:tcPr>
            <w:tcW w:w="1557" w:type="pct"/>
            <w:tcBorders>
              <w:tl2br w:val="nil"/>
              <w:tr2bl w:val="nil"/>
            </w:tcBorders>
            <w:vAlign w:val="center"/>
          </w:tcPr>
          <w:p w14:paraId="73370524">
            <w:pPr>
              <w:jc w:val="center"/>
              <w:rPr>
                <w:rFonts w:ascii="宋体" w:hAnsi="宋体" w:eastAsia="宋体" w:cs="宋体"/>
                <w:sz w:val="21"/>
                <w:szCs w:val="21"/>
              </w:rPr>
            </w:pPr>
            <w:r>
              <w:rPr>
                <w:rFonts w:hint="eastAsia" w:ascii="宋体" w:hAnsi="宋体" w:eastAsia="宋体" w:cs="宋体"/>
                <w:sz w:val="21"/>
                <w:szCs w:val="21"/>
              </w:rPr>
              <w:t>查明泄漏点，将泄漏部位与系统隔离</w:t>
            </w:r>
          </w:p>
          <w:p w14:paraId="39D11D8B">
            <w:pPr>
              <w:jc w:val="center"/>
              <w:rPr>
                <w:sz w:val="2"/>
                <w:szCs w:val="2"/>
              </w:rPr>
            </w:pPr>
          </w:p>
        </w:tc>
      </w:tr>
      <w:tr w14:paraId="29A45D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1012" w:hRule="atLeast"/>
        </w:trPr>
        <w:tc>
          <w:tcPr>
            <w:tcW w:w="312" w:type="pct"/>
            <w:vMerge w:val="restart"/>
            <w:tcBorders>
              <w:tl2br w:val="nil"/>
              <w:tr2bl w:val="nil"/>
            </w:tcBorders>
            <w:vAlign w:val="center"/>
          </w:tcPr>
          <w:p w14:paraId="427679AE">
            <w:pPr>
              <w:pStyle w:val="143"/>
              <w:rPr>
                <w:sz w:val="21"/>
              </w:rPr>
            </w:pPr>
            <w:r>
              <w:rPr>
                <w:sz w:val="21"/>
              </w:rPr>
              <w:t>环保设施</w:t>
            </w:r>
          </w:p>
        </w:tc>
        <w:tc>
          <w:tcPr>
            <w:tcW w:w="473" w:type="pct"/>
            <w:tcBorders>
              <w:tl2br w:val="nil"/>
              <w:tr2bl w:val="nil"/>
            </w:tcBorders>
            <w:vAlign w:val="center"/>
          </w:tcPr>
          <w:p w14:paraId="1F60A7E6">
            <w:pPr>
              <w:pStyle w:val="143"/>
              <w:rPr>
                <w:sz w:val="21"/>
              </w:rPr>
            </w:pPr>
            <w:r>
              <w:rPr>
                <w:sz w:val="21"/>
              </w:rPr>
              <w:t>废气处理</w:t>
            </w:r>
            <w:r>
              <w:rPr>
                <w:rFonts w:hint="eastAsia"/>
                <w:sz w:val="21"/>
              </w:rPr>
              <w:t>设施</w:t>
            </w:r>
            <w:r>
              <w:rPr>
                <w:sz w:val="21"/>
              </w:rPr>
              <w:t>置</w:t>
            </w:r>
          </w:p>
        </w:tc>
        <w:tc>
          <w:tcPr>
            <w:tcW w:w="833" w:type="pct"/>
            <w:tcBorders>
              <w:tl2br w:val="nil"/>
              <w:tr2bl w:val="nil"/>
            </w:tcBorders>
            <w:vAlign w:val="center"/>
          </w:tcPr>
          <w:p w14:paraId="0C2C29E5">
            <w:pPr>
              <w:pStyle w:val="143"/>
              <w:rPr>
                <w:sz w:val="21"/>
              </w:rPr>
            </w:pPr>
            <w:r>
              <w:rPr>
                <w:sz w:val="21"/>
              </w:rPr>
              <w:t>颗粒物、</w:t>
            </w:r>
            <w:r>
              <w:rPr>
                <w:rFonts w:hint="eastAsia"/>
                <w:sz w:val="21"/>
              </w:rPr>
              <w:t>挥发性有机物</w:t>
            </w:r>
          </w:p>
        </w:tc>
        <w:tc>
          <w:tcPr>
            <w:tcW w:w="885" w:type="pct"/>
            <w:tcBorders>
              <w:tl2br w:val="nil"/>
              <w:tr2bl w:val="nil"/>
            </w:tcBorders>
            <w:vAlign w:val="center"/>
          </w:tcPr>
          <w:p w14:paraId="7A2C006D">
            <w:pPr>
              <w:pStyle w:val="143"/>
              <w:rPr>
                <w:sz w:val="21"/>
              </w:rPr>
            </w:pPr>
            <w:r>
              <w:rPr>
                <w:sz w:val="21"/>
              </w:rPr>
              <w:t>处理措施故障，废气不达标排放</w:t>
            </w:r>
          </w:p>
        </w:tc>
        <w:tc>
          <w:tcPr>
            <w:tcW w:w="937" w:type="pct"/>
            <w:tcBorders>
              <w:tl2br w:val="nil"/>
              <w:tr2bl w:val="nil"/>
            </w:tcBorders>
            <w:vAlign w:val="center"/>
          </w:tcPr>
          <w:p w14:paraId="4ED259D2">
            <w:pPr>
              <w:pStyle w:val="143"/>
              <w:rPr>
                <w:sz w:val="21"/>
              </w:rPr>
            </w:pPr>
            <w:r>
              <w:rPr>
                <w:sz w:val="21"/>
              </w:rPr>
              <w:t>定期委托资质单位进行监测；定期对废气处理措施进行维护等</w:t>
            </w:r>
          </w:p>
        </w:tc>
        <w:tc>
          <w:tcPr>
            <w:tcW w:w="1557" w:type="pct"/>
            <w:tcBorders>
              <w:tl2br w:val="nil"/>
              <w:tr2bl w:val="nil"/>
            </w:tcBorders>
            <w:vAlign w:val="center"/>
          </w:tcPr>
          <w:p w14:paraId="78875998">
            <w:pPr>
              <w:pStyle w:val="143"/>
              <w:rPr>
                <w:sz w:val="21"/>
              </w:rPr>
            </w:pPr>
            <w:r>
              <w:rPr>
                <w:sz w:val="21"/>
              </w:rPr>
              <w:t>一旦超标立即停止生产；采用便携式监测仪监测或委托资质单位对下风向大气环境进行检测，若超标严重，上报上级管理部门</w:t>
            </w:r>
            <w:r>
              <w:rPr>
                <w:w w:val="95"/>
                <w:sz w:val="21"/>
              </w:rPr>
              <w:t>，协</w:t>
            </w:r>
            <w:r>
              <w:rPr>
                <w:sz w:val="21"/>
              </w:rPr>
              <w:t>助安排相应的撤离。</w:t>
            </w:r>
          </w:p>
        </w:tc>
      </w:tr>
      <w:tr w14:paraId="7DAB75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809" w:hRule="atLeast"/>
        </w:trPr>
        <w:tc>
          <w:tcPr>
            <w:tcW w:w="312" w:type="pct"/>
            <w:vMerge w:val="continue"/>
            <w:tcBorders>
              <w:tl2br w:val="nil"/>
              <w:tr2bl w:val="nil"/>
            </w:tcBorders>
            <w:vAlign w:val="center"/>
          </w:tcPr>
          <w:p w14:paraId="2C5058AB">
            <w:pPr>
              <w:jc w:val="center"/>
              <w:rPr>
                <w:sz w:val="2"/>
                <w:szCs w:val="2"/>
              </w:rPr>
            </w:pPr>
          </w:p>
        </w:tc>
        <w:tc>
          <w:tcPr>
            <w:tcW w:w="473" w:type="pct"/>
            <w:tcBorders>
              <w:tl2br w:val="nil"/>
              <w:tr2bl w:val="nil"/>
            </w:tcBorders>
            <w:vAlign w:val="center"/>
          </w:tcPr>
          <w:p w14:paraId="3B3E7480">
            <w:pPr>
              <w:pStyle w:val="143"/>
              <w:rPr>
                <w:rFonts w:hint="eastAsia" w:eastAsia="宋体"/>
                <w:sz w:val="21"/>
                <w:lang w:eastAsia="zh-CN"/>
              </w:rPr>
            </w:pPr>
            <w:r>
              <w:rPr>
                <w:rFonts w:hint="eastAsia"/>
                <w:sz w:val="21"/>
                <w:lang w:eastAsia="zh-CN"/>
              </w:rPr>
              <w:t>回用水设施</w:t>
            </w:r>
          </w:p>
        </w:tc>
        <w:tc>
          <w:tcPr>
            <w:tcW w:w="833" w:type="pct"/>
            <w:tcBorders>
              <w:tl2br w:val="nil"/>
              <w:tr2bl w:val="nil"/>
            </w:tcBorders>
            <w:vAlign w:val="center"/>
          </w:tcPr>
          <w:p w14:paraId="3AEA3812">
            <w:pPr>
              <w:pStyle w:val="143"/>
              <w:rPr>
                <w:sz w:val="21"/>
              </w:rPr>
            </w:pPr>
            <w:r>
              <w:rPr>
                <w:rFonts w:ascii="Times New Roman" w:hAnsi="Times New Roman" w:cs="Times New Roman"/>
                <w:sz w:val="21"/>
              </w:rPr>
              <w:t>COD、SS、</w:t>
            </w:r>
            <w:r>
              <w:rPr>
                <w:rFonts w:hint="eastAsia"/>
                <w:sz w:val="21"/>
              </w:rPr>
              <w:t>氨氮、总氮、总磷</w:t>
            </w:r>
          </w:p>
        </w:tc>
        <w:tc>
          <w:tcPr>
            <w:tcW w:w="885" w:type="pct"/>
            <w:tcBorders>
              <w:tl2br w:val="nil"/>
              <w:tr2bl w:val="nil"/>
            </w:tcBorders>
            <w:vAlign w:val="center"/>
          </w:tcPr>
          <w:p w14:paraId="411BC4CB">
            <w:pPr>
              <w:pStyle w:val="143"/>
              <w:rPr>
                <w:sz w:val="21"/>
              </w:rPr>
            </w:pPr>
            <w:r>
              <w:rPr>
                <w:sz w:val="21"/>
              </w:rPr>
              <w:t>处理措施故障，废</w:t>
            </w:r>
            <w:r>
              <w:rPr>
                <w:rFonts w:hint="eastAsia"/>
                <w:sz w:val="21"/>
              </w:rPr>
              <w:t>水</w:t>
            </w:r>
            <w:r>
              <w:rPr>
                <w:sz w:val="21"/>
              </w:rPr>
              <w:t>不达标排放</w:t>
            </w:r>
          </w:p>
        </w:tc>
        <w:tc>
          <w:tcPr>
            <w:tcW w:w="937" w:type="pct"/>
            <w:tcBorders>
              <w:tl2br w:val="nil"/>
              <w:tr2bl w:val="nil"/>
            </w:tcBorders>
            <w:vAlign w:val="center"/>
          </w:tcPr>
          <w:p w14:paraId="498C9F1A">
            <w:pPr>
              <w:pStyle w:val="143"/>
              <w:rPr>
                <w:sz w:val="21"/>
              </w:rPr>
            </w:pPr>
            <w:r>
              <w:rPr>
                <w:sz w:val="21"/>
              </w:rPr>
              <w:t>定期委托资质单位进行监测；定期对废</w:t>
            </w:r>
            <w:r>
              <w:rPr>
                <w:rFonts w:hint="eastAsia"/>
                <w:sz w:val="21"/>
              </w:rPr>
              <w:t>水</w:t>
            </w:r>
            <w:r>
              <w:rPr>
                <w:sz w:val="21"/>
              </w:rPr>
              <w:t>处理措施进行维护等</w:t>
            </w:r>
          </w:p>
        </w:tc>
        <w:tc>
          <w:tcPr>
            <w:tcW w:w="1557" w:type="pct"/>
            <w:tcBorders>
              <w:tl2br w:val="nil"/>
              <w:tr2bl w:val="nil"/>
            </w:tcBorders>
            <w:vAlign w:val="center"/>
          </w:tcPr>
          <w:p w14:paraId="67C490A1">
            <w:pPr>
              <w:pStyle w:val="143"/>
              <w:rPr>
                <w:w w:val="95"/>
                <w:sz w:val="21"/>
              </w:rPr>
            </w:pPr>
            <w:r>
              <w:rPr>
                <w:sz w:val="21"/>
              </w:rPr>
              <w:t>一旦超标立即停止生产；采用便携式监测仪监测或委托资质单位进行检测，若超标严重，上报上级管理部门。</w:t>
            </w:r>
          </w:p>
        </w:tc>
      </w:tr>
      <w:tr w14:paraId="76D0CC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809" w:hRule="atLeast"/>
        </w:trPr>
        <w:tc>
          <w:tcPr>
            <w:tcW w:w="312" w:type="pct"/>
            <w:vMerge w:val="continue"/>
            <w:tcBorders>
              <w:tl2br w:val="nil"/>
              <w:tr2bl w:val="nil"/>
            </w:tcBorders>
            <w:vAlign w:val="center"/>
          </w:tcPr>
          <w:p w14:paraId="383786D7">
            <w:pPr>
              <w:jc w:val="center"/>
              <w:rPr>
                <w:sz w:val="2"/>
                <w:szCs w:val="2"/>
              </w:rPr>
            </w:pPr>
          </w:p>
        </w:tc>
        <w:tc>
          <w:tcPr>
            <w:tcW w:w="473" w:type="pct"/>
            <w:tcBorders>
              <w:tl2br w:val="nil"/>
              <w:tr2bl w:val="nil"/>
            </w:tcBorders>
            <w:vAlign w:val="center"/>
          </w:tcPr>
          <w:p w14:paraId="160329D7">
            <w:pPr>
              <w:pStyle w:val="143"/>
              <w:rPr>
                <w:sz w:val="21"/>
              </w:rPr>
            </w:pPr>
            <w:r>
              <w:rPr>
                <w:sz w:val="21"/>
              </w:rPr>
              <w:t>危废仓库</w:t>
            </w:r>
          </w:p>
        </w:tc>
        <w:tc>
          <w:tcPr>
            <w:tcW w:w="833" w:type="pct"/>
            <w:tcBorders>
              <w:tl2br w:val="nil"/>
              <w:tr2bl w:val="nil"/>
            </w:tcBorders>
            <w:vAlign w:val="center"/>
          </w:tcPr>
          <w:p w14:paraId="24426C19">
            <w:pPr>
              <w:pStyle w:val="143"/>
              <w:rPr>
                <w:sz w:val="21"/>
              </w:rPr>
            </w:pPr>
            <w:r>
              <w:rPr>
                <w:rFonts w:hint="eastAsia"/>
                <w:sz w:val="21"/>
              </w:rPr>
              <w:t>废活性炭、</w:t>
            </w:r>
            <w:r>
              <w:rPr>
                <w:rFonts w:hint="eastAsia"/>
                <w:sz w:val="21"/>
                <w:lang w:val="en-US" w:eastAsia="zh-CN"/>
              </w:rPr>
              <w:t>废机油、</w:t>
            </w:r>
            <w:r>
              <w:rPr>
                <w:rFonts w:hint="eastAsia"/>
                <w:sz w:val="21"/>
              </w:rPr>
              <w:t>漆渣等</w:t>
            </w:r>
          </w:p>
        </w:tc>
        <w:tc>
          <w:tcPr>
            <w:tcW w:w="885" w:type="pct"/>
            <w:tcBorders>
              <w:tl2br w:val="nil"/>
              <w:tr2bl w:val="nil"/>
            </w:tcBorders>
            <w:vAlign w:val="center"/>
          </w:tcPr>
          <w:p w14:paraId="14668011">
            <w:pPr>
              <w:pStyle w:val="143"/>
              <w:rPr>
                <w:sz w:val="21"/>
              </w:rPr>
            </w:pPr>
            <w:r>
              <w:rPr>
                <w:sz w:val="21"/>
              </w:rPr>
              <w:t>危废进入地下</w:t>
            </w:r>
          </w:p>
        </w:tc>
        <w:tc>
          <w:tcPr>
            <w:tcW w:w="937" w:type="pct"/>
            <w:tcBorders>
              <w:tl2br w:val="nil"/>
              <w:tr2bl w:val="nil"/>
            </w:tcBorders>
            <w:vAlign w:val="center"/>
          </w:tcPr>
          <w:p w14:paraId="18DE39D7">
            <w:pPr>
              <w:pStyle w:val="143"/>
              <w:rPr>
                <w:sz w:val="21"/>
              </w:rPr>
            </w:pPr>
            <w:r>
              <w:rPr>
                <w:sz w:val="21"/>
              </w:rPr>
              <w:t>摄像头、人工巡视点检；地面防腐防渗，设有导流沟、收集井</w:t>
            </w:r>
          </w:p>
        </w:tc>
        <w:tc>
          <w:tcPr>
            <w:tcW w:w="1557" w:type="pct"/>
            <w:tcBorders>
              <w:tl2br w:val="nil"/>
              <w:tr2bl w:val="nil"/>
            </w:tcBorders>
            <w:vAlign w:val="center"/>
          </w:tcPr>
          <w:p w14:paraId="4F0DD9E5">
            <w:pPr>
              <w:pStyle w:val="143"/>
              <w:rPr>
                <w:sz w:val="21"/>
              </w:rPr>
            </w:pPr>
            <w:r>
              <w:rPr>
                <w:sz w:val="21"/>
              </w:rPr>
              <w:t>危废暂存于危废仓库，定期委托资质单位处置。</w:t>
            </w:r>
          </w:p>
        </w:tc>
      </w:tr>
      <w:bookmarkEnd w:id="127"/>
      <w:bookmarkEnd w:id="148"/>
      <w:bookmarkEnd w:id="149"/>
      <w:bookmarkEnd w:id="150"/>
    </w:tbl>
    <w:p w14:paraId="5739741C">
      <w:pPr>
        <w:pStyle w:val="252"/>
        <w:snapToGrid w:val="0"/>
        <w:rPr>
          <w:rFonts w:eastAsia="宋体"/>
          <w:szCs w:val="24"/>
        </w:rPr>
      </w:pPr>
      <w:bookmarkStart w:id="151" w:name="_Toc402776210"/>
      <w:r>
        <w:rPr>
          <w:rFonts w:eastAsia="宋体"/>
          <w:szCs w:val="24"/>
        </w:rPr>
        <w:t>3.</w:t>
      </w:r>
      <w:r>
        <w:rPr>
          <w:rFonts w:hint="eastAsia"/>
          <w:szCs w:val="24"/>
        </w:rPr>
        <w:t>8.1</w:t>
      </w:r>
      <w:r>
        <w:rPr>
          <w:szCs w:val="24"/>
        </w:rPr>
        <w:t>.1</w:t>
      </w:r>
      <w:r>
        <w:rPr>
          <w:rFonts w:hint="eastAsia" w:eastAsia="宋体"/>
          <w:szCs w:val="24"/>
        </w:rPr>
        <w:t>环境风险防控分析</w:t>
      </w:r>
    </w:p>
    <w:p w14:paraId="3D48055F">
      <w:pPr>
        <w:pStyle w:val="252"/>
        <w:snapToGrid w:val="0"/>
        <w:ind w:firstLine="482" w:firstLineChars="200"/>
        <w:outlineLvl w:val="9"/>
        <w:rPr>
          <w:rFonts w:eastAsia="宋体"/>
          <w:szCs w:val="24"/>
        </w:rPr>
      </w:pPr>
      <w:r>
        <w:rPr>
          <w:rFonts w:hint="eastAsia" w:eastAsia="宋体"/>
          <w:szCs w:val="24"/>
        </w:rPr>
        <w:t>1、人工监控</w:t>
      </w:r>
    </w:p>
    <w:p w14:paraId="644D65A1">
      <w:pPr>
        <w:pStyle w:val="13"/>
        <w:spacing w:before="160"/>
        <w:ind w:left="777"/>
        <w:rPr>
          <w:rFonts w:eastAsia="宋体"/>
        </w:rPr>
      </w:pPr>
      <w:r>
        <w:rPr>
          <w:rFonts w:eastAsia="宋体"/>
        </w:rPr>
        <w:t>①全厂设置摄像监控系统，人工进行监管；</w:t>
      </w:r>
    </w:p>
    <w:p w14:paraId="4E793D4C">
      <w:pPr>
        <w:pStyle w:val="13"/>
        <w:spacing w:before="159"/>
        <w:ind w:left="777"/>
        <w:rPr>
          <w:rFonts w:eastAsia="宋体"/>
        </w:rPr>
      </w:pPr>
      <w:r>
        <w:rPr>
          <w:rFonts w:eastAsia="宋体"/>
        </w:rPr>
        <w:t>②原料库装卸料过程，以及危废厂内运输过程，全程人工监管。</w:t>
      </w:r>
    </w:p>
    <w:p w14:paraId="05D1B8E2">
      <w:pPr>
        <w:pStyle w:val="252"/>
        <w:snapToGrid w:val="0"/>
        <w:ind w:firstLine="482" w:firstLineChars="200"/>
        <w:outlineLvl w:val="9"/>
        <w:rPr>
          <w:rFonts w:eastAsia="宋体"/>
          <w:szCs w:val="24"/>
        </w:rPr>
      </w:pPr>
      <w:r>
        <w:rPr>
          <w:rFonts w:hint="eastAsia" w:eastAsia="宋体"/>
          <w:szCs w:val="24"/>
        </w:rPr>
        <w:t>2、设备监控</w:t>
      </w:r>
    </w:p>
    <w:p w14:paraId="29E1ECA1">
      <w:pPr>
        <w:spacing w:before="160" w:line="362" w:lineRule="auto"/>
        <w:ind w:left="777" w:right="6706"/>
        <w:jc w:val="left"/>
      </w:pPr>
      <w:r>
        <w:rPr>
          <w:rFonts w:eastAsia="宋体"/>
        </w:rPr>
        <w:t>有视频监控。</w:t>
      </w:r>
    </w:p>
    <w:p w14:paraId="59D5CA2A">
      <w:pPr>
        <w:pStyle w:val="252"/>
        <w:snapToGrid w:val="0"/>
        <w:rPr>
          <w:rFonts w:eastAsia="宋体"/>
          <w:szCs w:val="24"/>
        </w:rPr>
      </w:pPr>
      <w:bookmarkStart w:id="152" w:name="3.7.1.2事故废水收集情况分析"/>
      <w:bookmarkEnd w:id="152"/>
      <w:r>
        <w:rPr>
          <w:rFonts w:eastAsia="宋体"/>
          <w:szCs w:val="24"/>
        </w:rPr>
        <w:t>3.</w:t>
      </w:r>
      <w:r>
        <w:rPr>
          <w:rFonts w:hint="eastAsia"/>
          <w:szCs w:val="24"/>
        </w:rPr>
        <w:t>8.1</w:t>
      </w:r>
      <w:r>
        <w:rPr>
          <w:szCs w:val="24"/>
        </w:rPr>
        <w:t>.</w:t>
      </w:r>
      <w:r>
        <w:rPr>
          <w:rFonts w:hint="eastAsia"/>
          <w:szCs w:val="24"/>
        </w:rPr>
        <w:t>2</w:t>
      </w:r>
      <w:r>
        <w:rPr>
          <w:rFonts w:hint="eastAsia" w:eastAsia="宋体"/>
          <w:szCs w:val="24"/>
        </w:rPr>
        <w:t>事故废水收集情况分析</w:t>
      </w:r>
    </w:p>
    <w:p w14:paraId="55DCB3B3">
      <w:pPr>
        <w:pStyle w:val="252"/>
        <w:snapToGrid w:val="0"/>
        <w:ind w:firstLine="482" w:firstLineChars="200"/>
        <w:outlineLvl w:val="9"/>
        <w:rPr>
          <w:rFonts w:eastAsia="宋体"/>
          <w:szCs w:val="24"/>
        </w:rPr>
      </w:pPr>
      <w:r>
        <w:rPr>
          <w:rFonts w:hint="eastAsia" w:eastAsia="宋体"/>
          <w:szCs w:val="24"/>
        </w:rPr>
        <w:t>1、事故废水收集情况</w:t>
      </w:r>
    </w:p>
    <w:p w14:paraId="042B98CF">
      <w:pPr>
        <w:pStyle w:val="13"/>
        <w:spacing w:before="0" w:after="0" w:line="500" w:lineRule="exact"/>
        <w:ind w:left="0" w:right="0" w:firstLine="480" w:firstLineChars="200"/>
        <w:jc w:val="left"/>
        <w:rPr>
          <w:rFonts w:eastAsia="宋体"/>
        </w:rPr>
      </w:pPr>
      <w:r>
        <w:rPr>
          <w:rFonts w:eastAsia="宋体"/>
          <w:spacing w:val="0"/>
        </w:rPr>
        <w:t>公司</w:t>
      </w:r>
      <w:r>
        <w:rPr>
          <w:rFonts w:hint="eastAsia" w:eastAsia="宋体"/>
          <w:spacing w:val="0"/>
          <w:lang w:val="en-US" w:eastAsia="zh-CN"/>
        </w:rPr>
        <w:t>设置700m</w:t>
      </w:r>
      <w:r>
        <w:rPr>
          <w:rFonts w:hint="eastAsia" w:eastAsia="宋体"/>
          <w:spacing w:val="0"/>
          <w:vertAlign w:val="superscript"/>
          <w:lang w:val="en-US" w:eastAsia="zh-CN"/>
        </w:rPr>
        <w:t>3</w:t>
      </w:r>
      <w:r>
        <w:rPr>
          <w:rFonts w:hint="eastAsia" w:eastAsia="宋体"/>
          <w:spacing w:val="0"/>
          <w:vertAlign w:val="baseline"/>
          <w:lang w:val="en-US" w:eastAsia="zh-CN"/>
        </w:rPr>
        <w:t>事故应急池</w:t>
      </w:r>
      <w:r>
        <w:rPr>
          <w:rFonts w:eastAsia="宋体"/>
          <w:spacing w:val="0"/>
        </w:rPr>
        <w:t>，有利于收集各类事故排水，以防止应急用水到处漫流；</w:t>
      </w:r>
      <w:r>
        <w:rPr>
          <w:rFonts w:hint="eastAsia" w:eastAsia="宋体"/>
          <w:spacing w:val="0"/>
          <w:lang w:val="en-US" w:eastAsia="zh-CN"/>
        </w:rPr>
        <w:t>雨水排口设置闸控，常态情况下，关闭雨水阀门，开启应急池阀门，</w:t>
      </w:r>
      <w:r>
        <w:rPr>
          <w:rFonts w:eastAsia="宋体"/>
          <w:spacing w:val="0"/>
        </w:rPr>
        <w:t>事故状态</w:t>
      </w:r>
      <w:r>
        <w:rPr>
          <w:rFonts w:hint="eastAsia" w:eastAsia="宋体"/>
          <w:spacing w:val="0"/>
          <w:lang w:val="en-US" w:eastAsia="zh-CN"/>
        </w:rPr>
        <w:t>后</w:t>
      </w:r>
      <w:r>
        <w:rPr>
          <w:rFonts w:eastAsia="宋体"/>
          <w:spacing w:val="0"/>
        </w:rPr>
        <w:t>可将泄漏物、消防水截流在事故应急</w:t>
      </w:r>
      <w:r>
        <w:rPr>
          <w:rFonts w:eastAsia="宋体"/>
        </w:rPr>
        <w:t>池内</w:t>
      </w:r>
      <w:r>
        <w:rPr>
          <w:rFonts w:hint="eastAsia" w:eastAsia="宋体"/>
          <w:lang w:eastAsia="zh-CN"/>
        </w:rPr>
        <w:t>，</w:t>
      </w:r>
      <w:r>
        <w:rPr>
          <w:rFonts w:hint="eastAsia" w:eastAsia="宋体"/>
          <w:lang w:val="en-US" w:eastAsia="zh-CN"/>
        </w:rPr>
        <w:t>下雨时开启雨水阀门</w:t>
      </w:r>
      <w:r>
        <w:rPr>
          <w:rFonts w:eastAsia="宋体"/>
        </w:rPr>
        <w:t>。</w:t>
      </w:r>
    </w:p>
    <w:p w14:paraId="3D2D88DD">
      <w:pPr>
        <w:pStyle w:val="252"/>
        <w:snapToGrid w:val="0"/>
        <w:ind w:firstLine="482" w:firstLineChars="200"/>
        <w:outlineLvl w:val="9"/>
        <w:rPr>
          <w:rFonts w:eastAsia="宋体"/>
          <w:szCs w:val="24"/>
        </w:rPr>
      </w:pPr>
      <w:r>
        <w:rPr>
          <w:rFonts w:hint="eastAsia" w:eastAsia="宋体"/>
          <w:szCs w:val="24"/>
        </w:rPr>
        <w:t>2、生产废水收集情况</w:t>
      </w:r>
    </w:p>
    <w:p w14:paraId="0C5C9C05">
      <w:pPr>
        <w:spacing w:line="500" w:lineRule="exact"/>
        <w:ind w:firstLine="480" w:firstLineChars="200"/>
        <w:jc w:val="left"/>
        <w:rPr>
          <w:rFonts w:eastAsia="宋体"/>
        </w:rPr>
      </w:pPr>
      <w:r>
        <w:rPr>
          <w:rFonts w:hint="eastAsia" w:eastAsia="宋体"/>
        </w:rPr>
        <w:t>企业在实际运行中，</w:t>
      </w:r>
      <w:r>
        <w:rPr>
          <w:rFonts w:hint="eastAsia" w:eastAsia="Times New Roman"/>
          <w:color w:val="auto"/>
          <w:sz w:val="24"/>
          <w:szCs w:val="24"/>
          <w:lang w:val="en-US" w:eastAsia="zh-CN"/>
        </w:rPr>
        <w:t>喷淋废水经气浮+絮凝沉淀处理后回用于水喷淋装置，不外排</w:t>
      </w:r>
      <w:r>
        <w:rPr>
          <w:rFonts w:eastAsia="宋体"/>
        </w:rPr>
        <w:t>。</w:t>
      </w:r>
    </w:p>
    <w:p w14:paraId="49C675DA">
      <w:pPr>
        <w:spacing w:line="500" w:lineRule="exact"/>
        <w:ind w:firstLine="482" w:firstLineChars="200"/>
        <w:jc w:val="left"/>
        <w:rPr>
          <w:rFonts w:hint="eastAsia" w:eastAsia="仿宋_GB2312"/>
          <w:b/>
          <w:lang w:eastAsia="zh-CN"/>
        </w:rPr>
      </w:pPr>
      <w:r>
        <w:rPr>
          <w:rFonts w:hint="eastAsia" w:eastAsia="宋体"/>
          <w:b/>
          <w:bCs/>
        </w:rPr>
        <w:t>3、收集、处理能力评估</w:t>
      </w:r>
    </w:p>
    <w:p w14:paraId="6978678B">
      <w:pPr>
        <w:spacing w:line="360" w:lineRule="auto"/>
        <w:ind w:firstLine="480" w:firstLineChars="200"/>
        <w:rPr>
          <w:rFonts w:ascii="Times New Roman" w:hAnsi="Times New Roman" w:eastAsia="宋体" w:cs="Times New Roman"/>
        </w:rPr>
      </w:pPr>
      <w:r>
        <w:rPr>
          <w:rFonts w:ascii="Times New Roman" w:hAnsi="Times New Roman" w:eastAsia="宋体" w:cs="Times New Roman"/>
        </w:rPr>
        <w:t>（V</w:t>
      </w:r>
      <w:r>
        <w:rPr>
          <w:rFonts w:ascii="Times New Roman" w:hAnsi="Times New Roman" w:eastAsia="宋体" w:cs="Times New Roman"/>
          <w:vertAlign w:val="baseline"/>
        </w:rPr>
        <w:t>1</w:t>
      </w:r>
      <w:r>
        <w:rPr>
          <w:rFonts w:ascii="Times New Roman" w:hAnsi="Times New Roman" w:eastAsia="宋体" w:cs="Times New Roman"/>
        </w:rPr>
        <w:t>+ V</w:t>
      </w:r>
      <w:r>
        <w:rPr>
          <w:rFonts w:ascii="Times New Roman" w:hAnsi="Times New Roman" w:eastAsia="宋体" w:cs="Times New Roman"/>
          <w:vertAlign w:val="baseline"/>
        </w:rPr>
        <w:t>2</w:t>
      </w:r>
      <w:r>
        <w:rPr>
          <w:rFonts w:ascii="Times New Roman" w:hAnsi="Times New Roman" w:eastAsia="宋体" w:cs="Times New Roman"/>
        </w:rPr>
        <w:t>-V</w:t>
      </w:r>
      <w:r>
        <w:rPr>
          <w:rFonts w:ascii="Times New Roman" w:hAnsi="Times New Roman" w:eastAsia="宋体" w:cs="Times New Roman"/>
          <w:vertAlign w:val="baseline"/>
        </w:rPr>
        <w:t>3</w:t>
      </w:r>
      <w:r>
        <w:rPr>
          <w:rFonts w:ascii="Times New Roman" w:hAnsi="Times New Roman" w:eastAsia="宋体" w:cs="Times New Roman"/>
        </w:rPr>
        <w:t>）</w:t>
      </w:r>
      <w:r>
        <w:rPr>
          <w:rFonts w:ascii="Times New Roman" w:hAnsi="Times New Roman" w:eastAsia="宋体" w:cs="Times New Roman"/>
          <w:vertAlign w:val="baseline"/>
        </w:rPr>
        <w:t>max</w:t>
      </w:r>
      <w:r>
        <w:rPr>
          <w:rFonts w:ascii="Times New Roman" w:hAnsi="Times New Roman" w:eastAsia="宋体" w:cs="Times New Roman"/>
        </w:rPr>
        <w:t>是指对收集系统范围内不同罐组或装置分别计算V</w:t>
      </w:r>
      <w:r>
        <w:rPr>
          <w:rFonts w:ascii="Times New Roman" w:hAnsi="Times New Roman" w:eastAsia="宋体" w:cs="Times New Roman"/>
          <w:vertAlign w:val="baseline"/>
        </w:rPr>
        <w:t>1</w:t>
      </w:r>
      <w:r>
        <w:rPr>
          <w:rFonts w:ascii="Times New Roman" w:hAnsi="Times New Roman" w:eastAsia="宋体" w:cs="Times New Roman"/>
        </w:rPr>
        <w:t>+ V</w:t>
      </w:r>
      <w:r>
        <w:rPr>
          <w:rFonts w:ascii="Times New Roman" w:hAnsi="Times New Roman" w:eastAsia="宋体" w:cs="Times New Roman"/>
          <w:vertAlign w:val="baseline"/>
        </w:rPr>
        <w:t>2</w:t>
      </w:r>
      <w:r>
        <w:rPr>
          <w:rFonts w:ascii="Times New Roman" w:hAnsi="Times New Roman" w:eastAsia="宋体" w:cs="Times New Roman"/>
        </w:rPr>
        <w:t>- V</w:t>
      </w:r>
      <w:r>
        <w:rPr>
          <w:rFonts w:ascii="Times New Roman" w:hAnsi="Times New Roman" w:eastAsia="宋体" w:cs="Times New Roman"/>
          <w:vertAlign w:val="baseline"/>
        </w:rPr>
        <w:t>3</w:t>
      </w:r>
      <w:r>
        <w:rPr>
          <w:rFonts w:ascii="Times New Roman" w:hAnsi="Times New Roman" w:eastAsia="宋体" w:cs="Times New Roman"/>
        </w:rPr>
        <w:t>，取其中最大值。</w:t>
      </w:r>
    </w:p>
    <w:p w14:paraId="1FBCF20B">
      <w:pPr>
        <w:spacing w:line="360" w:lineRule="auto"/>
        <w:ind w:firstLine="480" w:firstLineChars="200"/>
        <w:rPr>
          <w:rFonts w:ascii="Times New Roman" w:hAnsi="Times New Roman" w:eastAsia="宋体" w:cs="Times New Roman"/>
        </w:rPr>
      </w:pPr>
      <w:r>
        <w:rPr>
          <w:rFonts w:ascii="Times New Roman" w:hAnsi="Times New Roman" w:eastAsia="宋体" w:cs="Times New Roman"/>
        </w:rPr>
        <w:t>V</w:t>
      </w:r>
      <w:r>
        <w:rPr>
          <w:rFonts w:ascii="Times New Roman" w:hAnsi="Times New Roman" w:eastAsia="宋体" w:cs="Times New Roman"/>
          <w:vertAlign w:val="baseline"/>
        </w:rPr>
        <w:t>1</w:t>
      </w:r>
      <w:r>
        <w:rPr>
          <w:rFonts w:ascii="Times New Roman" w:hAnsi="Times New Roman" w:eastAsia="宋体" w:cs="Times New Roman"/>
        </w:rPr>
        <w:t>—收集系统范围内发生事故的储罐或装置的物料量；</w:t>
      </w:r>
    </w:p>
    <w:p w14:paraId="47A5515F">
      <w:pPr>
        <w:spacing w:line="360" w:lineRule="auto"/>
        <w:ind w:firstLine="480" w:firstLineChars="200"/>
        <w:rPr>
          <w:rFonts w:ascii="Times New Roman" w:hAnsi="Times New Roman" w:eastAsia="宋体" w:cs="Times New Roman"/>
        </w:rPr>
      </w:pPr>
      <w:r>
        <w:rPr>
          <w:rFonts w:ascii="Times New Roman" w:hAnsi="Times New Roman" w:eastAsia="宋体" w:cs="Times New Roman"/>
        </w:rPr>
        <w:t>V</w:t>
      </w:r>
      <w:r>
        <w:rPr>
          <w:rFonts w:ascii="Times New Roman" w:hAnsi="Times New Roman" w:eastAsia="宋体" w:cs="Times New Roman"/>
          <w:vertAlign w:val="baseline"/>
        </w:rPr>
        <w:t>2</w:t>
      </w:r>
      <w:r>
        <w:rPr>
          <w:rFonts w:ascii="Times New Roman" w:hAnsi="Times New Roman" w:eastAsia="宋体" w:cs="Times New Roman"/>
        </w:rPr>
        <w:t>—发生事故的储罐或装置的消防水量，m</w:t>
      </w:r>
      <w:r>
        <w:rPr>
          <w:rFonts w:ascii="Times New Roman" w:hAnsi="Times New Roman" w:eastAsia="宋体" w:cs="Times New Roman"/>
          <w:vertAlign w:val="baseline"/>
        </w:rPr>
        <w:t>3</w:t>
      </w:r>
      <w:r>
        <w:rPr>
          <w:rFonts w:ascii="Times New Roman" w:hAnsi="Times New Roman" w:eastAsia="宋体" w:cs="Times New Roman"/>
        </w:rPr>
        <w:t>；</w:t>
      </w:r>
    </w:p>
    <w:p w14:paraId="50774659">
      <w:pPr>
        <w:spacing w:line="360" w:lineRule="auto"/>
        <w:ind w:firstLine="480" w:firstLineChars="200"/>
        <w:rPr>
          <w:rFonts w:ascii="Times New Roman" w:hAnsi="Times New Roman" w:eastAsia="宋体" w:cs="Times New Roman"/>
        </w:rPr>
      </w:pPr>
      <w:r>
        <w:rPr>
          <w:rFonts w:ascii="Times New Roman" w:hAnsi="Times New Roman" w:eastAsia="宋体" w:cs="Times New Roman"/>
        </w:rPr>
        <w:t>V</w:t>
      </w:r>
      <w:r>
        <w:rPr>
          <w:rFonts w:ascii="Times New Roman" w:hAnsi="Times New Roman" w:eastAsia="宋体" w:cs="Times New Roman"/>
          <w:vertAlign w:val="baseline"/>
        </w:rPr>
        <w:t>3</w:t>
      </w:r>
      <w:r>
        <w:rPr>
          <w:rFonts w:ascii="Times New Roman" w:hAnsi="Times New Roman" w:eastAsia="宋体" w:cs="Times New Roman"/>
        </w:rPr>
        <w:t>—发生事故时可以转输到其他储存或处理设施的物料量，m</w:t>
      </w:r>
      <w:r>
        <w:rPr>
          <w:rFonts w:ascii="Times New Roman" w:hAnsi="Times New Roman" w:eastAsia="宋体" w:cs="Times New Roman"/>
          <w:vertAlign w:val="baseline"/>
        </w:rPr>
        <w:t>3</w:t>
      </w:r>
      <w:r>
        <w:rPr>
          <w:rFonts w:ascii="Times New Roman" w:hAnsi="Times New Roman" w:eastAsia="宋体" w:cs="Times New Roman"/>
        </w:rPr>
        <w:t>；</w:t>
      </w:r>
    </w:p>
    <w:p w14:paraId="1BFE8DCB">
      <w:pPr>
        <w:spacing w:line="360" w:lineRule="auto"/>
        <w:ind w:firstLine="480" w:firstLineChars="200"/>
        <w:rPr>
          <w:rFonts w:ascii="Times New Roman" w:hAnsi="Times New Roman" w:eastAsia="宋体" w:cs="Times New Roman"/>
        </w:rPr>
      </w:pPr>
      <w:r>
        <w:rPr>
          <w:rFonts w:ascii="Times New Roman" w:hAnsi="Times New Roman" w:eastAsia="宋体" w:cs="Times New Roman"/>
        </w:rPr>
        <w:t>V</w:t>
      </w:r>
      <w:r>
        <w:rPr>
          <w:rFonts w:ascii="Times New Roman" w:hAnsi="Times New Roman" w:eastAsia="宋体" w:cs="Times New Roman"/>
          <w:vertAlign w:val="baseline"/>
        </w:rPr>
        <w:t>4</w:t>
      </w:r>
      <w:r>
        <w:rPr>
          <w:rFonts w:ascii="Times New Roman" w:hAnsi="Times New Roman" w:eastAsia="宋体" w:cs="Times New Roman"/>
        </w:rPr>
        <w:t>—发生事故时仍必须进入该收集系统的生产废水量，m</w:t>
      </w:r>
      <w:r>
        <w:rPr>
          <w:rFonts w:ascii="Times New Roman" w:hAnsi="Times New Roman" w:eastAsia="宋体" w:cs="Times New Roman"/>
          <w:vertAlign w:val="baseline"/>
        </w:rPr>
        <w:t>3</w:t>
      </w:r>
      <w:r>
        <w:rPr>
          <w:rFonts w:ascii="Times New Roman" w:hAnsi="Times New Roman" w:eastAsia="宋体" w:cs="Times New Roman"/>
        </w:rPr>
        <w:t>；</w:t>
      </w:r>
    </w:p>
    <w:p w14:paraId="0388F558">
      <w:pPr>
        <w:spacing w:line="360" w:lineRule="auto"/>
        <w:ind w:firstLine="480" w:firstLineChars="200"/>
        <w:rPr>
          <w:rFonts w:ascii="Times New Roman" w:hAnsi="Times New Roman" w:eastAsia="宋体" w:cs="Times New Roman"/>
        </w:rPr>
      </w:pPr>
      <w:r>
        <w:rPr>
          <w:rFonts w:ascii="Times New Roman" w:hAnsi="Times New Roman" w:eastAsia="宋体" w:cs="Times New Roman"/>
        </w:rPr>
        <w:t>V</w:t>
      </w:r>
      <w:r>
        <w:rPr>
          <w:rFonts w:ascii="Times New Roman" w:hAnsi="Times New Roman" w:eastAsia="宋体" w:cs="Times New Roman"/>
          <w:vertAlign w:val="baseline"/>
        </w:rPr>
        <w:t>5</w:t>
      </w:r>
      <w:r>
        <w:rPr>
          <w:rFonts w:ascii="Times New Roman" w:hAnsi="Times New Roman" w:eastAsia="宋体" w:cs="Times New Roman"/>
        </w:rPr>
        <w:t>—发生事故时可能进入该收集系统的降雨量，m</w:t>
      </w:r>
      <w:r>
        <w:rPr>
          <w:rFonts w:ascii="Times New Roman" w:hAnsi="Times New Roman" w:eastAsia="宋体" w:cs="Times New Roman"/>
          <w:vertAlign w:val="baseline"/>
        </w:rPr>
        <w:t>3</w:t>
      </w:r>
      <w:r>
        <w:rPr>
          <w:rFonts w:ascii="Times New Roman" w:hAnsi="Times New Roman" w:eastAsia="宋体" w:cs="Times New Roman"/>
        </w:rPr>
        <w:t>。</w:t>
      </w:r>
    </w:p>
    <w:p w14:paraId="56EE0997">
      <w:pPr>
        <w:spacing w:line="360" w:lineRule="auto"/>
        <w:ind w:firstLine="480" w:firstLineChars="200"/>
        <w:rPr>
          <w:rFonts w:ascii="Times New Roman" w:hAnsi="Times New Roman" w:eastAsia="宋体" w:cs="Times New Roman"/>
        </w:rPr>
      </w:pPr>
      <w:r>
        <w:rPr>
          <w:rFonts w:hint="default" w:ascii="Times New Roman" w:hAnsi="Times New Roman" w:eastAsia="宋体" w:cs="Times New Roman"/>
          <w:lang w:val="en-US" w:eastAsia="zh-CN"/>
        </w:rPr>
        <w:t>A、</w:t>
      </w:r>
      <w:r>
        <w:rPr>
          <w:rFonts w:ascii="Times New Roman" w:hAnsi="Times New Roman" w:eastAsia="宋体" w:cs="Times New Roman"/>
        </w:rPr>
        <w:t>物料量（V</w:t>
      </w:r>
      <w:r>
        <w:rPr>
          <w:rFonts w:ascii="Times New Roman" w:hAnsi="Times New Roman" w:eastAsia="宋体" w:cs="Times New Roman"/>
          <w:vertAlign w:val="baseline"/>
        </w:rPr>
        <w:t>1</w:t>
      </w:r>
      <w:r>
        <w:rPr>
          <w:rFonts w:ascii="Times New Roman" w:hAnsi="Times New Roman" w:eastAsia="宋体" w:cs="Times New Roman"/>
        </w:rPr>
        <w:t>）：</w:t>
      </w:r>
      <w:r>
        <w:rPr>
          <w:rFonts w:ascii="Times New Roman" w:hAnsi="Times New Roman" w:eastAsia="宋体" w:cs="Times New Roman"/>
          <w:kern w:val="2"/>
          <w:szCs w:val="24"/>
        </w:rPr>
        <w:t>园区内企业</w:t>
      </w:r>
      <w:r>
        <w:rPr>
          <w:rFonts w:hint="default" w:ascii="Times New Roman" w:hAnsi="Times New Roman" w:eastAsia="宋体" w:cs="Times New Roman"/>
          <w:kern w:val="2"/>
          <w:szCs w:val="24"/>
        </w:rPr>
        <w:t>均为家具企业</w:t>
      </w:r>
      <w:r>
        <w:rPr>
          <w:rFonts w:ascii="Times New Roman" w:hAnsi="Times New Roman" w:eastAsia="宋体" w:cs="Times New Roman"/>
          <w:kern w:val="2"/>
          <w:szCs w:val="24"/>
        </w:rPr>
        <w:t>，涉及单一装置存储物料均不超过10m</w:t>
      </w:r>
      <w:r>
        <w:rPr>
          <w:rFonts w:ascii="Times New Roman" w:hAnsi="Times New Roman" w:eastAsia="宋体" w:cs="Times New Roman"/>
          <w:kern w:val="2"/>
          <w:szCs w:val="24"/>
          <w:vertAlign w:val="baseline"/>
        </w:rPr>
        <w:t>3</w:t>
      </w:r>
      <w:r>
        <w:rPr>
          <w:rFonts w:ascii="Times New Roman" w:hAnsi="Times New Roman" w:eastAsia="宋体" w:cs="Times New Roman"/>
          <w:kern w:val="2"/>
          <w:szCs w:val="24"/>
        </w:rPr>
        <w:t>，本次按照10m</w:t>
      </w:r>
      <w:r>
        <w:rPr>
          <w:rFonts w:ascii="Times New Roman" w:hAnsi="Times New Roman" w:eastAsia="宋体" w:cs="Times New Roman"/>
          <w:kern w:val="2"/>
          <w:szCs w:val="24"/>
          <w:vertAlign w:val="baseline"/>
        </w:rPr>
        <w:t>3</w:t>
      </w:r>
      <w:r>
        <w:rPr>
          <w:rFonts w:ascii="Times New Roman" w:hAnsi="Times New Roman" w:eastAsia="宋体" w:cs="Times New Roman"/>
          <w:kern w:val="2"/>
          <w:szCs w:val="24"/>
        </w:rPr>
        <w:t>估算</w:t>
      </w:r>
      <w:r>
        <w:rPr>
          <w:rFonts w:ascii="Times New Roman" w:hAnsi="Times New Roman" w:eastAsia="宋体" w:cs="Times New Roman"/>
        </w:rPr>
        <w:t>。</w:t>
      </w:r>
    </w:p>
    <w:p w14:paraId="1932F1DF">
      <w:pPr>
        <w:spacing w:line="360" w:lineRule="auto"/>
        <w:ind w:firstLine="480" w:firstLineChars="200"/>
        <w:rPr>
          <w:rFonts w:ascii="Times New Roman" w:hAnsi="Times New Roman" w:eastAsia="宋体" w:cs="Times New Roman"/>
        </w:rPr>
      </w:pPr>
      <w:r>
        <w:rPr>
          <w:rFonts w:hint="default" w:ascii="Times New Roman" w:hAnsi="Times New Roman" w:eastAsia="宋体" w:cs="Times New Roman"/>
          <w:lang w:val="en-US" w:eastAsia="zh-CN"/>
        </w:rPr>
        <w:t>B、</w:t>
      </w:r>
      <w:r>
        <w:rPr>
          <w:rFonts w:ascii="Times New Roman" w:hAnsi="Times New Roman" w:eastAsia="宋体" w:cs="Times New Roman"/>
        </w:rPr>
        <w:t>发生事故车间设备的消防水量（V</w:t>
      </w:r>
      <w:r>
        <w:rPr>
          <w:rFonts w:ascii="Times New Roman" w:hAnsi="Times New Roman" w:eastAsia="宋体" w:cs="Times New Roman"/>
          <w:vertAlign w:val="baseline"/>
        </w:rPr>
        <w:t>2</w:t>
      </w:r>
      <w:r>
        <w:rPr>
          <w:rFonts w:ascii="Times New Roman" w:hAnsi="Times New Roman" w:eastAsia="宋体" w:cs="Times New Roman"/>
        </w:rPr>
        <w:t>）</w:t>
      </w:r>
    </w:p>
    <w:p w14:paraId="2D7244B9">
      <w:pPr>
        <w:spacing w:line="360" w:lineRule="auto"/>
        <w:ind w:firstLine="480" w:firstLineChars="200"/>
        <w:jc w:val="center"/>
        <w:rPr>
          <w:rFonts w:ascii="Times New Roman" w:hAnsi="Times New Roman" w:eastAsia="宋体" w:cs="Times New Roman"/>
        </w:rPr>
      </w:pPr>
      <w:r>
        <w:rPr>
          <w:rFonts w:ascii="Times New Roman" w:hAnsi="Times New Roman" w:eastAsia="宋体" w:cs="Times New Roman"/>
        </w:rPr>
        <w:object>
          <v:shape id="_x0000_i1025" o:spt="75" type="#_x0000_t75" style="height:19.5pt;width:68.25pt;" o:ole="t" filled="f" o:preferrelative="t" stroked="f" coordsize="21600,21600">
            <v:path/>
            <v:fill on="f" focussize="0,0"/>
            <v:stroke on="f"/>
            <v:imagedata r:id="rId18" o:title=""/>
            <o:lock v:ext="edit" aspectratio="t"/>
            <w10:wrap type="none"/>
            <w10:anchorlock/>
          </v:shape>
          <o:OLEObject Type="Embed" ProgID="Equation.DSMT4" ShapeID="_x0000_i1025" DrawAspect="Content" ObjectID="_1468075725" r:id="rId17">
            <o:LockedField>false</o:LockedField>
          </o:OLEObject>
        </w:object>
      </w:r>
    </w:p>
    <w:p w14:paraId="7001EAFC">
      <w:pPr>
        <w:spacing w:line="360" w:lineRule="auto"/>
        <w:ind w:firstLine="480" w:firstLineChars="200"/>
        <w:rPr>
          <w:rFonts w:ascii="Times New Roman" w:hAnsi="Times New Roman" w:eastAsia="宋体" w:cs="Times New Roman"/>
        </w:rPr>
      </w:pPr>
      <w:r>
        <w:rPr>
          <w:rFonts w:ascii="Times New Roman" w:hAnsi="Times New Roman" w:eastAsia="宋体" w:cs="Times New Roman"/>
        </w:rPr>
        <w:t>Q</w:t>
      </w:r>
      <w:r>
        <w:rPr>
          <w:rFonts w:ascii="Times New Roman" w:hAnsi="Times New Roman" w:eastAsia="宋体" w:cs="Times New Roman"/>
          <w:vertAlign w:val="baseline"/>
        </w:rPr>
        <w:t>消</w:t>
      </w:r>
      <w:r>
        <w:rPr>
          <w:rFonts w:ascii="Times New Roman" w:hAnsi="Times New Roman" w:eastAsia="宋体" w:cs="Times New Roman"/>
        </w:rPr>
        <w:t>——发生事故的储罐或装置的同时使用的消防设施给水流量，m</w:t>
      </w:r>
      <w:r>
        <w:rPr>
          <w:rFonts w:ascii="Times New Roman" w:hAnsi="Times New Roman" w:eastAsia="宋体" w:cs="Times New Roman"/>
          <w:vertAlign w:val="baseline"/>
        </w:rPr>
        <w:t>3</w:t>
      </w:r>
      <w:r>
        <w:rPr>
          <w:rFonts w:ascii="Times New Roman" w:hAnsi="Times New Roman" w:eastAsia="宋体" w:cs="Times New Roman"/>
        </w:rPr>
        <w:t xml:space="preserve">/h； </w:t>
      </w:r>
    </w:p>
    <w:p w14:paraId="3F22A0E0">
      <w:pPr>
        <w:spacing w:line="360" w:lineRule="auto"/>
        <w:ind w:firstLine="480" w:firstLineChars="200"/>
        <w:rPr>
          <w:rFonts w:ascii="Times New Roman" w:hAnsi="Times New Roman" w:eastAsia="宋体" w:cs="Times New Roman"/>
        </w:rPr>
      </w:pPr>
      <w:r>
        <w:rPr>
          <w:rFonts w:ascii="Times New Roman" w:hAnsi="Times New Roman" w:eastAsia="宋体" w:cs="Times New Roman"/>
        </w:rPr>
        <w:t>t</w:t>
      </w:r>
      <w:r>
        <w:rPr>
          <w:rFonts w:ascii="Times New Roman" w:hAnsi="Times New Roman" w:eastAsia="宋体" w:cs="Times New Roman"/>
          <w:vertAlign w:val="baseline"/>
        </w:rPr>
        <w:t>消</w:t>
      </w:r>
      <w:r>
        <w:rPr>
          <w:rFonts w:ascii="Times New Roman" w:hAnsi="Times New Roman" w:eastAsia="宋体" w:cs="Times New Roman"/>
        </w:rPr>
        <w:t>——消防设施对应的设计消防历时，h；</w:t>
      </w:r>
    </w:p>
    <w:p w14:paraId="75DCCA77">
      <w:pPr>
        <w:adjustRightInd w:val="0"/>
        <w:snapToGrid w:val="0"/>
        <w:spacing w:line="360" w:lineRule="auto"/>
        <w:ind w:firstLine="480" w:firstLineChars="200"/>
        <w:rPr>
          <w:rFonts w:hint="default" w:ascii="Times New Roman" w:hAnsi="Times New Roman" w:eastAsia="宋体" w:cs="Times New Roman"/>
        </w:rPr>
      </w:pPr>
      <w:r>
        <w:rPr>
          <w:rFonts w:ascii="Times New Roman" w:hAnsi="Times New Roman" w:eastAsia="宋体" w:cs="Times New Roman"/>
        </w:rPr>
        <w:t>根据《建筑防火通用规范》（GB55037-2022），建筑占地面积大于300m</w:t>
      </w:r>
      <w:r>
        <w:rPr>
          <w:rFonts w:ascii="Times New Roman" w:hAnsi="Times New Roman" w:eastAsia="宋体" w:cs="Times New Roman"/>
          <w:vertAlign w:val="baseline"/>
        </w:rPr>
        <w:t>2</w:t>
      </w:r>
      <w:r>
        <w:rPr>
          <w:rFonts w:ascii="Times New Roman" w:hAnsi="Times New Roman" w:eastAsia="宋体" w:cs="Times New Roman"/>
        </w:rPr>
        <w:t>的甲、乙，丙类厂房、仓库应设置室内消火栓系统，</w:t>
      </w:r>
      <w:r>
        <w:rPr>
          <w:rFonts w:hint="default" w:ascii="Times New Roman" w:hAnsi="Times New Roman" w:eastAsia="宋体" w:cs="Times New Roman"/>
        </w:rPr>
        <w:t>园区厂房均</w:t>
      </w:r>
      <w:r>
        <w:rPr>
          <w:rFonts w:ascii="Times New Roman" w:hAnsi="Times New Roman" w:eastAsia="宋体" w:cs="Times New Roman"/>
        </w:rPr>
        <w:t>为</w:t>
      </w:r>
      <w:r>
        <w:rPr>
          <w:rFonts w:hint="default" w:ascii="Times New Roman" w:hAnsi="Times New Roman" w:eastAsia="宋体" w:cs="Times New Roman"/>
        </w:rPr>
        <w:t>丙</w:t>
      </w:r>
      <w:r>
        <w:rPr>
          <w:rFonts w:ascii="Times New Roman" w:hAnsi="Times New Roman" w:eastAsia="宋体" w:cs="Times New Roman"/>
        </w:rPr>
        <w:t>类厂房，</w:t>
      </w:r>
      <w:r>
        <w:rPr>
          <w:rFonts w:hint="default" w:ascii="Times New Roman" w:hAnsi="Times New Roman" w:eastAsia="宋体" w:cs="Times New Roman"/>
        </w:rPr>
        <w:t>应设置室内、室外</w:t>
      </w:r>
      <w:r>
        <w:rPr>
          <w:rFonts w:ascii="Times New Roman" w:hAnsi="Times New Roman" w:eastAsia="宋体" w:cs="Times New Roman"/>
        </w:rPr>
        <w:t>消火栓系统，</w:t>
      </w:r>
      <w:r>
        <w:rPr>
          <w:rFonts w:ascii="Times New Roman" w:hAnsi="Times New Roman" w:eastAsia="宋体" w:cs="Times New Roman"/>
          <w:kern w:val="2"/>
          <w:szCs w:val="24"/>
        </w:rPr>
        <w:t>厂房建筑高度均不超过24m</w:t>
      </w:r>
      <w:r>
        <w:rPr>
          <w:rFonts w:hint="default" w:ascii="Times New Roman" w:hAnsi="Times New Roman" w:eastAsia="宋体" w:cs="Times New Roman"/>
          <w:kern w:val="2"/>
          <w:szCs w:val="24"/>
        </w:rPr>
        <w:t>，</w:t>
      </w:r>
      <w:r>
        <w:rPr>
          <w:rFonts w:ascii="Times New Roman" w:hAnsi="Times New Roman" w:eastAsia="宋体" w:cs="Times New Roman"/>
          <w:kern w:val="2"/>
          <w:szCs w:val="24"/>
        </w:rPr>
        <w:t>每栋建筑</w:t>
      </w:r>
      <w:r>
        <w:rPr>
          <w:rFonts w:hint="default" w:ascii="Times New Roman" w:hAnsi="Times New Roman" w:eastAsia="宋体" w:cs="Times New Roman"/>
          <w:kern w:val="2"/>
          <w:szCs w:val="24"/>
        </w:rPr>
        <w:t>物</w:t>
      </w:r>
      <w:r>
        <w:rPr>
          <w:rFonts w:ascii="Times New Roman" w:hAnsi="Times New Roman" w:eastAsia="宋体" w:cs="Times New Roman"/>
          <w:kern w:val="2"/>
          <w:szCs w:val="24"/>
        </w:rPr>
        <w:t>体积均不超过50000m</w:t>
      </w:r>
      <w:r>
        <w:rPr>
          <w:rFonts w:ascii="Times New Roman" w:hAnsi="Times New Roman" w:eastAsia="宋体" w:cs="Times New Roman"/>
          <w:kern w:val="2"/>
          <w:szCs w:val="24"/>
          <w:vertAlign w:val="baseline"/>
        </w:rPr>
        <w:t>3</w:t>
      </w:r>
      <w:r>
        <w:rPr>
          <w:rFonts w:hint="default" w:ascii="Times New Roman" w:hAnsi="Times New Roman" w:eastAsia="宋体" w:cs="Times New Roman"/>
          <w:kern w:val="2"/>
          <w:szCs w:val="24"/>
        </w:rPr>
        <w:t>。</w:t>
      </w:r>
      <w:r>
        <w:rPr>
          <w:rFonts w:ascii="Times New Roman" w:hAnsi="Times New Roman" w:eastAsia="宋体" w:cs="Times New Roman"/>
          <w:bCs w:val="0"/>
        </w:rPr>
        <w:t>根据《消防给水及消火栓系统技术规范》（GB50974-2014）表3.5.2，厂房为</w:t>
      </w:r>
      <w:r>
        <w:rPr>
          <w:rFonts w:hint="default" w:ascii="Times New Roman" w:hAnsi="Times New Roman" w:eastAsia="宋体" w:cs="Times New Roman"/>
          <w:bCs w:val="0"/>
        </w:rPr>
        <w:t>丙</w:t>
      </w:r>
      <w:r>
        <w:rPr>
          <w:rFonts w:ascii="Times New Roman" w:hAnsi="Times New Roman" w:eastAsia="宋体" w:cs="Times New Roman"/>
          <w:bCs w:val="0"/>
        </w:rPr>
        <w:t>类且高度＜24m，</w:t>
      </w:r>
      <w:r>
        <w:rPr>
          <w:rFonts w:hint="default" w:ascii="Times New Roman" w:hAnsi="Times New Roman" w:eastAsia="宋体" w:cs="Times New Roman"/>
          <w:bCs w:val="0"/>
        </w:rPr>
        <w:t>室内消火栓设计流量为20</w:t>
      </w:r>
      <w:r>
        <w:rPr>
          <w:rFonts w:ascii="Times New Roman" w:hAnsi="Times New Roman" w:eastAsia="宋体" w:cs="Times New Roman"/>
          <w:bCs w:val="0"/>
        </w:rPr>
        <w:t>L/s，</w:t>
      </w:r>
      <w:r>
        <w:rPr>
          <w:rFonts w:hint="default" w:ascii="Times New Roman" w:hAnsi="Times New Roman" w:eastAsia="宋体" w:cs="Times New Roman"/>
          <w:bCs w:val="0"/>
        </w:rPr>
        <w:t>同时使用消防水枪数为4支；</w:t>
      </w:r>
      <w:r>
        <w:rPr>
          <w:rFonts w:ascii="Times New Roman" w:hAnsi="Times New Roman" w:eastAsia="宋体" w:cs="Times New Roman"/>
        </w:rPr>
        <w:t>根据《消防给水及消火栓系统技术规范》（GB50974-2014）</w:t>
      </w:r>
      <w:r>
        <w:rPr>
          <w:rFonts w:ascii="Times New Roman" w:hAnsi="Times New Roman" w:eastAsia="宋体" w:cs="Times New Roman"/>
          <w:bCs w:val="0"/>
        </w:rPr>
        <w:t>表3.</w:t>
      </w:r>
      <w:r>
        <w:rPr>
          <w:rFonts w:hint="default" w:ascii="Times New Roman" w:hAnsi="Times New Roman" w:eastAsia="宋体" w:cs="Times New Roman"/>
          <w:bCs w:val="0"/>
        </w:rPr>
        <w:t>3</w:t>
      </w:r>
      <w:r>
        <w:rPr>
          <w:rFonts w:ascii="Times New Roman" w:hAnsi="Times New Roman" w:eastAsia="宋体" w:cs="Times New Roman"/>
          <w:bCs w:val="0"/>
        </w:rPr>
        <w:t>.2</w:t>
      </w:r>
      <w:r>
        <w:rPr>
          <w:rFonts w:ascii="Times New Roman" w:hAnsi="Times New Roman" w:eastAsia="宋体" w:cs="Times New Roman"/>
        </w:rPr>
        <w:t>，</w:t>
      </w:r>
      <w:r>
        <w:rPr>
          <w:rFonts w:ascii="Times New Roman" w:hAnsi="Times New Roman" w:eastAsia="宋体" w:cs="Times New Roman"/>
          <w:bCs w:val="0"/>
        </w:rPr>
        <w:t>厂房为</w:t>
      </w:r>
      <w:r>
        <w:rPr>
          <w:rFonts w:hint="default" w:ascii="Times New Roman" w:hAnsi="Times New Roman" w:eastAsia="宋体" w:cs="Times New Roman"/>
          <w:bCs w:val="0"/>
        </w:rPr>
        <w:t>丙</w:t>
      </w:r>
      <w:r>
        <w:rPr>
          <w:rFonts w:ascii="Times New Roman" w:hAnsi="Times New Roman" w:eastAsia="宋体" w:cs="Times New Roman"/>
          <w:bCs w:val="0"/>
        </w:rPr>
        <w:t>类且</w:t>
      </w:r>
      <w:r>
        <w:rPr>
          <w:rFonts w:hint="default" w:ascii="Times New Roman" w:hAnsi="Times New Roman" w:eastAsia="宋体" w:cs="Times New Roman"/>
          <w:bCs w:val="0"/>
        </w:rPr>
        <w:t>建筑体积20000＜V≤50000</w:t>
      </w:r>
      <w:r>
        <w:rPr>
          <w:rFonts w:ascii="Times New Roman" w:hAnsi="Times New Roman" w:eastAsia="宋体" w:cs="Times New Roman"/>
          <w:bCs w:val="0"/>
        </w:rPr>
        <w:t>m</w:t>
      </w:r>
      <w:r>
        <w:rPr>
          <w:rFonts w:hint="default" w:ascii="Times New Roman" w:hAnsi="Times New Roman" w:eastAsia="宋体" w:cs="Times New Roman"/>
          <w:bCs w:val="0"/>
          <w:vertAlign w:val="baseline"/>
        </w:rPr>
        <w:t>3</w:t>
      </w:r>
      <w:r>
        <w:rPr>
          <w:rFonts w:ascii="Times New Roman" w:hAnsi="Times New Roman" w:eastAsia="宋体" w:cs="Times New Roman"/>
          <w:bCs w:val="0"/>
        </w:rPr>
        <w:t>，</w:t>
      </w:r>
      <w:r>
        <w:rPr>
          <w:rFonts w:hint="default" w:ascii="Times New Roman" w:hAnsi="Times New Roman" w:eastAsia="宋体" w:cs="Times New Roman"/>
        </w:rPr>
        <w:t>室外消火栓</w:t>
      </w:r>
      <w:r>
        <w:rPr>
          <w:rFonts w:ascii="Times New Roman" w:hAnsi="Times New Roman" w:eastAsia="宋体" w:cs="Times New Roman"/>
        </w:rPr>
        <w:t>设计流量</w:t>
      </w:r>
      <w:r>
        <w:rPr>
          <w:rFonts w:hint="default" w:ascii="Times New Roman" w:hAnsi="Times New Roman" w:eastAsia="宋体" w:cs="Times New Roman"/>
          <w:bCs w:val="0"/>
        </w:rPr>
        <w:t>为</w:t>
      </w:r>
      <w:r>
        <w:rPr>
          <w:rFonts w:hint="default" w:ascii="Times New Roman" w:hAnsi="Times New Roman" w:eastAsia="宋体" w:cs="Times New Roman"/>
        </w:rPr>
        <w:t>30</w:t>
      </w:r>
      <w:r>
        <w:rPr>
          <w:rFonts w:ascii="Times New Roman" w:hAnsi="Times New Roman" w:eastAsia="宋体" w:cs="Times New Roman"/>
        </w:rPr>
        <w:t>L/s。根据《建筑防火通用规范》（GB55037-2022）中</w:t>
      </w:r>
      <w:r>
        <w:rPr>
          <w:rFonts w:hint="default" w:ascii="Times New Roman" w:hAnsi="Times New Roman" w:eastAsia="宋体" w:cs="Times New Roman"/>
        </w:rPr>
        <w:t>表10.1.5</w:t>
      </w:r>
      <w:r>
        <w:rPr>
          <w:rFonts w:ascii="Times New Roman" w:hAnsi="Times New Roman" w:eastAsia="宋体" w:cs="Times New Roman"/>
        </w:rPr>
        <w:t>，</w:t>
      </w:r>
      <w:r>
        <w:rPr>
          <w:rFonts w:hint="default" w:ascii="Times New Roman" w:hAnsi="Times New Roman" w:eastAsia="宋体" w:cs="Times New Roman"/>
        </w:rPr>
        <w:t>丙</w:t>
      </w:r>
      <w:r>
        <w:rPr>
          <w:rFonts w:ascii="Times New Roman" w:hAnsi="Times New Roman" w:eastAsia="宋体" w:cs="Times New Roman"/>
        </w:rPr>
        <w:t>类厂房设计火灾延续时间</w:t>
      </w:r>
      <w:r>
        <w:rPr>
          <w:rFonts w:hint="default" w:ascii="Times New Roman" w:hAnsi="Times New Roman" w:eastAsia="宋体" w:cs="Times New Roman"/>
        </w:rPr>
        <w:t>为3</w:t>
      </w:r>
      <w:r>
        <w:rPr>
          <w:rFonts w:ascii="Times New Roman" w:hAnsi="Times New Roman" w:eastAsia="宋体" w:cs="Times New Roman"/>
        </w:rPr>
        <w:t>h</w:t>
      </w:r>
      <w:r>
        <w:rPr>
          <w:rFonts w:hint="default" w:ascii="Times New Roman" w:hAnsi="Times New Roman" w:eastAsia="宋体" w:cs="Times New Roman"/>
        </w:rPr>
        <w:t>，</w:t>
      </w:r>
      <w:r>
        <w:rPr>
          <w:rFonts w:ascii="Times New Roman" w:hAnsi="Times New Roman" w:eastAsia="宋体" w:cs="Times New Roman"/>
        </w:rPr>
        <w:t>消防用水</w:t>
      </w:r>
      <w:r>
        <w:rPr>
          <w:rFonts w:ascii="Times New Roman" w:hAnsi="Times New Roman" w:eastAsia="宋体" w:cs="Times New Roman"/>
          <w:kern w:val="2"/>
          <w:szCs w:val="24"/>
        </w:rPr>
        <w:t>延续</w:t>
      </w:r>
      <w:r>
        <w:rPr>
          <w:rFonts w:ascii="Times New Roman" w:hAnsi="Times New Roman" w:eastAsia="宋体" w:cs="Times New Roman"/>
        </w:rPr>
        <w:t>时间按</w:t>
      </w:r>
      <w:r>
        <w:rPr>
          <w:rFonts w:hint="default" w:ascii="Times New Roman" w:hAnsi="Times New Roman" w:eastAsia="宋体" w:cs="Times New Roman"/>
        </w:rPr>
        <w:t>3</w:t>
      </w:r>
      <w:r>
        <w:rPr>
          <w:rFonts w:ascii="Times New Roman" w:hAnsi="Times New Roman" w:eastAsia="宋体" w:cs="Times New Roman"/>
        </w:rPr>
        <w:t>h计</w:t>
      </w:r>
      <w:r>
        <w:rPr>
          <w:rFonts w:hint="default" w:ascii="Times New Roman" w:hAnsi="Times New Roman" w:eastAsia="宋体" w:cs="Times New Roman"/>
        </w:rPr>
        <w:t>。</w:t>
      </w:r>
    </w:p>
    <w:p w14:paraId="2B0BFCF9">
      <w:pPr>
        <w:adjustRightInd w:val="0"/>
        <w:snapToGrid w:val="0"/>
        <w:spacing w:line="360" w:lineRule="auto"/>
        <w:ind w:firstLine="480" w:firstLineChars="200"/>
        <w:rPr>
          <w:rFonts w:ascii="Times New Roman" w:hAnsi="Times New Roman" w:eastAsia="宋体" w:cs="Times New Roman"/>
        </w:rPr>
      </w:pPr>
      <w:r>
        <w:rPr>
          <w:rFonts w:ascii="Times New Roman" w:hAnsi="Times New Roman" w:eastAsia="宋体" w:cs="Times New Roman"/>
          <w:kern w:val="2"/>
          <w:szCs w:val="24"/>
        </w:rPr>
        <w:t>经计算V</w:t>
      </w:r>
      <w:r>
        <w:rPr>
          <w:rFonts w:ascii="Times New Roman" w:hAnsi="Times New Roman" w:eastAsia="宋体" w:cs="Times New Roman"/>
          <w:kern w:val="2"/>
          <w:szCs w:val="24"/>
          <w:vertAlign w:val="baseline"/>
        </w:rPr>
        <w:t>2</w:t>
      </w:r>
      <w:r>
        <w:rPr>
          <w:rFonts w:ascii="Times New Roman" w:hAnsi="Times New Roman" w:eastAsia="宋体" w:cs="Times New Roman"/>
          <w:kern w:val="2"/>
          <w:szCs w:val="24"/>
        </w:rPr>
        <w:t xml:space="preserve">= </w:t>
      </w:r>
      <w:r>
        <w:rPr>
          <w:rFonts w:hint="default" w:ascii="Times New Roman" w:hAnsi="Times New Roman" w:eastAsia="宋体" w:cs="Times New Roman"/>
          <w:kern w:val="2"/>
          <w:szCs w:val="24"/>
        </w:rPr>
        <w:t>20</w:t>
      </w:r>
      <w:r>
        <w:rPr>
          <w:rFonts w:ascii="Times New Roman" w:hAnsi="Times New Roman" w:eastAsia="宋体" w:cs="Times New Roman"/>
          <w:kern w:val="2"/>
          <w:szCs w:val="24"/>
        </w:rPr>
        <w:t>×</w:t>
      </w:r>
      <w:r>
        <w:rPr>
          <w:rFonts w:hint="default" w:ascii="Times New Roman" w:hAnsi="Times New Roman" w:eastAsia="宋体" w:cs="Times New Roman"/>
          <w:kern w:val="2"/>
          <w:szCs w:val="24"/>
        </w:rPr>
        <w:t>10800</w:t>
      </w:r>
      <w:r>
        <w:rPr>
          <w:rFonts w:ascii="Times New Roman" w:hAnsi="Times New Roman" w:eastAsia="宋体" w:cs="Times New Roman"/>
          <w:kern w:val="2"/>
          <w:szCs w:val="24"/>
        </w:rPr>
        <w:t>×</w:t>
      </w:r>
      <w:r>
        <w:rPr>
          <w:rFonts w:hint="default" w:ascii="Times New Roman" w:hAnsi="Times New Roman" w:eastAsia="宋体" w:cs="Times New Roman"/>
          <w:kern w:val="2"/>
          <w:szCs w:val="24"/>
        </w:rPr>
        <w:t>10</w:t>
      </w:r>
      <w:r>
        <w:rPr>
          <w:rFonts w:hint="default" w:ascii="Times New Roman" w:hAnsi="Times New Roman" w:eastAsia="宋体" w:cs="Times New Roman"/>
          <w:kern w:val="2"/>
          <w:szCs w:val="24"/>
          <w:vertAlign w:val="baseline"/>
        </w:rPr>
        <w:t>-3</w:t>
      </w:r>
      <w:r>
        <w:rPr>
          <w:rFonts w:ascii="Times New Roman" w:hAnsi="Times New Roman" w:eastAsia="宋体" w:cs="Times New Roman"/>
          <w:kern w:val="2"/>
          <w:szCs w:val="24"/>
        </w:rPr>
        <w:t>+</w:t>
      </w:r>
      <w:r>
        <w:rPr>
          <w:rFonts w:hint="default" w:ascii="Times New Roman" w:hAnsi="Times New Roman" w:eastAsia="宋体" w:cs="Times New Roman"/>
          <w:kern w:val="2"/>
          <w:szCs w:val="24"/>
        </w:rPr>
        <w:t>30</w:t>
      </w:r>
      <w:r>
        <w:rPr>
          <w:rFonts w:ascii="Times New Roman" w:hAnsi="Times New Roman" w:eastAsia="宋体" w:cs="Times New Roman"/>
          <w:kern w:val="2"/>
          <w:szCs w:val="24"/>
        </w:rPr>
        <w:t>×</w:t>
      </w:r>
      <w:r>
        <w:rPr>
          <w:rFonts w:hint="default" w:ascii="Times New Roman" w:hAnsi="Times New Roman" w:eastAsia="宋体" w:cs="Times New Roman"/>
          <w:kern w:val="2"/>
          <w:szCs w:val="24"/>
        </w:rPr>
        <w:t>10800</w:t>
      </w:r>
      <w:r>
        <w:rPr>
          <w:rFonts w:ascii="Times New Roman" w:hAnsi="Times New Roman" w:eastAsia="宋体" w:cs="Times New Roman"/>
          <w:kern w:val="2"/>
          <w:szCs w:val="24"/>
        </w:rPr>
        <w:t>×</w:t>
      </w:r>
      <w:r>
        <w:rPr>
          <w:rFonts w:hint="default" w:ascii="Times New Roman" w:hAnsi="Times New Roman" w:eastAsia="宋体" w:cs="Times New Roman"/>
          <w:kern w:val="2"/>
          <w:szCs w:val="24"/>
        </w:rPr>
        <w:t>10</w:t>
      </w:r>
      <w:r>
        <w:rPr>
          <w:rFonts w:hint="default" w:ascii="Times New Roman" w:hAnsi="Times New Roman" w:eastAsia="宋体" w:cs="Times New Roman"/>
          <w:kern w:val="2"/>
          <w:szCs w:val="24"/>
          <w:vertAlign w:val="baseline"/>
        </w:rPr>
        <w:t>-3</w:t>
      </w:r>
      <w:r>
        <w:rPr>
          <w:rFonts w:ascii="Times New Roman" w:hAnsi="Times New Roman" w:eastAsia="宋体" w:cs="Times New Roman"/>
          <w:kern w:val="2"/>
          <w:szCs w:val="24"/>
        </w:rPr>
        <w:t>=</w:t>
      </w:r>
      <w:r>
        <w:rPr>
          <w:rFonts w:hint="default" w:ascii="Times New Roman" w:hAnsi="Times New Roman" w:eastAsia="宋体" w:cs="Times New Roman"/>
          <w:kern w:val="2"/>
          <w:szCs w:val="24"/>
          <w:lang w:val="en-US" w:eastAsia="zh-CN"/>
        </w:rPr>
        <w:t>540</w:t>
      </w:r>
      <w:r>
        <w:rPr>
          <w:rFonts w:ascii="Times New Roman" w:hAnsi="Times New Roman" w:eastAsia="宋体" w:cs="Times New Roman"/>
          <w:kern w:val="2"/>
          <w:szCs w:val="24"/>
        </w:rPr>
        <w:t>m</w:t>
      </w:r>
      <w:r>
        <w:rPr>
          <w:rFonts w:ascii="Times New Roman" w:hAnsi="Times New Roman" w:eastAsia="宋体" w:cs="Times New Roman"/>
          <w:kern w:val="2"/>
          <w:szCs w:val="24"/>
          <w:vertAlign w:val="baseline"/>
        </w:rPr>
        <w:t>3</w:t>
      </w:r>
      <w:r>
        <w:rPr>
          <w:rFonts w:ascii="Times New Roman" w:hAnsi="Times New Roman" w:eastAsia="宋体" w:cs="Times New Roman"/>
        </w:rPr>
        <w:t>；</w:t>
      </w:r>
    </w:p>
    <w:p w14:paraId="3CE4A465">
      <w:pPr>
        <w:spacing w:line="360" w:lineRule="auto"/>
        <w:ind w:firstLine="480" w:firstLineChars="200"/>
        <w:rPr>
          <w:rFonts w:ascii="Times New Roman" w:hAnsi="Times New Roman" w:eastAsia="宋体" w:cs="Times New Roman"/>
        </w:rPr>
      </w:pPr>
      <w:r>
        <w:rPr>
          <w:rFonts w:hint="default" w:ascii="Times New Roman" w:hAnsi="Times New Roman" w:eastAsia="宋体" w:cs="Times New Roman"/>
          <w:lang w:val="en-US" w:eastAsia="zh-CN"/>
        </w:rPr>
        <w:t>C、</w:t>
      </w:r>
      <w:r>
        <w:rPr>
          <w:rFonts w:ascii="Times New Roman" w:hAnsi="Times New Roman" w:eastAsia="宋体" w:cs="Times New Roman"/>
        </w:rPr>
        <w:t>发生事故时可以转输到其他储存或处理设施的物料量（V</w:t>
      </w:r>
      <w:r>
        <w:rPr>
          <w:rFonts w:ascii="Times New Roman" w:hAnsi="Times New Roman" w:eastAsia="宋体" w:cs="Times New Roman"/>
          <w:vertAlign w:val="baseline"/>
        </w:rPr>
        <w:t>3</w:t>
      </w:r>
      <w:r>
        <w:rPr>
          <w:rFonts w:ascii="Times New Roman" w:hAnsi="Times New Roman" w:eastAsia="宋体" w:cs="Times New Roman"/>
        </w:rPr>
        <w:t>）：</w:t>
      </w:r>
      <w:r>
        <w:rPr>
          <w:rFonts w:hint="default" w:ascii="Times New Roman" w:hAnsi="Times New Roman" w:eastAsia="宋体" w:cs="Times New Roman"/>
          <w:kern w:val="2"/>
          <w:szCs w:val="24"/>
        </w:rPr>
        <w:t>园区内雨水管网发生事故时可以储存部分事故废水。根据设计图纸，园区雨水管道情况如下：</w:t>
      </w:r>
    </w:p>
    <w:tbl>
      <w:tblPr>
        <w:tblStyle w:val="3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48"/>
        <w:gridCol w:w="4905"/>
        <w:gridCol w:w="1254"/>
        <w:gridCol w:w="1197"/>
      </w:tblGrid>
      <w:tr w14:paraId="135DD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8" w:type="dxa"/>
            <w:noWrap w:val="0"/>
            <w:vAlign w:val="center"/>
          </w:tcPr>
          <w:p w14:paraId="26BCB997">
            <w:pPr>
              <w:pStyle w:val="143"/>
              <w:adjustRightInd w:val="0"/>
              <w:snapToGrid w:val="0"/>
              <w:jc w:val="center"/>
              <w:rPr>
                <w:rFonts w:hint="eastAsia"/>
                <w:b/>
                <w:bCs/>
                <w:color w:val="000000"/>
                <w:sz w:val="21"/>
                <w:szCs w:val="21"/>
                <w:lang w:eastAsia="zh-CN"/>
              </w:rPr>
            </w:pPr>
            <w:r>
              <w:rPr>
                <w:rFonts w:ascii="Times New Roman" w:hAnsi="Times New Roman"/>
                <w:b/>
                <w:bCs/>
                <w:color w:val="000000"/>
                <w:lang w:eastAsia="zh-CN"/>
              </w:rPr>
              <w:t>管道直径mm</w:t>
            </w:r>
          </w:p>
        </w:tc>
        <w:tc>
          <w:tcPr>
            <w:tcW w:w="4905" w:type="dxa"/>
            <w:noWrap w:val="0"/>
            <w:vAlign w:val="center"/>
          </w:tcPr>
          <w:p w14:paraId="0206F279">
            <w:pPr>
              <w:pStyle w:val="143"/>
              <w:adjustRightInd w:val="0"/>
              <w:snapToGrid w:val="0"/>
              <w:jc w:val="center"/>
              <w:rPr>
                <w:rFonts w:hint="eastAsia"/>
                <w:b/>
                <w:bCs/>
                <w:color w:val="000000"/>
                <w:sz w:val="21"/>
                <w:szCs w:val="21"/>
                <w:lang w:eastAsia="zh-CN"/>
              </w:rPr>
            </w:pPr>
            <w:r>
              <w:rPr>
                <w:rFonts w:ascii="Times New Roman" w:hAnsi="Times New Roman"/>
                <w:b/>
                <w:bCs/>
                <w:color w:val="000000"/>
                <w:lang w:eastAsia="zh-CN"/>
              </w:rPr>
              <w:t>长度m</w:t>
            </w:r>
          </w:p>
        </w:tc>
        <w:tc>
          <w:tcPr>
            <w:tcW w:w="1254" w:type="dxa"/>
            <w:noWrap w:val="0"/>
            <w:vAlign w:val="center"/>
          </w:tcPr>
          <w:p w14:paraId="5BB1CFEC">
            <w:pPr>
              <w:pStyle w:val="143"/>
              <w:adjustRightInd w:val="0"/>
              <w:snapToGrid w:val="0"/>
              <w:jc w:val="center"/>
              <w:rPr>
                <w:rFonts w:hint="eastAsia"/>
                <w:b/>
                <w:bCs/>
                <w:color w:val="000000"/>
                <w:sz w:val="21"/>
                <w:szCs w:val="21"/>
                <w:lang w:eastAsia="zh-CN"/>
              </w:rPr>
            </w:pPr>
            <w:r>
              <w:rPr>
                <w:rFonts w:hint="eastAsia" w:ascii="Times New Roman" w:hAnsi="Times New Roman"/>
                <w:b/>
                <w:bCs/>
                <w:color w:val="000000"/>
                <w:lang w:eastAsia="zh-CN"/>
              </w:rPr>
              <w:t>总长度m</w:t>
            </w:r>
          </w:p>
        </w:tc>
        <w:tc>
          <w:tcPr>
            <w:tcW w:w="1197" w:type="dxa"/>
            <w:noWrap w:val="0"/>
            <w:vAlign w:val="center"/>
          </w:tcPr>
          <w:p w14:paraId="44AD3C03">
            <w:pPr>
              <w:pStyle w:val="143"/>
              <w:adjustRightInd w:val="0"/>
              <w:snapToGrid w:val="0"/>
              <w:jc w:val="center"/>
              <w:rPr>
                <w:rFonts w:hint="eastAsia"/>
                <w:b/>
                <w:bCs/>
                <w:color w:val="000000"/>
                <w:sz w:val="21"/>
                <w:szCs w:val="21"/>
                <w:lang w:eastAsia="zh-CN"/>
              </w:rPr>
            </w:pPr>
            <w:r>
              <w:rPr>
                <w:rFonts w:hint="eastAsia" w:ascii="Times New Roman" w:hAnsi="Times New Roman"/>
                <w:b/>
                <w:bCs/>
                <w:color w:val="000000"/>
                <w:lang w:eastAsia="zh-CN"/>
              </w:rPr>
              <w:t>管道容积m</w:t>
            </w:r>
            <w:r>
              <w:rPr>
                <w:rFonts w:hint="eastAsia" w:ascii="Times New Roman" w:hAnsi="Times New Roman"/>
                <w:b/>
                <w:bCs/>
                <w:color w:val="000000"/>
                <w:vertAlign w:val="superscript"/>
                <w:lang w:eastAsia="zh-CN"/>
              </w:rPr>
              <w:t>3</w:t>
            </w:r>
          </w:p>
        </w:tc>
      </w:tr>
      <w:tr w14:paraId="238BE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8" w:type="dxa"/>
            <w:noWrap w:val="0"/>
            <w:vAlign w:val="center"/>
          </w:tcPr>
          <w:p w14:paraId="0302EDDA">
            <w:pPr>
              <w:pStyle w:val="143"/>
              <w:adjustRightInd w:val="0"/>
              <w:snapToGrid w:val="0"/>
              <w:jc w:val="center"/>
              <w:rPr>
                <w:rFonts w:hint="eastAsia"/>
                <w:color w:val="000000"/>
                <w:sz w:val="21"/>
                <w:szCs w:val="21"/>
                <w:lang w:eastAsia="zh-CN"/>
              </w:rPr>
            </w:pPr>
            <w:r>
              <w:rPr>
                <w:rFonts w:ascii="Times New Roman" w:hAnsi="Times New Roman"/>
                <w:color w:val="000000"/>
                <w:lang w:eastAsia="zh-CN"/>
              </w:rPr>
              <w:t>300</w:t>
            </w:r>
          </w:p>
        </w:tc>
        <w:tc>
          <w:tcPr>
            <w:tcW w:w="4905" w:type="dxa"/>
            <w:noWrap w:val="0"/>
            <w:vAlign w:val="center"/>
          </w:tcPr>
          <w:p w14:paraId="46C01B92">
            <w:pPr>
              <w:pStyle w:val="143"/>
              <w:adjustRightInd w:val="0"/>
              <w:snapToGrid w:val="0"/>
              <w:jc w:val="center"/>
              <w:rPr>
                <w:rFonts w:hint="eastAsia"/>
                <w:color w:val="000000"/>
                <w:sz w:val="21"/>
                <w:szCs w:val="21"/>
                <w:lang w:eastAsia="zh-CN"/>
              </w:rPr>
            </w:pPr>
            <w:r>
              <w:rPr>
                <w:rFonts w:ascii="Times New Roman" w:hAnsi="Times New Roman"/>
                <w:color w:val="000000"/>
                <w:lang w:eastAsia="zh-CN"/>
              </w:rPr>
              <w:t>135+130+86+79+92+87+92+92+102+100+102</w:t>
            </w:r>
          </w:p>
        </w:tc>
        <w:tc>
          <w:tcPr>
            <w:tcW w:w="1254" w:type="dxa"/>
            <w:noWrap w:val="0"/>
            <w:vAlign w:val="center"/>
          </w:tcPr>
          <w:p w14:paraId="30756E80">
            <w:pPr>
              <w:pStyle w:val="143"/>
              <w:adjustRightInd w:val="0"/>
              <w:snapToGrid w:val="0"/>
              <w:jc w:val="center"/>
              <w:rPr>
                <w:color w:val="000000"/>
                <w:sz w:val="21"/>
                <w:szCs w:val="21"/>
                <w:vertAlign w:val="subscript"/>
                <w:lang w:eastAsia="zh-CN"/>
              </w:rPr>
            </w:pPr>
            <w:r>
              <w:rPr>
                <w:rFonts w:hint="eastAsia" w:ascii="Times New Roman" w:hAnsi="Times New Roman"/>
                <w:color w:val="000000"/>
                <w:lang w:eastAsia="zh-CN"/>
              </w:rPr>
              <w:t>1097</w:t>
            </w:r>
          </w:p>
        </w:tc>
        <w:tc>
          <w:tcPr>
            <w:tcW w:w="1197" w:type="dxa"/>
            <w:noWrap w:val="0"/>
            <w:vAlign w:val="center"/>
          </w:tcPr>
          <w:p w14:paraId="3E611E5D">
            <w:pPr>
              <w:pStyle w:val="143"/>
              <w:adjustRightInd w:val="0"/>
              <w:snapToGrid w:val="0"/>
              <w:jc w:val="center"/>
              <w:rPr>
                <w:rFonts w:ascii="Times New Roman" w:hAnsi="Times New Roman"/>
                <w:color w:val="000000"/>
                <w:sz w:val="21"/>
                <w:szCs w:val="21"/>
                <w:lang w:eastAsia="zh-CN"/>
              </w:rPr>
            </w:pPr>
            <w:r>
              <w:rPr>
                <w:rFonts w:hint="eastAsia" w:ascii="Times New Roman" w:hAnsi="Times New Roman"/>
                <w:color w:val="000000"/>
                <w:lang w:eastAsia="zh-CN"/>
              </w:rPr>
              <w:t xml:space="preserve">78 </w:t>
            </w:r>
          </w:p>
        </w:tc>
      </w:tr>
      <w:tr w14:paraId="317B4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8" w:type="dxa"/>
            <w:noWrap w:val="0"/>
            <w:vAlign w:val="center"/>
          </w:tcPr>
          <w:p w14:paraId="6AE44447">
            <w:pPr>
              <w:pStyle w:val="143"/>
              <w:adjustRightInd w:val="0"/>
              <w:snapToGrid w:val="0"/>
              <w:jc w:val="center"/>
              <w:rPr>
                <w:rFonts w:hint="eastAsia"/>
                <w:color w:val="000000"/>
                <w:sz w:val="21"/>
                <w:szCs w:val="21"/>
                <w:lang w:eastAsia="zh-CN"/>
              </w:rPr>
            </w:pPr>
            <w:r>
              <w:rPr>
                <w:rFonts w:ascii="Times New Roman" w:hAnsi="Times New Roman"/>
                <w:color w:val="000000"/>
                <w:lang w:eastAsia="zh-CN"/>
              </w:rPr>
              <w:t>500</w:t>
            </w:r>
          </w:p>
        </w:tc>
        <w:tc>
          <w:tcPr>
            <w:tcW w:w="4905" w:type="dxa"/>
            <w:noWrap w:val="0"/>
            <w:vAlign w:val="center"/>
          </w:tcPr>
          <w:p w14:paraId="5F4789AE">
            <w:pPr>
              <w:pStyle w:val="143"/>
              <w:adjustRightInd w:val="0"/>
              <w:snapToGrid w:val="0"/>
              <w:jc w:val="center"/>
              <w:rPr>
                <w:rFonts w:hint="eastAsia"/>
                <w:color w:val="000000"/>
                <w:sz w:val="21"/>
                <w:szCs w:val="21"/>
                <w:lang w:eastAsia="zh-CN"/>
              </w:rPr>
            </w:pPr>
            <w:r>
              <w:rPr>
                <w:rFonts w:ascii="Times New Roman" w:hAnsi="Times New Roman"/>
                <w:color w:val="000000"/>
                <w:lang w:eastAsia="zh-CN"/>
              </w:rPr>
              <w:t>216+26+120+128+128+128+120+120+120+120+125+125+118+120+120+120+120+120+120+105+110+112</w:t>
            </w:r>
          </w:p>
        </w:tc>
        <w:tc>
          <w:tcPr>
            <w:tcW w:w="1254" w:type="dxa"/>
            <w:noWrap w:val="0"/>
            <w:vAlign w:val="center"/>
          </w:tcPr>
          <w:p w14:paraId="24C024FC">
            <w:pPr>
              <w:pStyle w:val="143"/>
              <w:adjustRightInd w:val="0"/>
              <w:snapToGrid w:val="0"/>
              <w:jc w:val="center"/>
              <w:rPr>
                <w:rFonts w:hint="eastAsia"/>
                <w:bCs/>
                <w:color w:val="000000"/>
                <w:sz w:val="21"/>
                <w:szCs w:val="21"/>
                <w:lang w:eastAsia="zh-CN"/>
              </w:rPr>
            </w:pPr>
            <w:r>
              <w:rPr>
                <w:rFonts w:hint="eastAsia" w:ascii="Times New Roman" w:hAnsi="Times New Roman"/>
                <w:color w:val="000000"/>
                <w:lang w:eastAsia="zh-CN"/>
              </w:rPr>
              <w:t>2641</w:t>
            </w:r>
          </w:p>
        </w:tc>
        <w:tc>
          <w:tcPr>
            <w:tcW w:w="1197" w:type="dxa"/>
            <w:noWrap w:val="0"/>
            <w:vAlign w:val="center"/>
          </w:tcPr>
          <w:p w14:paraId="72BBEA49">
            <w:pPr>
              <w:pStyle w:val="143"/>
              <w:adjustRightInd w:val="0"/>
              <w:snapToGrid w:val="0"/>
              <w:jc w:val="center"/>
              <w:rPr>
                <w:rFonts w:ascii="Times New Roman" w:hAnsi="Times New Roman"/>
                <w:color w:val="000000"/>
                <w:sz w:val="21"/>
                <w:szCs w:val="21"/>
                <w:lang w:eastAsia="zh-CN"/>
              </w:rPr>
            </w:pPr>
            <w:r>
              <w:rPr>
                <w:rFonts w:hint="eastAsia" w:ascii="Times New Roman" w:hAnsi="Times New Roman"/>
                <w:color w:val="000000"/>
                <w:lang w:eastAsia="zh-CN"/>
              </w:rPr>
              <w:t xml:space="preserve">519 </w:t>
            </w:r>
          </w:p>
        </w:tc>
      </w:tr>
      <w:tr w14:paraId="0F644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8" w:type="dxa"/>
            <w:noWrap w:val="0"/>
            <w:vAlign w:val="center"/>
          </w:tcPr>
          <w:p w14:paraId="4F3954E8">
            <w:pPr>
              <w:pStyle w:val="143"/>
              <w:adjustRightInd w:val="0"/>
              <w:snapToGrid w:val="0"/>
              <w:jc w:val="center"/>
              <w:rPr>
                <w:rFonts w:hint="eastAsia"/>
                <w:color w:val="000000"/>
                <w:sz w:val="21"/>
                <w:szCs w:val="21"/>
                <w:lang w:eastAsia="zh-CN"/>
              </w:rPr>
            </w:pPr>
            <w:r>
              <w:rPr>
                <w:rFonts w:ascii="Times New Roman" w:hAnsi="Times New Roman"/>
                <w:color w:val="000000"/>
                <w:lang w:eastAsia="zh-CN"/>
              </w:rPr>
              <w:t>600</w:t>
            </w:r>
          </w:p>
        </w:tc>
        <w:tc>
          <w:tcPr>
            <w:tcW w:w="4905" w:type="dxa"/>
            <w:noWrap w:val="0"/>
            <w:vAlign w:val="center"/>
          </w:tcPr>
          <w:p w14:paraId="1D14CC69">
            <w:pPr>
              <w:pStyle w:val="143"/>
              <w:adjustRightInd w:val="0"/>
              <w:snapToGrid w:val="0"/>
              <w:jc w:val="center"/>
              <w:rPr>
                <w:rFonts w:hint="default"/>
                <w:color w:val="000000"/>
                <w:sz w:val="21"/>
                <w:szCs w:val="21"/>
                <w:lang w:val="en-US" w:eastAsia="zh-CN"/>
              </w:rPr>
            </w:pPr>
            <w:r>
              <w:rPr>
                <w:rFonts w:ascii="Times New Roman" w:hAnsi="Times New Roman"/>
                <w:color w:val="000000"/>
                <w:lang w:eastAsia="zh-CN"/>
              </w:rPr>
              <w:t>40+8+60+57+93+92+90+20</w:t>
            </w:r>
            <w:r>
              <w:rPr>
                <w:rFonts w:hint="eastAsia" w:ascii="Times New Roman" w:hAnsi="Times New Roman"/>
                <w:color w:val="000000"/>
                <w:lang w:val="en-US" w:eastAsia="zh-CN"/>
              </w:rPr>
              <w:t>+74</w:t>
            </w:r>
          </w:p>
        </w:tc>
        <w:tc>
          <w:tcPr>
            <w:tcW w:w="1254" w:type="dxa"/>
            <w:noWrap w:val="0"/>
            <w:vAlign w:val="center"/>
          </w:tcPr>
          <w:p w14:paraId="36964F19">
            <w:pPr>
              <w:pStyle w:val="143"/>
              <w:adjustRightInd w:val="0"/>
              <w:snapToGrid w:val="0"/>
              <w:jc w:val="center"/>
              <w:rPr>
                <w:rFonts w:hint="default"/>
                <w:bCs/>
                <w:color w:val="000000"/>
                <w:sz w:val="21"/>
                <w:szCs w:val="21"/>
                <w:lang w:val="en-US" w:eastAsia="zh-CN"/>
              </w:rPr>
            </w:pPr>
            <w:r>
              <w:rPr>
                <w:rFonts w:hint="eastAsia" w:ascii="Times New Roman" w:hAnsi="Times New Roman"/>
                <w:color w:val="000000"/>
                <w:lang w:val="en-US" w:eastAsia="zh-CN"/>
              </w:rPr>
              <w:t>534</w:t>
            </w:r>
          </w:p>
        </w:tc>
        <w:tc>
          <w:tcPr>
            <w:tcW w:w="1197" w:type="dxa"/>
            <w:noWrap w:val="0"/>
            <w:vAlign w:val="center"/>
          </w:tcPr>
          <w:p w14:paraId="3CFD9F51">
            <w:pPr>
              <w:pStyle w:val="143"/>
              <w:adjustRightInd w:val="0"/>
              <w:snapToGrid w:val="0"/>
              <w:jc w:val="center"/>
              <w:rPr>
                <w:rFonts w:hint="default" w:ascii="Times New Roman" w:hAnsi="Times New Roman"/>
                <w:color w:val="000000"/>
                <w:sz w:val="21"/>
                <w:szCs w:val="21"/>
                <w:lang w:val="en-US" w:eastAsia="zh-CN"/>
              </w:rPr>
            </w:pPr>
            <w:r>
              <w:rPr>
                <w:rFonts w:hint="eastAsia" w:ascii="Times New Roman" w:hAnsi="Times New Roman"/>
                <w:color w:val="000000"/>
                <w:lang w:val="en-US" w:eastAsia="zh-CN"/>
              </w:rPr>
              <w:t>151</w:t>
            </w:r>
          </w:p>
        </w:tc>
      </w:tr>
      <w:tr w14:paraId="672C12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8" w:type="dxa"/>
            <w:noWrap w:val="0"/>
            <w:vAlign w:val="center"/>
          </w:tcPr>
          <w:p w14:paraId="1F154BA5">
            <w:pPr>
              <w:pStyle w:val="143"/>
              <w:adjustRightInd w:val="0"/>
              <w:snapToGrid w:val="0"/>
              <w:jc w:val="center"/>
              <w:rPr>
                <w:rFonts w:hint="eastAsia"/>
                <w:color w:val="000000"/>
                <w:sz w:val="21"/>
                <w:szCs w:val="21"/>
                <w:lang w:eastAsia="zh-CN"/>
              </w:rPr>
            </w:pPr>
            <w:r>
              <w:rPr>
                <w:rFonts w:ascii="Times New Roman" w:hAnsi="Times New Roman"/>
                <w:color w:val="000000"/>
                <w:lang w:eastAsia="zh-CN"/>
              </w:rPr>
              <w:t>800</w:t>
            </w:r>
          </w:p>
        </w:tc>
        <w:tc>
          <w:tcPr>
            <w:tcW w:w="4905" w:type="dxa"/>
            <w:noWrap w:val="0"/>
            <w:vAlign w:val="center"/>
          </w:tcPr>
          <w:p w14:paraId="4888BBAB">
            <w:pPr>
              <w:pStyle w:val="143"/>
              <w:adjustRightInd w:val="0"/>
              <w:snapToGrid w:val="0"/>
              <w:jc w:val="center"/>
              <w:rPr>
                <w:rFonts w:hint="eastAsia"/>
                <w:color w:val="000000"/>
                <w:sz w:val="21"/>
                <w:szCs w:val="21"/>
                <w:lang w:eastAsia="zh-CN"/>
              </w:rPr>
            </w:pPr>
            <w:r>
              <w:rPr>
                <w:rFonts w:ascii="Times New Roman" w:hAnsi="Times New Roman"/>
                <w:color w:val="000000"/>
                <w:lang w:eastAsia="zh-CN"/>
              </w:rPr>
              <w:t>40+8</w:t>
            </w:r>
          </w:p>
        </w:tc>
        <w:tc>
          <w:tcPr>
            <w:tcW w:w="1254" w:type="dxa"/>
            <w:noWrap w:val="0"/>
            <w:vAlign w:val="center"/>
          </w:tcPr>
          <w:p w14:paraId="7DF13E27">
            <w:pPr>
              <w:pStyle w:val="143"/>
              <w:adjustRightInd w:val="0"/>
              <w:snapToGrid w:val="0"/>
              <w:jc w:val="center"/>
              <w:rPr>
                <w:rFonts w:hint="eastAsia"/>
                <w:bCs/>
                <w:color w:val="000000"/>
                <w:sz w:val="21"/>
                <w:szCs w:val="21"/>
                <w:lang w:eastAsia="zh-CN"/>
              </w:rPr>
            </w:pPr>
            <w:r>
              <w:rPr>
                <w:rFonts w:hint="eastAsia" w:ascii="Times New Roman" w:hAnsi="Times New Roman"/>
                <w:color w:val="000000"/>
                <w:lang w:eastAsia="zh-CN"/>
              </w:rPr>
              <w:t>48</w:t>
            </w:r>
          </w:p>
        </w:tc>
        <w:tc>
          <w:tcPr>
            <w:tcW w:w="1197" w:type="dxa"/>
            <w:noWrap w:val="0"/>
            <w:vAlign w:val="center"/>
          </w:tcPr>
          <w:p w14:paraId="70201A21">
            <w:pPr>
              <w:pStyle w:val="143"/>
              <w:adjustRightInd w:val="0"/>
              <w:snapToGrid w:val="0"/>
              <w:jc w:val="center"/>
              <w:rPr>
                <w:rFonts w:ascii="Times New Roman" w:hAnsi="Times New Roman"/>
                <w:color w:val="000000"/>
                <w:sz w:val="21"/>
                <w:szCs w:val="21"/>
                <w:lang w:eastAsia="zh-CN"/>
              </w:rPr>
            </w:pPr>
            <w:r>
              <w:rPr>
                <w:rFonts w:hint="eastAsia" w:ascii="Times New Roman" w:hAnsi="Times New Roman"/>
                <w:color w:val="000000"/>
                <w:lang w:eastAsia="zh-CN"/>
              </w:rPr>
              <w:t xml:space="preserve">24 </w:t>
            </w:r>
          </w:p>
        </w:tc>
      </w:tr>
      <w:tr w14:paraId="6B006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8" w:type="dxa"/>
            <w:noWrap w:val="0"/>
            <w:vAlign w:val="center"/>
          </w:tcPr>
          <w:p w14:paraId="3B469477">
            <w:pPr>
              <w:pStyle w:val="143"/>
              <w:adjustRightInd w:val="0"/>
              <w:snapToGrid w:val="0"/>
              <w:jc w:val="center"/>
              <w:rPr>
                <w:rFonts w:hint="eastAsia"/>
                <w:color w:val="000000"/>
                <w:sz w:val="21"/>
                <w:szCs w:val="21"/>
                <w:lang w:eastAsia="zh-CN"/>
              </w:rPr>
            </w:pPr>
            <w:r>
              <w:rPr>
                <w:rFonts w:ascii="Times New Roman" w:hAnsi="Times New Roman"/>
                <w:color w:val="000000"/>
                <w:lang w:eastAsia="zh-CN"/>
              </w:rPr>
              <w:t>1000</w:t>
            </w:r>
          </w:p>
        </w:tc>
        <w:tc>
          <w:tcPr>
            <w:tcW w:w="4905" w:type="dxa"/>
            <w:noWrap w:val="0"/>
            <w:vAlign w:val="center"/>
          </w:tcPr>
          <w:p w14:paraId="2D65D936">
            <w:pPr>
              <w:pStyle w:val="143"/>
              <w:adjustRightInd w:val="0"/>
              <w:snapToGrid w:val="0"/>
              <w:jc w:val="center"/>
              <w:rPr>
                <w:rFonts w:hint="eastAsia"/>
                <w:color w:val="000000"/>
                <w:sz w:val="21"/>
                <w:szCs w:val="21"/>
                <w:lang w:eastAsia="zh-CN"/>
              </w:rPr>
            </w:pPr>
            <w:r>
              <w:rPr>
                <w:rFonts w:ascii="Times New Roman" w:hAnsi="Times New Roman"/>
                <w:color w:val="000000"/>
                <w:lang w:eastAsia="zh-CN"/>
              </w:rPr>
              <w:t>40+8+40+40+7</w:t>
            </w:r>
          </w:p>
        </w:tc>
        <w:tc>
          <w:tcPr>
            <w:tcW w:w="1254" w:type="dxa"/>
            <w:noWrap w:val="0"/>
            <w:vAlign w:val="center"/>
          </w:tcPr>
          <w:p w14:paraId="2B00CB48">
            <w:pPr>
              <w:pStyle w:val="143"/>
              <w:adjustRightInd w:val="0"/>
              <w:snapToGrid w:val="0"/>
              <w:jc w:val="center"/>
              <w:rPr>
                <w:rFonts w:hint="eastAsia"/>
                <w:bCs/>
                <w:color w:val="000000"/>
                <w:sz w:val="21"/>
                <w:szCs w:val="21"/>
                <w:lang w:eastAsia="zh-CN"/>
              </w:rPr>
            </w:pPr>
            <w:r>
              <w:rPr>
                <w:rFonts w:hint="eastAsia" w:ascii="Times New Roman" w:hAnsi="Times New Roman"/>
                <w:color w:val="000000"/>
                <w:lang w:eastAsia="zh-CN"/>
              </w:rPr>
              <w:t>135</w:t>
            </w:r>
          </w:p>
        </w:tc>
        <w:tc>
          <w:tcPr>
            <w:tcW w:w="1197" w:type="dxa"/>
            <w:noWrap w:val="0"/>
            <w:vAlign w:val="center"/>
          </w:tcPr>
          <w:p w14:paraId="255EEE01">
            <w:pPr>
              <w:pStyle w:val="143"/>
              <w:adjustRightInd w:val="0"/>
              <w:snapToGrid w:val="0"/>
              <w:jc w:val="center"/>
              <w:rPr>
                <w:rFonts w:ascii="Times New Roman" w:hAnsi="Times New Roman"/>
                <w:color w:val="000000"/>
                <w:sz w:val="21"/>
                <w:szCs w:val="21"/>
                <w:lang w:eastAsia="zh-CN"/>
              </w:rPr>
            </w:pPr>
            <w:r>
              <w:rPr>
                <w:rFonts w:hint="eastAsia" w:ascii="Times New Roman" w:hAnsi="Times New Roman"/>
                <w:color w:val="000000"/>
                <w:lang w:eastAsia="zh-CN"/>
              </w:rPr>
              <w:t xml:space="preserve">106 </w:t>
            </w:r>
          </w:p>
        </w:tc>
      </w:tr>
      <w:tr w14:paraId="5B8DB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07" w:type="dxa"/>
            <w:gridSpan w:val="3"/>
            <w:noWrap w:val="0"/>
            <w:vAlign w:val="center"/>
          </w:tcPr>
          <w:p w14:paraId="07B1F516">
            <w:pPr>
              <w:jc w:val="center"/>
              <w:rPr>
                <w:rFonts w:hint="eastAsia"/>
                <w:color w:val="000000"/>
                <w:kern w:val="0"/>
                <w:sz w:val="21"/>
                <w:szCs w:val="21"/>
              </w:rPr>
            </w:pPr>
            <w:r>
              <w:rPr>
                <w:rFonts w:hint="eastAsia"/>
                <w:color w:val="000000"/>
                <w:kern w:val="0"/>
                <w:sz w:val="21"/>
                <w:szCs w:val="21"/>
              </w:rPr>
              <w:t>合计</w:t>
            </w:r>
          </w:p>
        </w:tc>
        <w:tc>
          <w:tcPr>
            <w:tcW w:w="1197" w:type="dxa"/>
            <w:noWrap w:val="0"/>
            <w:vAlign w:val="center"/>
          </w:tcPr>
          <w:p w14:paraId="163D748C">
            <w:pPr>
              <w:jc w:val="center"/>
              <w:rPr>
                <w:rFonts w:hint="default" w:eastAsia="宋体"/>
                <w:color w:val="000000"/>
                <w:kern w:val="0"/>
                <w:sz w:val="21"/>
                <w:szCs w:val="21"/>
                <w:lang w:val="en-US" w:eastAsia="zh-CN"/>
              </w:rPr>
            </w:pPr>
            <w:r>
              <w:rPr>
                <w:rFonts w:hint="eastAsia"/>
                <w:color w:val="000000"/>
                <w:kern w:val="0"/>
                <w:sz w:val="21"/>
                <w:szCs w:val="21"/>
                <w:lang w:val="en-US" w:eastAsia="zh-CN"/>
              </w:rPr>
              <w:t>878</w:t>
            </w:r>
          </w:p>
        </w:tc>
      </w:tr>
    </w:tbl>
    <w:p w14:paraId="6B11AE9C">
      <w:pPr>
        <w:snapToGrid w:val="0"/>
        <w:spacing w:before="0" w:beforeLines="-2147483648" w:line="500" w:lineRule="exact"/>
        <w:ind w:firstLine="480" w:firstLineChars="200"/>
        <w:rPr>
          <w:rFonts w:ascii="Times New Roman" w:hAnsi="Times New Roman" w:eastAsia="宋体" w:cs="Times New Roman"/>
          <w:highlight w:val="none"/>
        </w:rPr>
      </w:pPr>
      <w:r>
        <w:rPr>
          <w:rFonts w:hint="default" w:ascii="Times New Roman" w:hAnsi="Times New Roman" w:eastAsia="宋体" w:cs="Times New Roman"/>
          <w:kern w:val="2"/>
          <w:szCs w:val="24"/>
          <w:highlight w:val="none"/>
        </w:rPr>
        <w:t>计算得出</w:t>
      </w:r>
      <w:r>
        <w:rPr>
          <w:rFonts w:ascii="Times New Roman" w:hAnsi="Times New Roman" w:eastAsia="宋体" w:cs="Times New Roman"/>
          <w:kern w:val="2"/>
          <w:szCs w:val="24"/>
          <w:highlight w:val="none"/>
        </w:rPr>
        <w:t>V</w:t>
      </w:r>
      <w:r>
        <w:rPr>
          <w:rFonts w:ascii="Times New Roman" w:hAnsi="Times New Roman" w:eastAsia="宋体" w:cs="Times New Roman"/>
          <w:kern w:val="2"/>
          <w:szCs w:val="24"/>
          <w:highlight w:val="none"/>
          <w:vertAlign w:val="baseline"/>
        </w:rPr>
        <w:t>3</w:t>
      </w:r>
      <w:r>
        <w:rPr>
          <w:rFonts w:ascii="Times New Roman" w:hAnsi="Times New Roman" w:eastAsia="宋体" w:cs="Times New Roman"/>
          <w:kern w:val="2"/>
          <w:szCs w:val="24"/>
          <w:highlight w:val="none"/>
        </w:rPr>
        <w:t>为</w:t>
      </w:r>
      <w:r>
        <w:rPr>
          <w:rFonts w:hint="default" w:ascii="Times New Roman" w:hAnsi="Times New Roman" w:eastAsia="宋体" w:cs="Times New Roman"/>
          <w:kern w:val="2"/>
          <w:szCs w:val="24"/>
          <w:highlight w:val="none"/>
        </w:rPr>
        <w:t>1641</w:t>
      </w:r>
      <w:r>
        <w:rPr>
          <w:rFonts w:ascii="Times New Roman" w:hAnsi="Times New Roman" w:eastAsia="宋体" w:cs="Times New Roman"/>
          <w:kern w:val="2"/>
          <w:szCs w:val="24"/>
          <w:highlight w:val="none"/>
        </w:rPr>
        <w:t>m</w:t>
      </w:r>
      <w:r>
        <w:rPr>
          <w:rFonts w:ascii="Times New Roman" w:hAnsi="Times New Roman" w:eastAsia="宋体" w:cs="Times New Roman"/>
          <w:kern w:val="2"/>
          <w:szCs w:val="24"/>
          <w:highlight w:val="none"/>
          <w:vertAlign w:val="baseline"/>
        </w:rPr>
        <w:t>3</w:t>
      </w:r>
      <w:r>
        <w:rPr>
          <w:rFonts w:ascii="Times New Roman" w:hAnsi="Times New Roman" w:eastAsia="宋体" w:cs="Times New Roman"/>
          <w:kern w:val="2"/>
          <w:szCs w:val="24"/>
          <w:highlight w:val="none"/>
        </w:rPr>
        <w:t>。</w:t>
      </w:r>
    </w:p>
    <w:p w14:paraId="75301918">
      <w:pPr>
        <w:snapToGrid w:val="0"/>
        <w:spacing w:line="500" w:lineRule="exact"/>
        <w:ind w:firstLine="480" w:firstLineChars="200"/>
        <w:rPr>
          <w:rFonts w:ascii="Times New Roman" w:hAnsi="Times New Roman" w:eastAsia="宋体" w:cs="Times New Roman"/>
          <w:highlight w:val="none"/>
        </w:rPr>
      </w:pPr>
      <w:r>
        <w:rPr>
          <w:rFonts w:hint="default" w:ascii="Times New Roman" w:hAnsi="Times New Roman" w:eastAsia="宋体" w:cs="Times New Roman"/>
          <w:highlight w:val="none"/>
          <w:lang w:val="en-US" w:eastAsia="zh-CN"/>
        </w:rPr>
        <w:t>D、</w:t>
      </w:r>
      <w:r>
        <w:rPr>
          <w:rFonts w:ascii="Times New Roman" w:hAnsi="Times New Roman" w:eastAsia="宋体" w:cs="Times New Roman"/>
          <w:highlight w:val="none"/>
        </w:rPr>
        <w:t>发生事故时仍必须进入该收集系统的生产废水量（V</w:t>
      </w:r>
      <w:r>
        <w:rPr>
          <w:rFonts w:ascii="Times New Roman" w:hAnsi="Times New Roman" w:eastAsia="宋体" w:cs="Times New Roman"/>
          <w:highlight w:val="none"/>
          <w:vertAlign w:val="baseline"/>
        </w:rPr>
        <w:t>4</w:t>
      </w:r>
      <w:r>
        <w:rPr>
          <w:rFonts w:ascii="Times New Roman" w:hAnsi="Times New Roman" w:eastAsia="宋体" w:cs="Times New Roman"/>
          <w:highlight w:val="none"/>
        </w:rPr>
        <w:t>）：V</w:t>
      </w:r>
      <w:r>
        <w:rPr>
          <w:rFonts w:hint="default" w:ascii="Times New Roman" w:hAnsi="Times New Roman" w:eastAsia="宋体" w:cs="Times New Roman"/>
          <w:highlight w:val="none"/>
          <w:vertAlign w:val="baseline"/>
        </w:rPr>
        <w:t>4</w:t>
      </w:r>
      <w:r>
        <w:rPr>
          <w:rFonts w:ascii="Times New Roman" w:hAnsi="Times New Roman" w:eastAsia="宋体" w:cs="Times New Roman"/>
          <w:highlight w:val="none"/>
        </w:rPr>
        <w:t>为0m</w:t>
      </w:r>
      <w:r>
        <w:rPr>
          <w:rFonts w:ascii="Times New Roman" w:hAnsi="Times New Roman" w:eastAsia="宋体" w:cs="Times New Roman"/>
          <w:highlight w:val="none"/>
          <w:vertAlign w:val="baseline"/>
        </w:rPr>
        <w:t>3</w:t>
      </w:r>
      <w:r>
        <w:rPr>
          <w:rFonts w:ascii="Times New Roman" w:hAnsi="Times New Roman" w:eastAsia="宋体" w:cs="Times New Roman"/>
          <w:highlight w:val="none"/>
        </w:rPr>
        <w:t>。</w:t>
      </w:r>
    </w:p>
    <w:p w14:paraId="45EC9EDA">
      <w:pPr>
        <w:snapToGrid w:val="0"/>
        <w:spacing w:line="500" w:lineRule="exact"/>
        <w:ind w:firstLine="480" w:firstLineChars="200"/>
        <w:rPr>
          <w:rFonts w:ascii="Times New Roman" w:hAnsi="Times New Roman" w:eastAsia="宋体" w:cs="Times New Roman"/>
          <w:highlight w:val="none"/>
        </w:rPr>
      </w:pPr>
      <w:r>
        <w:rPr>
          <w:rFonts w:hint="default" w:ascii="Times New Roman" w:hAnsi="Times New Roman" w:eastAsia="宋体" w:cs="Times New Roman"/>
          <w:highlight w:val="none"/>
          <w:lang w:val="en-US" w:eastAsia="zh-CN"/>
        </w:rPr>
        <w:t>E、</w:t>
      </w:r>
      <w:r>
        <w:rPr>
          <w:rFonts w:ascii="Times New Roman" w:hAnsi="Times New Roman" w:eastAsia="宋体" w:cs="Times New Roman"/>
          <w:highlight w:val="none"/>
        </w:rPr>
        <w:t>发生事故时可能进入该收集系统的降雨量（V</w:t>
      </w:r>
      <w:r>
        <w:rPr>
          <w:rFonts w:ascii="Times New Roman" w:hAnsi="Times New Roman" w:eastAsia="宋体" w:cs="Times New Roman"/>
          <w:highlight w:val="none"/>
          <w:vertAlign w:val="baseline"/>
        </w:rPr>
        <w:t>5</w:t>
      </w:r>
      <w:r>
        <w:rPr>
          <w:rFonts w:ascii="Times New Roman" w:hAnsi="Times New Roman" w:eastAsia="宋体" w:cs="Times New Roman"/>
          <w:highlight w:val="none"/>
        </w:rPr>
        <w:t>）：</w:t>
      </w:r>
    </w:p>
    <w:p w14:paraId="1A6A00A5">
      <w:pPr>
        <w:snapToGrid w:val="0"/>
        <w:spacing w:line="500" w:lineRule="exact"/>
        <w:ind w:firstLine="480" w:firstLineChars="200"/>
        <w:jc w:val="center"/>
        <w:rPr>
          <w:rFonts w:ascii="Times New Roman" w:hAnsi="Times New Roman" w:eastAsia="宋体" w:cs="Times New Roman"/>
          <w:highlight w:val="none"/>
        </w:rPr>
      </w:pPr>
      <w:r>
        <w:rPr>
          <w:rFonts w:ascii="Times New Roman" w:hAnsi="Times New Roman" w:eastAsia="宋体" w:cs="Times New Roman"/>
          <w:kern w:val="2"/>
          <w:szCs w:val="24"/>
          <w:highlight w:val="none"/>
        </w:rPr>
        <w:t>V</w:t>
      </w:r>
      <w:r>
        <w:rPr>
          <w:rFonts w:ascii="Times New Roman" w:hAnsi="Times New Roman" w:eastAsia="宋体" w:cs="Times New Roman"/>
          <w:kern w:val="2"/>
          <w:szCs w:val="24"/>
          <w:highlight w:val="none"/>
          <w:vertAlign w:val="baseline"/>
        </w:rPr>
        <w:t>5</w:t>
      </w:r>
      <w:r>
        <w:rPr>
          <w:rFonts w:ascii="Times New Roman" w:hAnsi="Times New Roman" w:eastAsia="宋体" w:cs="Times New Roman"/>
          <w:kern w:val="2"/>
          <w:szCs w:val="24"/>
          <w:highlight w:val="none"/>
        </w:rPr>
        <w:t>= 10qF</w:t>
      </w:r>
    </w:p>
    <w:p w14:paraId="59786932">
      <w:pPr>
        <w:adjustRightInd/>
        <w:snapToGrid w:val="0"/>
        <w:spacing w:line="500" w:lineRule="exact"/>
        <w:ind w:firstLine="480" w:firstLineChars="200"/>
        <w:rPr>
          <w:rFonts w:ascii="Times New Roman" w:hAnsi="Times New Roman" w:eastAsia="宋体" w:cs="Times New Roman"/>
          <w:kern w:val="2"/>
          <w:szCs w:val="24"/>
          <w:highlight w:val="none"/>
        </w:rPr>
      </w:pPr>
      <w:r>
        <w:rPr>
          <w:rFonts w:ascii="Times New Roman" w:hAnsi="Times New Roman" w:eastAsia="宋体" w:cs="Times New Roman"/>
          <w:kern w:val="2"/>
          <w:szCs w:val="24"/>
          <w:highlight w:val="none"/>
        </w:rPr>
        <w:t>式中：q</w:t>
      </w:r>
      <w:r>
        <w:rPr>
          <w:rFonts w:hint="default" w:ascii="Times New Roman" w:hAnsi="Times New Roman" w:eastAsia="宋体" w:cs="Times New Roman"/>
          <w:kern w:val="2"/>
          <w:szCs w:val="24"/>
          <w:highlight w:val="none"/>
        </w:rPr>
        <w:t>—</w:t>
      </w:r>
      <w:r>
        <w:rPr>
          <w:rFonts w:ascii="Times New Roman" w:hAnsi="Times New Roman" w:eastAsia="宋体" w:cs="Times New Roman"/>
          <w:kern w:val="2"/>
          <w:szCs w:val="24"/>
          <w:highlight w:val="none"/>
        </w:rPr>
        <w:t>平均日降雨量；q=年平均降雨量/年平均降雨日数。海安年平均降雨量为10</w:t>
      </w:r>
      <w:r>
        <w:rPr>
          <w:rFonts w:hint="default" w:ascii="Times New Roman" w:hAnsi="Times New Roman" w:eastAsia="宋体" w:cs="Times New Roman"/>
          <w:kern w:val="2"/>
          <w:szCs w:val="24"/>
          <w:highlight w:val="none"/>
        </w:rPr>
        <w:t>01.59</w:t>
      </w:r>
      <w:r>
        <w:rPr>
          <w:rFonts w:ascii="Times New Roman" w:hAnsi="Times New Roman" w:eastAsia="宋体" w:cs="Times New Roman"/>
          <w:kern w:val="2"/>
          <w:szCs w:val="24"/>
          <w:highlight w:val="none"/>
        </w:rPr>
        <w:t>mm ，年平均降雨日数为122天，则q=8.</w:t>
      </w:r>
      <w:r>
        <w:rPr>
          <w:rFonts w:hint="default" w:ascii="Times New Roman" w:hAnsi="Times New Roman" w:eastAsia="宋体" w:cs="Times New Roman"/>
          <w:kern w:val="2"/>
          <w:szCs w:val="24"/>
          <w:highlight w:val="none"/>
        </w:rPr>
        <w:t>2</w:t>
      </w:r>
      <w:r>
        <w:rPr>
          <w:rFonts w:ascii="Times New Roman" w:hAnsi="Times New Roman" w:eastAsia="宋体" w:cs="Times New Roman"/>
          <w:kern w:val="2"/>
          <w:szCs w:val="24"/>
          <w:highlight w:val="none"/>
        </w:rPr>
        <w:t>mm。</w:t>
      </w:r>
    </w:p>
    <w:p w14:paraId="6477EEC9">
      <w:pPr>
        <w:adjustRightInd/>
        <w:snapToGrid w:val="0"/>
        <w:spacing w:line="500" w:lineRule="exact"/>
        <w:ind w:firstLine="480" w:firstLineChars="200"/>
        <w:rPr>
          <w:rFonts w:ascii="Times New Roman" w:hAnsi="Times New Roman" w:eastAsia="宋体" w:cs="Times New Roman"/>
          <w:kern w:val="2"/>
          <w:szCs w:val="24"/>
          <w:highlight w:val="none"/>
        </w:rPr>
      </w:pPr>
      <w:r>
        <w:rPr>
          <w:rFonts w:ascii="Times New Roman" w:hAnsi="Times New Roman" w:eastAsia="宋体" w:cs="Times New Roman"/>
          <w:kern w:val="2"/>
          <w:szCs w:val="24"/>
          <w:highlight w:val="none"/>
        </w:rPr>
        <w:t>F</w:t>
      </w:r>
      <w:r>
        <w:rPr>
          <w:rFonts w:hint="default" w:ascii="Times New Roman" w:hAnsi="Times New Roman" w:eastAsia="宋体" w:cs="Times New Roman"/>
          <w:kern w:val="2"/>
          <w:szCs w:val="24"/>
          <w:highlight w:val="none"/>
        </w:rPr>
        <w:t>—</w:t>
      </w:r>
      <w:r>
        <w:rPr>
          <w:rFonts w:ascii="Times New Roman" w:hAnsi="Times New Roman" w:eastAsia="宋体" w:cs="Times New Roman"/>
          <w:kern w:val="2"/>
          <w:szCs w:val="24"/>
          <w:highlight w:val="none"/>
        </w:rPr>
        <w:t xml:space="preserve">必须进入事故废水收集系统的雨水汇水面积，ha，园区占地 </w:t>
      </w:r>
      <w:r>
        <w:rPr>
          <w:rFonts w:hint="default" w:ascii="Times New Roman" w:hAnsi="Times New Roman" w:eastAsia="宋体" w:cs="Times New Roman"/>
          <w:spacing w:val="0"/>
          <w:szCs w:val="24"/>
          <w:highlight w:val="none"/>
        </w:rPr>
        <w:t>121353</w:t>
      </w:r>
      <w:r>
        <w:rPr>
          <w:rFonts w:ascii="Times New Roman" w:hAnsi="Times New Roman" w:eastAsia="宋体" w:cs="Times New Roman"/>
          <w:kern w:val="2"/>
          <w:szCs w:val="24"/>
          <w:highlight w:val="none"/>
        </w:rPr>
        <w:t>m</w:t>
      </w:r>
      <w:r>
        <w:rPr>
          <w:rFonts w:ascii="Times New Roman" w:hAnsi="Times New Roman" w:eastAsia="宋体" w:cs="Times New Roman"/>
          <w:kern w:val="2"/>
          <w:szCs w:val="24"/>
          <w:highlight w:val="none"/>
          <w:vertAlign w:val="baseline"/>
        </w:rPr>
        <w:t>2</w:t>
      </w:r>
      <w:r>
        <w:rPr>
          <w:rFonts w:ascii="Times New Roman" w:hAnsi="Times New Roman" w:eastAsia="宋体" w:cs="Times New Roman"/>
          <w:kern w:val="2"/>
          <w:szCs w:val="24"/>
          <w:highlight w:val="none"/>
        </w:rPr>
        <w:t>。</w:t>
      </w:r>
    </w:p>
    <w:p w14:paraId="5F069BC3">
      <w:pPr>
        <w:adjustRightInd/>
        <w:snapToGrid w:val="0"/>
        <w:spacing w:line="500" w:lineRule="exact"/>
        <w:ind w:firstLine="480" w:firstLineChars="200"/>
        <w:rPr>
          <w:rFonts w:ascii="Times New Roman" w:hAnsi="Times New Roman" w:eastAsia="宋体" w:cs="Times New Roman"/>
          <w:kern w:val="2"/>
          <w:szCs w:val="24"/>
          <w:highlight w:val="none"/>
        </w:rPr>
      </w:pPr>
      <w:r>
        <w:rPr>
          <w:rFonts w:ascii="Times New Roman" w:hAnsi="Times New Roman" w:eastAsia="宋体" w:cs="Times New Roman"/>
          <w:kern w:val="2"/>
          <w:szCs w:val="24"/>
          <w:highlight w:val="none"/>
        </w:rPr>
        <w:t>事故时需收集的雨水量约为</w:t>
      </w:r>
      <w:r>
        <w:rPr>
          <w:rFonts w:ascii="Times New Roman" w:hAnsi="Times New Roman" w:eastAsia="宋体" w:cs="Times New Roman"/>
          <w:spacing w:val="0"/>
          <w:szCs w:val="24"/>
          <w:highlight w:val="none"/>
        </w:rPr>
        <w:t>V</w:t>
      </w:r>
      <w:r>
        <w:rPr>
          <w:rFonts w:ascii="Times New Roman" w:hAnsi="Times New Roman" w:eastAsia="宋体" w:cs="Times New Roman"/>
          <w:spacing w:val="0"/>
          <w:szCs w:val="24"/>
          <w:highlight w:val="none"/>
          <w:vertAlign w:val="baseline"/>
        </w:rPr>
        <w:t>5</w:t>
      </w:r>
      <w:r>
        <w:rPr>
          <w:rFonts w:ascii="Times New Roman" w:hAnsi="Times New Roman" w:eastAsia="宋体" w:cs="Times New Roman"/>
          <w:spacing w:val="0"/>
          <w:szCs w:val="24"/>
          <w:highlight w:val="none"/>
        </w:rPr>
        <w:t>=10*8.</w:t>
      </w:r>
      <w:r>
        <w:rPr>
          <w:rFonts w:hint="default" w:ascii="Times New Roman" w:hAnsi="Times New Roman" w:eastAsia="宋体" w:cs="Times New Roman"/>
          <w:spacing w:val="0"/>
          <w:szCs w:val="24"/>
          <w:highlight w:val="none"/>
        </w:rPr>
        <w:t>2</w:t>
      </w:r>
      <w:r>
        <w:rPr>
          <w:rFonts w:ascii="Times New Roman" w:hAnsi="Times New Roman" w:eastAsia="宋体" w:cs="Times New Roman"/>
          <w:spacing w:val="0"/>
          <w:szCs w:val="24"/>
          <w:highlight w:val="none"/>
        </w:rPr>
        <w:t>*</w:t>
      </w:r>
      <w:r>
        <w:rPr>
          <w:rFonts w:hint="default" w:ascii="Times New Roman" w:hAnsi="Times New Roman" w:eastAsia="宋体" w:cs="Times New Roman"/>
          <w:spacing w:val="0"/>
          <w:szCs w:val="24"/>
          <w:highlight w:val="none"/>
        </w:rPr>
        <w:t>12.1353</w:t>
      </w:r>
      <w:r>
        <w:rPr>
          <w:rFonts w:ascii="Times New Roman" w:hAnsi="Times New Roman" w:eastAsia="宋体" w:cs="Times New Roman"/>
          <w:spacing w:val="0"/>
          <w:szCs w:val="24"/>
          <w:highlight w:val="none"/>
        </w:rPr>
        <w:t>≈</w:t>
      </w:r>
      <w:r>
        <w:rPr>
          <w:rFonts w:hint="default" w:ascii="Times New Roman" w:hAnsi="Times New Roman" w:eastAsia="宋体" w:cs="Times New Roman"/>
          <w:spacing w:val="0"/>
          <w:szCs w:val="24"/>
          <w:highlight w:val="none"/>
        </w:rPr>
        <w:t>995</w:t>
      </w:r>
      <w:r>
        <w:rPr>
          <w:rFonts w:ascii="Times New Roman" w:hAnsi="Times New Roman" w:eastAsia="宋体" w:cs="Times New Roman"/>
          <w:spacing w:val="0"/>
          <w:szCs w:val="24"/>
          <w:highlight w:val="none"/>
        </w:rPr>
        <w:t>m</w:t>
      </w:r>
      <w:r>
        <w:rPr>
          <w:rFonts w:ascii="Times New Roman" w:hAnsi="Times New Roman" w:eastAsia="宋体" w:cs="Times New Roman"/>
          <w:spacing w:val="0"/>
          <w:szCs w:val="24"/>
          <w:highlight w:val="none"/>
          <w:vertAlign w:val="baseline"/>
        </w:rPr>
        <w:t>3</w:t>
      </w:r>
      <w:r>
        <w:rPr>
          <w:rFonts w:ascii="Times New Roman" w:hAnsi="Times New Roman" w:eastAsia="宋体" w:cs="Times New Roman"/>
          <w:kern w:val="2"/>
          <w:szCs w:val="24"/>
          <w:highlight w:val="none"/>
        </w:rPr>
        <w:t>。</w:t>
      </w:r>
    </w:p>
    <w:p w14:paraId="62052F35">
      <w:pPr>
        <w:snapToGrid w:val="0"/>
        <w:spacing w:line="500" w:lineRule="exact"/>
        <w:ind w:firstLine="480" w:firstLineChars="200"/>
        <w:rPr>
          <w:rFonts w:ascii="Times New Roman" w:hAnsi="Times New Roman" w:eastAsia="宋体" w:cs="Times New Roman"/>
          <w:highlight w:val="none"/>
        </w:rPr>
      </w:pPr>
      <w:r>
        <w:rPr>
          <w:rFonts w:ascii="Times New Roman" w:hAnsi="Times New Roman" w:eastAsia="宋体" w:cs="Times New Roman"/>
          <w:spacing w:val="0"/>
          <w:szCs w:val="24"/>
          <w:highlight w:val="none"/>
        </w:rPr>
        <w:t>V</w:t>
      </w:r>
      <w:r>
        <w:rPr>
          <w:rFonts w:ascii="Times New Roman" w:hAnsi="Times New Roman" w:eastAsia="宋体" w:cs="Times New Roman"/>
          <w:spacing w:val="0"/>
          <w:szCs w:val="24"/>
          <w:highlight w:val="none"/>
          <w:vertAlign w:val="baseline"/>
        </w:rPr>
        <w:t>总</w:t>
      </w:r>
      <w:r>
        <w:rPr>
          <w:rFonts w:ascii="Times New Roman" w:hAnsi="Times New Roman" w:eastAsia="宋体" w:cs="Times New Roman"/>
          <w:spacing w:val="0"/>
          <w:szCs w:val="24"/>
          <w:highlight w:val="none"/>
        </w:rPr>
        <w:t>=（V</w:t>
      </w:r>
      <w:r>
        <w:rPr>
          <w:rFonts w:ascii="Times New Roman" w:hAnsi="Times New Roman" w:eastAsia="宋体" w:cs="Times New Roman"/>
          <w:spacing w:val="0"/>
          <w:szCs w:val="24"/>
          <w:highlight w:val="none"/>
          <w:vertAlign w:val="baseline"/>
        </w:rPr>
        <w:t>1</w:t>
      </w:r>
      <w:r>
        <w:rPr>
          <w:rFonts w:ascii="Times New Roman" w:hAnsi="Times New Roman" w:eastAsia="宋体" w:cs="Times New Roman"/>
          <w:spacing w:val="0"/>
          <w:szCs w:val="24"/>
          <w:highlight w:val="none"/>
        </w:rPr>
        <w:t>+V</w:t>
      </w:r>
      <w:r>
        <w:rPr>
          <w:rFonts w:ascii="Times New Roman" w:hAnsi="Times New Roman" w:eastAsia="宋体" w:cs="Times New Roman"/>
          <w:spacing w:val="0"/>
          <w:szCs w:val="24"/>
          <w:highlight w:val="none"/>
          <w:vertAlign w:val="baseline"/>
        </w:rPr>
        <w:t>2</w:t>
      </w:r>
      <w:r>
        <w:rPr>
          <w:rFonts w:ascii="Times New Roman" w:hAnsi="Times New Roman" w:eastAsia="宋体" w:cs="Times New Roman"/>
          <w:spacing w:val="0"/>
          <w:szCs w:val="24"/>
          <w:highlight w:val="none"/>
        </w:rPr>
        <w:t>-V</w:t>
      </w:r>
      <w:r>
        <w:rPr>
          <w:rFonts w:ascii="Times New Roman" w:hAnsi="Times New Roman" w:eastAsia="宋体" w:cs="Times New Roman"/>
          <w:spacing w:val="0"/>
          <w:szCs w:val="24"/>
          <w:highlight w:val="none"/>
          <w:vertAlign w:val="baseline"/>
        </w:rPr>
        <w:t>3</w:t>
      </w:r>
      <w:r>
        <w:rPr>
          <w:rFonts w:ascii="Times New Roman" w:hAnsi="Times New Roman" w:eastAsia="宋体" w:cs="Times New Roman"/>
          <w:spacing w:val="0"/>
          <w:szCs w:val="24"/>
          <w:highlight w:val="none"/>
        </w:rPr>
        <w:t>）</w:t>
      </w:r>
      <w:r>
        <w:rPr>
          <w:rFonts w:ascii="Times New Roman" w:hAnsi="Times New Roman" w:eastAsia="宋体" w:cs="Times New Roman"/>
          <w:spacing w:val="0"/>
          <w:szCs w:val="24"/>
          <w:highlight w:val="none"/>
          <w:vertAlign w:val="baseline"/>
        </w:rPr>
        <w:t>max</w:t>
      </w:r>
      <w:r>
        <w:rPr>
          <w:rFonts w:ascii="Times New Roman" w:hAnsi="Times New Roman" w:eastAsia="宋体" w:cs="Times New Roman"/>
          <w:spacing w:val="0"/>
          <w:szCs w:val="24"/>
          <w:highlight w:val="none"/>
        </w:rPr>
        <w:t>+V</w:t>
      </w:r>
      <w:r>
        <w:rPr>
          <w:rFonts w:ascii="Times New Roman" w:hAnsi="Times New Roman" w:eastAsia="宋体" w:cs="Times New Roman"/>
          <w:spacing w:val="0"/>
          <w:szCs w:val="24"/>
          <w:highlight w:val="none"/>
          <w:vertAlign w:val="baseline"/>
        </w:rPr>
        <w:t>4</w:t>
      </w:r>
      <w:r>
        <w:rPr>
          <w:rFonts w:ascii="Times New Roman" w:hAnsi="Times New Roman" w:eastAsia="宋体" w:cs="Times New Roman"/>
          <w:spacing w:val="0"/>
          <w:szCs w:val="24"/>
          <w:highlight w:val="none"/>
        </w:rPr>
        <w:t>+V</w:t>
      </w:r>
      <w:r>
        <w:rPr>
          <w:rFonts w:ascii="Times New Roman" w:hAnsi="Times New Roman" w:eastAsia="宋体" w:cs="Times New Roman"/>
          <w:spacing w:val="0"/>
          <w:szCs w:val="24"/>
          <w:highlight w:val="none"/>
          <w:vertAlign w:val="baseline"/>
        </w:rPr>
        <w:t>5</w:t>
      </w:r>
      <w:r>
        <w:rPr>
          <w:rFonts w:ascii="Times New Roman" w:hAnsi="Times New Roman" w:eastAsia="宋体" w:cs="Times New Roman"/>
          <w:spacing w:val="0"/>
          <w:szCs w:val="24"/>
          <w:highlight w:val="none"/>
        </w:rPr>
        <w:t>=</w:t>
      </w:r>
      <w:r>
        <w:rPr>
          <w:rFonts w:hint="default" w:ascii="Times New Roman" w:hAnsi="Times New Roman" w:eastAsia="宋体" w:cs="Times New Roman"/>
          <w:spacing w:val="0"/>
          <w:szCs w:val="24"/>
          <w:highlight w:val="none"/>
        </w:rPr>
        <w:t>10</w:t>
      </w:r>
      <w:r>
        <w:rPr>
          <w:rFonts w:ascii="Times New Roman" w:hAnsi="Times New Roman" w:eastAsia="宋体" w:cs="Times New Roman"/>
          <w:spacing w:val="0"/>
          <w:szCs w:val="24"/>
          <w:highlight w:val="none"/>
        </w:rPr>
        <w:t>+</w:t>
      </w:r>
      <w:r>
        <w:rPr>
          <w:rFonts w:hint="default" w:ascii="Times New Roman" w:hAnsi="Times New Roman" w:eastAsia="宋体" w:cs="Times New Roman"/>
          <w:spacing w:val="0"/>
          <w:szCs w:val="24"/>
          <w:highlight w:val="none"/>
          <w:lang w:val="en-US" w:eastAsia="zh-CN"/>
        </w:rPr>
        <w:t>540</w:t>
      </w:r>
      <w:r>
        <w:rPr>
          <w:rFonts w:hint="default" w:ascii="Times New Roman" w:hAnsi="Times New Roman" w:eastAsia="宋体" w:cs="Times New Roman"/>
          <w:spacing w:val="0"/>
          <w:szCs w:val="24"/>
          <w:highlight w:val="none"/>
        </w:rPr>
        <w:t>-</w:t>
      </w:r>
      <w:r>
        <w:rPr>
          <w:rFonts w:hint="default" w:ascii="Times New Roman" w:hAnsi="Times New Roman" w:eastAsia="宋体" w:cs="Times New Roman"/>
          <w:spacing w:val="0"/>
          <w:szCs w:val="24"/>
          <w:highlight w:val="none"/>
          <w:lang w:val="en-US" w:eastAsia="zh-CN"/>
        </w:rPr>
        <w:t>878</w:t>
      </w:r>
      <w:r>
        <w:rPr>
          <w:rFonts w:hint="default" w:ascii="Times New Roman" w:hAnsi="Times New Roman" w:eastAsia="宋体" w:cs="Times New Roman"/>
          <w:spacing w:val="0"/>
          <w:szCs w:val="24"/>
          <w:highlight w:val="none"/>
        </w:rPr>
        <w:t>+0+995</w:t>
      </w:r>
      <w:r>
        <w:rPr>
          <w:rFonts w:ascii="Times New Roman" w:hAnsi="Times New Roman" w:eastAsia="宋体" w:cs="Times New Roman"/>
          <w:spacing w:val="0"/>
          <w:szCs w:val="24"/>
          <w:highlight w:val="none"/>
        </w:rPr>
        <w:t>=</w:t>
      </w:r>
      <w:r>
        <w:rPr>
          <w:rFonts w:hint="default" w:ascii="Times New Roman" w:hAnsi="Times New Roman" w:eastAsia="宋体" w:cs="Times New Roman"/>
          <w:spacing w:val="0"/>
          <w:szCs w:val="24"/>
          <w:highlight w:val="none"/>
          <w:lang w:val="en-US" w:eastAsia="zh-CN"/>
        </w:rPr>
        <w:t>667</w:t>
      </w:r>
      <w:r>
        <w:rPr>
          <w:rFonts w:ascii="Times New Roman" w:hAnsi="Times New Roman" w:eastAsia="宋体" w:cs="Times New Roman"/>
          <w:spacing w:val="0"/>
          <w:szCs w:val="24"/>
          <w:highlight w:val="none"/>
        </w:rPr>
        <w:t>m</w:t>
      </w:r>
      <w:r>
        <w:rPr>
          <w:rFonts w:ascii="Times New Roman" w:hAnsi="Times New Roman" w:eastAsia="宋体" w:cs="Times New Roman"/>
          <w:spacing w:val="0"/>
          <w:szCs w:val="24"/>
          <w:highlight w:val="none"/>
          <w:vertAlign w:val="baseline"/>
        </w:rPr>
        <w:t>3</w:t>
      </w:r>
    </w:p>
    <w:p w14:paraId="74E776BD">
      <w:pPr>
        <w:snapToGrid w:val="0"/>
        <w:spacing w:line="500" w:lineRule="exact"/>
        <w:ind w:firstLine="480" w:firstLineChars="200"/>
        <w:rPr>
          <w:rFonts w:eastAsia="宋体"/>
        </w:rPr>
      </w:pPr>
      <w:r>
        <w:rPr>
          <w:rFonts w:hint="eastAsia" w:eastAsia="宋体"/>
        </w:rPr>
        <w:t>公司</w:t>
      </w:r>
      <w:r>
        <w:rPr>
          <w:rFonts w:hint="eastAsia" w:eastAsia="宋体"/>
          <w:lang w:val="en-US" w:eastAsia="zh-CN"/>
        </w:rPr>
        <w:t>依托园区</w:t>
      </w:r>
      <w:r>
        <w:rPr>
          <w:rFonts w:hint="eastAsia" w:eastAsia="宋体"/>
          <w:highlight w:val="none"/>
        </w:rPr>
        <w:t>设置</w:t>
      </w:r>
      <w:r>
        <w:rPr>
          <w:rFonts w:hint="eastAsia" w:eastAsia="宋体"/>
          <w:highlight w:val="none"/>
          <w:lang w:val="en-US" w:eastAsia="zh-CN"/>
        </w:rPr>
        <w:t>700</w:t>
      </w:r>
      <w:r>
        <w:rPr>
          <w:rFonts w:eastAsia="宋体"/>
          <w:highlight w:val="none"/>
        </w:rPr>
        <w:t>m</w:t>
      </w:r>
      <w:r>
        <w:rPr>
          <w:rFonts w:eastAsia="宋体"/>
          <w:highlight w:val="none"/>
          <w:vertAlign w:val="superscript"/>
        </w:rPr>
        <w:t>3</w:t>
      </w:r>
      <w:r>
        <w:rPr>
          <w:rFonts w:eastAsia="宋体"/>
          <w:highlight w:val="none"/>
        </w:rPr>
        <w:t>的事</w:t>
      </w:r>
      <w:r>
        <w:rPr>
          <w:rFonts w:eastAsia="宋体"/>
        </w:rPr>
        <w:t>故池</w:t>
      </w:r>
      <w:r>
        <w:rPr>
          <w:rFonts w:hint="eastAsia" w:eastAsia="宋体"/>
        </w:rPr>
        <w:t>完全可</w:t>
      </w:r>
      <w:r>
        <w:rPr>
          <w:rFonts w:eastAsia="宋体"/>
        </w:rPr>
        <w:t>满足事故状态下容纳事故废水</w:t>
      </w:r>
      <w:r>
        <w:rPr>
          <w:rFonts w:hint="eastAsia" w:eastAsia="宋体"/>
        </w:rPr>
        <w:t>。</w:t>
      </w:r>
    </w:p>
    <w:p w14:paraId="4A827241">
      <w:pPr>
        <w:snapToGrid w:val="0"/>
        <w:spacing w:line="500" w:lineRule="exact"/>
        <w:ind w:firstLine="480" w:firstLineChars="200"/>
        <w:rPr>
          <w:rFonts w:eastAsia="宋体"/>
        </w:rPr>
      </w:pPr>
      <w:r>
        <w:rPr>
          <w:rFonts w:eastAsia="宋体"/>
        </w:rPr>
        <w:t>厂区事故池平时必须为空池，以便紧急状态下接纳大量事故废水</w:t>
      </w:r>
      <w:r>
        <w:rPr>
          <w:rFonts w:hint="eastAsia" w:eastAsia="宋体"/>
        </w:rPr>
        <w:t>。</w:t>
      </w:r>
    </w:p>
    <w:p w14:paraId="512A5C7E">
      <w:pPr>
        <w:pStyle w:val="252"/>
        <w:snapToGrid w:val="0"/>
        <w:outlineLvl w:val="2"/>
        <w:rPr>
          <w:rFonts w:eastAsia="宋体"/>
          <w:szCs w:val="24"/>
        </w:rPr>
      </w:pPr>
      <w:bookmarkStart w:id="153" w:name="_Toc14002"/>
      <w:bookmarkStart w:id="154" w:name="_Toc1474"/>
      <w:bookmarkStart w:id="155" w:name="_Toc13078"/>
      <w:r>
        <w:rPr>
          <w:rFonts w:eastAsia="宋体"/>
          <w:szCs w:val="24"/>
        </w:rPr>
        <w:t>3.</w:t>
      </w:r>
      <w:r>
        <w:rPr>
          <w:rFonts w:hint="eastAsia"/>
          <w:szCs w:val="24"/>
        </w:rPr>
        <w:t>8.2</w:t>
      </w:r>
      <w:r>
        <w:rPr>
          <w:rFonts w:hint="eastAsia" w:eastAsia="宋体"/>
          <w:szCs w:val="24"/>
        </w:rPr>
        <w:t>应急物资及装备情况</w:t>
      </w:r>
      <w:bookmarkEnd w:id="153"/>
      <w:bookmarkEnd w:id="154"/>
      <w:bookmarkEnd w:id="155"/>
    </w:p>
    <w:p w14:paraId="0DE8B5B9">
      <w:pPr>
        <w:pStyle w:val="13"/>
        <w:spacing w:after="0" w:line="500" w:lineRule="exact"/>
        <w:ind w:firstLine="440" w:firstLineChars="200"/>
        <w:rPr>
          <w:rFonts w:eastAsia="宋体"/>
        </w:rPr>
      </w:pPr>
      <w:r>
        <w:rPr>
          <w:rFonts w:eastAsia="宋体"/>
          <w:spacing w:val="-10"/>
        </w:rPr>
        <w:t>应急物资、应急装备是突发环境事件应急救援的重要物质保障，也是保证应</w:t>
      </w:r>
      <w:r>
        <w:rPr>
          <w:rFonts w:eastAsia="宋体"/>
          <w:spacing w:val="-3"/>
        </w:rPr>
        <w:t>急队伍有效开展工作的基础，本公司的应急物资及装备见表</w:t>
      </w:r>
      <w:r>
        <w:rPr>
          <w:rFonts w:eastAsia="宋体"/>
        </w:rPr>
        <w:t>3-</w:t>
      </w:r>
      <w:r>
        <w:rPr>
          <w:rFonts w:hint="eastAsia" w:eastAsia="宋体"/>
          <w:lang w:val="en-US" w:eastAsia="zh-CN"/>
        </w:rPr>
        <w:t>19</w:t>
      </w:r>
      <w:r>
        <w:rPr>
          <w:rFonts w:eastAsia="宋体"/>
        </w:rPr>
        <w:t>。</w:t>
      </w:r>
    </w:p>
    <w:p w14:paraId="571AFA27">
      <w:pPr>
        <w:pStyle w:val="14"/>
        <w:widowControl w:val="0"/>
        <w:numPr>
          <w:ilvl w:val="0"/>
          <w:numId w:val="0"/>
        </w:numPr>
        <w:jc w:val="both"/>
        <w:rPr>
          <w:rFonts w:eastAsia="宋体"/>
        </w:rPr>
      </w:pPr>
    </w:p>
    <w:p w14:paraId="477F1C51">
      <w:pPr>
        <w:pStyle w:val="14"/>
        <w:widowControl w:val="0"/>
        <w:numPr>
          <w:ilvl w:val="0"/>
          <w:numId w:val="0"/>
        </w:numPr>
        <w:jc w:val="both"/>
        <w:rPr>
          <w:rFonts w:eastAsia="宋体"/>
        </w:rPr>
      </w:pPr>
    </w:p>
    <w:p w14:paraId="11A70937">
      <w:pPr>
        <w:pStyle w:val="13"/>
        <w:spacing w:line="500" w:lineRule="exact"/>
        <w:jc w:val="center"/>
        <w:rPr>
          <w:rFonts w:eastAsia="宋体"/>
          <w:b/>
          <w:bCs/>
        </w:rPr>
      </w:pPr>
      <w:r>
        <w:rPr>
          <w:rFonts w:eastAsia="宋体"/>
          <w:b/>
          <w:bCs/>
          <w:highlight w:val="none"/>
        </w:rPr>
        <w:t>表3-</w:t>
      </w:r>
      <w:r>
        <w:rPr>
          <w:rFonts w:hint="eastAsia" w:eastAsia="宋体"/>
          <w:b/>
          <w:bCs/>
          <w:highlight w:val="none"/>
          <w:lang w:val="en-US" w:eastAsia="zh-CN"/>
        </w:rPr>
        <w:t>19</w:t>
      </w:r>
      <w:r>
        <w:rPr>
          <w:rFonts w:eastAsia="宋体"/>
          <w:b/>
          <w:bCs/>
          <w:highlight w:val="none"/>
        </w:rPr>
        <w:t>应急物资及装备一</w:t>
      </w:r>
      <w:r>
        <w:rPr>
          <w:rFonts w:eastAsia="宋体"/>
          <w:b/>
          <w:bCs/>
        </w:rPr>
        <w:t>览表</w:t>
      </w:r>
    </w:p>
    <w:tbl>
      <w:tblPr>
        <w:tblStyle w:val="38"/>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59"/>
        <w:gridCol w:w="2216"/>
        <w:gridCol w:w="1806"/>
        <w:gridCol w:w="832"/>
        <w:gridCol w:w="2674"/>
      </w:tblGrid>
      <w:tr w14:paraId="2F313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noWrap w:val="0"/>
            <w:tcMar>
              <w:top w:w="0" w:type="dxa"/>
              <w:left w:w="108" w:type="dxa"/>
              <w:bottom w:w="0" w:type="dxa"/>
              <w:right w:w="108" w:type="dxa"/>
            </w:tcMar>
            <w:vAlign w:val="center"/>
          </w:tcPr>
          <w:p w14:paraId="775DB07C">
            <w:pPr>
              <w:pStyle w:val="197"/>
              <w:jc w:val="center"/>
              <w:rPr>
                <w:rFonts w:hint="default"/>
                <w:b w:val="0"/>
                <w:bCs w:val="0"/>
                <w:color w:val="000000"/>
                <w:kern w:val="2"/>
                <w:szCs w:val="21"/>
              </w:rPr>
            </w:pPr>
            <w:bookmarkStart w:id="156" w:name="_Toc3357"/>
            <w:bookmarkStart w:id="157" w:name="_Toc14714"/>
            <w:bookmarkStart w:id="158" w:name="_Toc28616"/>
            <w:r>
              <w:rPr>
                <w:rFonts w:hint="default"/>
                <w:b w:val="0"/>
                <w:bCs w:val="0"/>
                <w:color w:val="000000"/>
                <w:kern w:val="2"/>
                <w:szCs w:val="21"/>
              </w:rPr>
              <w:t>类别</w:t>
            </w:r>
          </w:p>
        </w:tc>
        <w:tc>
          <w:tcPr>
            <w:tcW w:w="2216" w:type="dxa"/>
            <w:noWrap w:val="0"/>
            <w:tcMar>
              <w:top w:w="0" w:type="dxa"/>
              <w:left w:w="108" w:type="dxa"/>
              <w:bottom w:w="0" w:type="dxa"/>
              <w:right w:w="108" w:type="dxa"/>
            </w:tcMar>
            <w:vAlign w:val="center"/>
          </w:tcPr>
          <w:p w14:paraId="4AAEC59F">
            <w:pPr>
              <w:pStyle w:val="197"/>
              <w:jc w:val="center"/>
              <w:rPr>
                <w:rFonts w:hint="default"/>
                <w:b w:val="0"/>
                <w:bCs w:val="0"/>
                <w:color w:val="000000"/>
                <w:kern w:val="2"/>
                <w:szCs w:val="21"/>
              </w:rPr>
            </w:pPr>
            <w:r>
              <w:rPr>
                <w:rFonts w:hint="default"/>
                <w:b w:val="0"/>
                <w:bCs w:val="0"/>
                <w:color w:val="000000"/>
                <w:kern w:val="2"/>
                <w:szCs w:val="21"/>
              </w:rPr>
              <w:t>器材名称</w:t>
            </w:r>
          </w:p>
        </w:tc>
        <w:tc>
          <w:tcPr>
            <w:tcW w:w="1806" w:type="dxa"/>
            <w:noWrap w:val="0"/>
            <w:tcMar>
              <w:top w:w="0" w:type="dxa"/>
              <w:left w:w="108" w:type="dxa"/>
              <w:bottom w:w="0" w:type="dxa"/>
              <w:right w:w="108" w:type="dxa"/>
            </w:tcMar>
            <w:vAlign w:val="center"/>
          </w:tcPr>
          <w:p w14:paraId="148C360B">
            <w:pPr>
              <w:pStyle w:val="197"/>
              <w:jc w:val="center"/>
              <w:rPr>
                <w:rFonts w:hint="default"/>
                <w:b w:val="0"/>
                <w:bCs w:val="0"/>
                <w:color w:val="000000"/>
                <w:kern w:val="2"/>
                <w:szCs w:val="21"/>
              </w:rPr>
            </w:pPr>
            <w:r>
              <w:rPr>
                <w:rFonts w:hint="default"/>
                <w:b w:val="0"/>
                <w:bCs w:val="0"/>
                <w:color w:val="000000"/>
                <w:kern w:val="2"/>
                <w:szCs w:val="21"/>
              </w:rPr>
              <w:t>用途</w:t>
            </w:r>
          </w:p>
        </w:tc>
        <w:tc>
          <w:tcPr>
            <w:tcW w:w="832" w:type="dxa"/>
            <w:noWrap w:val="0"/>
            <w:tcMar>
              <w:top w:w="0" w:type="dxa"/>
              <w:left w:w="108" w:type="dxa"/>
              <w:bottom w:w="0" w:type="dxa"/>
              <w:right w:w="108" w:type="dxa"/>
            </w:tcMar>
            <w:vAlign w:val="center"/>
          </w:tcPr>
          <w:p w14:paraId="58E3FB45">
            <w:pPr>
              <w:pStyle w:val="197"/>
              <w:jc w:val="center"/>
              <w:rPr>
                <w:rFonts w:hint="default"/>
                <w:b w:val="0"/>
                <w:bCs w:val="0"/>
                <w:color w:val="000000"/>
                <w:kern w:val="2"/>
                <w:szCs w:val="21"/>
              </w:rPr>
            </w:pPr>
            <w:r>
              <w:rPr>
                <w:rFonts w:hint="default"/>
                <w:b w:val="0"/>
                <w:bCs w:val="0"/>
                <w:color w:val="000000"/>
                <w:kern w:val="2"/>
                <w:szCs w:val="21"/>
              </w:rPr>
              <w:t>数量</w:t>
            </w:r>
          </w:p>
        </w:tc>
        <w:tc>
          <w:tcPr>
            <w:tcW w:w="2674" w:type="dxa"/>
            <w:noWrap w:val="0"/>
            <w:tcMar>
              <w:top w:w="0" w:type="dxa"/>
              <w:left w:w="108" w:type="dxa"/>
              <w:bottom w:w="0" w:type="dxa"/>
              <w:right w:w="108" w:type="dxa"/>
            </w:tcMar>
            <w:vAlign w:val="center"/>
          </w:tcPr>
          <w:p w14:paraId="3FBE34C7">
            <w:pPr>
              <w:pStyle w:val="197"/>
              <w:jc w:val="center"/>
              <w:rPr>
                <w:rFonts w:hint="default"/>
                <w:b w:val="0"/>
                <w:bCs w:val="0"/>
                <w:color w:val="000000"/>
                <w:kern w:val="2"/>
                <w:szCs w:val="21"/>
              </w:rPr>
            </w:pPr>
            <w:r>
              <w:rPr>
                <w:rFonts w:hint="default"/>
                <w:b w:val="0"/>
                <w:bCs w:val="0"/>
                <w:color w:val="000000"/>
                <w:kern w:val="2"/>
                <w:szCs w:val="21"/>
              </w:rPr>
              <w:t>设置地点</w:t>
            </w:r>
          </w:p>
        </w:tc>
      </w:tr>
      <w:tr w14:paraId="0AE2D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56D9B9A2">
            <w:pPr>
              <w:pStyle w:val="197"/>
              <w:jc w:val="center"/>
              <w:rPr>
                <w:rFonts w:hint="default"/>
                <w:b w:val="0"/>
                <w:bCs w:val="0"/>
                <w:color w:val="000000"/>
                <w:kern w:val="2"/>
                <w:szCs w:val="21"/>
              </w:rPr>
            </w:pPr>
            <w:r>
              <w:rPr>
                <w:rFonts w:hint="default"/>
                <w:b w:val="0"/>
                <w:bCs w:val="0"/>
                <w:color w:val="000000"/>
                <w:kern w:val="2"/>
                <w:szCs w:val="21"/>
              </w:rPr>
              <w:t>消防设施、设备</w:t>
            </w:r>
          </w:p>
        </w:tc>
        <w:tc>
          <w:tcPr>
            <w:tcW w:w="2216" w:type="dxa"/>
            <w:noWrap w:val="0"/>
            <w:tcMar>
              <w:top w:w="0" w:type="dxa"/>
              <w:left w:w="108" w:type="dxa"/>
              <w:bottom w:w="0" w:type="dxa"/>
              <w:right w:w="108" w:type="dxa"/>
            </w:tcMar>
            <w:vAlign w:val="center"/>
          </w:tcPr>
          <w:p w14:paraId="6C59E16F">
            <w:pPr>
              <w:pStyle w:val="197"/>
              <w:jc w:val="center"/>
              <w:rPr>
                <w:rFonts w:hint="default"/>
                <w:b w:val="0"/>
                <w:bCs w:val="0"/>
                <w:color w:val="000000"/>
                <w:kern w:val="2"/>
                <w:szCs w:val="21"/>
              </w:rPr>
            </w:pPr>
            <w:r>
              <w:rPr>
                <w:rFonts w:hint="default"/>
                <w:b w:val="0"/>
                <w:bCs w:val="0"/>
                <w:color w:val="000000"/>
                <w:kern w:val="2"/>
                <w:szCs w:val="21"/>
              </w:rPr>
              <w:t>灭火器</w:t>
            </w:r>
          </w:p>
        </w:tc>
        <w:tc>
          <w:tcPr>
            <w:tcW w:w="1806" w:type="dxa"/>
            <w:noWrap w:val="0"/>
            <w:tcMar>
              <w:top w:w="0" w:type="dxa"/>
              <w:left w:w="108" w:type="dxa"/>
              <w:bottom w:w="0" w:type="dxa"/>
              <w:right w:w="108" w:type="dxa"/>
            </w:tcMar>
            <w:vAlign w:val="center"/>
          </w:tcPr>
          <w:p w14:paraId="23BF681F">
            <w:pPr>
              <w:pStyle w:val="197"/>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3F643533">
            <w:pPr>
              <w:pStyle w:val="197"/>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150个</w:t>
            </w:r>
          </w:p>
        </w:tc>
        <w:tc>
          <w:tcPr>
            <w:tcW w:w="2674" w:type="dxa"/>
            <w:noWrap w:val="0"/>
            <w:tcMar>
              <w:top w:w="0" w:type="dxa"/>
              <w:left w:w="108" w:type="dxa"/>
              <w:bottom w:w="0" w:type="dxa"/>
              <w:right w:w="108" w:type="dxa"/>
            </w:tcMar>
            <w:vAlign w:val="center"/>
          </w:tcPr>
          <w:p w14:paraId="15DAACB3">
            <w:pPr>
              <w:pStyle w:val="197"/>
              <w:ind w:firstLine="0" w:firstLineChars="0"/>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F1 F2 F3 F4</w:t>
            </w:r>
          </w:p>
        </w:tc>
      </w:tr>
      <w:tr w14:paraId="179EA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6DB35A3">
            <w:pPr>
              <w:pStyle w:val="197"/>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4555A1EB">
            <w:pPr>
              <w:pStyle w:val="197"/>
              <w:jc w:val="center"/>
              <w:rPr>
                <w:rFonts w:hint="default"/>
                <w:b w:val="0"/>
                <w:bCs w:val="0"/>
                <w:color w:val="000000"/>
                <w:kern w:val="2"/>
                <w:szCs w:val="21"/>
              </w:rPr>
            </w:pPr>
            <w:r>
              <w:rPr>
                <w:rFonts w:hint="default"/>
                <w:b w:val="0"/>
                <w:bCs w:val="0"/>
                <w:color w:val="000000"/>
                <w:kern w:val="2"/>
                <w:szCs w:val="21"/>
              </w:rPr>
              <w:t>消防水带</w:t>
            </w:r>
          </w:p>
        </w:tc>
        <w:tc>
          <w:tcPr>
            <w:tcW w:w="1806" w:type="dxa"/>
            <w:noWrap w:val="0"/>
            <w:tcMar>
              <w:top w:w="0" w:type="dxa"/>
              <w:left w:w="108" w:type="dxa"/>
              <w:bottom w:w="0" w:type="dxa"/>
              <w:right w:w="108" w:type="dxa"/>
            </w:tcMar>
            <w:vAlign w:val="center"/>
          </w:tcPr>
          <w:p w14:paraId="6CBECF10">
            <w:pPr>
              <w:pStyle w:val="197"/>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767C172A">
            <w:pPr>
              <w:pStyle w:val="197"/>
              <w:jc w:val="center"/>
              <w:rPr>
                <w:rFonts w:hint="default"/>
                <w:b w:val="0"/>
                <w:bCs w:val="0"/>
                <w:color w:val="000000"/>
                <w:kern w:val="2"/>
                <w:szCs w:val="21"/>
                <w:lang w:val="en-US" w:eastAsia="zh-CN"/>
              </w:rPr>
            </w:pPr>
            <w:r>
              <w:rPr>
                <w:rFonts w:hint="eastAsia"/>
                <w:b w:val="0"/>
                <w:bCs w:val="0"/>
                <w:color w:val="000000"/>
                <w:kern w:val="2"/>
                <w:szCs w:val="21"/>
                <w:lang w:val="en-US" w:eastAsia="zh-CN"/>
              </w:rPr>
              <w:t>17个</w:t>
            </w:r>
          </w:p>
        </w:tc>
        <w:tc>
          <w:tcPr>
            <w:tcW w:w="2674" w:type="dxa"/>
            <w:noWrap w:val="0"/>
            <w:tcMar>
              <w:top w:w="0" w:type="dxa"/>
              <w:left w:w="108" w:type="dxa"/>
              <w:bottom w:w="0" w:type="dxa"/>
              <w:right w:w="108" w:type="dxa"/>
            </w:tcMar>
            <w:vAlign w:val="center"/>
          </w:tcPr>
          <w:p w14:paraId="1C91A0C5">
            <w:pPr>
              <w:pStyle w:val="197"/>
              <w:ind w:firstLine="0" w:firstLineChars="0"/>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F1 F2 F3 F4</w:t>
            </w:r>
          </w:p>
        </w:tc>
      </w:tr>
      <w:tr w14:paraId="2966E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2DA7F7E1">
            <w:pPr>
              <w:pStyle w:val="197"/>
              <w:jc w:val="center"/>
              <w:rPr>
                <w:rFonts w:hint="default"/>
                <w:b w:val="0"/>
                <w:bCs w:val="0"/>
                <w:color w:val="000000"/>
                <w:kern w:val="2"/>
                <w:szCs w:val="21"/>
              </w:rPr>
            </w:pPr>
            <w:r>
              <w:rPr>
                <w:rFonts w:hint="default"/>
                <w:b w:val="0"/>
                <w:bCs w:val="0"/>
                <w:color w:val="000000"/>
                <w:kern w:val="2"/>
                <w:szCs w:val="21"/>
              </w:rPr>
              <w:t>现场抢险设施、设备</w:t>
            </w:r>
          </w:p>
        </w:tc>
        <w:tc>
          <w:tcPr>
            <w:tcW w:w="2216" w:type="dxa"/>
            <w:noWrap w:val="0"/>
            <w:tcMar>
              <w:top w:w="0" w:type="dxa"/>
              <w:left w:w="108" w:type="dxa"/>
              <w:bottom w:w="0" w:type="dxa"/>
              <w:right w:w="108" w:type="dxa"/>
            </w:tcMar>
            <w:vAlign w:val="center"/>
          </w:tcPr>
          <w:p w14:paraId="76C50609">
            <w:pPr>
              <w:pStyle w:val="197"/>
              <w:jc w:val="center"/>
              <w:rPr>
                <w:rFonts w:hint="default"/>
                <w:b w:val="0"/>
                <w:bCs w:val="0"/>
                <w:color w:val="000000"/>
                <w:kern w:val="2"/>
                <w:szCs w:val="21"/>
              </w:rPr>
            </w:pPr>
            <w:r>
              <w:rPr>
                <w:rFonts w:hint="default"/>
                <w:b w:val="0"/>
                <w:bCs w:val="0"/>
                <w:color w:val="000000"/>
                <w:kern w:val="2"/>
                <w:szCs w:val="21"/>
              </w:rPr>
              <w:t>应急照明、出口灯</w:t>
            </w:r>
          </w:p>
        </w:tc>
        <w:tc>
          <w:tcPr>
            <w:tcW w:w="1806" w:type="dxa"/>
            <w:noWrap w:val="0"/>
            <w:tcMar>
              <w:top w:w="0" w:type="dxa"/>
              <w:left w:w="108" w:type="dxa"/>
              <w:bottom w:w="0" w:type="dxa"/>
              <w:right w:w="108" w:type="dxa"/>
            </w:tcMar>
            <w:vAlign w:val="center"/>
          </w:tcPr>
          <w:p w14:paraId="537B14F1">
            <w:pPr>
              <w:pStyle w:val="197"/>
              <w:jc w:val="center"/>
              <w:rPr>
                <w:rFonts w:hint="default"/>
                <w:b w:val="0"/>
                <w:bCs w:val="0"/>
                <w:color w:val="000000"/>
                <w:kern w:val="2"/>
                <w:szCs w:val="21"/>
              </w:rPr>
            </w:pPr>
            <w:r>
              <w:rPr>
                <w:rFonts w:hint="default"/>
                <w:b w:val="0"/>
                <w:bCs w:val="0"/>
                <w:color w:val="000000"/>
                <w:kern w:val="2"/>
                <w:szCs w:val="21"/>
              </w:rPr>
              <w:t>停电用</w:t>
            </w:r>
          </w:p>
        </w:tc>
        <w:tc>
          <w:tcPr>
            <w:tcW w:w="832" w:type="dxa"/>
            <w:noWrap w:val="0"/>
            <w:tcMar>
              <w:top w:w="0" w:type="dxa"/>
              <w:left w:w="108" w:type="dxa"/>
              <w:bottom w:w="0" w:type="dxa"/>
              <w:right w:w="108" w:type="dxa"/>
            </w:tcMar>
            <w:vAlign w:val="center"/>
          </w:tcPr>
          <w:p w14:paraId="277EA1D2">
            <w:pPr>
              <w:pStyle w:val="197"/>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115个</w:t>
            </w:r>
          </w:p>
        </w:tc>
        <w:tc>
          <w:tcPr>
            <w:tcW w:w="2674" w:type="dxa"/>
            <w:noWrap w:val="0"/>
            <w:tcMar>
              <w:top w:w="0" w:type="dxa"/>
              <w:left w:w="108" w:type="dxa"/>
              <w:bottom w:w="0" w:type="dxa"/>
              <w:right w:w="108" w:type="dxa"/>
            </w:tcMar>
            <w:vAlign w:val="center"/>
          </w:tcPr>
          <w:p w14:paraId="0F03C84A">
            <w:pPr>
              <w:pStyle w:val="197"/>
              <w:ind w:firstLine="0" w:firstLineChars="0"/>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F1 F2 F3 F4 楼梯间</w:t>
            </w:r>
          </w:p>
        </w:tc>
      </w:tr>
      <w:tr w14:paraId="0FC8E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3CB5B0CD">
            <w:pPr>
              <w:pStyle w:val="197"/>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1380D291">
            <w:pPr>
              <w:pStyle w:val="197"/>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防毒面具</w:t>
            </w:r>
          </w:p>
        </w:tc>
        <w:tc>
          <w:tcPr>
            <w:tcW w:w="1806" w:type="dxa"/>
            <w:noWrap w:val="0"/>
            <w:tcMar>
              <w:top w:w="0" w:type="dxa"/>
              <w:left w:w="108" w:type="dxa"/>
              <w:bottom w:w="0" w:type="dxa"/>
              <w:right w:w="108" w:type="dxa"/>
            </w:tcMar>
            <w:vAlign w:val="center"/>
          </w:tcPr>
          <w:p w14:paraId="38738881">
            <w:pPr>
              <w:pStyle w:val="197"/>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76481ADF">
            <w:pPr>
              <w:pStyle w:val="197"/>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3个</w:t>
            </w:r>
          </w:p>
        </w:tc>
        <w:tc>
          <w:tcPr>
            <w:tcW w:w="2674" w:type="dxa"/>
            <w:noWrap w:val="0"/>
            <w:tcMar>
              <w:top w:w="0" w:type="dxa"/>
              <w:left w:w="108" w:type="dxa"/>
              <w:bottom w:w="0" w:type="dxa"/>
              <w:right w:w="108" w:type="dxa"/>
            </w:tcMar>
            <w:vAlign w:val="center"/>
          </w:tcPr>
          <w:p w14:paraId="35B697F5">
            <w:pPr>
              <w:pStyle w:val="197"/>
              <w:ind w:firstLine="0" w:firstLineChars="0"/>
              <w:jc w:val="center"/>
              <w:rPr>
                <w:rFonts w:hint="default"/>
                <w:b w:val="0"/>
                <w:bCs w:val="0"/>
                <w:color w:val="000000"/>
                <w:kern w:val="2"/>
                <w:szCs w:val="21"/>
              </w:rPr>
            </w:pPr>
          </w:p>
        </w:tc>
      </w:tr>
      <w:tr w14:paraId="45A7C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256AB3AC">
            <w:pPr>
              <w:pStyle w:val="197"/>
              <w:jc w:val="center"/>
              <w:rPr>
                <w:rFonts w:hint="default"/>
                <w:b w:val="0"/>
                <w:bCs w:val="0"/>
                <w:color w:val="000000"/>
                <w:kern w:val="2"/>
                <w:szCs w:val="21"/>
              </w:rPr>
            </w:pPr>
            <w:r>
              <w:rPr>
                <w:rFonts w:hint="default"/>
                <w:b w:val="0"/>
                <w:bCs w:val="0"/>
                <w:color w:val="000000"/>
                <w:kern w:val="2"/>
                <w:szCs w:val="21"/>
              </w:rPr>
              <w:t>急救设施设备</w:t>
            </w:r>
          </w:p>
        </w:tc>
        <w:tc>
          <w:tcPr>
            <w:tcW w:w="2216" w:type="dxa"/>
            <w:noWrap w:val="0"/>
            <w:tcMar>
              <w:top w:w="0" w:type="dxa"/>
              <w:left w:w="108" w:type="dxa"/>
              <w:bottom w:w="0" w:type="dxa"/>
              <w:right w:w="108" w:type="dxa"/>
            </w:tcMar>
            <w:vAlign w:val="center"/>
          </w:tcPr>
          <w:p w14:paraId="23682DCB">
            <w:pPr>
              <w:pStyle w:val="197"/>
              <w:jc w:val="center"/>
              <w:rPr>
                <w:rFonts w:hint="default"/>
                <w:b w:val="0"/>
                <w:bCs w:val="0"/>
                <w:color w:val="000000"/>
                <w:kern w:val="2"/>
                <w:szCs w:val="21"/>
              </w:rPr>
            </w:pPr>
            <w:r>
              <w:rPr>
                <w:rFonts w:hint="eastAsia"/>
                <w:b w:val="0"/>
                <w:bCs w:val="0"/>
                <w:color w:val="000000"/>
                <w:kern w:val="2"/>
                <w:szCs w:val="21"/>
                <w:lang w:val="en-US" w:eastAsia="zh-CN"/>
              </w:rPr>
              <w:t>创口贴</w:t>
            </w:r>
          </w:p>
        </w:tc>
        <w:tc>
          <w:tcPr>
            <w:tcW w:w="1806" w:type="dxa"/>
            <w:noWrap w:val="0"/>
            <w:tcMar>
              <w:top w:w="0" w:type="dxa"/>
              <w:left w:w="108" w:type="dxa"/>
              <w:bottom w:w="0" w:type="dxa"/>
              <w:right w:w="108" w:type="dxa"/>
            </w:tcMar>
            <w:vAlign w:val="center"/>
          </w:tcPr>
          <w:p w14:paraId="5766E9C0">
            <w:pPr>
              <w:pStyle w:val="197"/>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4209C26B">
            <w:pPr>
              <w:pStyle w:val="197"/>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16个</w:t>
            </w:r>
          </w:p>
        </w:tc>
        <w:tc>
          <w:tcPr>
            <w:tcW w:w="2674" w:type="dxa"/>
            <w:noWrap w:val="0"/>
            <w:tcMar>
              <w:top w:w="0" w:type="dxa"/>
              <w:left w:w="108" w:type="dxa"/>
              <w:bottom w:w="0" w:type="dxa"/>
              <w:right w:w="108" w:type="dxa"/>
            </w:tcMar>
            <w:vAlign w:val="center"/>
          </w:tcPr>
          <w:p w14:paraId="56F83892">
            <w:pPr>
              <w:pStyle w:val="197"/>
              <w:ind w:firstLine="0" w:firstLineChars="0"/>
              <w:jc w:val="center"/>
              <w:rPr>
                <w:rFonts w:hint="default"/>
                <w:b w:val="0"/>
                <w:bCs w:val="0"/>
                <w:color w:val="000000"/>
                <w:kern w:val="2"/>
                <w:szCs w:val="21"/>
              </w:rPr>
            </w:pPr>
          </w:p>
        </w:tc>
      </w:tr>
      <w:tr w14:paraId="7E21A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73" w:hRule="atLeast"/>
          <w:jc w:val="center"/>
        </w:trPr>
        <w:tc>
          <w:tcPr>
            <w:tcW w:w="1259" w:type="dxa"/>
            <w:vMerge w:val="continue"/>
            <w:noWrap w:val="0"/>
            <w:vAlign w:val="center"/>
          </w:tcPr>
          <w:p w14:paraId="3D146D04">
            <w:pPr>
              <w:pStyle w:val="197"/>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3659D207">
            <w:pPr>
              <w:pStyle w:val="197"/>
              <w:jc w:val="center"/>
              <w:rPr>
                <w:rFonts w:hint="default"/>
                <w:b w:val="0"/>
                <w:bCs w:val="0"/>
                <w:color w:val="000000"/>
                <w:kern w:val="2"/>
                <w:szCs w:val="21"/>
              </w:rPr>
            </w:pPr>
            <w:r>
              <w:rPr>
                <w:rFonts w:hint="eastAsia"/>
                <w:b w:val="0"/>
                <w:bCs w:val="0"/>
                <w:color w:val="000000"/>
                <w:kern w:val="2"/>
                <w:szCs w:val="21"/>
                <w:lang w:val="en-US" w:eastAsia="zh-CN"/>
              </w:rPr>
              <w:t>酒精</w:t>
            </w:r>
          </w:p>
        </w:tc>
        <w:tc>
          <w:tcPr>
            <w:tcW w:w="1806" w:type="dxa"/>
            <w:noWrap w:val="0"/>
            <w:tcMar>
              <w:top w:w="0" w:type="dxa"/>
              <w:left w:w="108" w:type="dxa"/>
              <w:bottom w:w="0" w:type="dxa"/>
              <w:right w:w="108" w:type="dxa"/>
            </w:tcMar>
            <w:vAlign w:val="center"/>
          </w:tcPr>
          <w:p w14:paraId="507D17DE">
            <w:pPr>
              <w:pStyle w:val="197"/>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49341E79">
            <w:pPr>
              <w:pStyle w:val="197"/>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27支</w:t>
            </w:r>
          </w:p>
        </w:tc>
        <w:tc>
          <w:tcPr>
            <w:tcW w:w="2674" w:type="dxa"/>
            <w:noWrap w:val="0"/>
            <w:tcMar>
              <w:top w:w="0" w:type="dxa"/>
              <w:left w:w="108" w:type="dxa"/>
              <w:bottom w:w="0" w:type="dxa"/>
              <w:right w:w="108" w:type="dxa"/>
            </w:tcMar>
            <w:vAlign w:val="center"/>
          </w:tcPr>
          <w:p w14:paraId="7250D908">
            <w:pPr>
              <w:pStyle w:val="197"/>
              <w:ind w:firstLine="0" w:firstLineChars="0"/>
              <w:jc w:val="center"/>
              <w:rPr>
                <w:rFonts w:hint="default"/>
                <w:b w:val="0"/>
                <w:bCs w:val="0"/>
                <w:color w:val="000000"/>
                <w:kern w:val="2"/>
                <w:szCs w:val="21"/>
              </w:rPr>
            </w:pPr>
          </w:p>
        </w:tc>
      </w:tr>
    </w:tbl>
    <w:p w14:paraId="2417775A">
      <w:pPr>
        <w:pStyle w:val="252"/>
        <w:snapToGrid w:val="0"/>
        <w:outlineLvl w:val="2"/>
        <w:rPr>
          <w:rFonts w:eastAsia="宋体"/>
          <w:szCs w:val="24"/>
        </w:rPr>
      </w:pPr>
      <w:r>
        <w:rPr>
          <w:rFonts w:eastAsia="宋体"/>
          <w:szCs w:val="24"/>
        </w:rPr>
        <w:t>3.</w:t>
      </w:r>
      <w:r>
        <w:rPr>
          <w:rFonts w:hint="eastAsia"/>
          <w:szCs w:val="24"/>
        </w:rPr>
        <w:t>8.3</w:t>
      </w:r>
      <w:r>
        <w:rPr>
          <w:rFonts w:hint="eastAsia" w:eastAsia="宋体"/>
          <w:szCs w:val="24"/>
        </w:rPr>
        <w:t>应急监测能力</w:t>
      </w:r>
      <w:bookmarkEnd w:id="156"/>
      <w:bookmarkEnd w:id="157"/>
      <w:bookmarkEnd w:id="158"/>
    </w:p>
    <w:p w14:paraId="70FECD28">
      <w:pPr>
        <w:pStyle w:val="13"/>
        <w:spacing w:after="0" w:line="500" w:lineRule="exact"/>
        <w:ind w:firstLine="440" w:firstLineChars="200"/>
        <w:rPr>
          <w:rFonts w:eastAsia="宋体"/>
          <w:spacing w:val="-10"/>
        </w:rPr>
      </w:pPr>
      <w:r>
        <w:rPr>
          <w:rFonts w:eastAsia="宋体"/>
          <w:spacing w:val="-10"/>
        </w:rPr>
        <w:t>目前我公司无应急监测能力（人员、监测设备不具备），委托江苏裕和检测技术有限公司进行应急监测。</w:t>
      </w:r>
    </w:p>
    <w:p w14:paraId="303DD452">
      <w:pPr>
        <w:pStyle w:val="252"/>
        <w:snapToGrid w:val="0"/>
        <w:outlineLvl w:val="2"/>
        <w:rPr>
          <w:rFonts w:eastAsia="宋体"/>
          <w:szCs w:val="24"/>
        </w:rPr>
      </w:pPr>
      <w:bookmarkStart w:id="159" w:name="3.7.4内部应急队伍"/>
      <w:bookmarkEnd w:id="159"/>
      <w:bookmarkStart w:id="160" w:name="_TOC_250046"/>
      <w:bookmarkEnd w:id="160"/>
      <w:bookmarkStart w:id="161" w:name="_Toc5943"/>
      <w:bookmarkStart w:id="162" w:name="_Toc1667"/>
      <w:bookmarkStart w:id="163" w:name="_Toc5748"/>
      <w:r>
        <w:rPr>
          <w:rFonts w:eastAsia="宋体"/>
          <w:szCs w:val="24"/>
        </w:rPr>
        <w:t>3.</w:t>
      </w:r>
      <w:r>
        <w:rPr>
          <w:rFonts w:hint="eastAsia"/>
          <w:szCs w:val="24"/>
        </w:rPr>
        <w:t>8.4</w:t>
      </w:r>
      <w:r>
        <w:rPr>
          <w:rFonts w:hint="eastAsia" w:eastAsia="宋体"/>
          <w:szCs w:val="24"/>
        </w:rPr>
        <w:t>内部应急队伍</w:t>
      </w:r>
      <w:bookmarkEnd w:id="161"/>
      <w:bookmarkEnd w:id="162"/>
      <w:bookmarkEnd w:id="163"/>
    </w:p>
    <w:p w14:paraId="135DE31C">
      <w:pPr>
        <w:pStyle w:val="13"/>
        <w:spacing w:after="0" w:line="500" w:lineRule="exact"/>
        <w:ind w:firstLine="440" w:firstLineChars="200"/>
      </w:pPr>
      <w:r>
        <w:rPr>
          <w:rFonts w:hint="eastAsia" w:eastAsia="宋体"/>
          <w:spacing w:val="-10"/>
          <w:lang w:eastAsia="zh-CN"/>
        </w:rPr>
        <w:t>江苏福内特家居有限公司</w:t>
      </w:r>
      <w:r>
        <w:rPr>
          <w:rFonts w:eastAsia="宋体"/>
          <w:spacing w:val="-10"/>
        </w:rPr>
        <w:t>针对应急预案应急救援组织机构下设总指挥、副总指挥、综合</w:t>
      </w:r>
      <w:r>
        <w:rPr>
          <w:rFonts w:hint="eastAsia" w:eastAsia="宋体"/>
          <w:spacing w:val="-10"/>
        </w:rPr>
        <w:t>协调</w:t>
      </w:r>
      <w:r>
        <w:rPr>
          <w:rFonts w:eastAsia="宋体"/>
          <w:spacing w:val="-10"/>
        </w:rPr>
        <w:t>组、</w:t>
      </w:r>
      <w:r>
        <w:rPr>
          <w:rFonts w:hint="eastAsia" w:eastAsia="宋体"/>
          <w:spacing w:val="-10"/>
        </w:rPr>
        <w:t>现场处置</w:t>
      </w:r>
      <w:r>
        <w:rPr>
          <w:rFonts w:eastAsia="宋体"/>
          <w:spacing w:val="-10"/>
        </w:rPr>
        <w:t>组、</w:t>
      </w:r>
      <w:r>
        <w:rPr>
          <w:rFonts w:hint="eastAsia" w:eastAsia="宋体"/>
          <w:spacing w:val="-10"/>
        </w:rPr>
        <w:t>应急保障</w:t>
      </w:r>
      <w:r>
        <w:rPr>
          <w:rFonts w:eastAsia="宋体"/>
          <w:spacing w:val="-10"/>
        </w:rPr>
        <w:t>组、</w:t>
      </w:r>
      <w:r>
        <w:rPr>
          <w:rFonts w:hint="eastAsia" w:eastAsia="宋体"/>
          <w:spacing w:val="-10"/>
        </w:rPr>
        <w:t>医疗救治</w:t>
      </w:r>
      <w:r>
        <w:rPr>
          <w:rFonts w:eastAsia="宋体"/>
          <w:spacing w:val="-10"/>
        </w:rPr>
        <w:t>组、</w:t>
      </w:r>
      <w:r>
        <w:rPr>
          <w:rFonts w:hint="eastAsia" w:eastAsia="宋体"/>
          <w:spacing w:val="-10"/>
        </w:rPr>
        <w:t>应急</w:t>
      </w:r>
      <w:r>
        <w:rPr>
          <w:rFonts w:eastAsia="宋体"/>
          <w:spacing w:val="-10"/>
        </w:rPr>
        <w:t>监测组。具体救援组成员见表3-</w:t>
      </w:r>
      <w:r>
        <w:rPr>
          <w:rFonts w:hint="eastAsia" w:eastAsia="宋体"/>
          <w:spacing w:val="-10"/>
        </w:rPr>
        <w:t>2</w:t>
      </w:r>
      <w:r>
        <w:rPr>
          <w:rFonts w:hint="eastAsia" w:eastAsia="宋体"/>
          <w:spacing w:val="-10"/>
          <w:lang w:val="en-US" w:eastAsia="zh-CN"/>
        </w:rPr>
        <w:t>0</w:t>
      </w:r>
      <w:r>
        <w:rPr>
          <w:rFonts w:eastAsia="宋体"/>
          <w:spacing w:val="-10"/>
        </w:rPr>
        <w:t>所示。</w:t>
      </w:r>
    </w:p>
    <w:p w14:paraId="55486504">
      <w:pPr>
        <w:pStyle w:val="13"/>
        <w:spacing w:after="0" w:line="500" w:lineRule="exact"/>
        <w:jc w:val="center"/>
        <w:rPr>
          <w:rFonts w:eastAsia="宋体"/>
          <w:b/>
          <w:sz w:val="5"/>
        </w:rPr>
      </w:pPr>
      <w:r>
        <w:rPr>
          <w:rFonts w:eastAsia="宋体"/>
          <w:b/>
          <w:bCs/>
        </w:rPr>
        <w:t>表3-</w:t>
      </w:r>
      <w:r>
        <w:rPr>
          <w:rFonts w:hint="eastAsia" w:eastAsia="宋体"/>
          <w:b/>
          <w:bCs/>
        </w:rPr>
        <w:t>2</w:t>
      </w:r>
      <w:r>
        <w:rPr>
          <w:rFonts w:hint="eastAsia" w:eastAsia="宋体"/>
          <w:b/>
          <w:bCs/>
          <w:lang w:val="en-US" w:eastAsia="zh-CN"/>
        </w:rPr>
        <w:t>0</w:t>
      </w:r>
      <w:r>
        <w:rPr>
          <w:rFonts w:hint="eastAsia" w:eastAsia="宋体"/>
          <w:b/>
          <w:bCs/>
        </w:rPr>
        <w:t>现</w:t>
      </w:r>
      <w:r>
        <w:rPr>
          <w:rFonts w:hint="eastAsia" w:eastAsia="宋体"/>
          <w:b/>
          <w:bCs/>
          <w:highlight w:val="none"/>
        </w:rPr>
        <w:t>有应急救援组</w:t>
      </w:r>
      <w:r>
        <w:rPr>
          <w:rFonts w:hint="eastAsia" w:eastAsia="宋体"/>
          <w:b/>
          <w:bCs/>
        </w:rPr>
        <w:t>织机构人员</w:t>
      </w:r>
    </w:p>
    <w:tbl>
      <w:tblPr>
        <w:tblStyle w:val="38"/>
        <w:tblW w:w="535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92"/>
        <w:gridCol w:w="3003"/>
        <w:gridCol w:w="1962"/>
        <w:gridCol w:w="2032"/>
        <w:gridCol w:w="1972"/>
      </w:tblGrid>
      <w:tr w14:paraId="46C5E9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448" w:type="pct"/>
            <w:tcBorders>
              <w:tl2br w:val="nil"/>
              <w:tr2bl w:val="nil"/>
            </w:tcBorders>
            <w:noWrap w:val="0"/>
            <w:vAlign w:val="center"/>
          </w:tcPr>
          <w:p w14:paraId="4830C6BF">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bookmarkStart w:id="164" w:name="_TOC_250045"/>
            <w:bookmarkEnd w:id="164"/>
            <w:bookmarkStart w:id="165" w:name="3.7.5外部应急救援力量"/>
            <w:bookmarkEnd w:id="165"/>
            <w:bookmarkStart w:id="166" w:name="_Toc22493"/>
            <w:bookmarkStart w:id="167" w:name="_Toc26885"/>
            <w:bookmarkStart w:id="168" w:name="_Toc23755"/>
            <w:r>
              <w:rPr>
                <w:rFonts w:hint="default" w:ascii="Times New Roman" w:hAnsi="Times New Roman" w:eastAsia="宋体" w:cs="Times New Roman"/>
                <w:color w:val="auto"/>
                <w:sz w:val="21"/>
                <w:szCs w:val="21"/>
              </w:rPr>
              <w:t>序号</w:t>
            </w:r>
          </w:p>
        </w:tc>
        <w:tc>
          <w:tcPr>
            <w:tcW w:w="1509" w:type="pct"/>
            <w:tcBorders>
              <w:tl2br w:val="nil"/>
              <w:tr2bl w:val="nil"/>
            </w:tcBorders>
            <w:noWrap w:val="0"/>
            <w:vAlign w:val="center"/>
          </w:tcPr>
          <w:p w14:paraId="75A37274">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职务</w:t>
            </w:r>
          </w:p>
        </w:tc>
        <w:tc>
          <w:tcPr>
            <w:tcW w:w="986" w:type="pct"/>
            <w:tcBorders>
              <w:tl2br w:val="nil"/>
              <w:tr2bl w:val="nil"/>
            </w:tcBorders>
            <w:noWrap w:val="0"/>
            <w:vAlign w:val="center"/>
          </w:tcPr>
          <w:p w14:paraId="5EB30FC7">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来自部门</w:t>
            </w:r>
          </w:p>
        </w:tc>
        <w:tc>
          <w:tcPr>
            <w:tcW w:w="1020" w:type="pct"/>
            <w:tcBorders>
              <w:tl2br w:val="nil"/>
              <w:tr2bl w:val="nil"/>
            </w:tcBorders>
            <w:noWrap w:val="0"/>
            <w:vAlign w:val="center"/>
          </w:tcPr>
          <w:p w14:paraId="3594DB8F">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姓名</w:t>
            </w:r>
          </w:p>
        </w:tc>
        <w:tc>
          <w:tcPr>
            <w:tcW w:w="991" w:type="pct"/>
            <w:tcBorders>
              <w:tl2br w:val="nil"/>
              <w:tr2bl w:val="nil"/>
            </w:tcBorders>
            <w:noWrap w:val="0"/>
            <w:vAlign w:val="center"/>
          </w:tcPr>
          <w:p w14:paraId="132D1504">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联系方式</w:t>
            </w:r>
          </w:p>
        </w:tc>
      </w:tr>
      <w:tr w14:paraId="31B6D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8" w:type="pct"/>
            <w:tcBorders>
              <w:tl2br w:val="nil"/>
              <w:tr2bl w:val="nil"/>
            </w:tcBorders>
            <w:noWrap w:val="0"/>
            <w:vAlign w:val="center"/>
          </w:tcPr>
          <w:p w14:paraId="4CE1404C">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509" w:type="pct"/>
            <w:tcBorders>
              <w:tl2br w:val="nil"/>
              <w:tr2bl w:val="nil"/>
            </w:tcBorders>
            <w:noWrap w:val="0"/>
            <w:vAlign w:val="center"/>
          </w:tcPr>
          <w:p w14:paraId="0A2FFD66">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指挥部总指挥</w:t>
            </w:r>
          </w:p>
        </w:tc>
        <w:tc>
          <w:tcPr>
            <w:tcW w:w="1962" w:type="dxa"/>
            <w:tcBorders>
              <w:tl2br w:val="nil"/>
              <w:tr2bl w:val="nil"/>
            </w:tcBorders>
            <w:noWrap w:val="0"/>
            <w:vAlign w:val="center"/>
          </w:tcPr>
          <w:p w14:paraId="678D35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经理</w:t>
            </w:r>
          </w:p>
        </w:tc>
        <w:tc>
          <w:tcPr>
            <w:tcW w:w="2032" w:type="dxa"/>
            <w:tcBorders>
              <w:tl2br w:val="nil"/>
              <w:tr2bl w:val="nil"/>
            </w:tcBorders>
            <w:noWrap w:val="0"/>
            <w:vAlign w:val="center"/>
          </w:tcPr>
          <w:p w14:paraId="7A032F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俞晓峰</w:t>
            </w:r>
          </w:p>
        </w:tc>
        <w:tc>
          <w:tcPr>
            <w:tcW w:w="1972" w:type="dxa"/>
            <w:tcBorders>
              <w:tl2br w:val="nil"/>
              <w:tr2bl w:val="nil"/>
            </w:tcBorders>
            <w:noWrap w:val="0"/>
            <w:vAlign w:val="center"/>
          </w:tcPr>
          <w:p w14:paraId="0B4755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18551093333</w:t>
            </w:r>
          </w:p>
        </w:tc>
      </w:tr>
      <w:tr w14:paraId="5132F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8" w:type="pct"/>
            <w:tcBorders>
              <w:tl2br w:val="nil"/>
              <w:tr2bl w:val="nil"/>
            </w:tcBorders>
            <w:noWrap w:val="0"/>
            <w:vAlign w:val="center"/>
          </w:tcPr>
          <w:p w14:paraId="0AF993C8">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509" w:type="pct"/>
            <w:tcBorders>
              <w:tl2br w:val="nil"/>
              <w:tr2bl w:val="nil"/>
            </w:tcBorders>
            <w:noWrap w:val="0"/>
            <w:vAlign w:val="center"/>
          </w:tcPr>
          <w:p w14:paraId="4F3A09AD">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指挥部副总指挥</w:t>
            </w:r>
          </w:p>
        </w:tc>
        <w:tc>
          <w:tcPr>
            <w:tcW w:w="1962" w:type="dxa"/>
            <w:tcBorders>
              <w:tl2br w:val="nil"/>
              <w:tr2bl w:val="nil"/>
            </w:tcBorders>
            <w:noWrap w:val="0"/>
            <w:vAlign w:val="center"/>
          </w:tcPr>
          <w:p w14:paraId="27D169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厂长</w:t>
            </w:r>
          </w:p>
        </w:tc>
        <w:tc>
          <w:tcPr>
            <w:tcW w:w="2032" w:type="dxa"/>
            <w:tcBorders>
              <w:tl2br w:val="nil"/>
              <w:tr2bl w:val="nil"/>
            </w:tcBorders>
            <w:noWrap w:val="0"/>
            <w:vAlign w:val="center"/>
          </w:tcPr>
          <w:p w14:paraId="43F0C1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潘春光</w:t>
            </w:r>
          </w:p>
        </w:tc>
        <w:tc>
          <w:tcPr>
            <w:tcW w:w="1972" w:type="dxa"/>
            <w:tcBorders>
              <w:tl2br w:val="nil"/>
              <w:tr2bl w:val="nil"/>
            </w:tcBorders>
            <w:noWrap w:val="0"/>
            <w:vAlign w:val="center"/>
          </w:tcPr>
          <w:p w14:paraId="40E6894D">
            <w:pPr>
              <w:keepNext w:val="0"/>
              <w:keepLines w:val="0"/>
              <w:pageBreakBefore w:val="0"/>
              <w:widowControl/>
              <w:tabs>
                <w:tab w:val="left" w:pos="504"/>
              </w:tabs>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17376139052</w:t>
            </w:r>
          </w:p>
        </w:tc>
      </w:tr>
      <w:tr w14:paraId="3E9FC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8" w:type="pct"/>
            <w:tcBorders>
              <w:tl2br w:val="nil"/>
              <w:tr2bl w:val="nil"/>
            </w:tcBorders>
            <w:noWrap w:val="0"/>
            <w:vAlign w:val="center"/>
          </w:tcPr>
          <w:p w14:paraId="66919B99">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509" w:type="pct"/>
            <w:tcBorders>
              <w:tl2br w:val="nil"/>
              <w:tr2bl w:val="nil"/>
            </w:tcBorders>
            <w:noWrap w:val="0"/>
            <w:vAlign w:val="center"/>
          </w:tcPr>
          <w:p w14:paraId="12F68B0E">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综合协调</w:t>
            </w:r>
            <w:r>
              <w:rPr>
                <w:rFonts w:hint="default" w:ascii="Times New Roman" w:hAnsi="Times New Roman" w:eastAsia="宋体" w:cs="Times New Roman"/>
                <w:color w:val="auto"/>
                <w:sz w:val="21"/>
                <w:szCs w:val="21"/>
              </w:rPr>
              <w:t>组组长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962" w:type="dxa"/>
            <w:tcBorders>
              <w:tl2br w:val="nil"/>
              <w:tr2bl w:val="nil"/>
            </w:tcBorders>
            <w:noWrap w:val="0"/>
            <w:vAlign w:val="center"/>
          </w:tcPr>
          <w:p w14:paraId="739D2F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拆单员</w:t>
            </w:r>
          </w:p>
        </w:tc>
        <w:tc>
          <w:tcPr>
            <w:tcW w:w="2032" w:type="dxa"/>
            <w:tcBorders>
              <w:tl2br w:val="nil"/>
              <w:tr2bl w:val="nil"/>
            </w:tcBorders>
            <w:noWrap w:val="0"/>
            <w:vAlign w:val="center"/>
          </w:tcPr>
          <w:p w14:paraId="1B69B8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宋兴生</w:t>
            </w:r>
          </w:p>
        </w:tc>
        <w:tc>
          <w:tcPr>
            <w:tcW w:w="1972" w:type="dxa"/>
            <w:tcBorders>
              <w:tl2br w:val="nil"/>
              <w:tr2bl w:val="nil"/>
            </w:tcBorders>
            <w:noWrap w:val="0"/>
            <w:vAlign w:val="center"/>
          </w:tcPr>
          <w:p w14:paraId="1C84E2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13537020585</w:t>
            </w:r>
          </w:p>
        </w:tc>
      </w:tr>
      <w:tr w14:paraId="46BC8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8" w:type="pct"/>
            <w:tcBorders>
              <w:tl2br w:val="nil"/>
              <w:tr2bl w:val="nil"/>
            </w:tcBorders>
            <w:noWrap w:val="0"/>
            <w:vAlign w:val="center"/>
          </w:tcPr>
          <w:p w14:paraId="4DB09703">
            <w:pPr>
              <w:pStyle w:val="158"/>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4</w:t>
            </w:r>
          </w:p>
        </w:tc>
        <w:tc>
          <w:tcPr>
            <w:tcW w:w="1509" w:type="pct"/>
            <w:tcBorders>
              <w:tl2br w:val="nil"/>
              <w:tr2bl w:val="nil"/>
            </w:tcBorders>
            <w:noWrap w:val="0"/>
            <w:vAlign w:val="center"/>
          </w:tcPr>
          <w:p w14:paraId="153D2B39">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综合协调</w:t>
            </w:r>
            <w:r>
              <w:rPr>
                <w:rFonts w:hint="default" w:ascii="Times New Roman" w:hAnsi="Times New Roman" w:eastAsia="宋体" w:cs="Times New Roman"/>
                <w:color w:val="auto"/>
                <w:sz w:val="21"/>
                <w:szCs w:val="21"/>
              </w:rPr>
              <w:t>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rPr>
              <w:t>组长</w:t>
            </w:r>
            <w:r>
              <w:rPr>
                <w:rFonts w:hint="default" w:ascii="Times New Roman" w:hAnsi="Times New Roman" w:eastAsia="宋体" w:cs="Times New Roman"/>
                <w:color w:val="auto"/>
                <w:sz w:val="21"/>
                <w:szCs w:val="21"/>
                <w:lang w:val="en-US" w:eastAsia="zh-CN"/>
              </w:rPr>
              <w:t>（B）</w:t>
            </w:r>
          </w:p>
        </w:tc>
        <w:tc>
          <w:tcPr>
            <w:tcW w:w="1962" w:type="dxa"/>
            <w:tcBorders>
              <w:tl2br w:val="nil"/>
              <w:tr2bl w:val="nil"/>
            </w:tcBorders>
            <w:noWrap w:val="0"/>
            <w:vAlign w:val="center"/>
          </w:tcPr>
          <w:p w14:paraId="15E680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木工</w:t>
            </w:r>
          </w:p>
        </w:tc>
        <w:tc>
          <w:tcPr>
            <w:tcW w:w="2032" w:type="dxa"/>
            <w:tcBorders>
              <w:tl2br w:val="nil"/>
              <w:tr2bl w:val="nil"/>
            </w:tcBorders>
            <w:noWrap w:val="0"/>
            <w:vAlign w:val="center"/>
          </w:tcPr>
          <w:p w14:paraId="46DBE7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rPr>
              <w:t>陈义明</w:t>
            </w:r>
          </w:p>
        </w:tc>
        <w:tc>
          <w:tcPr>
            <w:tcW w:w="1972" w:type="dxa"/>
            <w:tcBorders>
              <w:tl2br w:val="nil"/>
              <w:tr2bl w:val="nil"/>
            </w:tcBorders>
            <w:noWrap w:val="0"/>
            <w:vAlign w:val="center"/>
          </w:tcPr>
          <w:p w14:paraId="698A2D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15950229155</w:t>
            </w:r>
          </w:p>
        </w:tc>
      </w:tr>
      <w:tr w14:paraId="5545F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8" w:type="pct"/>
            <w:tcBorders>
              <w:tl2br w:val="nil"/>
              <w:tr2bl w:val="nil"/>
            </w:tcBorders>
            <w:noWrap w:val="0"/>
            <w:vAlign w:val="center"/>
          </w:tcPr>
          <w:p w14:paraId="07A9E465">
            <w:pPr>
              <w:pStyle w:val="158"/>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5</w:t>
            </w:r>
          </w:p>
        </w:tc>
        <w:tc>
          <w:tcPr>
            <w:tcW w:w="1509" w:type="pct"/>
            <w:tcBorders>
              <w:tl2br w:val="nil"/>
              <w:tr2bl w:val="nil"/>
            </w:tcBorders>
            <w:noWrap w:val="0"/>
            <w:vAlign w:val="center"/>
          </w:tcPr>
          <w:p w14:paraId="1A8D6797">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现场处置</w:t>
            </w:r>
            <w:r>
              <w:rPr>
                <w:rFonts w:hint="default" w:ascii="Times New Roman" w:hAnsi="Times New Roman" w:eastAsia="宋体" w:cs="Times New Roman"/>
                <w:color w:val="auto"/>
                <w:sz w:val="21"/>
                <w:szCs w:val="21"/>
              </w:rPr>
              <w:t>组组</w:t>
            </w:r>
            <w:r>
              <w:rPr>
                <w:rFonts w:hint="default" w:ascii="Times New Roman" w:hAnsi="Times New Roman" w:eastAsia="宋体" w:cs="Times New Roman"/>
                <w:color w:val="auto"/>
                <w:sz w:val="21"/>
                <w:szCs w:val="21"/>
                <w:lang w:val="en-US" w:eastAsia="zh-CN"/>
              </w:rPr>
              <w:t>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962" w:type="dxa"/>
            <w:tcBorders>
              <w:tl2br w:val="nil"/>
              <w:tr2bl w:val="nil"/>
            </w:tcBorders>
            <w:noWrap w:val="0"/>
            <w:vAlign w:val="center"/>
          </w:tcPr>
          <w:p w14:paraId="38B3FC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木工主管</w:t>
            </w:r>
          </w:p>
        </w:tc>
        <w:tc>
          <w:tcPr>
            <w:tcW w:w="2032" w:type="dxa"/>
            <w:tcBorders>
              <w:tl2br w:val="nil"/>
              <w:tr2bl w:val="nil"/>
            </w:tcBorders>
            <w:noWrap w:val="0"/>
            <w:vAlign w:val="center"/>
          </w:tcPr>
          <w:p w14:paraId="48DDB7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尹义华</w:t>
            </w:r>
          </w:p>
        </w:tc>
        <w:tc>
          <w:tcPr>
            <w:tcW w:w="1972" w:type="dxa"/>
            <w:tcBorders>
              <w:tl2br w:val="nil"/>
              <w:tr2bl w:val="nil"/>
            </w:tcBorders>
            <w:noWrap w:val="0"/>
            <w:vAlign w:val="center"/>
          </w:tcPr>
          <w:p w14:paraId="244CED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18896235998</w:t>
            </w:r>
          </w:p>
        </w:tc>
      </w:tr>
      <w:tr w14:paraId="22190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8" w:type="pct"/>
            <w:tcBorders>
              <w:tl2br w:val="nil"/>
              <w:tr2bl w:val="nil"/>
            </w:tcBorders>
            <w:noWrap w:val="0"/>
            <w:vAlign w:val="center"/>
          </w:tcPr>
          <w:p w14:paraId="3FE8AD5C">
            <w:pPr>
              <w:pStyle w:val="158"/>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6</w:t>
            </w:r>
          </w:p>
        </w:tc>
        <w:tc>
          <w:tcPr>
            <w:tcW w:w="1509" w:type="pct"/>
            <w:tcBorders>
              <w:tl2br w:val="nil"/>
              <w:tr2bl w:val="nil"/>
            </w:tcBorders>
            <w:noWrap w:val="0"/>
            <w:vAlign w:val="center"/>
          </w:tcPr>
          <w:p w14:paraId="2FF21F2D">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现场处置</w:t>
            </w:r>
            <w:r>
              <w:rPr>
                <w:rFonts w:hint="default" w:ascii="Times New Roman" w:hAnsi="Times New Roman" w:eastAsia="宋体" w:cs="Times New Roman"/>
                <w:color w:val="auto"/>
                <w:sz w:val="21"/>
                <w:szCs w:val="21"/>
              </w:rPr>
              <w:t>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rPr>
              <w:t>组</w:t>
            </w:r>
            <w:r>
              <w:rPr>
                <w:rFonts w:hint="default" w:ascii="Times New Roman" w:hAnsi="Times New Roman" w:eastAsia="宋体" w:cs="Times New Roman"/>
                <w:color w:val="auto"/>
                <w:sz w:val="21"/>
                <w:szCs w:val="21"/>
                <w:lang w:val="en-US" w:eastAsia="zh-CN"/>
              </w:rPr>
              <w:t>长（B）</w:t>
            </w:r>
          </w:p>
        </w:tc>
        <w:tc>
          <w:tcPr>
            <w:tcW w:w="1962" w:type="dxa"/>
            <w:tcBorders>
              <w:tl2br w:val="nil"/>
              <w:tr2bl w:val="nil"/>
            </w:tcBorders>
            <w:noWrap w:val="0"/>
            <w:vAlign w:val="center"/>
          </w:tcPr>
          <w:p w14:paraId="1B156F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木工</w:t>
            </w:r>
          </w:p>
        </w:tc>
        <w:tc>
          <w:tcPr>
            <w:tcW w:w="2032" w:type="dxa"/>
            <w:tcBorders>
              <w:tl2br w:val="nil"/>
              <w:tr2bl w:val="nil"/>
            </w:tcBorders>
            <w:noWrap w:val="0"/>
            <w:vAlign w:val="center"/>
          </w:tcPr>
          <w:p w14:paraId="67374E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eastAsia="zh-CN"/>
              </w:rPr>
              <w:t>吴宗刚</w:t>
            </w:r>
          </w:p>
        </w:tc>
        <w:tc>
          <w:tcPr>
            <w:tcW w:w="1972" w:type="dxa"/>
            <w:tcBorders>
              <w:tl2br w:val="nil"/>
              <w:tr2bl w:val="nil"/>
            </w:tcBorders>
            <w:noWrap w:val="0"/>
            <w:vAlign w:val="center"/>
          </w:tcPr>
          <w:p w14:paraId="70F668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13717374405</w:t>
            </w:r>
          </w:p>
        </w:tc>
      </w:tr>
      <w:tr w14:paraId="15849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8" w:type="pct"/>
            <w:tcBorders>
              <w:tl2br w:val="nil"/>
              <w:tr2bl w:val="nil"/>
            </w:tcBorders>
            <w:noWrap w:val="0"/>
            <w:vAlign w:val="center"/>
          </w:tcPr>
          <w:p w14:paraId="33F49626">
            <w:pPr>
              <w:pStyle w:val="158"/>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7</w:t>
            </w:r>
          </w:p>
        </w:tc>
        <w:tc>
          <w:tcPr>
            <w:tcW w:w="1509" w:type="pct"/>
            <w:tcBorders>
              <w:tl2br w:val="nil"/>
              <w:tr2bl w:val="nil"/>
            </w:tcBorders>
            <w:noWrap w:val="0"/>
            <w:vAlign w:val="center"/>
          </w:tcPr>
          <w:p w14:paraId="231891BE">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应急保障</w:t>
            </w:r>
            <w:r>
              <w:rPr>
                <w:rFonts w:hint="default" w:ascii="Times New Roman" w:hAnsi="Times New Roman" w:eastAsia="宋体" w:cs="Times New Roman"/>
                <w:color w:val="auto"/>
                <w:sz w:val="21"/>
                <w:szCs w:val="21"/>
              </w:rPr>
              <w:t>组组长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962" w:type="dxa"/>
            <w:tcBorders>
              <w:tl2br w:val="nil"/>
              <w:tr2bl w:val="nil"/>
            </w:tcBorders>
            <w:noWrap w:val="0"/>
            <w:vAlign w:val="center"/>
          </w:tcPr>
          <w:p w14:paraId="3A7E44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包装主管</w:t>
            </w:r>
          </w:p>
        </w:tc>
        <w:tc>
          <w:tcPr>
            <w:tcW w:w="2032" w:type="dxa"/>
            <w:tcBorders>
              <w:tl2br w:val="nil"/>
              <w:tr2bl w:val="nil"/>
            </w:tcBorders>
            <w:noWrap w:val="0"/>
            <w:vAlign w:val="center"/>
          </w:tcPr>
          <w:p w14:paraId="1B9C94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胡建华</w:t>
            </w:r>
          </w:p>
        </w:tc>
        <w:tc>
          <w:tcPr>
            <w:tcW w:w="1972" w:type="dxa"/>
            <w:tcBorders>
              <w:tl2br w:val="nil"/>
              <w:tr2bl w:val="nil"/>
            </w:tcBorders>
            <w:noWrap w:val="0"/>
            <w:vAlign w:val="center"/>
          </w:tcPr>
          <w:p w14:paraId="1C64F4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13662805790</w:t>
            </w:r>
          </w:p>
        </w:tc>
      </w:tr>
      <w:tr w14:paraId="2E2A7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8" w:type="pct"/>
            <w:tcBorders>
              <w:tl2br w:val="nil"/>
              <w:tr2bl w:val="nil"/>
            </w:tcBorders>
            <w:noWrap w:val="0"/>
            <w:vAlign w:val="center"/>
          </w:tcPr>
          <w:p w14:paraId="1D29FDAF">
            <w:pPr>
              <w:pStyle w:val="158"/>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8</w:t>
            </w:r>
          </w:p>
        </w:tc>
        <w:tc>
          <w:tcPr>
            <w:tcW w:w="1509" w:type="pct"/>
            <w:tcBorders>
              <w:tl2br w:val="nil"/>
              <w:tr2bl w:val="nil"/>
            </w:tcBorders>
            <w:noWrap w:val="0"/>
            <w:vAlign w:val="center"/>
          </w:tcPr>
          <w:p w14:paraId="5451E203">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应急保障</w:t>
            </w:r>
            <w:r>
              <w:rPr>
                <w:rFonts w:hint="default" w:ascii="Times New Roman" w:hAnsi="Times New Roman" w:eastAsia="宋体" w:cs="Times New Roman"/>
                <w:color w:val="auto"/>
                <w:sz w:val="21"/>
                <w:szCs w:val="21"/>
              </w:rPr>
              <w:t>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rPr>
              <w:t>组长</w:t>
            </w:r>
            <w:r>
              <w:rPr>
                <w:rFonts w:hint="default" w:ascii="Times New Roman" w:hAnsi="Times New Roman" w:eastAsia="宋体" w:cs="Times New Roman"/>
                <w:color w:val="auto"/>
                <w:sz w:val="21"/>
                <w:szCs w:val="21"/>
                <w:lang w:val="en-US" w:eastAsia="zh-CN"/>
              </w:rPr>
              <w:t>（B）</w:t>
            </w:r>
          </w:p>
        </w:tc>
        <w:tc>
          <w:tcPr>
            <w:tcW w:w="1962" w:type="dxa"/>
            <w:tcBorders>
              <w:tl2br w:val="nil"/>
              <w:tr2bl w:val="nil"/>
            </w:tcBorders>
            <w:noWrap w:val="0"/>
            <w:vAlign w:val="center"/>
          </w:tcPr>
          <w:p w14:paraId="257B7B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包装</w:t>
            </w:r>
          </w:p>
        </w:tc>
        <w:tc>
          <w:tcPr>
            <w:tcW w:w="2032" w:type="dxa"/>
            <w:tcBorders>
              <w:tl2br w:val="nil"/>
              <w:tr2bl w:val="nil"/>
            </w:tcBorders>
            <w:noWrap w:val="0"/>
            <w:vAlign w:val="center"/>
          </w:tcPr>
          <w:p w14:paraId="7995E3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eastAsia="zh-CN"/>
              </w:rPr>
              <w:t>陈芬</w:t>
            </w:r>
          </w:p>
        </w:tc>
        <w:tc>
          <w:tcPr>
            <w:tcW w:w="1972" w:type="dxa"/>
            <w:tcBorders>
              <w:tl2br w:val="nil"/>
              <w:tr2bl w:val="nil"/>
            </w:tcBorders>
            <w:noWrap w:val="0"/>
            <w:vAlign w:val="center"/>
          </w:tcPr>
          <w:p w14:paraId="2A3E6D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13921624569</w:t>
            </w:r>
          </w:p>
        </w:tc>
      </w:tr>
      <w:tr w14:paraId="2E8FF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8" w:type="pct"/>
            <w:tcBorders>
              <w:tl2br w:val="nil"/>
              <w:tr2bl w:val="nil"/>
            </w:tcBorders>
            <w:noWrap w:val="0"/>
            <w:vAlign w:val="center"/>
          </w:tcPr>
          <w:p w14:paraId="43594F36">
            <w:pPr>
              <w:pStyle w:val="158"/>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9</w:t>
            </w:r>
          </w:p>
        </w:tc>
        <w:tc>
          <w:tcPr>
            <w:tcW w:w="1509" w:type="pct"/>
            <w:tcBorders>
              <w:tl2br w:val="nil"/>
              <w:tr2bl w:val="nil"/>
            </w:tcBorders>
            <w:noWrap w:val="0"/>
            <w:vAlign w:val="center"/>
          </w:tcPr>
          <w:p w14:paraId="78ABA7CE">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医疗救治组组长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962" w:type="dxa"/>
            <w:tcBorders>
              <w:tl2br w:val="nil"/>
              <w:tr2bl w:val="nil"/>
            </w:tcBorders>
            <w:noWrap w:val="0"/>
            <w:vAlign w:val="center"/>
          </w:tcPr>
          <w:p w14:paraId="674DA8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生产计划管理</w:t>
            </w:r>
          </w:p>
        </w:tc>
        <w:tc>
          <w:tcPr>
            <w:tcW w:w="2032" w:type="dxa"/>
            <w:tcBorders>
              <w:tl2br w:val="nil"/>
              <w:tr2bl w:val="nil"/>
            </w:tcBorders>
            <w:noWrap w:val="0"/>
            <w:vAlign w:val="center"/>
          </w:tcPr>
          <w:p w14:paraId="72F070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rPr>
              <w:t>孙雅君</w:t>
            </w:r>
          </w:p>
        </w:tc>
        <w:tc>
          <w:tcPr>
            <w:tcW w:w="1972" w:type="dxa"/>
            <w:tcBorders>
              <w:tl2br w:val="nil"/>
              <w:tr2bl w:val="nil"/>
            </w:tcBorders>
            <w:noWrap w:val="0"/>
            <w:vAlign w:val="center"/>
          </w:tcPr>
          <w:p w14:paraId="2F90A2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18362193957</w:t>
            </w:r>
          </w:p>
        </w:tc>
      </w:tr>
      <w:tr w14:paraId="4B86C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8" w:type="pct"/>
            <w:tcBorders>
              <w:tl2br w:val="nil"/>
              <w:tr2bl w:val="nil"/>
            </w:tcBorders>
            <w:noWrap w:val="0"/>
            <w:vAlign w:val="center"/>
          </w:tcPr>
          <w:p w14:paraId="1CEB42E1">
            <w:pPr>
              <w:pStyle w:val="158"/>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w:t>
            </w:r>
          </w:p>
        </w:tc>
        <w:tc>
          <w:tcPr>
            <w:tcW w:w="1509" w:type="pct"/>
            <w:tcBorders>
              <w:tl2br w:val="nil"/>
              <w:tr2bl w:val="nil"/>
            </w:tcBorders>
            <w:noWrap w:val="0"/>
            <w:vAlign w:val="center"/>
          </w:tcPr>
          <w:p w14:paraId="62503652">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医疗救治组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lang w:val="en-US" w:eastAsia="zh-CN"/>
              </w:rPr>
              <w:t>组长（B）</w:t>
            </w:r>
          </w:p>
        </w:tc>
        <w:tc>
          <w:tcPr>
            <w:tcW w:w="1962" w:type="dxa"/>
            <w:tcBorders>
              <w:tl2br w:val="nil"/>
              <w:tr2bl w:val="nil"/>
            </w:tcBorders>
            <w:noWrap w:val="0"/>
            <w:vAlign w:val="center"/>
          </w:tcPr>
          <w:p w14:paraId="20B34D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文员</w:t>
            </w:r>
          </w:p>
        </w:tc>
        <w:tc>
          <w:tcPr>
            <w:tcW w:w="2032" w:type="dxa"/>
            <w:tcBorders>
              <w:tl2br w:val="nil"/>
              <w:tr2bl w:val="nil"/>
            </w:tcBorders>
            <w:noWrap w:val="0"/>
            <w:vAlign w:val="center"/>
          </w:tcPr>
          <w:p w14:paraId="6893D0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eastAsia="zh-CN"/>
              </w:rPr>
              <w:t>张沁瑶</w:t>
            </w:r>
          </w:p>
        </w:tc>
        <w:tc>
          <w:tcPr>
            <w:tcW w:w="1972" w:type="dxa"/>
            <w:tcBorders>
              <w:tl2br w:val="nil"/>
              <w:tr2bl w:val="nil"/>
            </w:tcBorders>
            <w:noWrap w:val="0"/>
            <w:vAlign w:val="center"/>
          </w:tcPr>
          <w:p w14:paraId="69261D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18862719216</w:t>
            </w:r>
          </w:p>
        </w:tc>
      </w:tr>
      <w:tr w14:paraId="44ED7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8" w:type="pct"/>
            <w:tcBorders>
              <w:tl2br w:val="nil"/>
              <w:tr2bl w:val="nil"/>
            </w:tcBorders>
            <w:noWrap w:val="0"/>
            <w:vAlign w:val="center"/>
          </w:tcPr>
          <w:p w14:paraId="75EFE290">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509" w:type="pct"/>
            <w:tcBorders>
              <w:tl2br w:val="nil"/>
              <w:tr2bl w:val="nil"/>
            </w:tcBorders>
            <w:noWrap w:val="0"/>
            <w:vAlign w:val="center"/>
          </w:tcPr>
          <w:p w14:paraId="1EEA09AA">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应急监测组组长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962" w:type="dxa"/>
            <w:tcBorders>
              <w:tl2br w:val="nil"/>
              <w:tr2bl w:val="nil"/>
            </w:tcBorders>
            <w:noWrap w:val="0"/>
            <w:vAlign w:val="center"/>
          </w:tcPr>
          <w:p w14:paraId="2A25C0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油漆主管</w:t>
            </w:r>
          </w:p>
        </w:tc>
        <w:tc>
          <w:tcPr>
            <w:tcW w:w="2032" w:type="dxa"/>
            <w:tcBorders>
              <w:tl2br w:val="nil"/>
              <w:tr2bl w:val="nil"/>
            </w:tcBorders>
            <w:noWrap w:val="0"/>
            <w:vAlign w:val="center"/>
          </w:tcPr>
          <w:p w14:paraId="1FE112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eastAsia="zh-CN"/>
              </w:rPr>
              <w:t>周裕忠</w:t>
            </w:r>
          </w:p>
        </w:tc>
        <w:tc>
          <w:tcPr>
            <w:tcW w:w="1972" w:type="dxa"/>
            <w:tcBorders>
              <w:tl2br w:val="nil"/>
              <w:tr2bl w:val="nil"/>
            </w:tcBorders>
            <w:noWrap w:val="0"/>
            <w:vAlign w:val="center"/>
          </w:tcPr>
          <w:p w14:paraId="7FA31C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13661640508</w:t>
            </w:r>
          </w:p>
        </w:tc>
      </w:tr>
      <w:tr w14:paraId="37F40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8" w:type="pct"/>
            <w:tcBorders>
              <w:tl2br w:val="nil"/>
              <w:tr2bl w:val="nil"/>
            </w:tcBorders>
            <w:noWrap w:val="0"/>
            <w:vAlign w:val="center"/>
          </w:tcPr>
          <w:p w14:paraId="31EA4622">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509" w:type="pct"/>
            <w:tcBorders>
              <w:tl2br w:val="nil"/>
              <w:tr2bl w:val="nil"/>
            </w:tcBorders>
            <w:noWrap w:val="0"/>
            <w:vAlign w:val="center"/>
          </w:tcPr>
          <w:p w14:paraId="46855FED">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应急监测组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lang w:val="en-US" w:eastAsia="zh-CN"/>
              </w:rPr>
              <w:t>组长（B）</w:t>
            </w:r>
          </w:p>
        </w:tc>
        <w:tc>
          <w:tcPr>
            <w:tcW w:w="1962" w:type="dxa"/>
            <w:tcBorders>
              <w:tl2br w:val="nil"/>
              <w:tr2bl w:val="nil"/>
            </w:tcBorders>
            <w:noWrap w:val="0"/>
            <w:vAlign w:val="center"/>
          </w:tcPr>
          <w:p w14:paraId="0CCDC7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修色</w:t>
            </w:r>
          </w:p>
        </w:tc>
        <w:tc>
          <w:tcPr>
            <w:tcW w:w="2032" w:type="dxa"/>
            <w:tcBorders>
              <w:tl2br w:val="nil"/>
              <w:tr2bl w:val="nil"/>
            </w:tcBorders>
            <w:noWrap w:val="0"/>
            <w:vAlign w:val="center"/>
          </w:tcPr>
          <w:p w14:paraId="279C9B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eastAsia="zh-CN"/>
              </w:rPr>
              <w:t>周裕辉</w:t>
            </w:r>
          </w:p>
        </w:tc>
        <w:tc>
          <w:tcPr>
            <w:tcW w:w="1972" w:type="dxa"/>
            <w:tcBorders>
              <w:tl2br w:val="nil"/>
              <w:tr2bl w:val="nil"/>
            </w:tcBorders>
            <w:noWrap w:val="0"/>
            <w:vAlign w:val="center"/>
          </w:tcPr>
          <w:p w14:paraId="42EBF2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18921655821</w:t>
            </w:r>
          </w:p>
        </w:tc>
      </w:tr>
      <w:tr w14:paraId="0C3B9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8" w:type="pct"/>
            <w:tcBorders>
              <w:tl2br w:val="nil"/>
              <w:tr2bl w:val="nil"/>
            </w:tcBorders>
            <w:noWrap w:val="0"/>
            <w:vAlign w:val="center"/>
          </w:tcPr>
          <w:p w14:paraId="6A72940B">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3516" w:type="pct"/>
            <w:gridSpan w:val="3"/>
            <w:tcBorders>
              <w:tl2br w:val="nil"/>
              <w:tr2bl w:val="nil"/>
            </w:tcBorders>
            <w:noWrap w:val="0"/>
            <w:vAlign w:val="center"/>
          </w:tcPr>
          <w:p w14:paraId="528C6F25">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公司值班电话</w:t>
            </w:r>
          </w:p>
        </w:tc>
        <w:tc>
          <w:tcPr>
            <w:tcW w:w="991" w:type="pct"/>
            <w:tcBorders>
              <w:tl2br w:val="nil"/>
              <w:tr2bl w:val="nil"/>
            </w:tcBorders>
            <w:noWrap w:val="0"/>
            <w:vAlign w:val="center"/>
          </w:tcPr>
          <w:p w14:paraId="1FE9ACEF">
            <w:pPr>
              <w:pStyle w:val="158"/>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18921655821</w:t>
            </w:r>
          </w:p>
        </w:tc>
      </w:tr>
    </w:tbl>
    <w:p w14:paraId="5CE4CEA2">
      <w:pPr>
        <w:pStyle w:val="252"/>
        <w:snapToGrid w:val="0"/>
        <w:outlineLvl w:val="2"/>
        <w:rPr>
          <w:rFonts w:eastAsia="宋体"/>
          <w:szCs w:val="24"/>
        </w:rPr>
      </w:pPr>
      <w:r>
        <w:rPr>
          <w:rFonts w:eastAsia="宋体"/>
          <w:szCs w:val="24"/>
        </w:rPr>
        <w:t>3.</w:t>
      </w:r>
      <w:r>
        <w:rPr>
          <w:rFonts w:hint="eastAsia"/>
          <w:szCs w:val="24"/>
        </w:rPr>
        <w:t>8.5</w:t>
      </w:r>
      <w:r>
        <w:rPr>
          <w:rFonts w:hint="eastAsia" w:eastAsia="宋体"/>
          <w:szCs w:val="24"/>
        </w:rPr>
        <w:t>外部应急救援力量</w:t>
      </w:r>
      <w:bookmarkEnd w:id="166"/>
      <w:bookmarkEnd w:id="167"/>
      <w:bookmarkEnd w:id="168"/>
    </w:p>
    <w:p w14:paraId="24753E9E">
      <w:pPr>
        <w:pStyle w:val="13"/>
        <w:spacing w:after="0" w:line="500" w:lineRule="exact"/>
        <w:ind w:firstLine="480" w:firstLineChars="200"/>
        <w:rPr>
          <w:rFonts w:eastAsia="宋体"/>
        </w:rPr>
      </w:pPr>
      <w:r>
        <w:rPr>
          <w:rFonts w:eastAsia="宋体"/>
        </w:rPr>
        <w:t>当遇到较大或重大突发环境事件时，应及时向表3-</w:t>
      </w:r>
      <w:r>
        <w:rPr>
          <w:rFonts w:hint="eastAsia" w:eastAsia="宋体"/>
        </w:rPr>
        <w:t>2</w:t>
      </w:r>
      <w:r>
        <w:rPr>
          <w:rFonts w:hint="eastAsia" w:eastAsia="宋体"/>
          <w:lang w:val="en-US" w:eastAsia="zh-CN"/>
        </w:rPr>
        <w:t>1</w:t>
      </w:r>
      <w:r>
        <w:rPr>
          <w:rFonts w:eastAsia="宋体"/>
        </w:rPr>
        <w:t>中的外部应急救援力量请求援助，以便将事故造成的危害控制降至最低。</w:t>
      </w:r>
    </w:p>
    <w:p w14:paraId="2F52B46B">
      <w:pPr>
        <w:keepNext/>
        <w:keepLines/>
        <w:spacing w:line="500" w:lineRule="exact"/>
        <w:jc w:val="center"/>
        <w:rPr>
          <w:rFonts w:eastAsia="宋体"/>
          <w:b/>
          <w:bCs/>
        </w:rPr>
      </w:pPr>
      <w:r>
        <w:rPr>
          <w:rFonts w:eastAsia="宋体"/>
          <w:b/>
          <w:bCs/>
        </w:rPr>
        <w:t>表3-</w:t>
      </w:r>
      <w:r>
        <w:rPr>
          <w:rFonts w:hint="eastAsia" w:eastAsia="宋体"/>
          <w:b/>
          <w:bCs/>
        </w:rPr>
        <w:t>2</w:t>
      </w:r>
      <w:r>
        <w:rPr>
          <w:rFonts w:hint="eastAsia" w:eastAsia="宋体"/>
          <w:b/>
          <w:bCs/>
          <w:lang w:val="en-US" w:eastAsia="zh-CN"/>
        </w:rPr>
        <w:t>1</w:t>
      </w:r>
      <w:r>
        <w:rPr>
          <w:rFonts w:hint="eastAsia" w:eastAsia="宋体"/>
          <w:b/>
          <w:bCs/>
        </w:rPr>
        <w:t>外部应急救援通讯录</w:t>
      </w:r>
    </w:p>
    <w:tbl>
      <w:tblPr>
        <w:tblStyle w:val="38"/>
        <w:tblW w:w="0" w:type="auto"/>
        <w:tblInd w:w="1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26"/>
        <w:gridCol w:w="4270"/>
        <w:gridCol w:w="3309"/>
      </w:tblGrid>
      <w:tr w14:paraId="33EBC6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7D6D9B8D">
            <w:pPr>
              <w:pStyle w:val="143"/>
              <w:rPr>
                <w:b/>
                <w:sz w:val="21"/>
              </w:rPr>
            </w:pPr>
            <w:r>
              <w:rPr>
                <w:b/>
                <w:sz w:val="21"/>
              </w:rPr>
              <w:t>序号</w:t>
            </w:r>
          </w:p>
        </w:tc>
        <w:tc>
          <w:tcPr>
            <w:tcW w:w="4270" w:type="dxa"/>
            <w:tcBorders>
              <w:tl2br w:val="nil"/>
              <w:tr2bl w:val="nil"/>
            </w:tcBorders>
            <w:vAlign w:val="center"/>
          </w:tcPr>
          <w:p w14:paraId="2F1F307F">
            <w:pPr>
              <w:pStyle w:val="143"/>
              <w:rPr>
                <w:b/>
                <w:sz w:val="21"/>
              </w:rPr>
            </w:pPr>
            <w:r>
              <w:rPr>
                <w:b/>
                <w:sz w:val="21"/>
              </w:rPr>
              <w:t>部门名称</w:t>
            </w:r>
          </w:p>
        </w:tc>
        <w:tc>
          <w:tcPr>
            <w:tcW w:w="3309" w:type="dxa"/>
            <w:tcBorders>
              <w:tl2br w:val="nil"/>
              <w:tr2bl w:val="nil"/>
            </w:tcBorders>
            <w:vAlign w:val="center"/>
          </w:tcPr>
          <w:p w14:paraId="678F519C">
            <w:pPr>
              <w:pStyle w:val="143"/>
              <w:rPr>
                <w:b/>
                <w:sz w:val="21"/>
              </w:rPr>
            </w:pPr>
            <w:r>
              <w:rPr>
                <w:b/>
                <w:sz w:val="21"/>
              </w:rPr>
              <w:t>报警或值班电话</w:t>
            </w:r>
          </w:p>
        </w:tc>
      </w:tr>
      <w:tr w14:paraId="724397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31B36F84">
            <w:pPr>
              <w:pStyle w:val="143"/>
              <w:rPr>
                <w:rFonts w:ascii="Times New Roman"/>
                <w:sz w:val="21"/>
              </w:rPr>
            </w:pPr>
            <w:r>
              <w:rPr>
                <w:rFonts w:ascii="Times New Roman"/>
                <w:w w:val="99"/>
                <w:sz w:val="21"/>
              </w:rPr>
              <w:t>1</w:t>
            </w:r>
          </w:p>
        </w:tc>
        <w:tc>
          <w:tcPr>
            <w:tcW w:w="4270" w:type="dxa"/>
            <w:tcBorders>
              <w:tl2br w:val="nil"/>
              <w:tr2bl w:val="nil"/>
            </w:tcBorders>
            <w:vAlign w:val="center"/>
          </w:tcPr>
          <w:p w14:paraId="0EA57373">
            <w:pPr>
              <w:pStyle w:val="143"/>
              <w:rPr>
                <w:sz w:val="21"/>
              </w:rPr>
            </w:pPr>
            <w:r>
              <w:rPr>
                <w:sz w:val="21"/>
              </w:rPr>
              <w:t>海安市政府办公室</w:t>
            </w:r>
          </w:p>
        </w:tc>
        <w:tc>
          <w:tcPr>
            <w:tcW w:w="3309" w:type="dxa"/>
            <w:tcBorders>
              <w:tl2br w:val="nil"/>
              <w:tr2bl w:val="nil"/>
            </w:tcBorders>
            <w:vAlign w:val="center"/>
          </w:tcPr>
          <w:p w14:paraId="31BFCFA9">
            <w:pPr>
              <w:pStyle w:val="143"/>
              <w:rPr>
                <w:rFonts w:ascii="Times New Roman"/>
                <w:sz w:val="21"/>
              </w:rPr>
            </w:pPr>
            <w:r>
              <w:rPr>
                <w:rFonts w:hint="eastAsia" w:ascii="Times New Roman"/>
                <w:sz w:val="21"/>
              </w:rPr>
              <w:t>0513-</w:t>
            </w:r>
            <w:r>
              <w:rPr>
                <w:rFonts w:ascii="Times New Roman"/>
                <w:sz w:val="21"/>
              </w:rPr>
              <w:t>88813815</w:t>
            </w:r>
          </w:p>
        </w:tc>
      </w:tr>
      <w:tr w14:paraId="24D7DA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7EFE0DA8">
            <w:pPr>
              <w:pStyle w:val="143"/>
              <w:rPr>
                <w:rFonts w:ascii="Times New Roman"/>
                <w:sz w:val="21"/>
              </w:rPr>
            </w:pPr>
            <w:r>
              <w:rPr>
                <w:rFonts w:ascii="Times New Roman"/>
                <w:w w:val="99"/>
                <w:sz w:val="21"/>
              </w:rPr>
              <w:t>2</w:t>
            </w:r>
          </w:p>
        </w:tc>
        <w:tc>
          <w:tcPr>
            <w:tcW w:w="4270" w:type="dxa"/>
            <w:tcBorders>
              <w:tl2br w:val="nil"/>
              <w:tr2bl w:val="nil"/>
            </w:tcBorders>
            <w:vAlign w:val="center"/>
          </w:tcPr>
          <w:p w14:paraId="46642EE9">
            <w:pPr>
              <w:pStyle w:val="143"/>
              <w:rPr>
                <w:sz w:val="21"/>
              </w:rPr>
            </w:pPr>
            <w:r>
              <w:rPr>
                <w:sz w:val="21"/>
              </w:rPr>
              <w:t>海安市应急管理局</w:t>
            </w:r>
          </w:p>
        </w:tc>
        <w:tc>
          <w:tcPr>
            <w:tcW w:w="3309" w:type="dxa"/>
            <w:tcBorders>
              <w:tl2br w:val="nil"/>
              <w:tr2bl w:val="nil"/>
            </w:tcBorders>
            <w:vAlign w:val="center"/>
          </w:tcPr>
          <w:p w14:paraId="4578A926">
            <w:pPr>
              <w:pStyle w:val="143"/>
              <w:rPr>
                <w:rFonts w:ascii="Times New Roman"/>
                <w:sz w:val="21"/>
              </w:rPr>
            </w:pPr>
            <w:r>
              <w:rPr>
                <w:rFonts w:hint="eastAsia" w:ascii="Times New Roman"/>
                <w:sz w:val="21"/>
              </w:rPr>
              <w:t>0513-</w:t>
            </w:r>
            <w:r>
              <w:rPr>
                <w:rFonts w:ascii="Times New Roman"/>
                <w:sz w:val="21"/>
              </w:rPr>
              <w:t>88169809</w:t>
            </w:r>
          </w:p>
        </w:tc>
      </w:tr>
      <w:tr w14:paraId="723904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75D52C0">
            <w:pPr>
              <w:pStyle w:val="143"/>
              <w:rPr>
                <w:rFonts w:ascii="Times New Roman"/>
                <w:sz w:val="21"/>
              </w:rPr>
            </w:pPr>
            <w:r>
              <w:rPr>
                <w:rFonts w:ascii="Times New Roman"/>
                <w:w w:val="99"/>
                <w:sz w:val="21"/>
              </w:rPr>
              <w:t>3</w:t>
            </w:r>
          </w:p>
        </w:tc>
        <w:tc>
          <w:tcPr>
            <w:tcW w:w="4270" w:type="dxa"/>
            <w:tcBorders>
              <w:tl2br w:val="nil"/>
              <w:tr2bl w:val="nil"/>
            </w:tcBorders>
            <w:vAlign w:val="center"/>
          </w:tcPr>
          <w:p w14:paraId="3AD935D8">
            <w:pPr>
              <w:pStyle w:val="143"/>
              <w:rPr>
                <w:sz w:val="21"/>
              </w:rPr>
            </w:pPr>
            <w:r>
              <w:rPr>
                <w:sz w:val="21"/>
              </w:rPr>
              <w:t>海安市公安局</w:t>
            </w:r>
          </w:p>
        </w:tc>
        <w:tc>
          <w:tcPr>
            <w:tcW w:w="3309" w:type="dxa"/>
            <w:tcBorders>
              <w:tl2br w:val="nil"/>
              <w:tr2bl w:val="nil"/>
            </w:tcBorders>
            <w:vAlign w:val="center"/>
          </w:tcPr>
          <w:p w14:paraId="01ED6C33">
            <w:pPr>
              <w:pStyle w:val="143"/>
              <w:rPr>
                <w:rFonts w:ascii="Times New Roman"/>
                <w:sz w:val="21"/>
              </w:rPr>
            </w:pPr>
            <w:r>
              <w:rPr>
                <w:rFonts w:hint="eastAsia" w:ascii="Times New Roman"/>
                <w:sz w:val="21"/>
              </w:rPr>
              <w:t>0513-</w:t>
            </w:r>
            <w:r>
              <w:rPr>
                <w:rFonts w:ascii="Times New Roman"/>
                <w:sz w:val="21"/>
              </w:rPr>
              <w:t>88926999</w:t>
            </w:r>
          </w:p>
        </w:tc>
      </w:tr>
      <w:tr w14:paraId="347A5E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1363D512">
            <w:pPr>
              <w:pStyle w:val="143"/>
              <w:rPr>
                <w:rFonts w:ascii="Times New Roman"/>
                <w:sz w:val="21"/>
              </w:rPr>
            </w:pPr>
            <w:r>
              <w:rPr>
                <w:rFonts w:ascii="Times New Roman"/>
                <w:w w:val="99"/>
                <w:sz w:val="21"/>
              </w:rPr>
              <w:t>4</w:t>
            </w:r>
          </w:p>
        </w:tc>
        <w:tc>
          <w:tcPr>
            <w:tcW w:w="4270" w:type="dxa"/>
            <w:tcBorders>
              <w:tl2br w:val="nil"/>
              <w:tr2bl w:val="nil"/>
            </w:tcBorders>
            <w:vAlign w:val="center"/>
          </w:tcPr>
          <w:p w14:paraId="5D41B99D">
            <w:pPr>
              <w:pStyle w:val="143"/>
              <w:rPr>
                <w:sz w:val="21"/>
              </w:rPr>
            </w:pPr>
            <w:r>
              <w:rPr>
                <w:sz w:val="21"/>
              </w:rPr>
              <w:t>海安市治安大队</w:t>
            </w:r>
          </w:p>
        </w:tc>
        <w:tc>
          <w:tcPr>
            <w:tcW w:w="3309" w:type="dxa"/>
            <w:tcBorders>
              <w:tl2br w:val="nil"/>
              <w:tr2bl w:val="nil"/>
            </w:tcBorders>
            <w:vAlign w:val="center"/>
          </w:tcPr>
          <w:p w14:paraId="095CC06D">
            <w:pPr>
              <w:pStyle w:val="143"/>
              <w:rPr>
                <w:rFonts w:ascii="Times New Roman"/>
                <w:sz w:val="21"/>
              </w:rPr>
            </w:pPr>
            <w:r>
              <w:rPr>
                <w:rFonts w:ascii="Times New Roman"/>
                <w:sz w:val="21"/>
              </w:rPr>
              <w:t>110</w:t>
            </w:r>
          </w:p>
        </w:tc>
      </w:tr>
      <w:tr w14:paraId="684565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5725FDE6">
            <w:pPr>
              <w:pStyle w:val="143"/>
              <w:rPr>
                <w:rFonts w:ascii="Times New Roman"/>
                <w:sz w:val="21"/>
              </w:rPr>
            </w:pPr>
            <w:r>
              <w:rPr>
                <w:rFonts w:ascii="Times New Roman"/>
                <w:w w:val="99"/>
                <w:sz w:val="21"/>
              </w:rPr>
              <w:t>5</w:t>
            </w:r>
          </w:p>
        </w:tc>
        <w:tc>
          <w:tcPr>
            <w:tcW w:w="4270" w:type="dxa"/>
            <w:tcBorders>
              <w:tl2br w:val="nil"/>
              <w:tr2bl w:val="nil"/>
            </w:tcBorders>
            <w:vAlign w:val="center"/>
          </w:tcPr>
          <w:p w14:paraId="3D9BE841">
            <w:pPr>
              <w:pStyle w:val="143"/>
              <w:rPr>
                <w:sz w:val="21"/>
              </w:rPr>
            </w:pPr>
            <w:r>
              <w:rPr>
                <w:sz w:val="21"/>
              </w:rPr>
              <w:t>海安市消防救援大队</w:t>
            </w:r>
          </w:p>
        </w:tc>
        <w:tc>
          <w:tcPr>
            <w:tcW w:w="3309" w:type="dxa"/>
            <w:tcBorders>
              <w:tl2br w:val="nil"/>
              <w:tr2bl w:val="nil"/>
            </w:tcBorders>
            <w:vAlign w:val="center"/>
          </w:tcPr>
          <w:p w14:paraId="7137DD35">
            <w:pPr>
              <w:pStyle w:val="143"/>
              <w:rPr>
                <w:sz w:val="21"/>
              </w:rPr>
            </w:pPr>
            <w:r>
              <w:rPr>
                <w:rFonts w:ascii="Times New Roman" w:eastAsia="Times New Roman"/>
                <w:sz w:val="21"/>
              </w:rPr>
              <w:t>119</w:t>
            </w:r>
            <w:r>
              <w:rPr>
                <w:sz w:val="21"/>
              </w:rPr>
              <w:t>（火警）</w:t>
            </w:r>
          </w:p>
        </w:tc>
      </w:tr>
      <w:tr w14:paraId="09A014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1E889D1">
            <w:pPr>
              <w:pStyle w:val="143"/>
              <w:rPr>
                <w:rFonts w:ascii="Times New Roman"/>
                <w:sz w:val="21"/>
              </w:rPr>
            </w:pPr>
            <w:r>
              <w:rPr>
                <w:rFonts w:ascii="Times New Roman"/>
                <w:w w:val="99"/>
                <w:sz w:val="21"/>
              </w:rPr>
              <w:t>6</w:t>
            </w:r>
          </w:p>
        </w:tc>
        <w:tc>
          <w:tcPr>
            <w:tcW w:w="4270" w:type="dxa"/>
            <w:tcBorders>
              <w:tl2br w:val="nil"/>
              <w:tr2bl w:val="nil"/>
            </w:tcBorders>
            <w:vAlign w:val="center"/>
          </w:tcPr>
          <w:p w14:paraId="31CF436E">
            <w:pPr>
              <w:pStyle w:val="143"/>
              <w:rPr>
                <w:sz w:val="21"/>
              </w:rPr>
            </w:pPr>
            <w:r>
              <w:rPr>
                <w:sz w:val="21"/>
              </w:rPr>
              <w:t>南通市海安生态环境局</w:t>
            </w:r>
          </w:p>
        </w:tc>
        <w:tc>
          <w:tcPr>
            <w:tcW w:w="3309" w:type="dxa"/>
            <w:tcBorders>
              <w:tl2br w:val="nil"/>
              <w:tr2bl w:val="nil"/>
            </w:tcBorders>
            <w:vAlign w:val="center"/>
          </w:tcPr>
          <w:p w14:paraId="0D27BA16">
            <w:pPr>
              <w:pStyle w:val="143"/>
              <w:rPr>
                <w:rFonts w:ascii="Times New Roman"/>
                <w:sz w:val="21"/>
              </w:rPr>
            </w:pPr>
            <w:r>
              <w:rPr>
                <w:rFonts w:hint="eastAsia" w:ascii="Times New Roman"/>
                <w:sz w:val="21"/>
              </w:rPr>
              <w:t>0513-</w:t>
            </w:r>
            <w:r>
              <w:rPr>
                <w:rFonts w:ascii="Times New Roman" w:hAnsi="Times New Roman" w:cs="Times New Roman"/>
                <w:sz w:val="21"/>
                <w:szCs w:val="21"/>
              </w:rPr>
              <w:t>8</w:t>
            </w:r>
            <w:r>
              <w:rPr>
                <w:rFonts w:hint="eastAsia" w:ascii="Times New Roman" w:hAnsi="Times New Roman" w:cs="Times New Roman"/>
                <w:sz w:val="21"/>
                <w:szCs w:val="21"/>
              </w:rPr>
              <w:t>1</w:t>
            </w:r>
            <w:r>
              <w:rPr>
                <w:rFonts w:ascii="Times New Roman" w:hAnsi="Times New Roman" w:cs="Times New Roman"/>
                <w:sz w:val="21"/>
                <w:szCs w:val="21"/>
              </w:rPr>
              <w:t>812369</w:t>
            </w:r>
          </w:p>
        </w:tc>
      </w:tr>
      <w:tr w14:paraId="6DC221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26" w:type="dxa"/>
            <w:tcBorders>
              <w:tl2br w:val="nil"/>
              <w:tr2bl w:val="nil"/>
            </w:tcBorders>
            <w:vAlign w:val="center"/>
          </w:tcPr>
          <w:p w14:paraId="2C7BB716">
            <w:pPr>
              <w:pStyle w:val="143"/>
              <w:rPr>
                <w:rFonts w:ascii="Times New Roman"/>
                <w:sz w:val="21"/>
              </w:rPr>
            </w:pPr>
            <w:r>
              <w:rPr>
                <w:rFonts w:ascii="Times New Roman"/>
                <w:w w:val="99"/>
                <w:sz w:val="21"/>
              </w:rPr>
              <w:t>7</w:t>
            </w:r>
          </w:p>
        </w:tc>
        <w:tc>
          <w:tcPr>
            <w:tcW w:w="4270" w:type="dxa"/>
            <w:tcBorders>
              <w:tl2br w:val="nil"/>
              <w:tr2bl w:val="nil"/>
            </w:tcBorders>
            <w:vAlign w:val="center"/>
          </w:tcPr>
          <w:p w14:paraId="3B449588">
            <w:pPr>
              <w:pStyle w:val="143"/>
              <w:rPr>
                <w:sz w:val="21"/>
              </w:rPr>
            </w:pPr>
            <w:r>
              <w:rPr>
                <w:rFonts w:hint="eastAsia"/>
                <w:sz w:val="21"/>
                <w:lang w:val="en-US" w:eastAsia="zh-CN"/>
              </w:rPr>
              <w:t>南通市</w:t>
            </w:r>
            <w:r>
              <w:rPr>
                <w:sz w:val="21"/>
              </w:rPr>
              <w:t>海安</w:t>
            </w:r>
            <w:r>
              <w:rPr>
                <w:rFonts w:hint="eastAsia"/>
                <w:sz w:val="21"/>
                <w:lang w:val="en-US" w:eastAsia="zh-CN"/>
              </w:rPr>
              <w:t>生态</w:t>
            </w:r>
            <w:r>
              <w:rPr>
                <w:sz w:val="21"/>
              </w:rPr>
              <w:t>环境监测站</w:t>
            </w:r>
          </w:p>
        </w:tc>
        <w:tc>
          <w:tcPr>
            <w:tcW w:w="3309" w:type="dxa"/>
            <w:tcBorders>
              <w:tl2br w:val="nil"/>
              <w:tr2bl w:val="nil"/>
            </w:tcBorders>
            <w:vAlign w:val="center"/>
          </w:tcPr>
          <w:p w14:paraId="4ED97FCD">
            <w:pPr>
              <w:pStyle w:val="143"/>
              <w:rPr>
                <w:rFonts w:ascii="Times New Roman"/>
                <w:sz w:val="21"/>
              </w:rPr>
            </w:pPr>
            <w:r>
              <w:rPr>
                <w:rFonts w:hint="eastAsia" w:ascii="Times New Roman"/>
                <w:sz w:val="21"/>
              </w:rPr>
              <w:t>0513-</w:t>
            </w:r>
            <w:r>
              <w:rPr>
                <w:rFonts w:ascii="Times New Roman"/>
                <w:sz w:val="21"/>
              </w:rPr>
              <w:t>88813610</w:t>
            </w:r>
          </w:p>
        </w:tc>
      </w:tr>
      <w:tr w14:paraId="031A4A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2BFF8C77">
            <w:pPr>
              <w:pStyle w:val="143"/>
              <w:rPr>
                <w:rFonts w:ascii="Times New Roman"/>
                <w:sz w:val="21"/>
              </w:rPr>
            </w:pPr>
            <w:r>
              <w:rPr>
                <w:rFonts w:ascii="Times New Roman"/>
                <w:w w:val="99"/>
                <w:sz w:val="21"/>
              </w:rPr>
              <w:t>9</w:t>
            </w:r>
          </w:p>
        </w:tc>
        <w:tc>
          <w:tcPr>
            <w:tcW w:w="4270" w:type="dxa"/>
            <w:tcBorders>
              <w:tl2br w:val="nil"/>
              <w:tr2bl w:val="nil"/>
            </w:tcBorders>
            <w:vAlign w:val="center"/>
          </w:tcPr>
          <w:p w14:paraId="12AF1849">
            <w:pPr>
              <w:pStyle w:val="143"/>
              <w:rPr>
                <w:sz w:val="21"/>
              </w:rPr>
            </w:pPr>
            <w:r>
              <w:rPr>
                <w:sz w:val="21"/>
              </w:rPr>
              <w:t>海安市急救中心</w:t>
            </w:r>
          </w:p>
        </w:tc>
        <w:tc>
          <w:tcPr>
            <w:tcW w:w="3309" w:type="dxa"/>
            <w:tcBorders>
              <w:tl2br w:val="nil"/>
              <w:tr2bl w:val="nil"/>
            </w:tcBorders>
            <w:vAlign w:val="center"/>
          </w:tcPr>
          <w:p w14:paraId="0EC1E7B6">
            <w:pPr>
              <w:pStyle w:val="143"/>
              <w:rPr>
                <w:rFonts w:ascii="Times New Roman"/>
                <w:sz w:val="21"/>
              </w:rPr>
            </w:pPr>
            <w:r>
              <w:rPr>
                <w:rFonts w:ascii="Times New Roman"/>
                <w:sz w:val="21"/>
              </w:rPr>
              <w:t>120</w:t>
            </w:r>
          </w:p>
        </w:tc>
      </w:tr>
      <w:tr w14:paraId="32429C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3195ABAD">
            <w:pPr>
              <w:pStyle w:val="143"/>
              <w:rPr>
                <w:rFonts w:ascii="Times New Roman"/>
                <w:sz w:val="21"/>
              </w:rPr>
            </w:pPr>
            <w:r>
              <w:rPr>
                <w:rFonts w:ascii="Times New Roman"/>
                <w:sz w:val="21"/>
              </w:rPr>
              <w:t>10</w:t>
            </w:r>
          </w:p>
        </w:tc>
        <w:tc>
          <w:tcPr>
            <w:tcW w:w="4270" w:type="dxa"/>
            <w:tcBorders>
              <w:tl2br w:val="nil"/>
              <w:tr2bl w:val="nil"/>
            </w:tcBorders>
            <w:vAlign w:val="center"/>
          </w:tcPr>
          <w:p w14:paraId="0CF61F0B">
            <w:pPr>
              <w:pStyle w:val="143"/>
              <w:rPr>
                <w:sz w:val="21"/>
              </w:rPr>
            </w:pPr>
            <w:r>
              <w:rPr>
                <w:sz w:val="21"/>
              </w:rPr>
              <w:t>政府热线</w:t>
            </w:r>
          </w:p>
        </w:tc>
        <w:tc>
          <w:tcPr>
            <w:tcW w:w="3309" w:type="dxa"/>
            <w:tcBorders>
              <w:tl2br w:val="nil"/>
              <w:tr2bl w:val="nil"/>
            </w:tcBorders>
            <w:vAlign w:val="center"/>
          </w:tcPr>
          <w:p w14:paraId="05CC746B">
            <w:pPr>
              <w:pStyle w:val="143"/>
              <w:rPr>
                <w:rFonts w:ascii="Times New Roman"/>
                <w:sz w:val="21"/>
              </w:rPr>
            </w:pPr>
            <w:r>
              <w:rPr>
                <w:rFonts w:ascii="Times New Roman"/>
                <w:sz w:val="21"/>
              </w:rPr>
              <w:t>12345</w:t>
            </w:r>
          </w:p>
        </w:tc>
      </w:tr>
      <w:tr w14:paraId="073092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53BCA5EC">
            <w:pPr>
              <w:pStyle w:val="143"/>
              <w:rPr>
                <w:rFonts w:ascii="Times New Roman"/>
                <w:sz w:val="21"/>
              </w:rPr>
            </w:pPr>
            <w:r>
              <w:rPr>
                <w:rFonts w:ascii="Times New Roman"/>
                <w:sz w:val="21"/>
              </w:rPr>
              <w:t>11</w:t>
            </w:r>
          </w:p>
        </w:tc>
        <w:tc>
          <w:tcPr>
            <w:tcW w:w="4270" w:type="dxa"/>
            <w:tcBorders>
              <w:tl2br w:val="nil"/>
              <w:tr2bl w:val="nil"/>
            </w:tcBorders>
            <w:vAlign w:val="center"/>
          </w:tcPr>
          <w:p w14:paraId="6D353B36">
            <w:pPr>
              <w:pStyle w:val="143"/>
              <w:rPr>
                <w:sz w:val="21"/>
              </w:rPr>
            </w:pPr>
            <w:r>
              <w:rPr>
                <w:sz w:val="21"/>
              </w:rPr>
              <w:t>环保热线</w:t>
            </w:r>
          </w:p>
        </w:tc>
        <w:tc>
          <w:tcPr>
            <w:tcW w:w="3309" w:type="dxa"/>
            <w:tcBorders>
              <w:tl2br w:val="nil"/>
              <w:tr2bl w:val="nil"/>
            </w:tcBorders>
            <w:vAlign w:val="center"/>
          </w:tcPr>
          <w:p w14:paraId="541BB6A5">
            <w:pPr>
              <w:pStyle w:val="143"/>
              <w:rPr>
                <w:rFonts w:ascii="Times New Roman"/>
                <w:sz w:val="21"/>
              </w:rPr>
            </w:pPr>
            <w:r>
              <w:rPr>
                <w:rFonts w:ascii="Times New Roman"/>
                <w:sz w:val="21"/>
              </w:rPr>
              <w:t>12369</w:t>
            </w:r>
          </w:p>
        </w:tc>
      </w:tr>
      <w:tr w14:paraId="68D5A9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4BDEE6F5">
            <w:pPr>
              <w:pStyle w:val="143"/>
              <w:rPr>
                <w:rFonts w:ascii="Times New Roman"/>
                <w:sz w:val="21"/>
              </w:rPr>
            </w:pPr>
            <w:r>
              <w:rPr>
                <w:rFonts w:ascii="Times New Roman"/>
                <w:sz w:val="21"/>
              </w:rPr>
              <w:t>12</w:t>
            </w:r>
          </w:p>
        </w:tc>
        <w:tc>
          <w:tcPr>
            <w:tcW w:w="4270" w:type="dxa"/>
            <w:tcBorders>
              <w:tl2br w:val="nil"/>
              <w:tr2bl w:val="nil"/>
            </w:tcBorders>
            <w:vAlign w:val="center"/>
          </w:tcPr>
          <w:p w14:paraId="4F051138">
            <w:pPr>
              <w:pStyle w:val="143"/>
              <w:rPr>
                <w:sz w:val="21"/>
              </w:rPr>
            </w:pPr>
            <w:r>
              <w:rPr>
                <w:sz w:val="21"/>
              </w:rPr>
              <w:t>海安市卫健委</w:t>
            </w:r>
          </w:p>
        </w:tc>
        <w:tc>
          <w:tcPr>
            <w:tcW w:w="3309" w:type="dxa"/>
            <w:tcBorders>
              <w:tl2br w:val="nil"/>
              <w:tr2bl w:val="nil"/>
            </w:tcBorders>
            <w:vAlign w:val="center"/>
          </w:tcPr>
          <w:p w14:paraId="244D4082">
            <w:pPr>
              <w:pStyle w:val="143"/>
              <w:rPr>
                <w:rFonts w:ascii="Times New Roman"/>
                <w:sz w:val="21"/>
              </w:rPr>
            </w:pPr>
            <w:r>
              <w:rPr>
                <w:rFonts w:hint="eastAsia" w:ascii="Times New Roman"/>
                <w:sz w:val="21"/>
              </w:rPr>
              <w:t>0513-</w:t>
            </w:r>
            <w:r>
              <w:rPr>
                <w:rFonts w:ascii="Times New Roman"/>
                <w:sz w:val="21"/>
              </w:rPr>
              <w:t>88852279</w:t>
            </w:r>
          </w:p>
        </w:tc>
      </w:tr>
      <w:tr w14:paraId="513DA9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1160D2CA">
            <w:pPr>
              <w:pStyle w:val="143"/>
              <w:rPr>
                <w:rFonts w:ascii="Times New Roman"/>
                <w:sz w:val="21"/>
              </w:rPr>
            </w:pPr>
            <w:r>
              <w:rPr>
                <w:rFonts w:ascii="Times New Roman"/>
                <w:sz w:val="21"/>
              </w:rPr>
              <w:t>13</w:t>
            </w:r>
          </w:p>
        </w:tc>
        <w:tc>
          <w:tcPr>
            <w:tcW w:w="4270" w:type="dxa"/>
            <w:tcBorders>
              <w:tl2br w:val="nil"/>
              <w:tr2bl w:val="nil"/>
            </w:tcBorders>
            <w:vAlign w:val="center"/>
          </w:tcPr>
          <w:p w14:paraId="39553F62">
            <w:pPr>
              <w:pStyle w:val="143"/>
              <w:rPr>
                <w:sz w:val="21"/>
              </w:rPr>
            </w:pPr>
            <w:r>
              <w:rPr>
                <w:sz w:val="21"/>
              </w:rPr>
              <w:t>海安人民医院急诊室</w:t>
            </w:r>
          </w:p>
        </w:tc>
        <w:tc>
          <w:tcPr>
            <w:tcW w:w="3309" w:type="dxa"/>
            <w:tcBorders>
              <w:tl2br w:val="nil"/>
              <w:tr2bl w:val="nil"/>
            </w:tcBorders>
            <w:vAlign w:val="center"/>
          </w:tcPr>
          <w:p w14:paraId="0D30A3A4">
            <w:pPr>
              <w:pStyle w:val="143"/>
              <w:rPr>
                <w:rFonts w:ascii="Times New Roman"/>
                <w:sz w:val="21"/>
              </w:rPr>
            </w:pPr>
            <w:r>
              <w:rPr>
                <w:rFonts w:hint="eastAsia" w:ascii="Times New Roman"/>
                <w:sz w:val="21"/>
              </w:rPr>
              <w:t>0513-</w:t>
            </w:r>
            <w:r>
              <w:rPr>
                <w:rFonts w:ascii="Times New Roman"/>
                <w:sz w:val="21"/>
              </w:rPr>
              <w:t>88869509</w:t>
            </w:r>
          </w:p>
        </w:tc>
      </w:tr>
      <w:tr w14:paraId="34F655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0184B0D4">
            <w:pPr>
              <w:pStyle w:val="143"/>
              <w:rPr>
                <w:rFonts w:ascii="Times New Roman"/>
                <w:sz w:val="21"/>
              </w:rPr>
            </w:pPr>
            <w:r>
              <w:rPr>
                <w:rFonts w:ascii="Times New Roman"/>
                <w:sz w:val="21"/>
              </w:rPr>
              <w:t>14</w:t>
            </w:r>
          </w:p>
        </w:tc>
        <w:tc>
          <w:tcPr>
            <w:tcW w:w="4270" w:type="dxa"/>
            <w:tcBorders>
              <w:tl2br w:val="nil"/>
              <w:tr2bl w:val="nil"/>
            </w:tcBorders>
            <w:vAlign w:val="center"/>
          </w:tcPr>
          <w:p w14:paraId="52C88041">
            <w:pPr>
              <w:pStyle w:val="143"/>
              <w:rPr>
                <w:sz w:val="21"/>
              </w:rPr>
            </w:pPr>
            <w:r>
              <w:rPr>
                <w:sz w:val="21"/>
              </w:rPr>
              <w:t>海安市</w:t>
            </w:r>
            <w:r>
              <w:rPr>
                <w:rFonts w:hint="eastAsia"/>
                <w:sz w:val="21"/>
                <w:lang w:eastAsia="zh-CN"/>
              </w:rPr>
              <w:t>老坝港滨海新区</w:t>
            </w:r>
            <w:r>
              <w:rPr>
                <w:sz w:val="21"/>
              </w:rPr>
              <w:t>管委会</w:t>
            </w:r>
          </w:p>
        </w:tc>
        <w:tc>
          <w:tcPr>
            <w:tcW w:w="3309" w:type="dxa"/>
            <w:tcBorders>
              <w:tl2br w:val="nil"/>
              <w:tr2bl w:val="nil"/>
            </w:tcBorders>
            <w:vAlign w:val="center"/>
          </w:tcPr>
          <w:p w14:paraId="62CB5742">
            <w:pPr>
              <w:pStyle w:val="143"/>
              <w:rPr>
                <w:rFonts w:hint="eastAsia" w:ascii="Times New Roman" w:eastAsia="宋体"/>
                <w:sz w:val="21"/>
                <w:lang w:eastAsia="zh-CN"/>
              </w:rPr>
            </w:pPr>
            <w:r>
              <w:rPr>
                <w:rFonts w:hint="eastAsia" w:ascii="Times New Roman"/>
                <w:sz w:val="21"/>
              </w:rPr>
              <w:t>0513-</w:t>
            </w:r>
            <w:r>
              <w:rPr>
                <w:rFonts w:ascii="Times New Roman"/>
                <w:sz w:val="21"/>
              </w:rPr>
              <w:t>88</w:t>
            </w:r>
            <w:r>
              <w:rPr>
                <w:rFonts w:hint="eastAsia" w:ascii="Times New Roman"/>
                <w:sz w:val="21"/>
                <w:lang w:eastAsia="zh-CN"/>
              </w:rPr>
              <w:t>260111</w:t>
            </w:r>
          </w:p>
        </w:tc>
      </w:tr>
      <w:tr w14:paraId="00759F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0F769D4C">
            <w:pPr>
              <w:pStyle w:val="143"/>
              <w:rPr>
                <w:rFonts w:ascii="Times New Roman"/>
                <w:sz w:val="21"/>
              </w:rPr>
            </w:pPr>
            <w:r>
              <w:rPr>
                <w:rFonts w:ascii="Times New Roman"/>
                <w:sz w:val="21"/>
              </w:rPr>
              <w:t>1</w:t>
            </w:r>
            <w:r>
              <w:rPr>
                <w:rFonts w:hint="eastAsia" w:ascii="Times New Roman"/>
                <w:sz w:val="21"/>
              </w:rPr>
              <w:t>5</w:t>
            </w:r>
          </w:p>
        </w:tc>
        <w:tc>
          <w:tcPr>
            <w:tcW w:w="4270" w:type="dxa"/>
            <w:tcBorders>
              <w:tl2br w:val="nil"/>
              <w:tr2bl w:val="nil"/>
            </w:tcBorders>
            <w:vAlign w:val="center"/>
          </w:tcPr>
          <w:p w14:paraId="15115DAA">
            <w:pPr>
              <w:pStyle w:val="143"/>
              <w:rPr>
                <w:rFonts w:hint="eastAsia" w:ascii="宋体" w:hAnsi="宋体" w:eastAsia="宋体" w:cs="宋体"/>
                <w:kern w:val="2"/>
                <w:sz w:val="21"/>
                <w:szCs w:val="24"/>
                <w:lang w:val="en-US" w:eastAsia="zh-CN" w:bidi="ar-SA"/>
              </w:rPr>
            </w:pPr>
            <w:r>
              <w:rPr>
                <w:rFonts w:hint="eastAsia" w:ascii="宋体" w:hAnsi="宋体" w:eastAsia="宋体" w:cs="宋体"/>
                <w:i w:val="0"/>
                <w:iCs w:val="0"/>
                <w:caps w:val="0"/>
                <w:spacing w:val="0"/>
                <w:sz w:val="21"/>
                <w:szCs w:val="24"/>
                <w:u w:val="none"/>
              </w:rPr>
              <w:fldChar w:fldCharType="begin"/>
            </w:r>
            <w:r>
              <w:rPr>
                <w:rFonts w:hint="eastAsia" w:ascii="宋体" w:hAnsi="宋体" w:eastAsia="宋体" w:cs="宋体"/>
                <w:i w:val="0"/>
                <w:iCs w:val="0"/>
                <w:caps w:val="0"/>
                <w:spacing w:val="0"/>
                <w:sz w:val="21"/>
                <w:szCs w:val="24"/>
                <w:u w:val="none"/>
              </w:rPr>
              <w:instrText xml:space="preserve"> HYPERLINK "javascript:zxtb('XZXKTYPE_A','%E6%9A%82%E5%AD%98','card1','c0c20e02e73c43b89d16471f291e7db7','readonly')" </w:instrText>
            </w:r>
            <w:r>
              <w:rPr>
                <w:rFonts w:hint="eastAsia" w:ascii="宋体" w:hAnsi="宋体" w:eastAsia="宋体" w:cs="宋体"/>
                <w:i w:val="0"/>
                <w:iCs w:val="0"/>
                <w:caps w:val="0"/>
                <w:spacing w:val="0"/>
                <w:sz w:val="21"/>
                <w:szCs w:val="24"/>
                <w:u w:val="none"/>
              </w:rPr>
              <w:fldChar w:fldCharType="separate"/>
            </w:r>
            <w:r>
              <w:rPr>
                <w:rFonts w:hint="eastAsia" w:cs="宋体"/>
                <w:i w:val="0"/>
                <w:iCs w:val="0"/>
                <w:caps w:val="0"/>
                <w:spacing w:val="0"/>
                <w:sz w:val="21"/>
                <w:szCs w:val="24"/>
                <w:u w:val="none"/>
                <w:lang w:val="en-US" w:eastAsia="zh-CN"/>
              </w:rPr>
              <w:t>天鸿雁</w:t>
            </w:r>
            <w:r>
              <w:rPr>
                <w:rFonts w:hint="eastAsia" w:cs="宋体"/>
                <w:i w:val="0"/>
                <w:iCs w:val="0"/>
                <w:caps w:val="0"/>
                <w:spacing w:val="0"/>
                <w:sz w:val="21"/>
                <w:szCs w:val="24"/>
                <w:u w:val="none"/>
                <w:lang w:eastAsia="zh-CN"/>
              </w:rPr>
              <w:t>家具有限公司</w:t>
            </w:r>
            <w:r>
              <w:rPr>
                <w:rFonts w:hint="eastAsia" w:ascii="宋体" w:hAnsi="宋体" w:eastAsia="宋体" w:cs="宋体"/>
                <w:i w:val="0"/>
                <w:iCs w:val="0"/>
                <w:caps w:val="0"/>
                <w:spacing w:val="0"/>
                <w:sz w:val="21"/>
                <w:szCs w:val="24"/>
                <w:u w:val="none"/>
              </w:rPr>
              <w:fldChar w:fldCharType="end"/>
            </w:r>
          </w:p>
        </w:tc>
        <w:tc>
          <w:tcPr>
            <w:tcW w:w="3309" w:type="dxa"/>
            <w:tcBorders>
              <w:tl2br w:val="nil"/>
              <w:tr2bl w:val="nil"/>
            </w:tcBorders>
            <w:vAlign w:val="center"/>
          </w:tcPr>
          <w:p w14:paraId="667279B8">
            <w:pPr>
              <w:pStyle w:val="143"/>
              <w:rPr>
                <w:rFonts w:hint="eastAsia" w:ascii="Times New Roman" w:hAnsi="宋体" w:eastAsia="宋体" w:cs="宋体"/>
                <w:kern w:val="2"/>
                <w:sz w:val="21"/>
                <w:szCs w:val="24"/>
                <w:lang w:val="en-US" w:eastAsia="zh-CN" w:bidi="ar-SA"/>
              </w:rPr>
            </w:pPr>
            <w:r>
              <w:rPr>
                <w:rFonts w:hint="eastAsia" w:ascii="Times New Roman" w:hAnsi="Times New Roman" w:eastAsia="宋体" w:cs="Times New Roman"/>
                <w:b w:val="0"/>
                <w:bCs w:val="0"/>
                <w:color w:val="000000"/>
                <w:kern w:val="2"/>
                <w:sz w:val="21"/>
                <w:szCs w:val="21"/>
                <w:lang w:val="en-US" w:eastAsia="zh-CN" w:bidi="ar-SA"/>
              </w:rPr>
              <w:t>13915414768</w:t>
            </w:r>
          </w:p>
        </w:tc>
      </w:tr>
      <w:tr w14:paraId="2BA969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6B0E0E2E">
            <w:pPr>
              <w:pStyle w:val="143"/>
              <w:rPr>
                <w:rFonts w:ascii="Times New Roman"/>
                <w:sz w:val="21"/>
              </w:rPr>
            </w:pPr>
            <w:r>
              <w:rPr>
                <w:rFonts w:hint="eastAsia" w:ascii="Times New Roman"/>
                <w:sz w:val="21"/>
              </w:rPr>
              <w:t>16</w:t>
            </w:r>
          </w:p>
        </w:tc>
        <w:tc>
          <w:tcPr>
            <w:tcW w:w="4270" w:type="dxa"/>
            <w:tcBorders>
              <w:tl2br w:val="nil"/>
              <w:tr2bl w:val="nil"/>
            </w:tcBorders>
            <w:vAlign w:val="center"/>
          </w:tcPr>
          <w:p w14:paraId="4FF80020">
            <w:pPr>
              <w:pStyle w:val="143"/>
              <w:rPr>
                <w:sz w:val="21"/>
              </w:rPr>
            </w:pPr>
            <w:r>
              <w:rPr>
                <w:rFonts w:hint="eastAsia"/>
                <w:sz w:val="21"/>
              </w:rPr>
              <w:t>江苏裕和检测技术有限公司</w:t>
            </w:r>
          </w:p>
        </w:tc>
        <w:tc>
          <w:tcPr>
            <w:tcW w:w="3309" w:type="dxa"/>
            <w:tcBorders>
              <w:tl2br w:val="nil"/>
              <w:tr2bl w:val="nil"/>
            </w:tcBorders>
            <w:vAlign w:val="center"/>
          </w:tcPr>
          <w:p w14:paraId="1A9FD6EB">
            <w:pPr>
              <w:pStyle w:val="143"/>
              <w:rPr>
                <w:rFonts w:ascii="Times New Roman"/>
                <w:sz w:val="21"/>
              </w:rPr>
            </w:pPr>
            <w:r>
              <w:rPr>
                <w:rFonts w:hint="eastAsia" w:ascii="Times New Roman" w:hAnsi="Times New Roman" w:cs="Times New Roman" w:eastAsiaTheme="minorEastAsia"/>
                <w:sz w:val="21"/>
                <w:szCs w:val="21"/>
                <w:lang w:val="en-US" w:eastAsia="zh-CN"/>
              </w:rPr>
              <w:t>17706275545</w:t>
            </w:r>
          </w:p>
        </w:tc>
      </w:tr>
      <w:tr w14:paraId="1067B0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1C7B100A">
            <w:pPr>
              <w:pStyle w:val="143"/>
              <w:rPr>
                <w:rFonts w:hint="default" w:ascii="Times New Roman" w:eastAsia="宋体"/>
                <w:sz w:val="21"/>
                <w:lang w:val="en-US" w:eastAsia="zh-CN"/>
              </w:rPr>
            </w:pPr>
            <w:r>
              <w:rPr>
                <w:rFonts w:hint="eastAsia" w:ascii="Times New Roman"/>
                <w:sz w:val="21"/>
                <w:lang w:val="en-US" w:eastAsia="zh-CN"/>
              </w:rPr>
              <w:t>17</w:t>
            </w:r>
          </w:p>
        </w:tc>
        <w:tc>
          <w:tcPr>
            <w:tcW w:w="4270" w:type="dxa"/>
            <w:tcBorders>
              <w:tl2br w:val="nil"/>
              <w:tr2bl w:val="nil"/>
            </w:tcBorders>
            <w:vAlign w:val="center"/>
          </w:tcPr>
          <w:p w14:paraId="128C17E7">
            <w:pPr>
              <w:jc w:val="center"/>
              <w:rPr>
                <w:rFonts w:hint="eastAsia" w:ascii="宋体" w:hAnsi="Times New Roman" w:eastAsia="宋体" w:cs="Times New Roman"/>
                <w:kern w:val="2"/>
                <w:sz w:val="21"/>
                <w:szCs w:val="24"/>
                <w:lang w:val="en-US" w:eastAsia="zh-CN" w:bidi="zh-CN"/>
              </w:rPr>
            </w:pPr>
            <w:r>
              <w:rPr>
                <w:rFonts w:hint="eastAsia" w:ascii="宋体" w:eastAsia="宋体"/>
                <w:sz w:val="21"/>
                <w:lang w:val="en-US" w:bidi="zh-CN"/>
              </w:rPr>
              <w:t>海安市水利局</w:t>
            </w:r>
          </w:p>
        </w:tc>
        <w:tc>
          <w:tcPr>
            <w:tcW w:w="3309" w:type="dxa"/>
            <w:tcBorders>
              <w:tl2br w:val="nil"/>
              <w:tr2bl w:val="nil"/>
            </w:tcBorders>
            <w:vAlign w:val="center"/>
          </w:tcPr>
          <w:p w14:paraId="71648D56">
            <w:pPr>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sz w:val="21"/>
                <w:szCs w:val="21"/>
                <w:lang w:val="en-US" w:eastAsia="zh-CN"/>
              </w:rPr>
              <w:t>0513-81868536</w:t>
            </w:r>
          </w:p>
        </w:tc>
      </w:tr>
    </w:tbl>
    <w:p w14:paraId="4B0A77D3">
      <w:pPr>
        <w:rPr>
          <w:sz w:val="21"/>
        </w:rPr>
        <w:sectPr>
          <w:footerReference r:id="rId9" w:type="default"/>
          <w:pgSz w:w="11910" w:h="16840"/>
          <w:pgMar w:top="1360" w:right="1240" w:bottom="1200" w:left="1500" w:header="882" w:footer="1017" w:gutter="0"/>
          <w:pgBorders>
            <w:top w:val="none" w:sz="0" w:space="0"/>
            <w:left w:val="none" w:sz="0" w:space="0"/>
            <w:bottom w:val="none" w:sz="0" w:space="0"/>
            <w:right w:val="none" w:sz="0" w:space="0"/>
          </w:pgBorders>
          <w:cols w:space="720" w:num="1"/>
        </w:sectPr>
      </w:pPr>
    </w:p>
    <w:p w14:paraId="38ECC7D2">
      <w:pPr>
        <w:pStyle w:val="2"/>
        <w:adjustRightInd w:val="0"/>
        <w:snapToGrid w:val="0"/>
        <w:spacing w:line="500" w:lineRule="exact"/>
        <w:rPr>
          <w:rFonts w:eastAsia="宋体"/>
          <w:sz w:val="24"/>
          <w:szCs w:val="24"/>
        </w:rPr>
      </w:pPr>
      <w:bookmarkStart w:id="169" w:name="_Toc18181"/>
      <w:bookmarkStart w:id="170" w:name="_Toc31419"/>
      <w:bookmarkStart w:id="171" w:name="_Toc10554"/>
      <w:bookmarkStart w:id="172" w:name="_Toc26565"/>
      <w:r>
        <w:rPr>
          <w:rFonts w:hint="eastAsia" w:eastAsia="宋体"/>
          <w:sz w:val="24"/>
          <w:szCs w:val="24"/>
        </w:rPr>
        <w:t>4突发环境事件及其后果分析</w:t>
      </w:r>
      <w:bookmarkEnd w:id="151"/>
      <w:bookmarkEnd w:id="169"/>
      <w:bookmarkEnd w:id="170"/>
      <w:bookmarkEnd w:id="171"/>
      <w:bookmarkEnd w:id="172"/>
    </w:p>
    <w:p w14:paraId="5AE82456">
      <w:pPr>
        <w:pStyle w:val="3"/>
        <w:adjustRightInd w:val="0"/>
        <w:snapToGrid w:val="0"/>
        <w:spacing w:line="500" w:lineRule="exact"/>
        <w:rPr>
          <w:rFonts w:eastAsia="宋体"/>
          <w:sz w:val="24"/>
          <w:szCs w:val="24"/>
        </w:rPr>
      </w:pPr>
      <w:bookmarkStart w:id="173" w:name="_Toc14852"/>
      <w:bookmarkStart w:id="174" w:name="_Toc402776211"/>
      <w:bookmarkStart w:id="175" w:name="_Toc7836"/>
      <w:bookmarkStart w:id="176" w:name="_Toc13659"/>
      <w:bookmarkStart w:id="177" w:name="_Toc9896"/>
      <w:r>
        <w:rPr>
          <w:rFonts w:hint="eastAsia" w:eastAsia="宋体"/>
          <w:sz w:val="24"/>
          <w:szCs w:val="24"/>
        </w:rPr>
        <w:t>4.1突发环境事件情景分析</w:t>
      </w:r>
      <w:bookmarkEnd w:id="173"/>
      <w:bookmarkEnd w:id="174"/>
      <w:bookmarkEnd w:id="175"/>
      <w:bookmarkEnd w:id="176"/>
      <w:bookmarkEnd w:id="177"/>
    </w:p>
    <w:p w14:paraId="53762E07">
      <w:pPr>
        <w:adjustRightInd w:val="0"/>
        <w:snapToGrid w:val="0"/>
        <w:spacing w:line="500" w:lineRule="exact"/>
        <w:ind w:firstLine="480" w:firstLineChars="200"/>
        <w:rPr>
          <w:rFonts w:ascii="宋体" w:hAnsi="宋体" w:eastAsia="宋体" w:cs="宋体"/>
        </w:rPr>
      </w:pPr>
      <w:bookmarkStart w:id="178" w:name="_Toc402776216"/>
      <w:r>
        <w:rPr>
          <w:rFonts w:hint="eastAsia" w:ascii="宋体" w:hAnsi="宋体" w:eastAsia="宋体" w:cs="宋体"/>
        </w:rPr>
        <w:t>突发环境事件，指突然发生，造成或可能造成环境污染或生态破坏，危及人民群众生命财产安全，影响社会公共秩序，需要采取紧急措施予以应对的事件。目前国内同类型企业的突发环境事件案例的报道和记载也较少。本报告列举了</w:t>
      </w:r>
      <w:r>
        <w:rPr>
          <w:rFonts w:eastAsia="宋体"/>
        </w:rPr>
        <w:t>江苏大江木业集团吴集有限公司</w:t>
      </w:r>
      <w:r>
        <w:rPr>
          <w:rFonts w:hint="eastAsia" w:ascii="宋体" w:hAnsi="宋体" w:eastAsia="宋体" w:cs="宋体"/>
        </w:rPr>
        <w:t>火灾案例、霸州市胜芳镇西格玛家具厂火灾案例和金河兴安人造板有限公司火灾案例，具</w:t>
      </w:r>
      <w:r>
        <w:rPr>
          <w:rFonts w:eastAsia="宋体"/>
        </w:rPr>
        <w:t>体见表4-1</w:t>
      </w:r>
      <w:r>
        <w:rPr>
          <w:rFonts w:hint="eastAsia" w:ascii="宋体" w:hAnsi="宋体" w:eastAsia="宋体" w:cs="宋体"/>
        </w:rPr>
        <w:t>。</w:t>
      </w:r>
    </w:p>
    <w:p w14:paraId="31633FDA">
      <w:pPr>
        <w:adjustRightInd w:val="0"/>
        <w:snapToGrid w:val="0"/>
        <w:spacing w:line="500" w:lineRule="exact"/>
        <w:jc w:val="center"/>
      </w:pPr>
      <w:r>
        <w:rPr>
          <w:rFonts w:eastAsia="宋体"/>
          <w:b/>
          <w:bCs/>
        </w:rPr>
        <w:t>表4-1突发环境事件案例</w:t>
      </w:r>
      <w:r>
        <w:rPr>
          <w:rFonts w:hint="eastAsia" w:eastAsia="宋体"/>
          <w:b/>
          <w:bCs/>
        </w:rPr>
        <w:t>一</w:t>
      </w:r>
    </w:p>
    <w:tbl>
      <w:tblPr>
        <w:tblStyle w:val="39"/>
        <w:tblW w:w="924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975"/>
        <w:gridCol w:w="7267"/>
      </w:tblGrid>
      <w:tr w14:paraId="404B35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D7E8FBC">
            <w:pPr>
              <w:adjustRightInd w:val="0"/>
              <w:snapToGrid w:val="0"/>
              <w:jc w:val="center"/>
              <w:rPr>
                <w:rFonts w:eastAsia="宋体"/>
                <w:sz w:val="21"/>
                <w:szCs w:val="21"/>
              </w:rPr>
            </w:pPr>
            <w:r>
              <w:rPr>
                <w:rFonts w:hint="eastAsia" w:eastAsia="宋体"/>
                <w:sz w:val="21"/>
                <w:szCs w:val="21"/>
              </w:rPr>
              <w:t>事件</w:t>
            </w:r>
          </w:p>
        </w:tc>
        <w:tc>
          <w:tcPr>
            <w:tcW w:w="7267" w:type="dxa"/>
            <w:tcBorders>
              <w:tl2br w:val="nil"/>
              <w:tr2bl w:val="nil"/>
            </w:tcBorders>
            <w:vAlign w:val="center"/>
          </w:tcPr>
          <w:p w14:paraId="322939CA">
            <w:pPr>
              <w:adjustRightInd w:val="0"/>
              <w:snapToGrid w:val="0"/>
              <w:rPr>
                <w:rFonts w:eastAsia="宋体"/>
                <w:sz w:val="21"/>
                <w:szCs w:val="21"/>
              </w:rPr>
            </w:pPr>
            <w:r>
              <w:rPr>
                <w:rFonts w:eastAsia="宋体"/>
                <w:sz w:val="21"/>
                <w:szCs w:val="21"/>
              </w:rPr>
              <w:t>江苏大江木业集团吴集有限公司火灾案例</w:t>
            </w:r>
          </w:p>
        </w:tc>
      </w:tr>
      <w:tr w14:paraId="32C316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9588A27">
            <w:pPr>
              <w:adjustRightInd w:val="0"/>
              <w:snapToGrid w:val="0"/>
              <w:jc w:val="center"/>
              <w:rPr>
                <w:rFonts w:eastAsia="宋体"/>
                <w:sz w:val="21"/>
                <w:szCs w:val="21"/>
              </w:rPr>
            </w:pPr>
            <w:r>
              <w:rPr>
                <w:rFonts w:hint="eastAsia" w:eastAsia="宋体"/>
                <w:sz w:val="21"/>
                <w:szCs w:val="21"/>
              </w:rPr>
              <w:t>事件日期</w:t>
            </w:r>
          </w:p>
        </w:tc>
        <w:tc>
          <w:tcPr>
            <w:tcW w:w="7267" w:type="dxa"/>
            <w:tcBorders>
              <w:tl2br w:val="nil"/>
              <w:tr2bl w:val="nil"/>
            </w:tcBorders>
            <w:vAlign w:val="center"/>
          </w:tcPr>
          <w:p w14:paraId="00A09168">
            <w:pPr>
              <w:adjustRightInd w:val="0"/>
              <w:snapToGrid w:val="0"/>
              <w:rPr>
                <w:rFonts w:eastAsia="宋体"/>
                <w:sz w:val="21"/>
                <w:szCs w:val="21"/>
              </w:rPr>
            </w:pPr>
            <w:r>
              <w:rPr>
                <w:rFonts w:eastAsia="宋体"/>
                <w:sz w:val="21"/>
                <w:szCs w:val="21"/>
              </w:rPr>
              <w:t>2018年12月31日</w:t>
            </w:r>
          </w:p>
        </w:tc>
      </w:tr>
      <w:tr w14:paraId="64F965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092408B">
            <w:pPr>
              <w:adjustRightInd w:val="0"/>
              <w:snapToGrid w:val="0"/>
              <w:jc w:val="center"/>
              <w:rPr>
                <w:rFonts w:eastAsia="宋体"/>
                <w:sz w:val="21"/>
                <w:szCs w:val="21"/>
              </w:rPr>
            </w:pPr>
            <w:r>
              <w:rPr>
                <w:rFonts w:hint="eastAsia" w:eastAsia="宋体"/>
                <w:sz w:val="21"/>
                <w:szCs w:val="21"/>
              </w:rPr>
              <w:t>地点</w:t>
            </w:r>
          </w:p>
        </w:tc>
        <w:tc>
          <w:tcPr>
            <w:tcW w:w="7267" w:type="dxa"/>
            <w:tcBorders>
              <w:tl2br w:val="nil"/>
              <w:tr2bl w:val="nil"/>
            </w:tcBorders>
            <w:vAlign w:val="center"/>
          </w:tcPr>
          <w:p w14:paraId="325E93EE">
            <w:pPr>
              <w:adjustRightInd w:val="0"/>
              <w:snapToGrid w:val="0"/>
              <w:rPr>
                <w:rFonts w:eastAsia="宋体"/>
                <w:sz w:val="21"/>
                <w:szCs w:val="21"/>
              </w:rPr>
            </w:pPr>
            <w:r>
              <w:rPr>
                <w:rFonts w:eastAsia="宋体"/>
                <w:sz w:val="21"/>
                <w:szCs w:val="21"/>
              </w:rPr>
              <w:t>江苏大江木业集团吴集有限公司</w:t>
            </w:r>
          </w:p>
        </w:tc>
      </w:tr>
      <w:tr w14:paraId="189F8F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0F9E09A">
            <w:pPr>
              <w:adjustRightInd w:val="0"/>
              <w:snapToGrid w:val="0"/>
              <w:jc w:val="center"/>
              <w:rPr>
                <w:rFonts w:eastAsia="宋体"/>
                <w:sz w:val="21"/>
                <w:szCs w:val="21"/>
              </w:rPr>
            </w:pPr>
            <w:r>
              <w:rPr>
                <w:rFonts w:hint="eastAsia" w:eastAsia="宋体"/>
                <w:sz w:val="21"/>
                <w:szCs w:val="21"/>
              </w:rPr>
              <w:t>事故情况</w:t>
            </w:r>
          </w:p>
        </w:tc>
        <w:tc>
          <w:tcPr>
            <w:tcW w:w="7267" w:type="dxa"/>
            <w:tcBorders>
              <w:tl2br w:val="nil"/>
              <w:tr2bl w:val="nil"/>
            </w:tcBorders>
            <w:vAlign w:val="center"/>
          </w:tcPr>
          <w:p w14:paraId="59D73FFC">
            <w:pPr>
              <w:adjustRightInd w:val="0"/>
              <w:snapToGrid w:val="0"/>
              <w:rPr>
                <w:rFonts w:eastAsia="宋体"/>
                <w:sz w:val="21"/>
                <w:szCs w:val="21"/>
              </w:rPr>
            </w:pPr>
            <w:r>
              <w:rPr>
                <w:rFonts w:eastAsia="宋体"/>
                <w:sz w:val="21"/>
                <w:szCs w:val="21"/>
              </w:rPr>
              <w:t>6:44分，该企业砂光车间2号中砂砂光机发生机械故障，2块密度板卡住，与砂带摩擦发生火情，当班员工停工检修</w:t>
            </w:r>
            <w:r>
              <w:rPr>
                <w:rFonts w:hint="eastAsia" w:eastAsia="宋体"/>
                <w:sz w:val="21"/>
                <w:szCs w:val="21"/>
              </w:rPr>
              <w:t>；</w:t>
            </w:r>
          </w:p>
          <w:p w14:paraId="13647B0E">
            <w:pPr>
              <w:adjustRightInd w:val="0"/>
              <w:snapToGrid w:val="0"/>
              <w:rPr>
                <w:rFonts w:eastAsia="宋体"/>
                <w:sz w:val="21"/>
                <w:szCs w:val="21"/>
              </w:rPr>
            </w:pPr>
            <w:r>
              <w:rPr>
                <w:rFonts w:eastAsia="宋体"/>
                <w:sz w:val="21"/>
                <w:szCs w:val="21"/>
              </w:rPr>
              <w:t>8:56分，开机恢复生产，15秒后砂光车间原起火部位再次起火</w:t>
            </w:r>
            <w:r>
              <w:rPr>
                <w:rFonts w:hint="eastAsia" w:eastAsia="宋体"/>
                <w:sz w:val="21"/>
                <w:szCs w:val="21"/>
              </w:rPr>
              <w:t>；</w:t>
            </w:r>
          </w:p>
          <w:p w14:paraId="14CDB358">
            <w:pPr>
              <w:adjustRightInd w:val="0"/>
              <w:snapToGrid w:val="0"/>
              <w:rPr>
                <w:rFonts w:eastAsia="宋体"/>
                <w:sz w:val="21"/>
                <w:szCs w:val="21"/>
              </w:rPr>
            </w:pPr>
            <w:r>
              <w:rPr>
                <w:rFonts w:eastAsia="宋体"/>
                <w:sz w:val="21"/>
                <w:szCs w:val="21"/>
              </w:rPr>
              <w:t>8:58分</w:t>
            </w:r>
            <w:r>
              <w:rPr>
                <w:rFonts w:hint="eastAsia" w:eastAsia="宋体"/>
                <w:sz w:val="21"/>
                <w:szCs w:val="21"/>
              </w:rPr>
              <w:t>，</w:t>
            </w:r>
            <w:r>
              <w:rPr>
                <w:rFonts w:eastAsia="宋体"/>
                <w:sz w:val="21"/>
                <w:szCs w:val="21"/>
              </w:rPr>
              <w:t>积尘室、背压机、铺板机等多处起火</w:t>
            </w:r>
            <w:r>
              <w:rPr>
                <w:rFonts w:hint="eastAsia" w:eastAsia="宋体"/>
                <w:sz w:val="21"/>
                <w:szCs w:val="21"/>
              </w:rPr>
              <w:t>，</w:t>
            </w:r>
            <w:r>
              <w:rPr>
                <w:rFonts w:eastAsia="宋体"/>
                <w:sz w:val="21"/>
                <w:szCs w:val="21"/>
              </w:rPr>
              <w:t>导致集尘器发生爆炸，冲击波冲破木质纤维料场房顶，引起料场起火，现场的装运卡车油箱起火燃烧爆炸</w:t>
            </w:r>
            <w:r>
              <w:rPr>
                <w:rFonts w:hint="eastAsia" w:eastAsia="宋体"/>
                <w:sz w:val="21"/>
                <w:szCs w:val="21"/>
              </w:rPr>
              <w:t>。</w:t>
            </w:r>
          </w:p>
        </w:tc>
      </w:tr>
      <w:tr w14:paraId="6A2839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60EFC250">
            <w:pPr>
              <w:adjustRightInd w:val="0"/>
              <w:snapToGrid w:val="0"/>
              <w:jc w:val="center"/>
              <w:rPr>
                <w:rFonts w:eastAsia="宋体"/>
                <w:sz w:val="21"/>
                <w:szCs w:val="21"/>
              </w:rPr>
            </w:pPr>
            <w:r>
              <w:rPr>
                <w:rFonts w:hint="eastAsia" w:eastAsia="宋体"/>
                <w:sz w:val="21"/>
                <w:szCs w:val="21"/>
              </w:rPr>
              <w:t>引发原因</w:t>
            </w:r>
          </w:p>
        </w:tc>
        <w:tc>
          <w:tcPr>
            <w:tcW w:w="7267" w:type="dxa"/>
            <w:tcBorders>
              <w:tl2br w:val="nil"/>
              <w:tr2bl w:val="nil"/>
            </w:tcBorders>
            <w:vAlign w:val="center"/>
          </w:tcPr>
          <w:p w14:paraId="6B7F0617">
            <w:pPr>
              <w:adjustRightInd w:val="0"/>
              <w:snapToGrid w:val="0"/>
              <w:rPr>
                <w:rFonts w:eastAsia="宋体"/>
                <w:sz w:val="21"/>
                <w:szCs w:val="21"/>
              </w:rPr>
            </w:pPr>
            <w:r>
              <w:rPr>
                <w:rFonts w:eastAsia="宋体"/>
                <w:sz w:val="21"/>
                <w:szCs w:val="21"/>
              </w:rPr>
              <w:t>砂带机摩擦起火导致连锁式火灾</w:t>
            </w:r>
            <w:r>
              <w:rPr>
                <w:rFonts w:hint="eastAsia" w:eastAsia="宋体"/>
                <w:sz w:val="21"/>
                <w:szCs w:val="21"/>
              </w:rPr>
              <w:t>。</w:t>
            </w:r>
          </w:p>
        </w:tc>
      </w:tr>
      <w:tr w14:paraId="7C5CBC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041B597">
            <w:pPr>
              <w:adjustRightInd w:val="0"/>
              <w:snapToGrid w:val="0"/>
              <w:jc w:val="center"/>
              <w:rPr>
                <w:rFonts w:eastAsia="宋体"/>
                <w:sz w:val="21"/>
                <w:szCs w:val="21"/>
              </w:rPr>
            </w:pPr>
            <w:r>
              <w:rPr>
                <w:rFonts w:hint="eastAsia" w:eastAsia="宋体"/>
                <w:sz w:val="21"/>
                <w:szCs w:val="21"/>
              </w:rPr>
              <w:t>事件影响</w:t>
            </w:r>
          </w:p>
        </w:tc>
        <w:tc>
          <w:tcPr>
            <w:tcW w:w="7267" w:type="dxa"/>
            <w:tcBorders>
              <w:tl2br w:val="nil"/>
              <w:tr2bl w:val="nil"/>
            </w:tcBorders>
            <w:vAlign w:val="center"/>
          </w:tcPr>
          <w:p w14:paraId="20F49909">
            <w:pPr>
              <w:adjustRightInd w:val="0"/>
              <w:snapToGrid w:val="0"/>
              <w:rPr>
                <w:rFonts w:eastAsia="宋体"/>
                <w:sz w:val="21"/>
                <w:szCs w:val="21"/>
              </w:rPr>
            </w:pPr>
            <w:r>
              <w:rPr>
                <w:rFonts w:eastAsia="宋体"/>
                <w:sz w:val="21"/>
                <w:szCs w:val="21"/>
              </w:rPr>
              <w:t>周边水环境、大气环境</w:t>
            </w:r>
            <w:r>
              <w:rPr>
                <w:rFonts w:hint="eastAsia" w:eastAsia="宋体"/>
                <w:sz w:val="21"/>
                <w:szCs w:val="21"/>
              </w:rPr>
              <w:t>受到影响，造成</w:t>
            </w:r>
            <w:r>
              <w:rPr>
                <w:rFonts w:eastAsia="宋体"/>
                <w:sz w:val="21"/>
                <w:szCs w:val="21"/>
              </w:rPr>
              <w:t>6名作业人员有2人当场死亡，4人受伤</w:t>
            </w:r>
            <w:r>
              <w:rPr>
                <w:rFonts w:hint="eastAsia" w:eastAsia="宋体"/>
                <w:sz w:val="21"/>
                <w:szCs w:val="21"/>
              </w:rPr>
              <w:t>。</w:t>
            </w:r>
          </w:p>
        </w:tc>
      </w:tr>
      <w:tr w14:paraId="18B086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3921BBC">
            <w:pPr>
              <w:adjustRightInd w:val="0"/>
              <w:snapToGrid w:val="0"/>
              <w:jc w:val="center"/>
              <w:rPr>
                <w:rFonts w:eastAsia="宋体"/>
                <w:sz w:val="21"/>
                <w:szCs w:val="21"/>
              </w:rPr>
            </w:pPr>
            <w:r>
              <w:rPr>
                <w:rFonts w:hint="eastAsia" w:eastAsia="宋体"/>
                <w:sz w:val="21"/>
                <w:szCs w:val="21"/>
              </w:rPr>
              <w:t>防范措施</w:t>
            </w:r>
          </w:p>
        </w:tc>
        <w:tc>
          <w:tcPr>
            <w:tcW w:w="7267" w:type="dxa"/>
            <w:tcBorders>
              <w:tl2br w:val="nil"/>
              <w:tr2bl w:val="nil"/>
            </w:tcBorders>
            <w:vAlign w:val="center"/>
          </w:tcPr>
          <w:p w14:paraId="52251408">
            <w:pPr>
              <w:adjustRightInd w:val="0"/>
              <w:snapToGrid w:val="0"/>
              <w:rPr>
                <w:rFonts w:eastAsia="宋体"/>
                <w:sz w:val="21"/>
                <w:szCs w:val="21"/>
              </w:rPr>
            </w:pPr>
            <w:r>
              <w:rPr>
                <w:rFonts w:eastAsia="宋体"/>
                <w:sz w:val="21"/>
                <w:szCs w:val="21"/>
              </w:rPr>
              <w:t>（1）正规使用设备设施；</w:t>
            </w:r>
          </w:p>
          <w:p w14:paraId="446C3E7D">
            <w:pPr>
              <w:adjustRightInd w:val="0"/>
              <w:snapToGrid w:val="0"/>
              <w:rPr>
                <w:rFonts w:eastAsia="宋体"/>
                <w:sz w:val="21"/>
                <w:szCs w:val="21"/>
              </w:rPr>
            </w:pPr>
            <w:r>
              <w:rPr>
                <w:rFonts w:eastAsia="宋体"/>
                <w:sz w:val="21"/>
                <w:szCs w:val="21"/>
              </w:rPr>
              <w:t>（2）安装火花探测和熄灭、泄爆、隔爆等防火、控爆安全装置</w:t>
            </w:r>
            <w:r>
              <w:rPr>
                <w:rFonts w:hint="eastAsia" w:eastAsia="宋体"/>
                <w:sz w:val="21"/>
                <w:szCs w:val="21"/>
              </w:rPr>
              <w:t>。</w:t>
            </w:r>
          </w:p>
        </w:tc>
      </w:tr>
    </w:tbl>
    <w:p w14:paraId="32C6F44A">
      <w:pPr>
        <w:adjustRightInd w:val="0"/>
        <w:snapToGrid w:val="0"/>
        <w:spacing w:line="500" w:lineRule="exact"/>
        <w:jc w:val="center"/>
        <w:rPr>
          <w:rFonts w:eastAsia="宋体"/>
        </w:rPr>
      </w:pPr>
      <w:r>
        <w:rPr>
          <w:rFonts w:eastAsia="宋体"/>
          <w:b/>
          <w:bCs/>
        </w:rPr>
        <w:t>突发环境事件案例</w:t>
      </w:r>
      <w:r>
        <w:rPr>
          <w:rFonts w:hint="eastAsia" w:eastAsia="宋体"/>
          <w:b/>
          <w:bCs/>
        </w:rPr>
        <w:t>二</w:t>
      </w:r>
    </w:p>
    <w:tbl>
      <w:tblPr>
        <w:tblStyle w:val="3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14:paraId="483684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E0FFF17">
            <w:pPr>
              <w:adjustRightInd w:val="0"/>
              <w:snapToGrid w:val="0"/>
              <w:jc w:val="center"/>
              <w:rPr>
                <w:rFonts w:eastAsia="宋体"/>
                <w:sz w:val="21"/>
                <w:szCs w:val="21"/>
              </w:rPr>
            </w:pPr>
            <w:r>
              <w:rPr>
                <w:rFonts w:hint="eastAsia" w:eastAsia="宋体"/>
                <w:sz w:val="21"/>
                <w:szCs w:val="21"/>
              </w:rPr>
              <w:t>事件</w:t>
            </w:r>
          </w:p>
        </w:tc>
        <w:tc>
          <w:tcPr>
            <w:tcW w:w="7267" w:type="dxa"/>
            <w:tcBorders>
              <w:tl2br w:val="nil"/>
              <w:tr2bl w:val="nil"/>
            </w:tcBorders>
            <w:vAlign w:val="center"/>
          </w:tcPr>
          <w:p w14:paraId="416256CC">
            <w:pPr>
              <w:adjustRightInd w:val="0"/>
              <w:snapToGrid w:val="0"/>
              <w:rPr>
                <w:rFonts w:eastAsia="宋体"/>
                <w:sz w:val="21"/>
                <w:szCs w:val="21"/>
              </w:rPr>
            </w:pPr>
            <w:r>
              <w:rPr>
                <w:rFonts w:hint="eastAsia" w:eastAsia="宋体"/>
                <w:sz w:val="21"/>
                <w:szCs w:val="21"/>
              </w:rPr>
              <w:t>霸州市胜芳镇西格玛家具厂火灾案例</w:t>
            </w:r>
          </w:p>
        </w:tc>
      </w:tr>
      <w:tr w14:paraId="5F0A6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27B736F">
            <w:pPr>
              <w:adjustRightInd w:val="0"/>
              <w:snapToGrid w:val="0"/>
              <w:jc w:val="center"/>
              <w:rPr>
                <w:rFonts w:eastAsia="宋体"/>
                <w:sz w:val="21"/>
                <w:szCs w:val="21"/>
              </w:rPr>
            </w:pPr>
            <w:r>
              <w:rPr>
                <w:rFonts w:hint="eastAsia" w:eastAsia="宋体"/>
                <w:sz w:val="21"/>
                <w:szCs w:val="21"/>
              </w:rPr>
              <w:t>事件日期</w:t>
            </w:r>
          </w:p>
        </w:tc>
        <w:tc>
          <w:tcPr>
            <w:tcW w:w="7267" w:type="dxa"/>
            <w:tcBorders>
              <w:tl2br w:val="nil"/>
              <w:tr2bl w:val="nil"/>
            </w:tcBorders>
            <w:vAlign w:val="center"/>
          </w:tcPr>
          <w:p w14:paraId="4831F92F">
            <w:pPr>
              <w:adjustRightInd w:val="0"/>
              <w:snapToGrid w:val="0"/>
              <w:rPr>
                <w:rFonts w:eastAsia="宋体"/>
                <w:sz w:val="21"/>
                <w:szCs w:val="21"/>
              </w:rPr>
            </w:pPr>
            <w:r>
              <w:rPr>
                <w:rFonts w:hint="eastAsia" w:eastAsia="宋体"/>
                <w:sz w:val="21"/>
                <w:szCs w:val="21"/>
              </w:rPr>
              <w:t>2014年</w:t>
            </w:r>
            <w:r>
              <w:rPr>
                <w:rFonts w:hint="eastAsia" w:eastAsia="宋体"/>
                <w:sz w:val="21"/>
                <w:szCs w:val="21"/>
                <w:lang w:eastAsia="zh-CN"/>
              </w:rPr>
              <w:t>10月</w:t>
            </w:r>
            <w:r>
              <w:rPr>
                <w:rFonts w:hint="eastAsia" w:eastAsia="宋体"/>
                <w:sz w:val="21"/>
                <w:szCs w:val="21"/>
              </w:rPr>
              <w:t>10日</w:t>
            </w:r>
          </w:p>
        </w:tc>
      </w:tr>
      <w:tr w14:paraId="49CA9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6DDB527">
            <w:pPr>
              <w:adjustRightInd w:val="0"/>
              <w:snapToGrid w:val="0"/>
              <w:jc w:val="center"/>
              <w:rPr>
                <w:rFonts w:eastAsia="宋体"/>
                <w:sz w:val="21"/>
                <w:szCs w:val="21"/>
              </w:rPr>
            </w:pPr>
            <w:r>
              <w:rPr>
                <w:rFonts w:hint="eastAsia" w:eastAsia="宋体"/>
                <w:sz w:val="21"/>
                <w:szCs w:val="21"/>
              </w:rPr>
              <w:t>地点</w:t>
            </w:r>
          </w:p>
        </w:tc>
        <w:tc>
          <w:tcPr>
            <w:tcW w:w="7267" w:type="dxa"/>
            <w:tcBorders>
              <w:tl2br w:val="nil"/>
              <w:tr2bl w:val="nil"/>
            </w:tcBorders>
            <w:vAlign w:val="center"/>
          </w:tcPr>
          <w:p w14:paraId="1C8C524E">
            <w:pPr>
              <w:adjustRightInd w:val="0"/>
              <w:snapToGrid w:val="0"/>
              <w:rPr>
                <w:rFonts w:eastAsia="宋体"/>
                <w:sz w:val="21"/>
                <w:szCs w:val="21"/>
              </w:rPr>
            </w:pPr>
            <w:r>
              <w:rPr>
                <w:rFonts w:hint="eastAsia" w:eastAsia="宋体"/>
                <w:sz w:val="21"/>
                <w:szCs w:val="21"/>
              </w:rPr>
              <w:t>霸州市胜芳镇西格玛家具厂</w:t>
            </w:r>
          </w:p>
        </w:tc>
      </w:tr>
      <w:tr w14:paraId="3E4972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61CE989C">
            <w:pPr>
              <w:adjustRightInd w:val="0"/>
              <w:snapToGrid w:val="0"/>
              <w:jc w:val="center"/>
              <w:rPr>
                <w:rFonts w:eastAsia="宋体"/>
                <w:sz w:val="21"/>
                <w:szCs w:val="21"/>
              </w:rPr>
            </w:pPr>
            <w:r>
              <w:rPr>
                <w:rFonts w:hint="eastAsia" w:eastAsia="宋体"/>
                <w:sz w:val="21"/>
                <w:szCs w:val="21"/>
              </w:rPr>
              <w:t>事故情况</w:t>
            </w:r>
          </w:p>
        </w:tc>
        <w:tc>
          <w:tcPr>
            <w:tcW w:w="7267" w:type="dxa"/>
            <w:tcBorders>
              <w:tl2br w:val="nil"/>
              <w:tr2bl w:val="nil"/>
            </w:tcBorders>
            <w:vAlign w:val="center"/>
          </w:tcPr>
          <w:p w14:paraId="0F9A0EE0">
            <w:pPr>
              <w:adjustRightInd w:val="0"/>
              <w:snapToGrid w:val="0"/>
              <w:jc w:val="left"/>
              <w:rPr>
                <w:rFonts w:eastAsia="宋体"/>
                <w:sz w:val="21"/>
                <w:szCs w:val="21"/>
              </w:rPr>
            </w:pPr>
            <w:r>
              <w:rPr>
                <w:rFonts w:hint="eastAsia" w:eastAsia="宋体"/>
                <w:sz w:val="21"/>
                <w:szCs w:val="21"/>
              </w:rPr>
              <w:t>15:30车间内水性漆桶受电暖气高温崩开，释放的有机溶剂蒸汽遇高温爆燃，引燃了周边海绵及皮革，因室内外给水系统不完备，致火势无法控制。</w:t>
            </w:r>
          </w:p>
        </w:tc>
      </w:tr>
      <w:tr w14:paraId="0CA51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46D35B9">
            <w:pPr>
              <w:adjustRightInd w:val="0"/>
              <w:snapToGrid w:val="0"/>
              <w:jc w:val="center"/>
              <w:rPr>
                <w:rFonts w:eastAsia="宋体"/>
                <w:sz w:val="21"/>
                <w:szCs w:val="21"/>
              </w:rPr>
            </w:pPr>
            <w:r>
              <w:rPr>
                <w:rFonts w:hint="eastAsia" w:eastAsia="宋体"/>
                <w:sz w:val="21"/>
                <w:szCs w:val="21"/>
              </w:rPr>
              <w:t>引发原因</w:t>
            </w:r>
          </w:p>
        </w:tc>
        <w:tc>
          <w:tcPr>
            <w:tcW w:w="7267" w:type="dxa"/>
            <w:tcBorders>
              <w:tl2br w:val="nil"/>
              <w:tr2bl w:val="nil"/>
            </w:tcBorders>
            <w:vAlign w:val="center"/>
          </w:tcPr>
          <w:p w14:paraId="3369EE04">
            <w:pPr>
              <w:adjustRightInd w:val="0"/>
              <w:snapToGrid w:val="0"/>
              <w:rPr>
                <w:rFonts w:eastAsia="宋体"/>
                <w:sz w:val="21"/>
                <w:szCs w:val="21"/>
              </w:rPr>
            </w:pPr>
            <w:r>
              <w:rPr>
                <w:rFonts w:hint="eastAsia" w:eastAsia="宋体"/>
                <w:sz w:val="21"/>
                <w:szCs w:val="21"/>
              </w:rPr>
              <w:t>密闭水性漆桶高温崩炸，释放的有机溶剂蒸汽遇高温爆燃。</w:t>
            </w:r>
          </w:p>
        </w:tc>
      </w:tr>
      <w:tr w14:paraId="5AFAD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6ACB40DB">
            <w:pPr>
              <w:adjustRightInd w:val="0"/>
              <w:snapToGrid w:val="0"/>
              <w:jc w:val="center"/>
              <w:rPr>
                <w:rFonts w:eastAsia="宋体"/>
                <w:sz w:val="21"/>
                <w:szCs w:val="21"/>
              </w:rPr>
            </w:pPr>
            <w:r>
              <w:rPr>
                <w:rFonts w:hint="eastAsia" w:eastAsia="宋体"/>
                <w:sz w:val="21"/>
                <w:szCs w:val="21"/>
              </w:rPr>
              <w:t>事件影响</w:t>
            </w:r>
          </w:p>
        </w:tc>
        <w:tc>
          <w:tcPr>
            <w:tcW w:w="7267" w:type="dxa"/>
            <w:tcBorders>
              <w:tl2br w:val="nil"/>
              <w:tr2bl w:val="nil"/>
            </w:tcBorders>
            <w:vAlign w:val="center"/>
          </w:tcPr>
          <w:p w14:paraId="4A2B7843">
            <w:pPr>
              <w:adjustRightInd w:val="0"/>
              <w:snapToGrid w:val="0"/>
              <w:rPr>
                <w:rFonts w:eastAsia="宋体"/>
                <w:sz w:val="21"/>
                <w:szCs w:val="21"/>
              </w:rPr>
            </w:pPr>
            <w:r>
              <w:rPr>
                <w:rFonts w:eastAsia="宋体"/>
                <w:sz w:val="21"/>
                <w:szCs w:val="21"/>
              </w:rPr>
              <w:t>周边水环境、大气环境</w:t>
            </w:r>
            <w:r>
              <w:rPr>
                <w:rFonts w:hint="eastAsia" w:eastAsia="宋体"/>
                <w:sz w:val="21"/>
                <w:szCs w:val="21"/>
              </w:rPr>
              <w:t>受到影响，造成4名女工当场死亡。</w:t>
            </w:r>
          </w:p>
        </w:tc>
      </w:tr>
      <w:tr w14:paraId="3FA036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91F70E2">
            <w:pPr>
              <w:adjustRightInd w:val="0"/>
              <w:snapToGrid w:val="0"/>
              <w:jc w:val="center"/>
              <w:rPr>
                <w:rFonts w:eastAsia="宋体"/>
                <w:sz w:val="21"/>
                <w:szCs w:val="21"/>
              </w:rPr>
            </w:pPr>
            <w:r>
              <w:rPr>
                <w:rFonts w:hint="eastAsia" w:eastAsia="宋体"/>
                <w:sz w:val="21"/>
                <w:szCs w:val="21"/>
              </w:rPr>
              <w:t>防范措施</w:t>
            </w:r>
          </w:p>
        </w:tc>
        <w:tc>
          <w:tcPr>
            <w:tcW w:w="7267" w:type="dxa"/>
            <w:tcBorders>
              <w:tl2br w:val="nil"/>
              <w:tr2bl w:val="nil"/>
            </w:tcBorders>
            <w:vAlign w:val="center"/>
          </w:tcPr>
          <w:p w14:paraId="0BF030BB">
            <w:pPr>
              <w:adjustRightInd w:val="0"/>
              <w:snapToGrid w:val="0"/>
              <w:jc w:val="left"/>
              <w:rPr>
                <w:rFonts w:eastAsia="宋体"/>
                <w:sz w:val="21"/>
                <w:szCs w:val="21"/>
              </w:rPr>
            </w:pPr>
            <w:r>
              <w:rPr>
                <w:rFonts w:hint="eastAsia" w:eastAsia="宋体"/>
                <w:sz w:val="21"/>
                <w:szCs w:val="21"/>
              </w:rPr>
              <w:t>（1）需定期检查给水设备；</w:t>
            </w:r>
          </w:p>
          <w:p w14:paraId="68A37488">
            <w:pPr>
              <w:adjustRightInd w:val="0"/>
              <w:snapToGrid w:val="0"/>
              <w:rPr>
                <w:rFonts w:eastAsia="宋体"/>
                <w:sz w:val="21"/>
                <w:szCs w:val="21"/>
              </w:rPr>
            </w:pPr>
            <w:r>
              <w:rPr>
                <w:rFonts w:hint="eastAsia" w:eastAsia="宋体"/>
                <w:sz w:val="21"/>
                <w:szCs w:val="21"/>
              </w:rPr>
              <w:t>（2）配备足够的应急物资如防毒面具。</w:t>
            </w:r>
          </w:p>
        </w:tc>
      </w:tr>
    </w:tbl>
    <w:p w14:paraId="5BF3DF40">
      <w:pPr>
        <w:adjustRightInd w:val="0"/>
        <w:snapToGrid w:val="0"/>
        <w:spacing w:line="500" w:lineRule="exact"/>
        <w:jc w:val="center"/>
        <w:rPr>
          <w:rFonts w:eastAsia="宋体"/>
        </w:rPr>
      </w:pPr>
      <w:r>
        <w:rPr>
          <w:rFonts w:eastAsia="宋体"/>
          <w:b/>
          <w:bCs/>
        </w:rPr>
        <w:t>突发环境事件案例</w:t>
      </w:r>
      <w:r>
        <w:rPr>
          <w:rFonts w:hint="eastAsia" w:eastAsia="宋体"/>
          <w:b/>
          <w:bCs/>
        </w:rPr>
        <w:t>三</w:t>
      </w:r>
    </w:p>
    <w:tbl>
      <w:tblPr>
        <w:tblStyle w:val="3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14:paraId="21AB5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DB42B0F">
            <w:pPr>
              <w:adjustRightInd w:val="0"/>
              <w:snapToGrid w:val="0"/>
              <w:jc w:val="center"/>
              <w:rPr>
                <w:rFonts w:eastAsia="宋体"/>
                <w:sz w:val="21"/>
                <w:szCs w:val="21"/>
              </w:rPr>
            </w:pPr>
            <w:r>
              <w:rPr>
                <w:rFonts w:hint="eastAsia" w:eastAsia="宋体"/>
                <w:sz w:val="21"/>
                <w:szCs w:val="21"/>
              </w:rPr>
              <w:t>事件</w:t>
            </w:r>
          </w:p>
        </w:tc>
        <w:tc>
          <w:tcPr>
            <w:tcW w:w="7267" w:type="dxa"/>
            <w:tcBorders>
              <w:tl2br w:val="nil"/>
              <w:tr2bl w:val="nil"/>
            </w:tcBorders>
            <w:vAlign w:val="center"/>
          </w:tcPr>
          <w:p w14:paraId="7EF28E09">
            <w:pPr>
              <w:adjustRightInd w:val="0"/>
              <w:snapToGrid w:val="0"/>
              <w:rPr>
                <w:rFonts w:eastAsia="宋体"/>
                <w:sz w:val="21"/>
                <w:szCs w:val="21"/>
              </w:rPr>
            </w:pPr>
            <w:r>
              <w:rPr>
                <w:rFonts w:hint="eastAsia" w:eastAsia="宋体"/>
                <w:sz w:val="21"/>
                <w:szCs w:val="21"/>
              </w:rPr>
              <w:t>金河兴安人造板有限公司火灾案例</w:t>
            </w:r>
          </w:p>
        </w:tc>
      </w:tr>
      <w:tr w14:paraId="47404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FB78ECC">
            <w:pPr>
              <w:adjustRightInd w:val="0"/>
              <w:snapToGrid w:val="0"/>
              <w:jc w:val="center"/>
              <w:rPr>
                <w:rFonts w:eastAsia="宋体"/>
                <w:sz w:val="21"/>
                <w:szCs w:val="21"/>
              </w:rPr>
            </w:pPr>
            <w:r>
              <w:rPr>
                <w:rFonts w:hint="eastAsia" w:eastAsia="宋体"/>
                <w:sz w:val="21"/>
                <w:szCs w:val="21"/>
              </w:rPr>
              <w:t>事件日期</w:t>
            </w:r>
          </w:p>
        </w:tc>
        <w:tc>
          <w:tcPr>
            <w:tcW w:w="7267" w:type="dxa"/>
            <w:tcBorders>
              <w:tl2br w:val="nil"/>
              <w:tr2bl w:val="nil"/>
            </w:tcBorders>
            <w:vAlign w:val="center"/>
          </w:tcPr>
          <w:p w14:paraId="759C255C">
            <w:pPr>
              <w:adjustRightInd w:val="0"/>
              <w:snapToGrid w:val="0"/>
              <w:rPr>
                <w:rFonts w:eastAsia="宋体"/>
                <w:sz w:val="21"/>
                <w:szCs w:val="21"/>
              </w:rPr>
            </w:pPr>
            <w:r>
              <w:rPr>
                <w:rFonts w:hint="eastAsia" w:eastAsia="宋体"/>
                <w:sz w:val="21"/>
                <w:szCs w:val="21"/>
              </w:rPr>
              <w:t>2015年</w:t>
            </w:r>
            <w:r>
              <w:rPr>
                <w:rFonts w:hint="eastAsia" w:eastAsia="宋体"/>
                <w:sz w:val="21"/>
                <w:szCs w:val="21"/>
                <w:lang w:eastAsia="zh-CN"/>
              </w:rPr>
              <w:t>10月</w:t>
            </w:r>
            <w:r>
              <w:rPr>
                <w:rFonts w:hint="eastAsia" w:eastAsia="宋体"/>
                <w:sz w:val="21"/>
                <w:szCs w:val="21"/>
              </w:rPr>
              <w:t>31日</w:t>
            </w:r>
          </w:p>
        </w:tc>
      </w:tr>
      <w:tr w14:paraId="34027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EAC916D">
            <w:pPr>
              <w:adjustRightInd w:val="0"/>
              <w:snapToGrid w:val="0"/>
              <w:jc w:val="center"/>
              <w:rPr>
                <w:rFonts w:eastAsia="宋体"/>
                <w:sz w:val="21"/>
                <w:szCs w:val="21"/>
              </w:rPr>
            </w:pPr>
            <w:r>
              <w:rPr>
                <w:rFonts w:hint="eastAsia" w:eastAsia="宋体"/>
                <w:sz w:val="21"/>
                <w:szCs w:val="21"/>
              </w:rPr>
              <w:t>地点</w:t>
            </w:r>
          </w:p>
        </w:tc>
        <w:tc>
          <w:tcPr>
            <w:tcW w:w="7267" w:type="dxa"/>
            <w:tcBorders>
              <w:tl2br w:val="nil"/>
              <w:tr2bl w:val="nil"/>
            </w:tcBorders>
            <w:vAlign w:val="center"/>
          </w:tcPr>
          <w:p w14:paraId="52F6E2E6">
            <w:pPr>
              <w:adjustRightInd w:val="0"/>
              <w:snapToGrid w:val="0"/>
              <w:rPr>
                <w:rFonts w:eastAsia="宋体"/>
                <w:sz w:val="21"/>
                <w:szCs w:val="21"/>
              </w:rPr>
            </w:pPr>
            <w:r>
              <w:rPr>
                <w:rFonts w:hint="eastAsia" w:eastAsia="宋体"/>
                <w:sz w:val="21"/>
                <w:szCs w:val="21"/>
              </w:rPr>
              <w:t>金河兴安人造板有限公司</w:t>
            </w:r>
          </w:p>
        </w:tc>
      </w:tr>
      <w:tr w14:paraId="6BA99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CD173D7">
            <w:pPr>
              <w:adjustRightInd w:val="0"/>
              <w:snapToGrid w:val="0"/>
              <w:jc w:val="center"/>
              <w:rPr>
                <w:rFonts w:eastAsia="宋体"/>
                <w:sz w:val="21"/>
                <w:szCs w:val="21"/>
              </w:rPr>
            </w:pPr>
            <w:r>
              <w:rPr>
                <w:rFonts w:hint="eastAsia" w:eastAsia="宋体"/>
                <w:sz w:val="21"/>
                <w:szCs w:val="21"/>
              </w:rPr>
              <w:t>事故情况</w:t>
            </w:r>
          </w:p>
        </w:tc>
        <w:tc>
          <w:tcPr>
            <w:tcW w:w="7267" w:type="dxa"/>
            <w:tcBorders>
              <w:tl2br w:val="nil"/>
              <w:tr2bl w:val="nil"/>
            </w:tcBorders>
            <w:vAlign w:val="center"/>
          </w:tcPr>
          <w:p w14:paraId="08197B53">
            <w:pPr>
              <w:keepNext/>
              <w:keepLines/>
              <w:rPr>
                <w:rFonts w:eastAsia="宋体"/>
                <w:sz w:val="21"/>
                <w:szCs w:val="21"/>
              </w:rPr>
            </w:pPr>
            <w:r>
              <w:rPr>
                <w:rFonts w:hint="eastAsia" w:eastAsia="宋体"/>
                <w:sz w:val="21"/>
                <w:szCs w:val="21"/>
              </w:rPr>
              <w:t>06:08木工车间中央除尘系统收尘仓木粉尘发生一次爆炸；</w:t>
            </w:r>
          </w:p>
          <w:p w14:paraId="76BBFFB0">
            <w:pPr>
              <w:adjustRightInd w:val="0"/>
              <w:snapToGrid w:val="0"/>
              <w:jc w:val="left"/>
              <w:rPr>
                <w:rFonts w:eastAsia="宋体"/>
                <w:sz w:val="21"/>
                <w:szCs w:val="21"/>
              </w:rPr>
            </w:pPr>
            <w:r>
              <w:rPr>
                <w:rFonts w:hint="eastAsia" w:eastAsia="宋体"/>
                <w:sz w:val="21"/>
                <w:szCs w:val="21"/>
              </w:rPr>
              <w:t>06:20一次爆炸引起车间内打磨车间二次爆炸，进而引起生产车间及库房火灾。</w:t>
            </w:r>
          </w:p>
        </w:tc>
      </w:tr>
      <w:tr w14:paraId="0C6C1D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B5C37D7">
            <w:pPr>
              <w:adjustRightInd w:val="0"/>
              <w:snapToGrid w:val="0"/>
              <w:jc w:val="center"/>
              <w:rPr>
                <w:rFonts w:eastAsia="宋体"/>
                <w:sz w:val="21"/>
                <w:szCs w:val="21"/>
              </w:rPr>
            </w:pPr>
            <w:r>
              <w:rPr>
                <w:rFonts w:hint="eastAsia" w:eastAsia="宋体"/>
                <w:sz w:val="21"/>
                <w:szCs w:val="21"/>
              </w:rPr>
              <w:t>引发原因</w:t>
            </w:r>
          </w:p>
        </w:tc>
        <w:tc>
          <w:tcPr>
            <w:tcW w:w="7267" w:type="dxa"/>
            <w:tcBorders>
              <w:tl2br w:val="nil"/>
              <w:tr2bl w:val="nil"/>
            </w:tcBorders>
            <w:vAlign w:val="center"/>
          </w:tcPr>
          <w:p w14:paraId="4B7E424D">
            <w:pPr>
              <w:adjustRightInd w:val="0"/>
              <w:snapToGrid w:val="0"/>
              <w:rPr>
                <w:rFonts w:eastAsia="宋体"/>
                <w:sz w:val="21"/>
                <w:szCs w:val="21"/>
              </w:rPr>
            </w:pPr>
            <w:r>
              <w:rPr>
                <w:rFonts w:hint="eastAsia" w:eastAsia="宋体"/>
                <w:sz w:val="21"/>
                <w:szCs w:val="21"/>
              </w:rPr>
              <w:t>除尘系统内收尘仓爆炸。</w:t>
            </w:r>
          </w:p>
        </w:tc>
      </w:tr>
      <w:tr w14:paraId="5D7E3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F609294">
            <w:pPr>
              <w:adjustRightInd w:val="0"/>
              <w:snapToGrid w:val="0"/>
              <w:jc w:val="center"/>
              <w:rPr>
                <w:rFonts w:eastAsia="宋体"/>
                <w:sz w:val="21"/>
                <w:szCs w:val="21"/>
              </w:rPr>
            </w:pPr>
            <w:r>
              <w:rPr>
                <w:rFonts w:hint="eastAsia" w:eastAsia="宋体"/>
                <w:sz w:val="21"/>
                <w:szCs w:val="21"/>
              </w:rPr>
              <w:t>事件影响</w:t>
            </w:r>
          </w:p>
        </w:tc>
        <w:tc>
          <w:tcPr>
            <w:tcW w:w="7267" w:type="dxa"/>
            <w:tcBorders>
              <w:tl2br w:val="nil"/>
              <w:tr2bl w:val="nil"/>
            </w:tcBorders>
            <w:vAlign w:val="center"/>
          </w:tcPr>
          <w:p w14:paraId="377E7D7B">
            <w:pPr>
              <w:adjustRightInd w:val="0"/>
              <w:snapToGrid w:val="0"/>
              <w:rPr>
                <w:rFonts w:eastAsia="宋体"/>
                <w:sz w:val="21"/>
                <w:szCs w:val="21"/>
              </w:rPr>
            </w:pPr>
            <w:r>
              <w:rPr>
                <w:rFonts w:eastAsia="宋体"/>
                <w:sz w:val="21"/>
                <w:szCs w:val="21"/>
              </w:rPr>
              <w:t>周边水环境、大气环境</w:t>
            </w:r>
            <w:r>
              <w:rPr>
                <w:rFonts w:hint="eastAsia" w:eastAsia="宋体"/>
                <w:sz w:val="21"/>
                <w:szCs w:val="21"/>
              </w:rPr>
              <w:t>受到影响，造成6人死亡，3人受伤。</w:t>
            </w:r>
          </w:p>
        </w:tc>
      </w:tr>
      <w:tr w14:paraId="496F6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9E4201E">
            <w:pPr>
              <w:adjustRightInd w:val="0"/>
              <w:snapToGrid w:val="0"/>
              <w:jc w:val="center"/>
              <w:rPr>
                <w:rFonts w:eastAsia="宋体"/>
                <w:sz w:val="21"/>
                <w:szCs w:val="21"/>
              </w:rPr>
            </w:pPr>
            <w:r>
              <w:rPr>
                <w:rFonts w:hint="eastAsia" w:eastAsia="宋体"/>
                <w:sz w:val="21"/>
                <w:szCs w:val="21"/>
              </w:rPr>
              <w:t>防范措施</w:t>
            </w:r>
          </w:p>
        </w:tc>
        <w:tc>
          <w:tcPr>
            <w:tcW w:w="7267" w:type="dxa"/>
            <w:tcBorders>
              <w:tl2br w:val="nil"/>
              <w:tr2bl w:val="nil"/>
            </w:tcBorders>
            <w:vAlign w:val="center"/>
          </w:tcPr>
          <w:p w14:paraId="41624F88">
            <w:pPr>
              <w:numPr>
                <w:ilvl w:val="0"/>
                <w:numId w:val="5"/>
              </w:numPr>
              <w:adjustRightInd w:val="0"/>
              <w:snapToGrid w:val="0"/>
              <w:rPr>
                <w:rFonts w:eastAsia="宋体"/>
                <w:sz w:val="21"/>
                <w:szCs w:val="21"/>
              </w:rPr>
            </w:pPr>
            <w:r>
              <w:rPr>
                <w:rFonts w:hint="eastAsia" w:eastAsia="宋体"/>
                <w:sz w:val="21"/>
                <w:szCs w:val="21"/>
              </w:rPr>
              <w:t>除尘系统需安装泄爆装置；</w:t>
            </w:r>
          </w:p>
          <w:p w14:paraId="4519DBFD">
            <w:pPr>
              <w:adjustRightInd w:val="0"/>
              <w:snapToGrid w:val="0"/>
              <w:rPr>
                <w:rFonts w:eastAsia="宋体"/>
                <w:sz w:val="21"/>
                <w:szCs w:val="21"/>
              </w:rPr>
            </w:pPr>
            <w:r>
              <w:rPr>
                <w:rFonts w:hint="eastAsia" w:eastAsia="宋体"/>
                <w:sz w:val="21"/>
                <w:szCs w:val="21"/>
              </w:rPr>
              <w:t>（2）生产车间配备足够应急物资。</w:t>
            </w:r>
          </w:p>
        </w:tc>
      </w:tr>
    </w:tbl>
    <w:p w14:paraId="61AAC161">
      <w:pPr>
        <w:adjustRightInd w:val="0"/>
        <w:snapToGrid w:val="0"/>
        <w:spacing w:line="500" w:lineRule="exact"/>
        <w:ind w:firstLine="480" w:firstLineChars="200"/>
        <w:rPr>
          <w:rFonts w:eastAsia="宋体"/>
        </w:rPr>
      </w:pPr>
      <w:r>
        <w:rPr>
          <w:rFonts w:eastAsia="宋体"/>
        </w:rPr>
        <w:t>根据研究，公司发生可能引发或次生突发环境事件的最坏情景一般有以下几种：A、生产安全事故及可能引起的次生、衍生厂外环境污染及人员伤亡事故；B、环境风险防控设施失灵或非正常操作；C、非正常工况（如开、停车等）；D、污染治理设施非正常运行；E、违法排污；F、停电、断水、停气等；G、通讯或运输系统故障；H、各种自然灾害、极端天气或不利气象条件；I、其他可能的情景。各情景设定情况见表4-2。</w:t>
      </w:r>
    </w:p>
    <w:p w14:paraId="0194603A">
      <w:pPr>
        <w:adjustRightInd w:val="0"/>
        <w:snapToGrid w:val="0"/>
        <w:spacing w:line="500" w:lineRule="exact"/>
        <w:jc w:val="center"/>
        <w:rPr>
          <w:rFonts w:eastAsia="宋体"/>
          <w:b/>
          <w:bCs/>
        </w:rPr>
      </w:pPr>
      <w:r>
        <w:rPr>
          <w:rFonts w:eastAsia="宋体"/>
          <w:b/>
          <w:bCs/>
        </w:rPr>
        <w:t>表4-2公司环境事件情景设定</w:t>
      </w:r>
    </w:p>
    <w:tbl>
      <w:tblPr>
        <w:tblStyle w:val="38"/>
        <w:tblW w:w="90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854"/>
        <w:gridCol w:w="2156"/>
        <w:gridCol w:w="6089"/>
      </w:tblGrid>
      <w:tr w14:paraId="02940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12" w:hRule="atLeast"/>
          <w:tblHeader/>
          <w:jc w:val="center"/>
        </w:trPr>
        <w:tc>
          <w:tcPr>
            <w:tcW w:w="854" w:type="dxa"/>
            <w:tcBorders>
              <w:tl2br w:val="nil"/>
              <w:tr2bl w:val="nil"/>
            </w:tcBorders>
            <w:vAlign w:val="center"/>
          </w:tcPr>
          <w:p w14:paraId="3BC61A72">
            <w:pPr>
              <w:adjustRightInd w:val="0"/>
              <w:snapToGrid w:val="0"/>
              <w:jc w:val="center"/>
              <w:rPr>
                <w:rFonts w:eastAsia="宋体"/>
                <w:b/>
                <w:color w:val="000000"/>
                <w:sz w:val="21"/>
                <w:szCs w:val="21"/>
              </w:rPr>
            </w:pPr>
            <w:r>
              <w:rPr>
                <w:rFonts w:eastAsia="宋体"/>
                <w:b/>
                <w:color w:val="000000"/>
                <w:sz w:val="21"/>
                <w:szCs w:val="21"/>
              </w:rPr>
              <w:t>序号</w:t>
            </w:r>
          </w:p>
        </w:tc>
        <w:tc>
          <w:tcPr>
            <w:tcW w:w="2156" w:type="dxa"/>
            <w:tcBorders>
              <w:tl2br w:val="nil"/>
              <w:tr2bl w:val="nil"/>
            </w:tcBorders>
            <w:vAlign w:val="center"/>
          </w:tcPr>
          <w:p w14:paraId="15E168AB">
            <w:pPr>
              <w:adjustRightInd w:val="0"/>
              <w:snapToGrid w:val="0"/>
              <w:jc w:val="center"/>
              <w:rPr>
                <w:rFonts w:eastAsia="宋体"/>
                <w:b/>
                <w:color w:val="000000"/>
                <w:sz w:val="21"/>
                <w:szCs w:val="21"/>
              </w:rPr>
            </w:pPr>
            <w:r>
              <w:rPr>
                <w:rFonts w:eastAsia="宋体"/>
                <w:b/>
                <w:color w:val="000000"/>
                <w:sz w:val="21"/>
                <w:szCs w:val="21"/>
              </w:rPr>
              <w:t>突发环境事件背景</w:t>
            </w:r>
          </w:p>
        </w:tc>
        <w:tc>
          <w:tcPr>
            <w:tcW w:w="6089" w:type="dxa"/>
            <w:tcBorders>
              <w:tl2br w:val="nil"/>
              <w:tr2bl w:val="nil"/>
            </w:tcBorders>
            <w:vAlign w:val="center"/>
          </w:tcPr>
          <w:p w14:paraId="3F896E97">
            <w:pPr>
              <w:adjustRightInd w:val="0"/>
              <w:snapToGrid w:val="0"/>
              <w:jc w:val="center"/>
              <w:rPr>
                <w:rFonts w:eastAsia="宋体"/>
                <w:b/>
                <w:color w:val="000000"/>
                <w:sz w:val="21"/>
                <w:szCs w:val="21"/>
              </w:rPr>
            </w:pPr>
            <w:r>
              <w:rPr>
                <w:rFonts w:hint="eastAsia" w:eastAsia="宋体"/>
                <w:b/>
                <w:color w:val="000000"/>
                <w:sz w:val="21"/>
                <w:szCs w:val="21"/>
              </w:rPr>
              <w:t>情景分析</w:t>
            </w:r>
          </w:p>
        </w:tc>
      </w:tr>
      <w:tr w14:paraId="259C9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434" w:hRule="atLeast"/>
          <w:jc w:val="center"/>
        </w:trPr>
        <w:tc>
          <w:tcPr>
            <w:tcW w:w="854" w:type="dxa"/>
            <w:tcBorders>
              <w:tl2br w:val="nil"/>
              <w:tr2bl w:val="nil"/>
            </w:tcBorders>
            <w:vAlign w:val="center"/>
          </w:tcPr>
          <w:p w14:paraId="02581222">
            <w:pPr>
              <w:adjustRightInd w:val="0"/>
              <w:snapToGrid w:val="0"/>
              <w:jc w:val="center"/>
              <w:rPr>
                <w:rFonts w:eastAsia="宋体"/>
                <w:color w:val="000000"/>
                <w:sz w:val="21"/>
                <w:szCs w:val="21"/>
              </w:rPr>
            </w:pPr>
            <w:r>
              <w:rPr>
                <w:rFonts w:eastAsia="宋体"/>
                <w:color w:val="000000"/>
                <w:sz w:val="21"/>
                <w:szCs w:val="21"/>
              </w:rPr>
              <w:t>事件1</w:t>
            </w:r>
          </w:p>
        </w:tc>
        <w:tc>
          <w:tcPr>
            <w:tcW w:w="2156" w:type="dxa"/>
            <w:tcBorders>
              <w:tl2br w:val="nil"/>
              <w:tr2bl w:val="nil"/>
            </w:tcBorders>
            <w:vAlign w:val="center"/>
          </w:tcPr>
          <w:p w14:paraId="7E2E630E">
            <w:pPr>
              <w:adjustRightInd w:val="0"/>
              <w:snapToGrid w:val="0"/>
              <w:jc w:val="center"/>
              <w:rPr>
                <w:rFonts w:eastAsia="宋体"/>
                <w:color w:val="000000"/>
                <w:sz w:val="21"/>
                <w:szCs w:val="21"/>
              </w:rPr>
            </w:pPr>
            <w:r>
              <w:rPr>
                <w:rFonts w:eastAsia="宋体"/>
                <w:color w:val="000000"/>
                <w:sz w:val="21"/>
                <w:szCs w:val="21"/>
              </w:rPr>
              <w:t>泄漏、火灾等生产安全事故及可能引起的次生、衍生厂外环境污染及人员伤亡事故</w:t>
            </w:r>
          </w:p>
        </w:tc>
        <w:tc>
          <w:tcPr>
            <w:tcW w:w="6089" w:type="dxa"/>
            <w:tcBorders>
              <w:tl2br w:val="nil"/>
              <w:tr2bl w:val="nil"/>
            </w:tcBorders>
            <w:vAlign w:val="center"/>
          </w:tcPr>
          <w:p w14:paraId="32710A49">
            <w:pPr>
              <w:adjustRightInd w:val="0"/>
              <w:snapToGrid w:val="0"/>
              <w:jc w:val="left"/>
              <w:rPr>
                <w:rFonts w:eastAsia="宋体"/>
                <w:bCs/>
                <w:sz w:val="21"/>
                <w:szCs w:val="21"/>
              </w:rPr>
            </w:pPr>
            <w:r>
              <w:rPr>
                <w:rFonts w:eastAsia="宋体"/>
                <w:b/>
                <w:sz w:val="21"/>
                <w:szCs w:val="21"/>
              </w:rPr>
              <w:t>情景1：</w:t>
            </w:r>
            <w:r>
              <w:rPr>
                <w:rFonts w:eastAsia="宋体"/>
                <w:bCs/>
                <w:sz w:val="21"/>
                <w:szCs w:val="21"/>
              </w:rPr>
              <w:t>因管理不当，成品存放区</w:t>
            </w:r>
            <w:r>
              <w:rPr>
                <w:rFonts w:hint="eastAsia" w:eastAsia="宋体"/>
                <w:bCs/>
                <w:sz w:val="21"/>
                <w:szCs w:val="21"/>
              </w:rPr>
              <w:t>、废气处理设施</w:t>
            </w:r>
            <w:r>
              <w:rPr>
                <w:rFonts w:eastAsia="宋体"/>
                <w:bCs/>
                <w:sz w:val="21"/>
                <w:szCs w:val="21"/>
              </w:rPr>
              <w:t>发生火灾事故；</w:t>
            </w:r>
          </w:p>
          <w:p w14:paraId="45B43916">
            <w:pPr>
              <w:adjustRightInd w:val="0"/>
              <w:snapToGrid w:val="0"/>
              <w:jc w:val="left"/>
              <w:rPr>
                <w:rFonts w:eastAsia="宋体"/>
                <w:bCs/>
                <w:sz w:val="21"/>
                <w:szCs w:val="21"/>
              </w:rPr>
            </w:pPr>
            <w:r>
              <w:rPr>
                <w:rFonts w:eastAsia="宋体"/>
                <w:b/>
                <w:sz w:val="21"/>
                <w:szCs w:val="21"/>
              </w:rPr>
              <w:t>情景2：</w:t>
            </w:r>
            <w:r>
              <w:rPr>
                <w:rFonts w:eastAsia="宋体"/>
                <w:bCs/>
                <w:sz w:val="21"/>
                <w:szCs w:val="21"/>
              </w:rPr>
              <w:t>因管理不当，</w:t>
            </w:r>
            <w:r>
              <w:rPr>
                <w:rFonts w:hint="eastAsia" w:eastAsia="宋体"/>
                <w:bCs/>
                <w:sz w:val="21"/>
                <w:szCs w:val="21"/>
              </w:rPr>
              <w:t>原料</w:t>
            </w:r>
            <w:r>
              <w:rPr>
                <w:rFonts w:eastAsia="宋体"/>
                <w:bCs/>
                <w:sz w:val="21"/>
                <w:szCs w:val="21"/>
              </w:rPr>
              <w:t>仓库</w:t>
            </w:r>
            <w:r>
              <w:rPr>
                <w:rFonts w:hint="eastAsia" w:eastAsia="宋体"/>
                <w:bCs/>
                <w:sz w:val="21"/>
                <w:szCs w:val="21"/>
              </w:rPr>
              <w:t>、危废仓库</w:t>
            </w:r>
            <w:r>
              <w:rPr>
                <w:rFonts w:eastAsia="宋体"/>
                <w:bCs/>
                <w:sz w:val="21"/>
                <w:szCs w:val="21"/>
              </w:rPr>
              <w:t>发生火灾、泄漏事故；</w:t>
            </w:r>
          </w:p>
          <w:p w14:paraId="33FFE15B">
            <w:pPr>
              <w:adjustRightInd w:val="0"/>
              <w:snapToGrid w:val="0"/>
              <w:jc w:val="left"/>
              <w:rPr>
                <w:rFonts w:eastAsia="宋体"/>
                <w:bCs/>
                <w:sz w:val="21"/>
                <w:szCs w:val="21"/>
              </w:rPr>
            </w:pPr>
            <w:r>
              <w:rPr>
                <w:rFonts w:eastAsia="宋体"/>
                <w:b/>
                <w:sz w:val="21"/>
                <w:szCs w:val="21"/>
              </w:rPr>
              <w:t>情景3：</w:t>
            </w:r>
            <w:r>
              <w:rPr>
                <w:rFonts w:hint="eastAsia" w:eastAsia="宋体"/>
                <w:bCs/>
                <w:sz w:val="21"/>
                <w:szCs w:val="21"/>
              </w:rPr>
              <w:t>喷漆</w:t>
            </w:r>
            <w:r>
              <w:rPr>
                <w:rFonts w:eastAsia="宋体"/>
                <w:bCs/>
                <w:sz w:val="21"/>
                <w:szCs w:val="21"/>
              </w:rPr>
              <w:t>车间发生火灾、爆炸、泄漏事故；</w:t>
            </w:r>
          </w:p>
          <w:p w14:paraId="10A7B7B5">
            <w:pPr>
              <w:adjustRightInd w:val="0"/>
              <w:snapToGrid w:val="0"/>
              <w:jc w:val="left"/>
              <w:rPr>
                <w:rFonts w:eastAsia="宋体"/>
                <w:color w:val="000000"/>
                <w:sz w:val="21"/>
                <w:szCs w:val="21"/>
              </w:rPr>
            </w:pPr>
            <w:r>
              <w:rPr>
                <w:rFonts w:eastAsia="宋体"/>
                <w:b/>
                <w:sz w:val="21"/>
                <w:szCs w:val="21"/>
              </w:rPr>
              <w:t>情景</w:t>
            </w:r>
            <w:r>
              <w:rPr>
                <w:rFonts w:hint="eastAsia" w:eastAsia="宋体"/>
                <w:b/>
                <w:sz w:val="21"/>
                <w:szCs w:val="21"/>
              </w:rPr>
              <w:t>4</w:t>
            </w:r>
            <w:r>
              <w:rPr>
                <w:rFonts w:eastAsia="宋体"/>
                <w:bCs/>
                <w:sz w:val="21"/>
                <w:szCs w:val="21"/>
              </w:rPr>
              <w:t>：木工车间</w:t>
            </w:r>
            <w:r>
              <w:rPr>
                <w:rFonts w:hint="eastAsia" w:eastAsia="宋体"/>
                <w:bCs/>
                <w:sz w:val="21"/>
                <w:szCs w:val="21"/>
              </w:rPr>
              <w:t>（含打磨）粉尘</w:t>
            </w:r>
            <w:r>
              <w:rPr>
                <w:rFonts w:eastAsia="宋体"/>
                <w:bCs/>
                <w:sz w:val="21"/>
                <w:szCs w:val="21"/>
              </w:rPr>
              <w:t>爆炸导致火灾、人员伤亡事故</w:t>
            </w:r>
            <w:r>
              <w:rPr>
                <w:rFonts w:hint="eastAsia" w:eastAsia="宋体"/>
                <w:bCs/>
                <w:sz w:val="21"/>
                <w:szCs w:val="21"/>
              </w:rPr>
              <w:t>；</w:t>
            </w:r>
            <w:r>
              <w:rPr>
                <w:rFonts w:eastAsia="宋体"/>
                <w:b/>
                <w:sz w:val="21"/>
                <w:szCs w:val="21"/>
              </w:rPr>
              <w:t>情景</w:t>
            </w:r>
            <w:r>
              <w:rPr>
                <w:rFonts w:hint="eastAsia" w:eastAsia="宋体"/>
                <w:b/>
                <w:sz w:val="21"/>
                <w:szCs w:val="21"/>
              </w:rPr>
              <w:t>5</w:t>
            </w:r>
            <w:r>
              <w:rPr>
                <w:rFonts w:eastAsia="宋体"/>
                <w:b/>
                <w:sz w:val="21"/>
                <w:szCs w:val="21"/>
              </w:rPr>
              <w:t>：</w:t>
            </w:r>
            <w:r>
              <w:rPr>
                <w:rFonts w:eastAsia="宋体"/>
                <w:bCs/>
                <w:sz w:val="21"/>
                <w:szCs w:val="21"/>
              </w:rPr>
              <w:t>以上火灾事故伴生大量有毒烟雾污染下风向大气环境，可能造成下风向人员中毒伤亡</w:t>
            </w:r>
            <w:r>
              <w:rPr>
                <w:rFonts w:hint="eastAsia" w:eastAsia="宋体"/>
                <w:bCs/>
                <w:sz w:val="21"/>
                <w:szCs w:val="21"/>
              </w:rPr>
              <w:t>。</w:t>
            </w:r>
          </w:p>
        </w:tc>
      </w:tr>
      <w:tr w14:paraId="16AEC9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50" w:hRule="atLeast"/>
          <w:jc w:val="center"/>
        </w:trPr>
        <w:tc>
          <w:tcPr>
            <w:tcW w:w="854" w:type="dxa"/>
            <w:tcBorders>
              <w:tl2br w:val="nil"/>
              <w:tr2bl w:val="nil"/>
            </w:tcBorders>
            <w:vAlign w:val="center"/>
          </w:tcPr>
          <w:p w14:paraId="75CC2BC2">
            <w:pPr>
              <w:adjustRightInd w:val="0"/>
              <w:snapToGrid w:val="0"/>
              <w:jc w:val="center"/>
              <w:rPr>
                <w:rFonts w:eastAsia="宋体"/>
                <w:color w:val="000000"/>
                <w:sz w:val="21"/>
                <w:szCs w:val="21"/>
              </w:rPr>
            </w:pPr>
            <w:r>
              <w:rPr>
                <w:rFonts w:eastAsia="宋体"/>
                <w:color w:val="000000"/>
                <w:sz w:val="21"/>
                <w:szCs w:val="21"/>
              </w:rPr>
              <w:t>事件2</w:t>
            </w:r>
          </w:p>
        </w:tc>
        <w:tc>
          <w:tcPr>
            <w:tcW w:w="2156" w:type="dxa"/>
            <w:tcBorders>
              <w:tl2br w:val="nil"/>
              <w:tr2bl w:val="nil"/>
            </w:tcBorders>
            <w:vAlign w:val="center"/>
          </w:tcPr>
          <w:p w14:paraId="3A6D222A">
            <w:pPr>
              <w:adjustRightInd w:val="0"/>
              <w:snapToGrid w:val="0"/>
              <w:jc w:val="center"/>
              <w:rPr>
                <w:rFonts w:eastAsia="宋体"/>
                <w:color w:val="000000"/>
                <w:sz w:val="21"/>
                <w:szCs w:val="21"/>
              </w:rPr>
            </w:pPr>
            <w:r>
              <w:rPr>
                <w:rFonts w:eastAsia="宋体"/>
                <w:color w:val="000000"/>
                <w:sz w:val="21"/>
                <w:szCs w:val="21"/>
              </w:rPr>
              <w:t>环境风险防控设施失灵或非正常操作</w:t>
            </w:r>
          </w:p>
        </w:tc>
        <w:tc>
          <w:tcPr>
            <w:tcW w:w="6089" w:type="dxa"/>
            <w:tcBorders>
              <w:tl2br w:val="nil"/>
              <w:tr2bl w:val="nil"/>
            </w:tcBorders>
            <w:vAlign w:val="center"/>
          </w:tcPr>
          <w:p w14:paraId="47EA28E1">
            <w:pPr>
              <w:adjustRightInd w:val="0"/>
              <w:snapToGrid w:val="0"/>
              <w:jc w:val="left"/>
              <w:rPr>
                <w:rFonts w:eastAsia="宋体"/>
                <w:color w:val="000000"/>
                <w:sz w:val="21"/>
                <w:szCs w:val="21"/>
              </w:rPr>
            </w:pPr>
            <w:r>
              <w:rPr>
                <w:rFonts w:eastAsia="宋体"/>
                <w:b/>
                <w:sz w:val="21"/>
                <w:szCs w:val="21"/>
              </w:rPr>
              <w:t>情景6：</w:t>
            </w:r>
            <w:r>
              <w:rPr>
                <w:rFonts w:eastAsia="宋体"/>
                <w:bCs/>
                <w:sz w:val="21"/>
                <w:szCs w:val="21"/>
              </w:rPr>
              <w:t>情景1、2、3、4、5因雨水切换阀没关或</w:t>
            </w:r>
            <w:r>
              <w:rPr>
                <w:rFonts w:hint="eastAsia" w:eastAsia="宋体"/>
                <w:bCs/>
                <w:sz w:val="21"/>
                <w:szCs w:val="21"/>
              </w:rPr>
              <w:t>应急</w:t>
            </w:r>
            <w:r>
              <w:rPr>
                <w:rFonts w:eastAsia="宋体"/>
                <w:bCs/>
                <w:sz w:val="21"/>
                <w:szCs w:val="21"/>
              </w:rPr>
              <w:t>事故池引流措施失败，事故废水、消防尾水、泄漏液</w:t>
            </w:r>
            <w:r>
              <w:rPr>
                <w:rFonts w:hint="eastAsia" w:eastAsia="宋体"/>
                <w:bCs/>
                <w:sz w:val="21"/>
                <w:szCs w:val="21"/>
              </w:rPr>
              <w:t>经雨水管道排入外环境</w:t>
            </w:r>
            <w:r>
              <w:rPr>
                <w:rFonts w:eastAsia="宋体"/>
                <w:bCs/>
                <w:sz w:val="21"/>
                <w:szCs w:val="21"/>
              </w:rPr>
              <w:t>。</w:t>
            </w:r>
          </w:p>
        </w:tc>
      </w:tr>
      <w:tr w14:paraId="409AA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854" w:hRule="atLeast"/>
          <w:jc w:val="center"/>
        </w:trPr>
        <w:tc>
          <w:tcPr>
            <w:tcW w:w="854" w:type="dxa"/>
            <w:tcBorders>
              <w:tl2br w:val="nil"/>
              <w:tr2bl w:val="nil"/>
            </w:tcBorders>
            <w:vAlign w:val="center"/>
          </w:tcPr>
          <w:p w14:paraId="333A218C">
            <w:pPr>
              <w:adjustRightInd w:val="0"/>
              <w:snapToGrid w:val="0"/>
              <w:jc w:val="center"/>
              <w:rPr>
                <w:rFonts w:eastAsia="宋体"/>
                <w:color w:val="000000"/>
                <w:sz w:val="21"/>
                <w:szCs w:val="21"/>
              </w:rPr>
            </w:pPr>
            <w:r>
              <w:rPr>
                <w:rFonts w:eastAsia="宋体"/>
                <w:color w:val="000000"/>
                <w:sz w:val="21"/>
                <w:szCs w:val="21"/>
              </w:rPr>
              <w:t>事件3</w:t>
            </w:r>
          </w:p>
        </w:tc>
        <w:tc>
          <w:tcPr>
            <w:tcW w:w="2156" w:type="dxa"/>
            <w:tcBorders>
              <w:tl2br w:val="nil"/>
              <w:tr2bl w:val="nil"/>
            </w:tcBorders>
            <w:vAlign w:val="center"/>
          </w:tcPr>
          <w:p w14:paraId="462521B9">
            <w:pPr>
              <w:adjustRightInd w:val="0"/>
              <w:snapToGrid w:val="0"/>
              <w:jc w:val="center"/>
              <w:rPr>
                <w:rFonts w:eastAsia="宋体"/>
                <w:color w:val="000000"/>
                <w:sz w:val="21"/>
                <w:szCs w:val="21"/>
              </w:rPr>
            </w:pPr>
            <w:r>
              <w:rPr>
                <w:rFonts w:eastAsia="宋体"/>
                <w:color w:val="000000"/>
                <w:sz w:val="21"/>
                <w:szCs w:val="21"/>
              </w:rPr>
              <w:t>非正常工况</w:t>
            </w:r>
          </w:p>
        </w:tc>
        <w:tc>
          <w:tcPr>
            <w:tcW w:w="6089" w:type="dxa"/>
            <w:tcBorders>
              <w:tl2br w:val="nil"/>
              <w:tr2bl w:val="nil"/>
            </w:tcBorders>
            <w:vAlign w:val="center"/>
          </w:tcPr>
          <w:p w14:paraId="232F5797">
            <w:pPr>
              <w:adjustRightInd w:val="0"/>
              <w:snapToGrid w:val="0"/>
              <w:jc w:val="left"/>
              <w:rPr>
                <w:rFonts w:eastAsia="宋体"/>
                <w:color w:val="000000"/>
                <w:sz w:val="21"/>
                <w:szCs w:val="21"/>
              </w:rPr>
            </w:pPr>
            <w:r>
              <w:rPr>
                <w:rFonts w:eastAsia="宋体"/>
                <w:b/>
                <w:sz w:val="21"/>
                <w:szCs w:val="21"/>
              </w:rPr>
              <w:t>情景7：</w:t>
            </w:r>
            <w:r>
              <w:rPr>
                <w:rFonts w:eastAsia="宋体"/>
                <w:bCs/>
                <w:sz w:val="21"/>
                <w:szCs w:val="21"/>
              </w:rPr>
              <w:t>开</w:t>
            </w:r>
            <w:r>
              <w:rPr>
                <w:rFonts w:hint="eastAsia" w:eastAsia="宋体"/>
                <w:bCs/>
                <w:sz w:val="21"/>
                <w:szCs w:val="21"/>
              </w:rPr>
              <w:t>工</w:t>
            </w:r>
            <w:r>
              <w:rPr>
                <w:rFonts w:eastAsia="宋体"/>
                <w:bCs/>
                <w:sz w:val="21"/>
                <w:szCs w:val="21"/>
              </w:rPr>
              <w:t>未先开废气处理装置、停废气处理装置</w:t>
            </w:r>
            <w:r>
              <w:rPr>
                <w:rFonts w:hint="eastAsia" w:eastAsia="宋体"/>
                <w:bCs/>
                <w:sz w:val="21"/>
                <w:szCs w:val="21"/>
              </w:rPr>
              <w:t>后继续生产</w:t>
            </w:r>
            <w:r>
              <w:rPr>
                <w:rFonts w:eastAsia="宋体"/>
                <w:bCs/>
                <w:sz w:val="21"/>
                <w:szCs w:val="21"/>
              </w:rPr>
              <w:t>，无组织排放造成厂界超标，下风向大气污染。</w:t>
            </w:r>
          </w:p>
        </w:tc>
      </w:tr>
      <w:tr w14:paraId="7E736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134" w:hRule="atLeast"/>
          <w:jc w:val="center"/>
        </w:trPr>
        <w:tc>
          <w:tcPr>
            <w:tcW w:w="854" w:type="dxa"/>
            <w:tcBorders>
              <w:tl2br w:val="nil"/>
              <w:tr2bl w:val="nil"/>
            </w:tcBorders>
            <w:vAlign w:val="center"/>
          </w:tcPr>
          <w:p w14:paraId="18228EA4">
            <w:pPr>
              <w:adjustRightInd w:val="0"/>
              <w:snapToGrid w:val="0"/>
              <w:jc w:val="center"/>
              <w:rPr>
                <w:rFonts w:eastAsia="宋体"/>
                <w:color w:val="000000"/>
                <w:sz w:val="21"/>
                <w:szCs w:val="21"/>
              </w:rPr>
            </w:pPr>
            <w:r>
              <w:rPr>
                <w:rFonts w:eastAsia="宋体"/>
                <w:color w:val="000000"/>
                <w:sz w:val="21"/>
                <w:szCs w:val="21"/>
              </w:rPr>
              <w:t>事件4</w:t>
            </w:r>
          </w:p>
        </w:tc>
        <w:tc>
          <w:tcPr>
            <w:tcW w:w="2156" w:type="dxa"/>
            <w:tcBorders>
              <w:tl2br w:val="nil"/>
              <w:tr2bl w:val="nil"/>
            </w:tcBorders>
            <w:vAlign w:val="center"/>
          </w:tcPr>
          <w:p w14:paraId="6BB280EA">
            <w:pPr>
              <w:adjustRightInd w:val="0"/>
              <w:snapToGrid w:val="0"/>
              <w:jc w:val="center"/>
              <w:rPr>
                <w:rFonts w:eastAsia="宋体"/>
                <w:color w:val="000000"/>
                <w:sz w:val="21"/>
                <w:szCs w:val="21"/>
              </w:rPr>
            </w:pPr>
            <w:r>
              <w:rPr>
                <w:rFonts w:eastAsia="宋体"/>
                <w:color w:val="000000"/>
                <w:sz w:val="21"/>
                <w:szCs w:val="21"/>
              </w:rPr>
              <w:t>污染治理设施非正常运行</w:t>
            </w:r>
          </w:p>
        </w:tc>
        <w:tc>
          <w:tcPr>
            <w:tcW w:w="6089" w:type="dxa"/>
            <w:tcBorders>
              <w:tl2br w:val="nil"/>
              <w:tr2bl w:val="nil"/>
            </w:tcBorders>
            <w:vAlign w:val="center"/>
          </w:tcPr>
          <w:p w14:paraId="34BA2616">
            <w:pPr>
              <w:rPr>
                <w:rFonts w:eastAsia="宋体"/>
                <w:sz w:val="21"/>
                <w:szCs w:val="21"/>
              </w:rPr>
            </w:pPr>
            <w:r>
              <w:rPr>
                <w:rFonts w:eastAsia="宋体"/>
                <w:b/>
                <w:bCs/>
                <w:sz w:val="21"/>
                <w:szCs w:val="21"/>
              </w:rPr>
              <w:t>情景8：</w:t>
            </w:r>
            <w:r>
              <w:rPr>
                <w:rFonts w:eastAsia="宋体"/>
                <w:sz w:val="21"/>
                <w:szCs w:val="21"/>
              </w:rPr>
              <w:t>废气处理设施异常，超标排放，引起下风向大气污染；</w:t>
            </w:r>
            <w:r>
              <w:rPr>
                <w:rFonts w:hint="eastAsia" w:eastAsia="宋体" w:cs="Times New Roman"/>
                <w:sz w:val="21"/>
                <w:szCs w:val="21"/>
                <w:lang w:val="en-US" w:eastAsia="zh-CN"/>
              </w:rPr>
              <w:t>废水处理设施异常，管道破裂，引起土壤污染。</w:t>
            </w:r>
          </w:p>
          <w:p w14:paraId="541E3E04">
            <w:pPr>
              <w:rPr>
                <w:rFonts w:eastAsia="宋体"/>
                <w:sz w:val="21"/>
                <w:szCs w:val="21"/>
              </w:rPr>
            </w:pPr>
            <w:r>
              <w:rPr>
                <w:rFonts w:eastAsia="宋体"/>
                <w:b/>
                <w:bCs/>
                <w:sz w:val="21"/>
                <w:szCs w:val="21"/>
              </w:rPr>
              <w:t>情景9：</w:t>
            </w:r>
            <w:r>
              <w:rPr>
                <w:rFonts w:eastAsia="宋体"/>
                <w:sz w:val="21"/>
                <w:szCs w:val="21"/>
              </w:rPr>
              <w:t>泄漏、火灾、爆炸等事故救援产生的消防水的事故性排放；管道破裂引起的生产废水排出厂外；</w:t>
            </w:r>
          </w:p>
          <w:p w14:paraId="54A4C754">
            <w:pPr>
              <w:rPr>
                <w:rFonts w:eastAsia="宋体"/>
                <w:szCs w:val="21"/>
              </w:rPr>
            </w:pPr>
            <w:r>
              <w:rPr>
                <w:rFonts w:eastAsia="宋体"/>
                <w:b/>
                <w:bCs/>
                <w:sz w:val="21"/>
                <w:szCs w:val="21"/>
              </w:rPr>
              <w:t>情景10：</w:t>
            </w:r>
            <w:r>
              <w:rPr>
                <w:rFonts w:eastAsia="宋体"/>
                <w:sz w:val="21"/>
                <w:szCs w:val="21"/>
              </w:rPr>
              <w:t>当固废堆场防渗、防漏设施不完善、遭到损坏时，堆场渗滤液渗入土壤，造成严重的土壤、地下水污染；当固废堆场防雨设施不完善、遭到破坏时，淋沥固体废物的雨水径流可能进入河流，造成地表水污染；在自然风作用下，固废堆场有可能造成周围大气污染。</w:t>
            </w:r>
          </w:p>
        </w:tc>
      </w:tr>
      <w:tr w14:paraId="1D39E4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92" w:hRule="atLeast"/>
          <w:jc w:val="center"/>
        </w:trPr>
        <w:tc>
          <w:tcPr>
            <w:tcW w:w="854" w:type="dxa"/>
            <w:tcBorders>
              <w:tl2br w:val="nil"/>
              <w:tr2bl w:val="nil"/>
            </w:tcBorders>
            <w:vAlign w:val="center"/>
          </w:tcPr>
          <w:p w14:paraId="72A329AF">
            <w:pPr>
              <w:adjustRightInd w:val="0"/>
              <w:snapToGrid w:val="0"/>
              <w:jc w:val="center"/>
              <w:rPr>
                <w:rFonts w:eastAsia="宋体"/>
                <w:color w:val="000000"/>
                <w:sz w:val="21"/>
                <w:szCs w:val="21"/>
              </w:rPr>
            </w:pPr>
            <w:r>
              <w:rPr>
                <w:rFonts w:eastAsia="宋体"/>
                <w:color w:val="000000"/>
                <w:sz w:val="21"/>
                <w:szCs w:val="21"/>
              </w:rPr>
              <w:t>事件5</w:t>
            </w:r>
          </w:p>
        </w:tc>
        <w:tc>
          <w:tcPr>
            <w:tcW w:w="2156" w:type="dxa"/>
            <w:tcBorders>
              <w:tl2br w:val="nil"/>
              <w:tr2bl w:val="nil"/>
            </w:tcBorders>
            <w:vAlign w:val="center"/>
          </w:tcPr>
          <w:p w14:paraId="74F30D87">
            <w:pPr>
              <w:adjustRightInd w:val="0"/>
              <w:snapToGrid w:val="0"/>
              <w:jc w:val="center"/>
              <w:rPr>
                <w:rFonts w:eastAsia="宋体"/>
                <w:color w:val="000000"/>
                <w:sz w:val="21"/>
                <w:szCs w:val="21"/>
              </w:rPr>
            </w:pPr>
            <w:r>
              <w:rPr>
                <w:rFonts w:eastAsia="宋体"/>
                <w:color w:val="000000"/>
                <w:sz w:val="21"/>
                <w:szCs w:val="21"/>
              </w:rPr>
              <w:t>违法排污</w:t>
            </w:r>
          </w:p>
        </w:tc>
        <w:tc>
          <w:tcPr>
            <w:tcW w:w="6089" w:type="dxa"/>
            <w:tcBorders>
              <w:tl2br w:val="nil"/>
              <w:tr2bl w:val="nil"/>
            </w:tcBorders>
            <w:vAlign w:val="center"/>
          </w:tcPr>
          <w:p w14:paraId="1E9BB0AB">
            <w:pPr>
              <w:adjustRightInd w:val="0"/>
              <w:snapToGrid w:val="0"/>
              <w:jc w:val="left"/>
              <w:rPr>
                <w:rFonts w:eastAsia="宋体"/>
                <w:bCs/>
                <w:sz w:val="21"/>
                <w:szCs w:val="21"/>
              </w:rPr>
            </w:pPr>
            <w:r>
              <w:rPr>
                <w:rFonts w:eastAsia="宋体"/>
                <w:b/>
                <w:sz w:val="21"/>
                <w:szCs w:val="21"/>
              </w:rPr>
              <w:t>情景11：</w:t>
            </w:r>
            <w:r>
              <w:rPr>
                <w:rFonts w:eastAsia="宋体"/>
                <w:bCs/>
                <w:sz w:val="21"/>
                <w:szCs w:val="21"/>
              </w:rPr>
              <w:t>水循环一体机内循环水倾入雨水管网，排出厂外，导致厂界外水体污染</w:t>
            </w:r>
            <w:r>
              <w:rPr>
                <w:rFonts w:hint="eastAsia" w:eastAsia="宋体"/>
                <w:bCs/>
                <w:sz w:val="21"/>
                <w:szCs w:val="21"/>
              </w:rPr>
              <w:t>；</w:t>
            </w:r>
          </w:p>
          <w:p w14:paraId="4AA09760">
            <w:pPr>
              <w:adjustRightInd w:val="0"/>
              <w:snapToGrid w:val="0"/>
              <w:jc w:val="left"/>
              <w:rPr>
                <w:rFonts w:eastAsia="宋体"/>
                <w:color w:val="000000"/>
                <w:sz w:val="21"/>
                <w:szCs w:val="21"/>
              </w:rPr>
            </w:pPr>
            <w:r>
              <w:rPr>
                <w:rFonts w:eastAsia="宋体"/>
                <w:b/>
                <w:sz w:val="21"/>
                <w:szCs w:val="21"/>
              </w:rPr>
              <w:t>情景12：</w:t>
            </w:r>
            <w:r>
              <w:rPr>
                <w:rFonts w:eastAsia="宋体"/>
                <w:bCs/>
                <w:sz w:val="21"/>
                <w:szCs w:val="21"/>
              </w:rPr>
              <w:t>危险废物处置不当或非法处置，污染水体及土壤</w:t>
            </w:r>
            <w:r>
              <w:rPr>
                <w:rFonts w:hint="eastAsia" w:eastAsia="宋体"/>
                <w:bCs/>
                <w:sz w:val="21"/>
                <w:szCs w:val="21"/>
              </w:rPr>
              <w:t>。</w:t>
            </w:r>
          </w:p>
        </w:tc>
      </w:tr>
      <w:tr w14:paraId="73061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79" w:hRule="atLeast"/>
          <w:jc w:val="center"/>
        </w:trPr>
        <w:tc>
          <w:tcPr>
            <w:tcW w:w="854" w:type="dxa"/>
            <w:tcBorders>
              <w:tl2br w:val="nil"/>
              <w:tr2bl w:val="nil"/>
            </w:tcBorders>
            <w:vAlign w:val="center"/>
          </w:tcPr>
          <w:p w14:paraId="754D6AA2">
            <w:pPr>
              <w:adjustRightInd w:val="0"/>
              <w:snapToGrid w:val="0"/>
              <w:jc w:val="center"/>
              <w:rPr>
                <w:rFonts w:eastAsia="宋体"/>
                <w:color w:val="000000"/>
                <w:sz w:val="21"/>
                <w:szCs w:val="21"/>
              </w:rPr>
            </w:pPr>
            <w:r>
              <w:rPr>
                <w:rFonts w:eastAsia="宋体"/>
                <w:color w:val="000000"/>
                <w:sz w:val="21"/>
                <w:szCs w:val="21"/>
              </w:rPr>
              <w:t>事件6</w:t>
            </w:r>
          </w:p>
        </w:tc>
        <w:tc>
          <w:tcPr>
            <w:tcW w:w="2156" w:type="dxa"/>
            <w:tcBorders>
              <w:tl2br w:val="nil"/>
              <w:tr2bl w:val="nil"/>
            </w:tcBorders>
            <w:vAlign w:val="center"/>
          </w:tcPr>
          <w:p w14:paraId="5DCA8233">
            <w:pPr>
              <w:adjustRightInd w:val="0"/>
              <w:snapToGrid w:val="0"/>
              <w:jc w:val="center"/>
              <w:rPr>
                <w:rFonts w:eastAsia="宋体"/>
                <w:color w:val="000000"/>
                <w:sz w:val="21"/>
                <w:szCs w:val="21"/>
              </w:rPr>
            </w:pPr>
            <w:r>
              <w:rPr>
                <w:rFonts w:eastAsia="宋体"/>
                <w:color w:val="000000"/>
                <w:sz w:val="21"/>
                <w:szCs w:val="21"/>
              </w:rPr>
              <w:t>停电、断水、停气等</w:t>
            </w:r>
          </w:p>
        </w:tc>
        <w:tc>
          <w:tcPr>
            <w:tcW w:w="6089" w:type="dxa"/>
            <w:tcBorders>
              <w:tl2br w:val="nil"/>
              <w:tr2bl w:val="nil"/>
            </w:tcBorders>
            <w:vAlign w:val="center"/>
          </w:tcPr>
          <w:p w14:paraId="68A3EBAB">
            <w:pPr>
              <w:adjustRightInd w:val="0"/>
              <w:snapToGrid w:val="0"/>
              <w:jc w:val="left"/>
              <w:rPr>
                <w:rFonts w:eastAsia="宋体"/>
                <w:color w:val="000000"/>
                <w:sz w:val="21"/>
                <w:szCs w:val="21"/>
              </w:rPr>
            </w:pPr>
            <w:r>
              <w:rPr>
                <w:rFonts w:eastAsia="宋体"/>
                <w:b/>
                <w:bCs/>
                <w:sz w:val="21"/>
                <w:szCs w:val="21"/>
              </w:rPr>
              <w:t>情景13</w:t>
            </w:r>
            <w:r>
              <w:rPr>
                <w:rFonts w:hint="eastAsia" w:eastAsia="宋体"/>
                <w:b/>
                <w:bCs/>
                <w:sz w:val="21"/>
                <w:szCs w:val="21"/>
              </w:rPr>
              <w:t>：</w:t>
            </w:r>
            <w:r>
              <w:rPr>
                <w:rFonts w:hint="eastAsia" w:eastAsia="宋体"/>
                <w:sz w:val="21"/>
                <w:szCs w:val="21"/>
              </w:rPr>
              <w:t>公司</w:t>
            </w:r>
            <w:r>
              <w:rPr>
                <w:rFonts w:eastAsia="宋体"/>
                <w:color w:val="000000"/>
                <w:sz w:val="21"/>
                <w:szCs w:val="21"/>
              </w:rPr>
              <w:t>停电</w:t>
            </w:r>
            <w:r>
              <w:rPr>
                <w:rFonts w:hint="eastAsia" w:eastAsia="宋体"/>
                <w:color w:val="000000"/>
                <w:sz w:val="21"/>
                <w:szCs w:val="21"/>
              </w:rPr>
              <w:t>会导致废气处理设施停止运行，废气不经处理直接外排，污染环境</w:t>
            </w:r>
            <w:r>
              <w:rPr>
                <w:rFonts w:eastAsia="宋体"/>
                <w:color w:val="000000"/>
                <w:sz w:val="21"/>
                <w:szCs w:val="21"/>
              </w:rPr>
              <w:t>。</w:t>
            </w:r>
          </w:p>
        </w:tc>
      </w:tr>
      <w:tr w14:paraId="201D3F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991" w:hRule="atLeast"/>
          <w:jc w:val="center"/>
        </w:trPr>
        <w:tc>
          <w:tcPr>
            <w:tcW w:w="854" w:type="dxa"/>
            <w:tcBorders>
              <w:tl2br w:val="nil"/>
              <w:tr2bl w:val="nil"/>
            </w:tcBorders>
            <w:vAlign w:val="center"/>
          </w:tcPr>
          <w:p w14:paraId="6D1CD02D">
            <w:pPr>
              <w:adjustRightInd w:val="0"/>
              <w:snapToGrid w:val="0"/>
              <w:jc w:val="center"/>
              <w:rPr>
                <w:rFonts w:eastAsia="宋体"/>
                <w:color w:val="000000"/>
                <w:sz w:val="21"/>
                <w:szCs w:val="21"/>
              </w:rPr>
            </w:pPr>
            <w:r>
              <w:rPr>
                <w:rFonts w:eastAsia="宋体"/>
                <w:color w:val="000000"/>
                <w:sz w:val="21"/>
                <w:szCs w:val="21"/>
              </w:rPr>
              <w:t>事件7</w:t>
            </w:r>
          </w:p>
        </w:tc>
        <w:tc>
          <w:tcPr>
            <w:tcW w:w="2156" w:type="dxa"/>
            <w:tcBorders>
              <w:tl2br w:val="nil"/>
              <w:tr2bl w:val="nil"/>
            </w:tcBorders>
            <w:vAlign w:val="center"/>
          </w:tcPr>
          <w:p w14:paraId="31DFDDA8">
            <w:pPr>
              <w:adjustRightInd w:val="0"/>
              <w:snapToGrid w:val="0"/>
              <w:jc w:val="center"/>
              <w:rPr>
                <w:rFonts w:eastAsia="宋体"/>
                <w:color w:val="000000"/>
                <w:sz w:val="21"/>
                <w:szCs w:val="21"/>
              </w:rPr>
            </w:pPr>
            <w:r>
              <w:rPr>
                <w:rFonts w:eastAsia="宋体"/>
                <w:color w:val="000000"/>
                <w:sz w:val="21"/>
                <w:szCs w:val="21"/>
              </w:rPr>
              <w:t>通讯或运输系统故障</w:t>
            </w:r>
          </w:p>
        </w:tc>
        <w:tc>
          <w:tcPr>
            <w:tcW w:w="6089" w:type="dxa"/>
            <w:tcBorders>
              <w:tl2br w:val="nil"/>
              <w:tr2bl w:val="nil"/>
            </w:tcBorders>
            <w:vAlign w:val="center"/>
          </w:tcPr>
          <w:p w14:paraId="52B156CB">
            <w:pPr>
              <w:adjustRightInd w:val="0"/>
              <w:snapToGrid w:val="0"/>
              <w:jc w:val="left"/>
              <w:rPr>
                <w:rFonts w:eastAsia="宋体"/>
                <w:sz w:val="21"/>
                <w:szCs w:val="21"/>
              </w:rPr>
            </w:pPr>
            <w:r>
              <w:rPr>
                <w:rFonts w:eastAsia="宋体"/>
                <w:b/>
                <w:bCs/>
                <w:sz w:val="21"/>
                <w:szCs w:val="21"/>
              </w:rPr>
              <w:t>情景1</w:t>
            </w:r>
            <w:r>
              <w:rPr>
                <w:rFonts w:hint="eastAsia" w:eastAsia="宋体"/>
                <w:b/>
                <w:bCs/>
                <w:sz w:val="21"/>
                <w:szCs w:val="21"/>
              </w:rPr>
              <w:t>4</w:t>
            </w:r>
            <w:r>
              <w:rPr>
                <w:rFonts w:eastAsia="宋体"/>
                <w:b/>
                <w:bCs/>
                <w:sz w:val="21"/>
                <w:szCs w:val="21"/>
              </w:rPr>
              <w:t>：</w:t>
            </w:r>
            <w:r>
              <w:rPr>
                <w:rFonts w:eastAsia="宋体"/>
                <w:sz w:val="21"/>
                <w:szCs w:val="21"/>
              </w:rPr>
              <w:t>厂内运输不当发生</w:t>
            </w:r>
            <w:r>
              <w:rPr>
                <w:rFonts w:hint="eastAsia" w:eastAsia="宋体"/>
                <w:sz w:val="21"/>
                <w:szCs w:val="21"/>
              </w:rPr>
              <w:t>水性漆等</w:t>
            </w:r>
            <w:r>
              <w:rPr>
                <w:rFonts w:eastAsia="宋体"/>
                <w:sz w:val="21"/>
                <w:szCs w:val="21"/>
              </w:rPr>
              <w:t>泄漏流入雨水系统造成厂界外水体污染。</w:t>
            </w:r>
          </w:p>
          <w:p w14:paraId="67D06330">
            <w:pPr>
              <w:rPr>
                <w:rFonts w:eastAsia="宋体"/>
                <w:szCs w:val="21"/>
              </w:rPr>
            </w:pPr>
            <w:r>
              <w:rPr>
                <w:rFonts w:eastAsia="宋体"/>
                <w:b/>
                <w:bCs/>
                <w:sz w:val="21"/>
                <w:szCs w:val="21"/>
              </w:rPr>
              <w:t>情景1</w:t>
            </w:r>
            <w:r>
              <w:rPr>
                <w:rFonts w:hint="eastAsia" w:eastAsia="宋体"/>
                <w:b/>
                <w:bCs/>
                <w:sz w:val="21"/>
                <w:szCs w:val="21"/>
              </w:rPr>
              <w:t>5</w:t>
            </w:r>
            <w:r>
              <w:rPr>
                <w:rFonts w:eastAsia="宋体"/>
                <w:b/>
                <w:bCs/>
                <w:sz w:val="21"/>
                <w:szCs w:val="21"/>
              </w:rPr>
              <w:t>：</w:t>
            </w:r>
            <w:r>
              <w:rPr>
                <w:rFonts w:eastAsia="宋体"/>
                <w:sz w:val="21"/>
                <w:szCs w:val="21"/>
              </w:rPr>
              <w:t>公司产生的危险废物采用汽运方式进行运输。在运输的过程中，会因包装材料损坏、汽车翻车等原因，造成危废洒落、泄漏，对大气环境、水环境、土壤环境造成一定的影响。</w:t>
            </w:r>
          </w:p>
        </w:tc>
      </w:tr>
      <w:tr w14:paraId="6898FF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576" w:hRule="atLeast"/>
          <w:jc w:val="center"/>
        </w:trPr>
        <w:tc>
          <w:tcPr>
            <w:tcW w:w="854" w:type="dxa"/>
            <w:tcBorders>
              <w:tl2br w:val="nil"/>
              <w:tr2bl w:val="nil"/>
            </w:tcBorders>
            <w:vAlign w:val="center"/>
          </w:tcPr>
          <w:p w14:paraId="63E7E555">
            <w:pPr>
              <w:adjustRightInd w:val="0"/>
              <w:snapToGrid w:val="0"/>
              <w:jc w:val="center"/>
              <w:rPr>
                <w:rFonts w:eastAsia="宋体"/>
                <w:color w:val="000000"/>
                <w:sz w:val="21"/>
                <w:szCs w:val="21"/>
              </w:rPr>
            </w:pPr>
            <w:r>
              <w:rPr>
                <w:rFonts w:eastAsia="宋体"/>
                <w:color w:val="000000"/>
                <w:sz w:val="21"/>
                <w:szCs w:val="21"/>
              </w:rPr>
              <w:t>事件8</w:t>
            </w:r>
          </w:p>
        </w:tc>
        <w:tc>
          <w:tcPr>
            <w:tcW w:w="2156" w:type="dxa"/>
            <w:tcBorders>
              <w:tl2br w:val="nil"/>
              <w:tr2bl w:val="nil"/>
            </w:tcBorders>
            <w:vAlign w:val="center"/>
          </w:tcPr>
          <w:p w14:paraId="7CFBEDD2">
            <w:pPr>
              <w:adjustRightInd w:val="0"/>
              <w:snapToGrid w:val="0"/>
              <w:jc w:val="center"/>
              <w:rPr>
                <w:rFonts w:eastAsia="宋体"/>
                <w:color w:val="000000"/>
                <w:sz w:val="21"/>
                <w:szCs w:val="21"/>
              </w:rPr>
            </w:pPr>
            <w:r>
              <w:rPr>
                <w:rFonts w:eastAsia="宋体"/>
                <w:color w:val="000000"/>
                <w:sz w:val="21"/>
                <w:szCs w:val="21"/>
              </w:rPr>
              <w:t>各种自然灾害、极端天气或不利气象条件</w:t>
            </w:r>
          </w:p>
        </w:tc>
        <w:tc>
          <w:tcPr>
            <w:tcW w:w="6089" w:type="dxa"/>
            <w:tcBorders>
              <w:tl2br w:val="nil"/>
              <w:tr2bl w:val="nil"/>
            </w:tcBorders>
            <w:vAlign w:val="center"/>
          </w:tcPr>
          <w:p w14:paraId="5BA0EFE4">
            <w:pPr>
              <w:adjustRightInd w:val="0"/>
              <w:snapToGrid w:val="0"/>
              <w:jc w:val="left"/>
              <w:rPr>
                <w:rFonts w:eastAsia="宋体"/>
                <w:color w:val="000000"/>
                <w:sz w:val="21"/>
                <w:szCs w:val="21"/>
              </w:rPr>
            </w:pPr>
            <w:r>
              <w:rPr>
                <w:rFonts w:eastAsia="宋体"/>
                <w:b/>
                <w:sz w:val="21"/>
                <w:szCs w:val="21"/>
              </w:rPr>
              <w:t>情景1</w:t>
            </w:r>
            <w:r>
              <w:rPr>
                <w:rFonts w:hint="eastAsia" w:eastAsia="宋体"/>
                <w:b/>
                <w:sz w:val="21"/>
                <w:szCs w:val="21"/>
              </w:rPr>
              <w:t>6</w:t>
            </w:r>
            <w:r>
              <w:rPr>
                <w:rFonts w:eastAsia="宋体"/>
                <w:b/>
                <w:sz w:val="21"/>
                <w:szCs w:val="21"/>
              </w:rPr>
              <w:t>：</w:t>
            </w:r>
            <w:r>
              <w:rPr>
                <w:rFonts w:eastAsia="宋体"/>
                <w:sz w:val="21"/>
                <w:szCs w:val="21"/>
              </w:rPr>
              <w:t>由于自然灾害、极端天气或不利气象条件的原因可能会导致污水预处理未达标排放，工艺废气处理系统发生损坏、生产装置等发生破裂、倒塌等事故，厂区物料、产品的泄漏等，会对周边环境造成污染或引发火灾、爆炸等突发环境事件</w:t>
            </w:r>
            <w:r>
              <w:rPr>
                <w:rFonts w:eastAsia="宋体"/>
                <w:bCs/>
                <w:sz w:val="21"/>
                <w:szCs w:val="21"/>
              </w:rPr>
              <w:t>。</w:t>
            </w:r>
          </w:p>
        </w:tc>
      </w:tr>
      <w:tr w14:paraId="7F8572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22" w:hRule="atLeast"/>
          <w:jc w:val="center"/>
        </w:trPr>
        <w:tc>
          <w:tcPr>
            <w:tcW w:w="854" w:type="dxa"/>
            <w:tcBorders>
              <w:tl2br w:val="nil"/>
              <w:tr2bl w:val="nil"/>
            </w:tcBorders>
            <w:vAlign w:val="center"/>
          </w:tcPr>
          <w:p w14:paraId="53398F29">
            <w:pPr>
              <w:adjustRightInd w:val="0"/>
              <w:snapToGrid w:val="0"/>
              <w:jc w:val="center"/>
              <w:rPr>
                <w:rFonts w:eastAsia="宋体"/>
                <w:color w:val="000000"/>
                <w:sz w:val="21"/>
                <w:szCs w:val="21"/>
              </w:rPr>
            </w:pPr>
            <w:r>
              <w:rPr>
                <w:rFonts w:eastAsia="宋体"/>
                <w:color w:val="000000"/>
                <w:sz w:val="21"/>
                <w:szCs w:val="21"/>
              </w:rPr>
              <w:t>事件9</w:t>
            </w:r>
          </w:p>
        </w:tc>
        <w:tc>
          <w:tcPr>
            <w:tcW w:w="2156" w:type="dxa"/>
            <w:tcBorders>
              <w:tl2br w:val="nil"/>
              <w:tr2bl w:val="nil"/>
            </w:tcBorders>
            <w:vAlign w:val="center"/>
          </w:tcPr>
          <w:p w14:paraId="31285788">
            <w:pPr>
              <w:adjustRightInd w:val="0"/>
              <w:snapToGrid w:val="0"/>
              <w:jc w:val="center"/>
              <w:rPr>
                <w:rFonts w:eastAsia="宋体"/>
                <w:color w:val="000000"/>
                <w:sz w:val="21"/>
                <w:szCs w:val="21"/>
              </w:rPr>
            </w:pPr>
            <w:r>
              <w:rPr>
                <w:rFonts w:eastAsia="宋体"/>
                <w:color w:val="000000"/>
                <w:sz w:val="21"/>
                <w:szCs w:val="21"/>
              </w:rPr>
              <w:t>其他可能的情景</w:t>
            </w:r>
          </w:p>
        </w:tc>
        <w:tc>
          <w:tcPr>
            <w:tcW w:w="6089" w:type="dxa"/>
            <w:tcBorders>
              <w:tl2br w:val="nil"/>
              <w:tr2bl w:val="nil"/>
            </w:tcBorders>
            <w:vAlign w:val="center"/>
          </w:tcPr>
          <w:p w14:paraId="728C9E8F">
            <w:pPr>
              <w:adjustRightInd w:val="0"/>
              <w:snapToGrid w:val="0"/>
              <w:jc w:val="left"/>
              <w:rPr>
                <w:rFonts w:eastAsia="宋体"/>
                <w:color w:val="000000"/>
                <w:sz w:val="21"/>
                <w:szCs w:val="21"/>
              </w:rPr>
            </w:pPr>
            <w:r>
              <w:rPr>
                <w:rFonts w:eastAsia="宋体"/>
                <w:color w:val="000000"/>
                <w:sz w:val="21"/>
                <w:szCs w:val="21"/>
              </w:rPr>
              <w:t>/</w:t>
            </w:r>
          </w:p>
        </w:tc>
      </w:tr>
    </w:tbl>
    <w:p w14:paraId="05B42045">
      <w:pPr>
        <w:pStyle w:val="3"/>
        <w:adjustRightInd w:val="0"/>
        <w:snapToGrid w:val="0"/>
        <w:spacing w:line="500" w:lineRule="exact"/>
        <w:rPr>
          <w:rFonts w:eastAsia="宋体"/>
          <w:sz w:val="24"/>
          <w:szCs w:val="24"/>
        </w:rPr>
      </w:pPr>
      <w:bookmarkStart w:id="179" w:name="_Toc496887125"/>
      <w:bookmarkStart w:id="180" w:name="_Toc7356"/>
      <w:bookmarkStart w:id="181" w:name="_Toc14737"/>
      <w:bookmarkStart w:id="182" w:name="_Toc29962"/>
      <w:bookmarkStart w:id="183" w:name="_Toc402776212"/>
      <w:bookmarkStart w:id="184" w:name="_Toc23512"/>
      <w:bookmarkStart w:id="185" w:name="_Toc510092950"/>
      <w:r>
        <w:rPr>
          <w:rFonts w:hint="eastAsia" w:eastAsia="宋体"/>
          <w:sz w:val="24"/>
          <w:szCs w:val="24"/>
        </w:rPr>
        <w:t>4.2突发环境事件情景源强分析</w:t>
      </w:r>
      <w:bookmarkEnd w:id="179"/>
      <w:bookmarkEnd w:id="180"/>
      <w:bookmarkEnd w:id="181"/>
      <w:bookmarkEnd w:id="182"/>
      <w:bookmarkEnd w:id="183"/>
      <w:bookmarkEnd w:id="184"/>
      <w:bookmarkEnd w:id="185"/>
    </w:p>
    <w:p w14:paraId="6DD27831">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表4-2中假定的9种事件中，事件6、7、8、9，如停电、断水、停气、通讯或运输系统故障、各种自然灾害、极端天气或不利气象条件等引起的突发环境事件虽偶有发生，但发生的情景具有特殊性，难以定性定量设定分析，且后续的源强计算难以操作，因此本次评价主要针对事件1、2、3、4、5进行分析。</w:t>
      </w:r>
    </w:p>
    <w:p w14:paraId="034F3FD9">
      <w:pPr>
        <w:adjustRightInd w:val="0"/>
        <w:snapToGrid w:val="0"/>
        <w:spacing w:line="500" w:lineRule="exact"/>
        <w:ind w:firstLine="480" w:firstLineChars="200"/>
        <w:rPr>
          <w:color w:val="000000" w:themeColor="text1"/>
          <w14:textFill>
            <w14:solidFill>
              <w14:schemeClr w14:val="tx1"/>
            </w14:solidFill>
          </w14:textFill>
        </w:rPr>
      </w:pPr>
      <w:r>
        <w:rPr>
          <w:rFonts w:eastAsia="宋体"/>
          <w:color w:val="000000" w:themeColor="text1"/>
          <w14:textFill>
            <w14:solidFill>
              <w14:schemeClr w14:val="tx1"/>
            </w14:solidFill>
          </w14:textFill>
        </w:rPr>
        <w:t>事件1，考虑因管理不当，造成</w:t>
      </w:r>
      <w:r>
        <w:rPr>
          <w:rFonts w:hint="eastAsia" w:eastAsia="宋体"/>
          <w:color w:val="000000" w:themeColor="text1"/>
          <w14:textFill>
            <w14:solidFill>
              <w14:schemeClr w14:val="tx1"/>
            </w14:solidFill>
          </w14:textFill>
        </w:rPr>
        <w:t>仓库、危废仓库</w:t>
      </w:r>
      <w:r>
        <w:rPr>
          <w:rFonts w:eastAsia="宋体"/>
          <w:color w:val="000000" w:themeColor="text1"/>
          <w14:textFill>
            <w14:solidFill>
              <w14:schemeClr w14:val="tx1"/>
            </w14:solidFill>
          </w14:textFill>
        </w:rPr>
        <w:t>等风险源发生火灾、爆炸、泄漏事故及可能引起的次生、衍生厂外环境污染及人员伤亡事故。</w:t>
      </w:r>
    </w:p>
    <w:p w14:paraId="28804974">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事件2、3、4、5根据分析均可归为公司废水、废气超标排放等原因造成对外环境有影响。</w:t>
      </w:r>
    </w:p>
    <w:p w14:paraId="32D8F07C">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综上，根据公司特点分析，本次报告重点针对分析影响较大的事件1、2、3、4、5的事故源强进行重点分析，其中1为火灾事件，2、3、4、5为废水超标排放事件、废气超标排放事件。</w:t>
      </w:r>
    </w:p>
    <w:p w14:paraId="0CE6C4A3">
      <w:pPr>
        <w:pStyle w:val="4"/>
        <w:tabs>
          <w:tab w:val="left" w:pos="3491"/>
        </w:tabs>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186" w:name="_Toc10397"/>
      <w:bookmarkStart w:id="187" w:name="_Toc26157"/>
      <w:bookmarkStart w:id="188" w:name="_Toc30597"/>
      <w:bookmarkStart w:id="189" w:name="_Toc27354"/>
      <w:r>
        <w:rPr>
          <w:rFonts w:eastAsia="宋体"/>
          <w:color w:val="000000" w:themeColor="text1"/>
          <w14:textFill>
            <w14:solidFill>
              <w14:schemeClr w14:val="tx1"/>
            </w14:solidFill>
          </w14:textFill>
        </w:rPr>
        <w:t>4.2.1事件情景1</w:t>
      </w:r>
      <w:bookmarkEnd w:id="186"/>
      <w:bookmarkEnd w:id="187"/>
      <w:bookmarkEnd w:id="188"/>
      <w:bookmarkEnd w:id="189"/>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2、3、4</w:t>
      </w:r>
    </w:p>
    <w:p w14:paraId="649AC3C3">
      <w:pPr>
        <w:autoSpaceDE w:val="0"/>
        <w:autoSpaceDN w:val="0"/>
        <w:adjustRightInd w:val="0"/>
        <w:snapToGrid w:val="0"/>
        <w:spacing w:line="500" w:lineRule="exact"/>
        <w:ind w:firstLine="480" w:firstLineChars="200"/>
        <w:rPr>
          <w:rFonts w:eastAsia="宋体"/>
          <w:color w:val="000000"/>
        </w:rPr>
      </w:pPr>
      <w:bookmarkStart w:id="190" w:name="_Toc475474908"/>
      <w:bookmarkStart w:id="191" w:name="_Toc10365"/>
      <w:r>
        <w:rPr>
          <w:rFonts w:eastAsia="宋体"/>
          <w:color w:val="000000" w:themeColor="text1"/>
          <w14:textFill>
            <w14:solidFill>
              <w14:schemeClr w14:val="tx1"/>
            </w14:solidFill>
          </w14:textFill>
        </w:rPr>
        <w:t>根据现场调查，在生产过程中，可能因</w:t>
      </w:r>
      <w:r>
        <w:rPr>
          <w:rFonts w:eastAsia="宋体"/>
          <w:color w:val="000000"/>
        </w:rPr>
        <w:t>人员工作时候麻痹大意导致火灾事故的产生。公司</w:t>
      </w:r>
      <w:bookmarkEnd w:id="190"/>
      <w:r>
        <w:rPr>
          <w:rFonts w:eastAsia="宋体"/>
          <w:color w:val="000000"/>
        </w:rPr>
        <w:t>原料及成品最大存储量为</w:t>
      </w:r>
      <w:r>
        <w:rPr>
          <w:rFonts w:hint="eastAsia" w:eastAsia="宋体"/>
          <w:color w:val="000000"/>
        </w:rPr>
        <w:t>1</w:t>
      </w:r>
      <w:r>
        <w:rPr>
          <w:rFonts w:hint="eastAsia" w:eastAsia="宋体"/>
          <w:color w:val="000000"/>
          <w:lang w:val="en-US" w:eastAsia="zh-CN"/>
        </w:rPr>
        <w:t>6</w:t>
      </w:r>
      <w:r>
        <w:rPr>
          <w:rFonts w:eastAsia="宋体"/>
          <w:color w:val="000000"/>
        </w:rPr>
        <w:t>吨，考虑到木材主要成分为纤维素，</w:t>
      </w:r>
      <w:r>
        <w:rPr>
          <w:rFonts w:hint="eastAsia" w:eastAsia="宋体"/>
          <w:color w:val="000000"/>
          <w:lang w:eastAsia="zh-CN"/>
        </w:rPr>
        <w:t>水性漆</w:t>
      </w:r>
      <w:r>
        <w:rPr>
          <w:rFonts w:hint="eastAsia" w:eastAsia="宋体"/>
          <w:color w:val="000000"/>
        </w:rPr>
        <w:t>等主要成分为有机物，</w:t>
      </w:r>
      <w:r>
        <w:rPr>
          <w:rFonts w:eastAsia="宋体"/>
          <w:color w:val="000000"/>
        </w:rPr>
        <w:t>其主要构成元素为碳氢化合物，在燃烧时的主要化学反应为：</w:t>
      </w:r>
    </w:p>
    <w:p w14:paraId="57CE237A">
      <w:pPr>
        <w:pStyle w:val="7"/>
        <w:snapToGrid w:val="0"/>
        <w:spacing w:line="500" w:lineRule="exact"/>
        <w:ind w:firstLine="480"/>
        <w:rPr>
          <w:rFonts w:eastAsia="宋体"/>
          <w:color w:val="333333"/>
        </w:rPr>
      </w:pPr>
      <w:r>
        <w:rPr>
          <w:rFonts w:eastAsia="宋体"/>
          <w:color w:val="333333"/>
        </w:rPr>
        <w:t>C</w:t>
      </w:r>
      <w:r>
        <w:rPr>
          <w:rFonts w:eastAsia="宋体"/>
          <w:color w:val="333333"/>
          <w:vertAlign w:val="subscript"/>
        </w:rPr>
        <w:t>n</w:t>
      </w:r>
      <w:r>
        <w:rPr>
          <w:rFonts w:eastAsia="宋体"/>
          <w:color w:val="333333"/>
        </w:rPr>
        <w:t>H</w:t>
      </w:r>
      <w:r>
        <w:rPr>
          <w:rFonts w:eastAsia="宋体"/>
          <w:color w:val="333333"/>
          <w:vertAlign w:val="subscript"/>
        </w:rPr>
        <w:t>n</w:t>
      </w:r>
      <w:r>
        <w:rPr>
          <w:rFonts w:eastAsia="宋体"/>
          <w:color w:val="333333"/>
        </w:rPr>
        <w:t>+O</w:t>
      </w:r>
      <w:r>
        <w:rPr>
          <w:rFonts w:eastAsia="宋体"/>
          <w:color w:val="333333"/>
          <w:vertAlign w:val="subscript"/>
        </w:rPr>
        <w:t>2</w:t>
      </w:r>
      <w:r>
        <w:rPr>
          <w:rFonts w:eastAsia="宋体"/>
          <w:color w:val="333333"/>
        </w:rPr>
        <w:t>—CO</w:t>
      </w:r>
      <w:r>
        <w:rPr>
          <w:rFonts w:eastAsia="宋体"/>
          <w:color w:val="333333"/>
          <w:vertAlign w:val="subscript"/>
        </w:rPr>
        <w:t>2</w:t>
      </w:r>
      <w:r>
        <w:rPr>
          <w:rFonts w:eastAsia="宋体"/>
          <w:color w:val="333333"/>
        </w:rPr>
        <w:t>+H</w:t>
      </w:r>
      <w:r>
        <w:rPr>
          <w:rFonts w:eastAsia="宋体"/>
          <w:color w:val="333333"/>
          <w:vertAlign w:val="subscript"/>
        </w:rPr>
        <w:t>2</w:t>
      </w:r>
      <w:r>
        <w:rPr>
          <w:rFonts w:eastAsia="宋体"/>
          <w:color w:val="333333"/>
        </w:rPr>
        <w:t>O</w:t>
      </w:r>
    </w:p>
    <w:p w14:paraId="0C9A710A">
      <w:pPr>
        <w:pStyle w:val="7"/>
        <w:snapToGrid w:val="0"/>
        <w:spacing w:line="500" w:lineRule="exact"/>
        <w:ind w:firstLine="480"/>
        <w:rPr>
          <w:rFonts w:eastAsia="宋体"/>
          <w:color w:val="333333"/>
        </w:rPr>
      </w:pPr>
      <w:r>
        <w:rPr>
          <w:rFonts w:eastAsia="宋体"/>
          <w:color w:val="333333"/>
        </w:rPr>
        <w:t>C</w:t>
      </w:r>
      <w:r>
        <w:rPr>
          <w:rFonts w:eastAsia="宋体"/>
          <w:color w:val="333333"/>
          <w:vertAlign w:val="subscript"/>
        </w:rPr>
        <w:t>n</w:t>
      </w:r>
      <w:r>
        <w:rPr>
          <w:rFonts w:eastAsia="宋体"/>
          <w:color w:val="333333"/>
        </w:rPr>
        <w:t>H</w:t>
      </w:r>
      <w:r>
        <w:rPr>
          <w:rFonts w:eastAsia="宋体"/>
          <w:color w:val="333333"/>
          <w:vertAlign w:val="subscript"/>
        </w:rPr>
        <w:t>n</w:t>
      </w:r>
      <w:r>
        <w:rPr>
          <w:rFonts w:eastAsia="宋体"/>
          <w:color w:val="333333"/>
        </w:rPr>
        <w:t>+O</w:t>
      </w:r>
      <w:r>
        <w:rPr>
          <w:rFonts w:eastAsia="宋体"/>
          <w:color w:val="333333"/>
          <w:vertAlign w:val="subscript"/>
        </w:rPr>
        <w:t>2</w:t>
      </w:r>
      <w:r>
        <w:rPr>
          <w:rFonts w:eastAsia="宋体"/>
          <w:color w:val="333333"/>
        </w:rPr>
        <w:t>—CO+H</w:t>
      </w:r>
      <w:r>
        <w:rPr>
          <w:rFonts w:eastAsia="宋体"/>
          <w:color w:val="333333"/>
          <w:vertAlign w:val="subscript"/>
        </w:rPr>
        <w:t>2</w:t>
      </w:r>
      <w:r>
        <w:rPr>
          <w:rFonts w:eastAsia="宋体"/>
          <w:color w:val="333333"/>
        </w:rPr>
        <w:t>O</w:t>
      </w:r>
    </w:p>
    <w:p w14:paraId="6B6414EA">
      <w:pPr>
        <w:snapToGrid w:val="0"/>
        <w:spacing w:line="500" w:lineRule="exact"/>
        <w:ind w:firstLine="480" w:firstLineChars="200"/>
        <w:rPr>
          <w:rFonts w:eastAsia="宋体"/>
          <w:color w:val="000000"/>
        </w:rPr>
      </w:pPr>
      <w:r>
        <w:rPr>
          <w:rFonts w:eastAsia="宋体"/>
          <w:color w:val="000000"/>
        </w:rPr>
        <w:t>假设燃烧一半时，火被扑灭即燃烧量为</w:t>
      </w:r>
      <w:r>
        <w:rPr>
          <w:rFonts w:hint="eastAsia" w:eastAsia="宋体"/>
          <w:color w:val="000000"/>
        </w:rPr>
        <w:t>8</w:t>
      </w:r>
      <w:r>
        <w:rPr>
          <w:rFonts w:eastAsia="宋体"/>
          <w:color w:val="000000"/>
        </w:rPr>
        <w:t>吨。由于火灾燃烧时为不完全燃烧，</w:t>
      </w:r>
      <w:r>
        <w:rPr>
          <w:rFonts w:hint="eastAsia" w:eastAsia="宋体"/>
          <w:color w:val="000000"/>
        </w:rPr>
        <w:t>海绵胶、热熔胶热分解时会产生可燃有毒气体</w:t>
      </w:r>
      <w:r>
        <w:rPr>
          <w:rFonts w:eastAsia="宋体"/>
          <w:color w:val="000000"/>
        </w:rPr>
        <w:t>，本评价在考虑污染物的时候主要考虑CO。参考类似项目，化学不完全燃烧值取</w:t>
      </w:r>
      <w:r>
        <w:rPr>
          <w:rFonts w:hint="eastAsia" w:eastAsia="宋体"/>
          <w:color w:val="000000"/>
        </w:rPr>
        <w:t>5</w:t>
      </w:r>
      <w:r>
        <w:rPr>
          <w:rFonts w:eastAsia="宋体"/>
          <w:color w:val="000000"/>
        </w:rPr>
        <w:t>%。源强计算参照《建设项目环境风险评价技术导则》(征求意见稿)推荐的公式计算：</w:t>
      </w:r>
    </w:p>
    <w:p w14:paraId="501906C8">
      <w:pPr>
        <w:snapToGrid w:val="0"/>
        <w:spacing w:line="500" w:lineRule="exact"/>
        <w:ind w:firstLine="480" w:firstLineChars="200"/>
        <w:rPr>
          <w:rFonts w:eastAsia="宋体"/>
          <w:color w:val="000000"/>
        </w:rPr>
      </w:pPr>
      <w:r>
        <w:rPr>
          <w:rFonts w:eastAsia="宋体"/>
          <w:color w:val="000000"/>
        </w:rPr>
        <w:t>燃料燃烧产生的CO量可按下式进行简单估算：</w:t>
      </w:r>
    </w:p>
    <w:p w14:paraId="360E6CC9">
      <w:pPr>
        <w:snapToGrid w:val="0"/>
        <w:spacing w:line="500" w:lineRule="exact"/>
        <w:ind w:firstLine="480" w:firstLineChars="200"/>
        <w:rPr>
          <w:rFonts w:eastAsia="宋体"/>
          <w:color w:val="000000"/>
        </w:rPr>
      </w:pPr>
      <w:r>
        <w:rPr>
          <w:rFonts w:eastAsia="宋体"/>
          <w:color w:val="000000"/>
        </w:rPr>
        <w:t>G</w:t>
      </w:r>
      <w:r>
        <w:rPr>
          <w:rFonts w:eastAsia="宋体"/>
          <w:color w:val="000000"/>
          <w:vertAlign w:val="subscript"/>
        </w:rPr>
        <w:t>CO</w:t>
      </w:r>
      <w:r>
        <w:rPr>
          <w:rFonts w:eastAsia="宋体"/>
          <w:color w:val="000000"/>
        </w:rPr>
        <w:t>=2330*q*C*Q</w:t>
      </w:r>
    </w:p>
    <w:p w14:paraId="11BD1109">
      <w:pPr>
        <w:snapToGrid w:val="0"/>
        <w:spacing w:line="500" w:lineRule="exact"/>
        <w:ind w:firstLine="480" w:firstLineChars="200"/>
        <w:rPr>
          <w:rFonts w:eastAsia="宋体"/>
          <w:color w:val="000000"/>
        </w:rPr>
      </w:pPr>
      <w:r>
        <w:rPr>
          <w:rFonts w:eastAsia="宋体"/>
          <w:color w:val="000000"/>
        </w:rPr>
        <w:t>式中</w:t>
      </w:r>
      <w:r>
        <w:rPr>
          <w:rFonts w:hint="eastAsia" w:eastAsia="宋体"/>
          <w:color w:val="000000"/>
        </w:rPr>
        <w:t>：</w:t>
      </w:r>
    </w:p>
    <w:p w14:paraId="7D3BBE12">
      <w:pPr>
        <w:snapToGrid w:val="0"/>
        <w:spacing w:line="500" w:lineRule="exact"/>
        <w:ind w:firstLine="480" w:firstLineChars="200"/>
        <w:rPr>
          <w:rFonts w:eastAsia="宋体"/>
          <w:color w:val="000000"/>
        </w:rPr>
      </w:pPr>
      <w:r>
        <w:rPr>
          <w:rFonts w:eastAsia="宋体"/>
          <w:color w:val="000000"/>
        </w:rPr>
        <w:t>G</w:t>
      </w:r>
      <w:r>
        <w:rPr>
          <w:rFonts w:eastAsia="宋体"/>
          <w:color w:val="000000"/>
          <w:vertAlign w:val="subscript"/>
        </w:rPr>
        <w:t>CO</w:t>
      </w:r>
      <w:r>
        <w:rPr>
          <w:rFonts w:eastAsia="宋体"/>
          <w:color w:val="000000"/>
        </w:rPr>
        <w:t>—CO的产生量，kg/s;</w:t>
      </w:r>
    </w:p>
    <w:p w14:paraId="46B87084">
      <w:pPr>
        <w:snapToGrid w:val="0"/>
        <w:spacing w:line="500" w:lineRule="exact"/>
        <w:ind w:firstLine="480" w:firstLineChars="200"/>
        <w:rPr>
          <w:rFonts w:eastAsia="宋体"/>
          <w:color w:val="000000"/>
        </w:rPr>
      </w:pPr>
      <w:r>
        <w:rPr>
          <w:rFonts w:eastAsia="宋体"/>
          <w:color w:val="000000"/>
        </w:rPr>
        <w:t>C—燃料中碳的质量百分比含量(%)，在此取</w:t>
      </w:r>
      <w:r>
        <w:rPr>
          <w:rFonts w:hint="eastAsia" w:eastAsia="宋体"/>
          <w:color w:val="000000"/>
          <w:lang w:val="en-US" w:eastAsia="zh-CN"/>
        </w:rPr>
        <w:t>6</w:t>
      </w:r>
      <w:r>
        <w:rPr>
          <w:rFonts w:hint="eastAsia" w:eastAsia="宋体"/>
          <w:color w:val="000000"/>
        </w:rPr>
        <w:t>0</w:t>
      </w:r>
      <w:r>
        <w:rPr>
          <w:rFonts w:eastAsia="宋体"/>
          <w:color w:val="000000"/>
        </w:rPr>
        <w:t>%；</w:t>
      </w:r>
    </w:p>
    <w:p w14:paraId="19371B6E">
      <w:pPr>
        <w:snapToGrid w:val="0"/>
        <w:spacing w:line="500" w:lineRule="exact"/>
        <w:ind w:firstLine="480" w:firstLineChars="200"/>
        <w:rPr>
          <w:rFonts w:eastAsia="宋体"/>
          <w:color w:val="000000"/>
        </w:rPr>
      </w:pPr>
      <w:r>
        <w:rPr>
          <w:rFonts w:eastAsia="宋体"/>
          <w:color w:val="000000"/>
        </w:rPr>
        <w:t>q—化学不完全燃烧值(%)</w:t>
      </w:r>
      <w:r>
        <w:rPr>
          <w:rFonts w:hint="eastAsia" w:eastAsia="宋体"/>
          <w:color w:val="000000"/>
        </w:rPr>
        <w:t>，取1.5%~6%，</w:t>
      </w:r>
      <w:r>
        <w:rPr>
          <w:rFonts w:eastAsia="宋体"/>
          <w:color w:val="000000"/>
        </w:rPr>
        <w:t>在此取</w:t>
      </w:r>
      <w:r>
        <w:rPr>
          <w:rFonts w:hint="eastAsia" w:eastAsia="宋体"/>
          <w:color w:val="000000"/>
        </w:rPr>
        <w:t>5</w:t>
      </w:r>
      <w:r>
        <w:rPr>
          <w:rFonts w:eastAsia="宋体"/>
          <w:color w:val="000000"/>
        </w:rPr>
        <w:t>%；</w:t>
      </w:r>
    </w:p>
    <w:p w14:paraId="5B41A48C">
      <w:pPr>
        <w:snapToGrid w:val="0"/>
        <w:spacing w:line="500" w:lineRule="exact"/>
        <w:ind w:firstLine="480" w:firstLineChars="200"/>
        <w:rPr>
          <w:rFonts w:eastAsia="宋体"/>
          <w:color w:val="000000"/>
        </w:rPr>
      </w:pPr>
      <w:r>
        <w:rPr>
          <w:rFonts w:eastAsia="宋体"/>
          <w:color w:val="000000"/>
        </w:rPr>
        <w:t>Q—参与燃烧的物质量，t/s。</w:t>
      </w:r>
    </w:p>
    <w:p w14:paraId="1BC8AD60">
      <w:pPr>
        <w:snapToGrid w:val="0"/>
        <w:spacing w:line="500" w:lineRule="exact"/>
        <w:jc w:val="center"/>
        <w:rPr>
          <w:rFonts w:eastAsia="宋体"/>
          <w:color w:val="000000"/>
        </w:rPr>
      </w:pPr>
      <w:r>
        <w:rPr>
          <w:rFonts w:eastAsia="宋体"/>
          <w:b/>
          <w:bCs/>
          <w:color w:val="000000"/>
        </w:rPr>
        <w:t>表4</w:t>
      </w:r>
      <w:r>
        <w:rPr>
          <w:rFonts w:hint="eastAsia" w:eastAsia="宋体"/>
          <w:b/>
          <w:bCs/>
          <w:color w:val="000000"/>
        </w:rPr>
        <w:t>-3</w:t>
      </w:r>
      <w:r>
        <w:rPr>
          <w:rFonts w:eastAsia="宋体"/>
          <w:b/>
          <w:bCs/>
          <w:color w:val="000000"/>
        </w:rPr>
        <w:t>燃烧产生的CO产生量估算表</w:t>
      </w:r>
    </w:p>
    <w:tbl>
      <w:tblPr>
        <w:tblStyle w:val="38"/>
        <w:tblW w:w="89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810"/>
        <w:gridCol w:w="878"/>
        <w:gridCol w:w="1601"/>
        <w:gridCol w:w="1704"/>
        <w:gridCol w:w="1187"/>
        <w:gridCol w:w="1515"/>
      </w:tblGrid>
      <w:tr w14:paraId="2BE09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21" w:type="dxa"/>
            <w:tcBorders>
              <w:tl2br w:val="nil"/>
              <w:tr2bl w:val="nil"/>
            </w:tcBorders>
            <w:vAlign w:val="center"/>
          </w:tcPr>
          <w:p w14:paraId="3E9ABC68">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物质</w:t>
            </w:r>
          </w:p>
        </w:tc>
        <w:tc>
          <w:tcPr>
            <w:tcW w:w="810" w:type="dxa"/>
            <w:tcBorders>
              <w:tl2br w:val="nil"/>
              <w:tr2bl w:val="nil"/>
            </w:tcBorders>
            <w:vAlign w:val="center"/>
          </w:tcPr>
          <w:p w14:paraId="17EB5099">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C</w:t>
            </w:r>
          </w:p>
        </w:tc>
        <w:tc>
          <w:tcPr>
            <w:tcW w:w="878" w:type="dxa"/>
            <w:tcBorders>
              <w:tl2br w:val="nil"/>
              <w:tr2bl w:val="nil"/>
            </w:tcBorders>
            <w:vAlign w:val="center"/>
          </w:tcPr>
          <w:p w14:paraId="1B2F0658">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q</w:t>
            </w:r>
          </w:p>
        </w:tc>
        <w:tc>
          <w:tcPr>
            <w:tcW w:w="1601" w:type="dxa"/>
            <w:tcBorders>
              <w:tl2br w:val="nil"/>
              <w:tr2bl w:val="nil"/>
            </w:tcBorders>
            <w:vAlign w:val="center"/>
          </w:tcPr>
          <w:p w14:paraId="5A7E832F">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燃烧量</w:t>
            </w:r>
            <w:r>
              <w:rPr>
                <w:rFonts w:hint="eastAsia" w:eastAsia="宋体"/>
                <w:b/>
                <w:bCs/>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t</w:t>
            </w:r>
            <w:r>
              <w:rPr>
                <w:rFonts w:hint="eastAsia" w:eastAsia="宋体"/>
                <w:color w:val="000000" w:themeColor="text1"/>
                <w:sz w:val="21"/>
                <w:szCs w:val="21"/>
                <w14:textFill>
                  <w14:solidFill>
                    <w14:schemeClr w14:val="tx1"/>
                  </w14:solidFill>
                </w14:textFill>
              </w:rPr>
              <w:t>)</w:t>
            </w:r>
          </w:p>
        </w:tc>
        <w:tc>
          <w:tcPr>
            <w:tcW w:w="1704" w:type="dxa"/>
            <w:tcBorders>
              <w:tl2br w:val="nil"/>
              <w:tr2bl w:val="nil"/>
            </w:tcBorders>
            <w:vAlign w:val="center"/>
          </w:tcPr>
          <w:p w14:paraId="47DF332C">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燃烧时间</w:t>
            </w:r>
            <w:r>
              <w:rPr>
                <w:rFonts w:hint="eastAsia" w:eastAsia="宋体"/>
                <w:b/>
                <w:bCs/>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min</w:t>
            </w:r>
            <w:r>
              <w:rPr>
                <w:rFonts w:hint="eastAsia" w:eastAsia="宋体"/>
                <w:color w:val="000000" w:themeColor="text1"/>
                <w:sz w:val="21"/>
                <w:szCs w:val="21"/>
                <w14:textFill>
                  <w14:solidFill>
                    <w14:schemeClr w14:val="tx1"/>
                  </w14:solidFill>
                </w14:textFill>
              </w:rPr>
              <w:t>)</w:t>
            </w:r>
          </w:p>
        </w:tc>
        <w:tc>
          <w:tcPr>
            <w:tcW w:w="1187" w:type="dxa"/>
            <w:tcBorders>
              <w:tl2br w:val="nil"/>
              <w:tr2bl w:val="nil"/>
            </w:tcBorders>
            <w:vAlign w:val="center"/>
          </w:tcPr>
          <w:p w14:paraId="2BCA6E4B">
            <w:pPr>
              <w:jc w:val="center"/>
              <w:rPr>
                <w:rFonts w:eastAsia="宋体"/>
                <w:b/>
                <w:bCs/>
                <w:color w:val="000000" w:themeColor="text1"/>
                <w:sz w:val="21"/>
                <w:szCs w:val="21"/>
                <w14:textFill>
                  <w14:solidFill>
                    <w14:schemeClr w14:val="tx1"/>
                  </w14:solidFill>
                </w14:textFill>
              </w:rPr>
            </w:pPr>
            <w:r>
              <w:rPr>
                <w:rFonts w:hint="eastAsia" w:eastAsia="宋体"/>
                <w:b/>
                <w:bCs/>
                <w:color w:val="000000" w:themeColor="text1"/>
                <w:sz w:val="21"/>
                <w:szCs w:val="21"/>
                <w14:textFill>
                  <w14:solidFill>
                    <w14:schemeClr w14:val="tx1"/>
                  </w14:solidFill>
                </w14:textFill>
              </w:rPr>
              <w:t>Q(</w:t>
            </w:r>
            <w:r>
              <w:rPr>
                <w:rFonts w:eastAsia="宋体"/>
                <w:color w:val="000000"/>
              </w:rPr>
              <w:t>t/s</w:t>
            </w:r>
            <w:r>
              <w:rPr>
                <w:rFonts w:hint="eastAsia" w:eastAsia="宋体"/>
                <w:color w:val="000000"/>
              </w:rPr>
              <w:t>)</w:t>
            </w:r>
          </w:p>
        </w:tc>
        <w:tc>
          <w:tcPr>
            <w:tcW w:w="1515" w:type="dxa"/>
            <w:tcBorders>
              <w:tl2br w:val="nil"/>
              <w:tr2bl w:val="nil"/>
            </w:tcBorders>
            <w:vAlign w:val="center"/>
          </w:tcPr>
          <w:p w14:paraId="0CCF8087">
            <w:pPr>
              <w:jc w:val="center"/>
              <w:rPr>
                <w:rFonts w:eastAsia="宋体"/>
                <w:b/>
                <w:bCs/>
                <w:color w:val="000000" w:themeColor="text1"/>
                <w:sz w:val="21"/>
                <w:szCs w:val="21"/>
                <w14:textFill>
                  <w14:solidFill>
                    <w14:schemeClr w14:val="tx1"/>
                  </w14:solidFill>
                </w14:textFill>
              </w:rPr>
            </w:pPr>
            <w:r>
              <w:rPr>
                <w:rFonts w:eastAsia="宋体"/>
                <w:color w:val="000000" w:themeColor="text1"/>
                <w14:textFill>
                  <w14:solidFill>
                    <w14:schemeClr w14:val="tx1"/>
                  </w14:solidFill>
                </w14:textFill>
              </w:rPr>
              <w:t>G</w:t>
            </w:r>
            <w:r>
              <w:rPr>
                <w:rFonts w:eastAsia="宋体"/>
                <w:color w:val="000000" w:themeColor="text1"/>
                <w:vertAlign w:val="subscript"/>
                <w14:textFill>
                  <w14:solidFill>
                    <w14:schemeClr w14:val="tx1"/>
                  </w14:solidFill>
                </w14:textFill>
              </w:rPr>
              <w:t>CO</w:t>
            </w:r>
            <w:r>
              <w:rPr>
                <w:rFonts w:hint="eastAsia" w:eastAsia="宋体"/>
                <w:color w:val="000000" w:themeColor="text1"/>
                <w:vertAlign w:val="subscript"/>
                <w14:textFill>
                  <w14:solidFill>
                    <w14:schemeClr w14:val="tx1"/>
                  </w14:solidFill>
                </w14:textFill>
              </w:rPr>
              <w:t>(</w:t>
            </w:r>
            <w:r>
              <w:rPr>
                <w:rFonts w:eastAsia="宋体"/>
                <w:color w:val="000000"/>
              </w:rPr>
              <w:t>kg/s</w:t>
            </w:r>
            <w:r>
              <w:rPr>
                <w:rFonts w:hint="eastAsia" w:eastAsia="宋体"/>
                <w:color w:val="000000"/>
              </w:rPr>
              <w:t>)</w:t>
            </w:r>
          </w:p>
        </w:tc>
      </w:tr>
      <w:tr w14:paraId="3F682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21" w:type="dxa"/>
            <w:tcBorders>
              <w:tl2br w:val="nil"/>
              <w:tr2bl w:val="nil"/>
            </w:tcBorders>
            <w:vAlign w:val="center"/>
          </w:tcPr>
          <w:p w14:paraId="01F86808">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水性漆、</w:t>
            </w:r>
            <w:r>
              <w:rPr>
                <w:rFonts w:hint="eastAsia" w:eastAsia="宋体"/>
                <w:color w:val="000000" w:themeColor="text1"/>
                <w:sz w:val="21"/>
                <w:szCs w:val="21"/>
                <w:lang w:val="en-US" w:eastAsia="zh-CN"/>
                <w14:textFill>
                  <w14:solidFill>
                    <w14:schemeClr w14:val="tx1"/>
                  </w14:solidFill>
                </w14:textFill>
              </w:rPr>
              <w:t>木材</w:t>
            </w:r>
            <w:r>
              <w:rPr>
                <w:rFonts w:hint="eastAsia" w:eastAsia="宋体"/>
                <w:color w:val="000000" w:themeColor="text1"/>
                <w:sz w:val="21"/>
                <w:szCs w:val="21"/>
                <w14:textFill>
                  <w14:solidFill>
                    <w14:schemeClr w14:val="tx1"/>
                  </w14:solidFill>
                </w14:textFill>
              </w:rPr>
              <w:t>等</w:t>
            </w:r>
          </w:p>
        </w:tc>
        <w:tc>
          <w:tcPr>
            <w:tcW w:w="810" w:type="dxa"/>
            <w:tcBorders>
              <w:tl2br w:val="nil"/>
              <w:tr2bl w:val="nil"/>
            </w:tcBorders>
            <w:vAlign w:val="center"/>
          </w:tcPr>
          <w:p w14:paraId="65FBEF5C">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60</w:t>
            </w:r>
            <w:r>
              <w:rPr>
                <w:rFonts w:eastAsia="宋体"/>
                <w:color w:val="000000" w:themeColor="text1"/>
                <w:sz w:val="21"/>
                <w:szCs w:val="21"/>
                <w14:textFill>
                  <w14:solidFill>
                    <w14:schemeClr w14:val="tx1"/>
                  </w14:solidFill>
                </w14:textFill>
              </w:rPr>
              <w:t>%</w:t>
            </w:r>
          </w:p>
        </w:tc>
        <w:tc>
          <w:tcPr>
            <w:tcW w:w="878" w:type="dxa"/>
            <w:tcBorders>
              <w:tl2br w:val="nil"/>
              <w:tr2bl w:val="nil"/>
            </w:tcBorders>
            <w:vAlign w:val="center"/>
          </w:tcPr>
          <w:p w14:paraId="6A9E9D84">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5</w:t>
            </w:r>
            <w:r>
              <w:rPr>
                <w:rFonts w:eastAsia="宋体"/>
                <w:color w:val="000000" w:themeColor="text1"/>
                <w:sz w:val="21"/>
                <w:szCs w:val="21"/>
                <w14:textFill>
                  <w14:solidFill>
                    <w14:schemeClr w14:val="tx1"/>
                  </w14:solidFill>
                </w14:textFill>
              </w:rPr>
              <w:t>%</w:t>
            </w:r>
          </w:p>
        </w:tc>
        <w:tc>
          <w:tcPr>
            <w:tcW w:w="1601" w:type="dxa"/>
            <w:tcBorders>
              <w:tl2br w:val="nil"/>
              <w:tr2bl w:val="nil"/>
            </w:tcBorders>
            <w:vAlign w:val="center"/>
          </w:tcPr>
          <w:p w14:paraId="23AC21D8">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9</w:t>
            </w:r>
            <w:r>
              <w:rPr>
                <w:rFonts w:eastAsia="宋体"/>
                <w:color w:val="000000" w:themeColor="text1"/>
                <w:sz w:val="21"/>
                <w:szCs w:val="21"/>
                <w14:textFill>
                  <w14:solidFill>
                    <w14:schemeClr w14:val="tx1"/>
                  </w14:solidFill>
                </w14:textFill>
              </w:rPr>
              <w:t>t</w:t>
            </w:r>
          </w:p>
        </w:tc>
        <w:tc>
          <w:tcPr>
            <w:tcW w:w="1704" w:type="dxa"/>
            <w:tcBorders>
              <w:tl2br w:val="nil"/>
              <w:tr2bl w:val="nil"/>
            </w:tcBorders>
            <w:vAlign w:val="center"/>
          </w:tcPr>
          <w:p w14:paraId="4B0AAA48">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w:t>
            </w:r>
            <w:r>
              <w:rPr>
                <w:rFonts w:eastAsia="宋体"/>
                <w:color w:val="000000" w:themeColor="text1"/>
                <w:sz w:val="21"/>
                <w:szCs w:val="21"/>
                <w14:textFill>
                  <w14:solidFill>
                    <w14:schemeClr w14:val="tx1"/>
                  </w14:solidFill>
                </w14:textFill>
              </w:rPr>
              <w:t>0min</w:t>
            </w:r>
          </w:p>
        </w:tc>
        <w:tc>
          <w:tcPr>
            <w:tcW w:w="1187" w:type="dxa"/>
            <w:tcBorders>
              <w:tl2br w:val="nil"/>
              <w:tr2bl w:val="nil"/>
            </w:tcBorders>
            <w:vAlign w:val="center"/>
          </w:tcPr>
          <w:p w14:paraId="6F1823F7">
            <w:pPr>
              <w:adjustRightInd w:val="0"/>
              <w:snapToGrid w:val="0"/>
              <w:jc w:val="center"/>
              <w:rPr>
                <w:rFonts w:hint="eastAsia"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14:textFill>
                  <w14:solidFill>
                    <w14:schemeClr w14:val="tx1"/>
                  </w14:solidFill>
                </w14:textFill>
              </w:rPr>
              <w:t>0.002</w:t>
            </w:r>
            <w:r>
              <w:rPr>
                <w:rFonts w:hint="eastAsia" w:eastAsia="宋体"/>
                <w:color w:val="000000" w:themeColor="text1"/>
                <w:sz w:val="21"/>
                <w:szCs w:val="21"/>
                <w:lang w:val="en-US" w:eastAsia="zh-CN"/>
                <w14:textFill>
                  <w14:solidFill>
                    <w14:schemeClr w14:val="tx1"/>
                  </w14:solidFill>
                </w14:textFill>
              </w:rPr>
              <w:t>5</w:t>
            </w:r>
          </w:p>
        </w:tc>
        <w:tc>
          <w:tcPr>
            <w:tcW w:w="1515" w:type="dxa"/>
            <w:tcBorders>
              <w:tl2br w:val="nil"/>
              <w:tr2bl w:val="nil"/>
            </w:tcBorders>
            <w:vAlign w:val="center"/>
          </w:tcPr>
          <w:p w14:paraId="7F19F2DF">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14:textFill>
                  <w14:solidFill>
                    <w14:schemeClr w14:val="tx1"/>
                  </w14:solidFill>
                </w14:textFill>
              </w:rPr>
              <w:t>0.1</w:t>
            </w:r>
            <w:r>
              <w:rPr>
                <w:rFonts w:hint="eastAsia" w:eastAsia="宋体"/>
                <w:color w:val="000000" w:themeColor="text1"/>
                <w:sz w:val="21"/>
                <w:szCs w:val="21"/>
                <w:lang w:val="en-US" w:eastAsia="zh-CN"/>
                <w14:textFill>
                  <w14:solidFill>
                    <w14:schemeClr w14:val="tx1"/>
                  </w14:solidFill>
                </w14:textFill>
              </w:rPr>
              <w:t>75</w:t>
            </w:r>
          </w:p>
        </w:tc>
      </w:tr>
      <w:bookmarkEnd w:id="191"/>
    </w:tbl>
    <w:p w14:paraId="621DF90E">
      <w:pPr>
        <w:pStyle w:val="4"/>
        <w:keepNext w:val="0"/>
        <w:keepLines w:val="0"/>
        <w:tabs>
          <w:tab w:val="left" w:pos="3491"/>
        </w:tabs>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192" w:name="_Toc28763"/>
      <w:bookmarkStart w:id="193" w:name="_Toc18452"/>
      <w:bookmarkStart w:id="194" w:name="_Toc11264"/>
      <w:bookmarkStart w:id="195" w:name="_Toc2865"/>
      <w:r>
        <w:rPr>
          <w:rFonts w:eastAsia="宋体"/>
          <w:color w:val="000000" w:themeColor="text1"/>
          <w14:textFill>
            <w14:solidFill>
              <w14:schemeClr w14:val="tx1"/>
            </w14:solidFill>
          </w14:textFill>
        </w:rPr>
        <w:t>4.2.2事件情景</w:t>
      </w:r>
      <w:bookmarkEnd w:id="192"/>
      <w:bookmarkEnd w:id="193"/>
      <w:bookmarkEnd w:id="194"/>
      <w:bookmarkEnd w:id="195"/>
      <w:r>
        <w:rPr>
          <w:rFonts w:hint="eastAsia" w:eastAsia="宋体"/>
          <w:color w:val="000000" w:themeColor="text1"/>
          <w:lang w:val="en-US" w:eastAsia="zh-CN"/>
          <w14:textFill>
            <w14:solidFill>
              <w14:schemeClr w14:val="tx1"/>
            </w14:solidFill>
          </w14:textFill>
        </w:rPr>
        <w:t>6、9、11</w:t>
      </w:r>
    </w:p>
    <w:p w14:paraId="2C3759B7">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公司可能发生的水质异常情况包括：①发生火灾事故，消防水因雨水阀门未及时关闭、或应急事故池引流措施失败导致的事故性排放；②因水循环一体机管道破损未及时补救等原因，导致生产循环水侵入雨水管道，误排厂外；③当固废堆场防雨设施不完善、遭到破坏时，淋沥固体废物的雨水径流可能进入河流，误排厂外。</w:t>
      </w:r>
    </w:p>
    <w:p w14:paraId="66C11BB7">
      <w:pPr>
        <w:pStyle w:val="4"/>
        <w:tabs>
          <w:tab w:val="left" w:pos="3491"/>
        </w:tabs>
        <w:adjustRightInd w:val="0"/>
        <w:snapToGrid w:val="0"/>
        <w:spacing w:line="500" w:lineRule="exact"/>
        <w:jc w:val="left"/>
        <w:rPr>
          <w:rFonts w:hint="default" w:eastAsia="宋体"/>
          <w:color w:val="000000" w:themeColor="text1"/>
          <w:highlight w:val="yellow"/>
          <w:lang w:val="en-US" w:eastAsia="zh-CN"/>
          <w14:textFill>
            <w14:solidFill>
              <w14:schemeClr w14:val="tx1"/>
            </w14:solidFill>
          </w14:textFill>
        </w:rPr>
      </w:pPr>
      <w:bookmarkStart w:id="196" w:name="_Toc4150"/>
      <w:bookmarkStart w:id="197" w:name="_Toc32065"/>
      <w:bookmarkStart w:id="198" w:name="_Toc19215"/>
      <w:bookmarkStart w:id="199" w:name="_Toc17102"/>
      <w:r>
        <w:rPr>
          <w:rFonts w:eastAsia="宋体"/>
          <w:color w:val="000000" w:themeColor="text1"/>
          <w14:textFill>
            <w14:solidFill>
              <w14:schemeClr w14:val="tx1"/>
            </w14:solidFill>
          </w14:textFill>
        </w:rPr>
        <w:t>4.2.3事件情景</w:t>
      </w:r>
      <w:bookmarkEnd w:id="196"/>
      <w:bookmarkEnd w:id="197"/>
      <w:bookmarkEnd w:id="198"/>
      <w:bookmarkEnd w:id="199"/>
      <w:r>
        <w:rPr>
          <w:rFonts w:hint="eastAsia" w:eastAsia="宋体"/>
          <w:color w:val="000000" w:themeColor="text1"/>
          <w:lang w:val="en-US" w:eastAsia="zh-CN"/>
          <w14:textFill>
            <w14:solidFill>
              <w14:schemeClr w14:val="tx1"/>
            </w14:solidFill>
          </w14:textFill>
        </w:rPr>
        <w:t>7、8</w:t>
      </w:r>
    </w:p>
    <w:p w14:paraId="2F8D2219">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本项目产生的有组织废气主要为</w:t>
      </w:r>
      <w:r>
        <w:rPr>
          <w:rFonts w:hint="eastAsia" w:eastAsia="宋体"/>
          <w:color w:val="000000" w:themeColor="text1"/>
          <w:lang w:val="en-US" w:eastAsia="zh-CN"/>
          <w14:textFill>
            <w14:solidFill>
              <w14:schemeClr w14:val="tx1"/>
            </w14:solidFill>
          </w14:textFill>
        </w:rPr>
        <w:t>木工粉尘、喷漆、打磨废气。</w:t>
      </w:r>
    </w:p>
    <w:p w14:paraId="338C5CAD">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根据公司</w:t>
      </w:r>
      <w:r>
        <w:rPr>
          <w:rFonts w:hint="eastAsia" w:eastAsia="宋体"/>
          <w:bCs/>
          <w:color w:val="000000" w:themeColor="text1"/>
          <w:lang w:val="en-US" w:eastAsia="zh-CN"/>
          <w14:textFill>
            <w14:solidFill>
              <w14:schemeClr w14:val="tx1"/>
            </w14:solidFill>
          </w14:textFill>
        </w:rPr>
        <w:t>检测</w:t>
      </w:r>
      <w:r>
        <w:rPr>
          <w:rFonts w:hint="eastAsia" w:ascii="宋体" w:hAnsi="宋体" w:eastAsia="宋体" w:cs="宋体"/>
          <w:bCs/>
          <w:color w:val="000000" w:themeColor="text1"/>
          <w14:textFill>
            <w14:solidFill>
              <w14:schemeClr w14:val="tx1"/>
            </w14:solidFill>
          </w14:textFill>
        </w:rPr>
        <w:t>报告</w:t>
      </w:r>
      <w:r>
        <w:rPr>
          <w:rFonts w:hint="eastAsia" w:ascii="宋体" w:hAnsi="宋体" w:eastAsia="宋体" w:cs="宋体"/>
          <w:color w:val="000000" w:themeColor="text1"/>
          <w14:textFill>
            <w14:solidFill>
              <w14:schemeClr w14:val="tx1"/>
            </w14:solidFill>
          </w14:textFill>
        </w:rPr>
        <w:t>，废气的产生情况见表</w:t>
      </w:r>
      <w:r>
        <w:rPr>
          <w:rFonts w:hint="eastAsia" w:eastAsia="宋体"/>
          <w:color w:val="000000" w:themeColor="text1"/>
          <w14:textFill>
            <w14:solidFill>
              <w14:schemeClr w14:val="tx1"/>
            </w14:solidFill>
          </w14:textFill>
        </w:rPr>
        <w:t>4-</w:t>
      </w:r>
      <w:r>
        <w:rPr>
          <w:rFonts w:hint="eastAsia" w:eastAsia="宋体"/>
          <w:color w:val="000000" w:themeColor="text1"/>
          <w:lang w:val="en-US" w:eastAsia="zh-CN"/>
          <w14:textFill>
            <w14:solidFill>
              <w14:schemeClr w14:val="tx1"/>
            </w14:solidFill>
          </w14:textFill>
        </w:rPr>
        <w:t>5</w:t>
      </w:r>
      <w:r>
        <w:rPr>
          <w:rFonts w:hint="eastAsia" w:eastAsia="宋体"/>
          <w:color w:val="000000" w:themeColor="text1"/>
          <w14:textFill>
            <w14:solidFill>
              <w14:schemeClr w14:val="tx1"/>
            </w14:solidFill>
          </w14:textFill>
        </w:rPr>
        <w:t>。</w:t>
      </w:r>
    </w:p>
    <w:p w14:paraId="200FAB6B">
      <w:pPr>
        <w:adjustRightInd w:val="0"/>
        <w:snapToGrid w:val="0"/>
        <w:spacing w:line="500" w:lineRule="exact"/>
        <w:ind w:firstLine="482" w:firstLineChars="200"/>
        <w:jc w:val="center"/>
        <w:rPr>
          <w:rFonts w:eastAsia="宋体"/>
          <w:b/>
          <w:bCs/>
        </w:rPr>
      </w:pPr>
      <w:r>
        <w:rPr>
          <w:rFonts w:eastAsia="宋体"/>
          <w:b/>
          <w:bCs/>
        </w:rPr>
        <w:t>表</w:t>
      </w:r>
      <w:r>
        <w:rPr>
          <w:rFonts w:hint="eastAsia" w:eastAsia="宋体"/>
          <w:b/>
          <w:bCs/>
        </w:rPr>
        <w:t>4-</w:t>
      </w:r>
      <w:r>
        <w:rPr>
          <w:rFonts w:hint="eastAsia" w:eastAsia="宋体"/>
          <w:b/>
          <w:bCs/>
          <w:lang w:val="en-US" w:eastAsia="zh-CN"/>
        </w:rPr>
        <w:t>5</w:t>
      </w:r>
      <w:r>
        <w:rPr>
          <w:rFonts w:hint="eastAsia" w:eastAsia="宋体"/>
          <w:b/>
          <w:bCs/>
        </w:rPr>
        <w:t>废气产生情况一览表</w:t>
      </w:r>
    </w:p>
    <w:tbl>
      <w:tblPr>
        <w:tblStyle w:val="38"/>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4"/>
        <w:gridCol w:w="1924"/>
        <w:gridCol w:w="1541"/>
        <w:gridCol w:w="1504"/>
        <w:gridCol w:w="1364"/>
        <w:gridCol w:w="1378"/>
      </w:tblGrid>
      <w:tr w14:paraId="689F2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825" w:type="pct"/>
            <w:vMerge w:val="restart"/>
            <w:shd w:val="clear" w:color="auto" w:fill="auto"/>
            <w:vAlign w:val="center"/>
          </w:tcPr>
          <w:p w14:paraId="30E700E7">
            <w:pPr>
              <w:adjustRightInd w:val="0"/>
              <w:snapToGrid w:val="0"/>
              <w:jc w:val="center"/>
              <w:rPr>
                <w:rFonts w:eastAsia="宋体"/>
                <w:color w:val="000000"/>
                <w:kern w:val="0"/>
                <w:sz w:val="21"/>
                <w:szCs w:val="21"/>
              </w:rPr>
            </w:pPr>
            <w:r>
              <w:rPr>
                <w:rFonts w:eastAsia="宋体"/>
                <w:color w:val="000000"/>
                <w:kern w:val="0"/>
                <w:sz w:val="21"/>
                <w:szCs w:val="21"/>
              </w:rPr>
              <w:t>排放源</w:t>
            </w:r>
          </w:p>
        </w:tc>
        <w:tc>
          <w:tcPr>
            <w:tcW w:w="1041" w:type="pct"/>
            <w:vMerge w:val="restart"/>
            <w:shd w:val="clear" w:color="auto" w:fill="auto"/>
            <w:vAlign w:val="center"/>
          </w:tcPr>
          <w:p w14:paraId="212960B7">
            <w:pPr>
              <w:adjustRightInd w:val="0"/>
              <w:snapToGrid w:val="0"/>
              <w:jc w:val="center"/>
              <w:rPr>
                <w:rFonts w:eastAsia="宋体"/>
                <w:color w:val="000000"/>
                <w:kern w:val="0"/>
                <w:sz w:val="21"/>
                <w:szCs w:val="21"/>
              </w:rPr>
            </w:pPr>
            <w:r>
              <w:rPr>
                <w:rFonts w:eastAsia="宋体"/>
                <w:color w:val="000000"/>
                <w:kern w:val="0"/>
                <w:sz w:val="21"/>
                <w:szCs w:val="21"/>
              </w:rPr>
              <w:t>废气量</w:t>
            </w:r>
          </w:p>
          <w:p w14:paraId="188C6C4C">
            <w:pPr>
              <w:adjustRightInd w:val="0"/>
              <w:snapToGrid w:val="0"/>
              <w:jc w:val="center"/>
              <w:rPr>
                <w:rFonts w:eastAsia="宋体"/>
                <w:color w:val="000000"/>
                <w:kern w:val="0"/>
                <w:sz w:val="21"/>
                <w:szCs w:val="21"/>
              </w:rPr>
            </w:pPr>
            <w:r>
              <w:rPr>
                <w:rFonts w:eastAsia="宋体"/>
                <w:color w:val="000000"/>
                <w:kern w:val="0"/>
                <w:sz w:val="21"/>
                <w:szCs w:val="21"/>
              </w:rPr>
              <w:t>m</w:t>
            </w:r>
            <w:r>
              <w:rPr>
                <w:rFonts w:eastAsia="宋体"/>
                <w:color w:val="000000"/>
                <w:kern w:val="0"/>
                <w:sz w:val="21"/>
                <w:szCs w:val="21"/>
                <w:vertAlign w:val="superscript"/>
              </w:rPr>
              <w:t>3</w:t>
            </w:r>
            <w:r>
              <w:rPr>
                <w:rFonts w:eastAsia="宋体"/>
                <w:color w:val="000000"/>
                <w:kern w:val="0"/>
                <w:sz w:val="21"/>
                <w:szCs w:val="21"/>
              </w:rPr>
              <w:t>/h</w:t>
            </w:r>
          </w:p>
        </w:tc>
        <w:tc>
          <w:tcPr>
            <w:tcW w:w="834" w:type="pct"/>
            <w:vMerge w:val="restart"/>
            <w:shd w:val="clear" w:color="auto" w:fill="auto"/>
            <w:vAlign w:val="center"/>
          </w:tcPr>
          <w:p w14:paraId="0CCEC5BC">
            <w:pPr>
              <w:adjustRightInd w:val="0"/>
              <w:snapToGrid w:val="0"/>
              <w:jc w:val="center"/>
              <w:rPr>
                <w:rFonts w:eastAsia="宋体"/>
                <w:color w:val="000000"/>
                <w:kern w:val="0"/>
                <w:sz w:val="21"/>
                <w:szCs w:val="21"/>
              </w:rPr>
            </w:pPr>
            <w:r>
              <w:rPr>
                <w:rFonts w:eastAsia="宋体"/>
                <w:color w:val="000000"/>
                <w:kern w:val="0"/>
                <w:sz w:val="21"/>
                <w:szCs w:val="21"/>
              </w:rPr>
              <w:t>污染物</w:t>
            </w:r>
          </w:p>
          <w:p w14:paraId="04A1F6AA">
            <w:pPr>
              <w:adjustRightInd w:val="0"/>
              <w:snapToGrid w:val="0"/>
              <w:jc w:val="center"/>
              <w:rPr>
                <w:rFonts w:eastAsia="宋体"/>
                <w:color w:val="000000"/>
                <w:kern w:val="0"/>
                <w:sz w:val="21"/>
                <w:szCs w:val="21"/>
              </w:rPr>
            </w:pPr>
            <w:r>
              <w:rPr>
                <w:rFonts w:eastAsia="宋体"/>
                <w:color w:val="000000"/>
                <w:kern w:val="0"/>
                <w:sz w:val="21"/>
                <w:szCs w:val="21"/>
              </w:rPr>
              <w:t>名称</w:t>
            </w:r>
          </w:p>
        </w:tc>
        <w:tc>
          <w:tcPr>
            <w:tcW w:w="2298" w:type="pct"/>
            <w:gridSpan w:val="3"/>
            <w:shd w:val="clear" w:color="auto" w:fill="auto"/>
            <w:vAlign w:val="center"/>
          </w:tcPr>
          <w:p w14:paraId="06529390">
            <w:pPr>
              <w:adjustRightInd w:val="0"/>
              <w:snapToGrid w:val="0"/>
              <w:jc w:val="center"/>
              <w:rPr>
                <w:rFonts w:eastAsia="宋体"/>
                <w:color w:val="000000"/>
                <w:kern w:val="0"/>
                <w:sz w:val="21"/>
                <w:szCs w:val="21"/>
              </w:rPr>
            </w:pPr>
            <w:r>
              <w:rPr>
                <w:rFonts w:eastAsia="宋体"/>
                <w:color w:val="000000"/>
                <w:kern w:val="0"/>
                <w:sz w:val="21"/>
                <w:szCs w:val="21"/>
              </w:rPr>
              <w:t>产生情况</w:t>
            </w:r>
          </w:p>
        </w:tc>
      </w:tr>
      <w:tr w14:paraId="00A7C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5" w:type="pct"/>
            <w:vMerge w:val="continue"/>
            <w:shd w:val="clear" w:color="auto" w:fill="auto"/>
            <w:vAlign w:val="center"/>
          </w:tcPr>
          <w:p w14:paraId="0C35341F">
            <w:pPr>
              <w:adjustRightInd w:val="0"/>
              <w:snapToGrid w:val="0"/>
              <w:jc w:val="center"/>
              <w:rPr>
                <w:rFonts w:eastAsia="宋体"/>
                <w:color w:val="000000"/>
                <w:kern w:val="0"/>
                <w:sz w:val="21"/>
                <w:szCs w:val="21"/>
              </w:rPr>
            </w:pPr>
          </w:p>
        </w:tc>
        <w:tc>
          <w:tcPr>
            <w:tcW w:w="1041" w:type="pct"/>
            <w:vMerge w:val="continue"/>
            <w:shd w:val="clear" w:color="auto" w:fill="auto"/>
            <w:vAlign w:val="center"/>
          </w:tcPr>
          <w:p w14:paraId="19202832">
            <w:pPr>
              <w:adjustRightInd w:val="0"/>
              <w:snapToGrid w:val="0"/>
              <w:jc w:val="center"/>
              <w:rPr>
                <w:rFonts w:eastAsia="宋体"/>
                <w:color w:val="000000"/>
                <w:kern w:val="0"/>
                <w:sz w:val="21"/>
                <w:szCs w:val="21"/>
              </w:rPr>
            </w:pPr>
          </w:p>
        </w:tc>
        <w:tc>
          <w:tcPr>
            <w:tcW w:w="834" w:type="pct"/>
            <w:vMerge w:val="continue"/>
            <w:shd w:val="clear" w:color="auto" w:fill="auto"/>
            <w:vAlign w:val="center"/>
          </w:tcPr>
          <w:p w14:paraId="06EEE6D0">
            <w:pPr>
              <w:adjustRightInd w:val="0"/>
              <w:snapToGrid w:val="0"/>
              <w:jc w:val="center"/>
              <w:rPr>
                <w:rFonts w:eastAsia="宋体"/>
                <w:color w:val="000000"/>
                <w:kern w:val="0"/>
                <w:sz w:val="21"/>
                <w:szCs w:val="21"/>
              </w:rPr>
            </w:pPr>
          </w:p>
        </w:tc>
        <w:tc>
          <w:tcPr>
            <w:tcW w:w="814" w:type="pct"/>
            <w:shd w:val="clear" w:color="auto" w:fill="auto"/>
            <w:vAlign w:val="center"/>
          </w:tcPr>
          <w:p w14:paraId="2432099E">
            <w:pPr>
              <w:adjustRightInd w:val="0"/>
              <w:snapToGrid w:val="0"/>
              <w:jc w:val="center"/>
              <w:rPr>
                <w:rFonts w:eastAsia="宋体"/>
                <w:color w:val="000000"/>
                <w:kern w:val="0"/>
                <w:sz w:val="21"/>
                <w:szCs w:val="21"/>
              </w:rPr>
            </w:pPr>
            <w:r>
              <w:rPr>
                <w:rFonts w:eastAsia="宋体"/>
                <w:color w:val="000000"/>
                <w:kern w:val="0"/>
                <w:sz w:val="21"/>
                <w:szCs w:val="21"/>
              </w:rPr>
              <w:t>浓度</w:t>
            </w:r>
          </w:p>
        </w:tc>
        <w:tc>
          <w:tcPr>
            <w:tcW w:w="738" w:type="pct"/>
            <w:shd w:val="clear" w:color="auto" w:fill="auto"/>
            <w:vAlign w:val="center"/>
          </w:tcPr>
          <w:p w14:paraId="77E541F4">
            <w:pPr>
              <w:adjustRightInd w:val="0"/>
              <w:snapToGrid w:val="0"/>
              <w:jc w:val="center"/>
              <w:rPr>
                <w:rFonts w:eastAsia="宋体"/>
                <w:color w:val="000000"/>
                <w:kern w:val="0"/>
                <w:sz w:val="21"/>
                <w:szCs w:val="21"/>
              </w:rPr>
            </w:pPr>
            <w:r>
              <w:rPr>
                <w:rFonts w:eastAsia="宋体"/>
                <w:color w:val="000000"/>
                <w:kern w:val="0"/>
                <w:sz w:val="21"/>
                <w:szCs w:val="21"/>
              </w:rPr>
              <w:t>速率</w:t>
            </w:r>
          </w:p>
        </w:tc>
        <w:tc>
          <w:tcPr>
            <w:tcW w:w="746" w:type="pct"/>
            <w:shd w:val="clear" w:color="auto" w:fill="auto"/>
            <w:vAlign w:val="center"/>
          </w:tcPr>
          <w:p w14:paraId="70574A3B">
            <w:pPr>
              <w:adjustRightInd w:val="0"/>
              <w:snapToGrid w:val="0"/>
              <w:jc w:val="center"/>
              <w:rPr>
                <w:rFonts w:eastAsia="宋体"/>
                <w:color w:val="000000"/>
                <w:kern w:val="0"/>
                <w:sz w:val="21"/>
                <w:szCs w:val="21"/>
              </w:rPr>
            </w:pPr>
            <w:r>
              <w:rPr>
                <w:rFonts w:eastAsia="宋体"/>
                <w:color w:val="000000"/>
                <w:kern w:val="0"/>
                <w:sz w:val="21"/>
                <w:szCs w:val="21"/>
              </w:rPr>
              <w:t>产生量</w:t>
            </w:r>
          </w:p>
        </w:tc>
      </w:tr>
      <w:tr w14:paraId="579F8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5" w:type="pct"/>
            <w:vMerge w:val="continue"/>
            <w:shd w:val="clear" w:color="auto" w:fill="auto"/>
            <w:vAlign w:val="center"/>
          </w:tcPr>
          <w:p w14:paraId="37BA8D30">
            <w:pPr>
              <w:adjustRightInd w:val="0"/>
              <w:snapToGrid w:val="0"/>
              <w:jc w:val="center"/>
              <w:rPr>
                <w:rFonts w:eastAsia="宋体"/>
                <w:color w:val="000000"/>
                <w:kern w:val="0"/>
                <w:sz w:val="21"/>
                <w:szCs w:val="21"/>
              </w:rPr>
            </w:pPr>
          </w:p>
        </w:tc>
        <w:tc>
          <w:tcPr>
            <w:tcW w:w="1041" w:type="pct"/>
            <w:vMerge w:val="continue"/>
            <w:shd w:val="clear" w:color="auto" w:fill="auto"/>
            <w:vAlign w:val="center"/>
          </w:tcPr>
          <w:p w14:paraId="072E7A0B">
            <w:pPr>
              <w:adjustRightInd w:val="0"/>
              <w:snapToGrid w:val="0"/>
              <w:jc w:val="center"/>
              <w:rPr>
                <w:rFonts w:eastAsia="宋体"/>
                <w:color w:val="000000"/>
                <w:kern w:val="0"/>
                <w:sz w:val="21"/>
                <w:szCs w:val="21"/>
              </w:rPr>
            </w:pPr>
          </w:p>
        </w:tc>
        <w:tc>
          <w:tcPr>
            <w:tcW w:w="834" w:type="pct"/>
            <w:vMerge w:val="continue"/>
            <w:shd w:val="clear" w:color="auto" w:fill="auto"/>
            <w:vAlign w:val="center"/>
          </w:tcPr>
          <w:p w14:paraId="2706472D">
            <w:pPr>
              <w:adjustRightInd w:val="0"/>
              <w:snapToGrid w:val="0"/>
              <w:jc w:val="center"/>
              <w:rPr>
                <w:rFonts w:eastAsia="宋体"/>
                <w:color w:val="000000"/>
                <w:kern w:val="0"/>
                <w:sz w:val="21"/>
                <w:szCs w:val="21"/>
              </w:rPr>
            </w:pPr>
          </w:p>
        </w:tc>
        <w:tc>
          <w:tcPr>
            <w:tcW w:w="814" w:type="pct"/>
            <w:shd w:val="clear" w:color="auto" w:fill="auto"/>
            <w:vAlign w:val="center"/>
          </w:tcPr>
          <w:p w14:paraId="0E66B5DE">
            <w:pPr>
              <w:adjustRightInd w:val="0"/>
              <w:snapToGrid w:val="0"/>
              <w:jc w:val="center"/>
              <w:rPr>
                <w:rFonts w:eastAsia="宋体"/>
                <w:color w:val="000000"/>
                <w:kern w:val="0"/>
                <w:sz w:val="21"/>
                <w:szCs w:val="21"/>
              </w:rPr>
            </w:pPr>
            <w:r>
              <w:rPr>
                <w:rFonts w:eastAsia="宋体"/>
                <w:color w:val="000000"/>
                <w:kern w:val="0"/>
                <w:sz w:val="21"/>
                <w:szCs w:val="21"/>
              </w:rPr>
              <w:t>mg/m</w:t>
            </w:r>
            <w:r>
              <w:rPr>
                <w:rFonts w:eastAsia="宋体"/>
                <w:color w:val="000000"/>
                <w:kern w:val="0"/>
                <w:sz w:val="21"/>
                <w:szCs w:val="21"/>
                <w:vertAlign w:val="superscript"/>
              </w:rPr>
              <w:t>3</w:t>
            </w:r>
          </w:p>
        </w:tc>
        <w:tc>
          <w:tcPr>
            <w:tcW w:w="738" w:type="pct"/>
            <w:shd w:val="clear" w:color="auto" w:fill="auto"/>
            <w:vAlign w:val="center"/>
          </w:tcPr>
          <w:p w14:paraId="70FCC14C">
            <w:pPr>
              <w:adjustRightInd w:val="0"/>
              <w:snapToGrid w:val="0"/>
              <w:jc w:val="center"/>
              <w:rPr>
                <w:rFonts w:eastAsia="宋体"/>
                <w:color w:val="000000"/>
                <w:kern w:val="0"/>
                <w:sz w:val="21"/>
                <w:szCs w:val="21"/>
              </w:rPr>
            </w:pPr>
            <w:r>
              <w:rPr>
                <w:rFonts w:eastAsia="宋体"/>
                <w:color w:val="000000"/>
                <w:kern w:val="0"/>
                <w:sz w:val="21"/>
                <w:szCs w:val="21"/>
              </w:rPr>
              <w:t>kg/h</w:t>
            </w:r>
          </w:p>
        </w:tc>
        <w:tc>
          <w:tcPr>
            <w:tcW w:w="746" w:type="pct"/>
            <w:shd w:val="clear" w:color="auto" w:fill="auto"/>
            <w:vAlign w:val="center"/>
          </w:tcPr>
          <w:p w14:paraId="05A793C1">
            <w:pPr>
              <w:adjustRightInd w:val="0"/>
              <w:snapToGrid w:val="0"/>
              <w:jc w:val="center"/>
              <w:rPr>
                <w:rFonts w:eastAsia="宋体"/>
                <w:color w:val="000000"/>
                <w:kern w:val="0"/>
                <w:sz w:val="21"/>
                <w:szCs w:val="21"/>
              </w:rPr>
            </w:pPr>
            <w:r>
              <w:rPr>
                <w:rFonts w:eastAsia="宋体"/>
                <w:color w:val="000000"/>
                <w:kern w:val="0"/>
                <w:sz w:val="21"/>
                <w:szCs w:val="21"/>
              </w:rPr>
              <w:t>t/a</w:t>
            </w:r>
          </w:p>
        </w:tc>
      </w:tr>
      <w:tr w14:paraId="15403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5" w:type="pct"/>
            <w:shd w:val="clear" w:color="auto" w:fill="FFFFFF"/>
            <w:vAlign w:val="center"/>
          </w:tcPr>
          <w:p w14:paraId="051719C3">
            <w:pPr>
              <w:pStyle w:val="143"/>
              <w:rPr>
                <w:rFonts w:ascii="Times New Roman" w:hAnsi="Times New Roman" w:cs="Times New Roman"/>
                <w:sz w:val="21"/>
                <w:szCs w:val="21"/>
              </w:rPr>
            </w:pPr>
            <w:r>
              <w:rPr>
                <w:rFonts w:hint="eastAsia" w:ascii="Times New Roman" w:hAnsi="Times New Roman" w:cs="Times New Roman"/>
                <w:sz w:val="21"/>
                <w:szCs w:val="21"/>
              </w:rPr>
              <w:t>1#排气筒</w:t>
            </w:r>
          </w:p>
        </w:tc>
        <w:tc>
          <w:tcPr>
            <w:tcW w:w="1041" w:type="pct"/>
            <w:shd w:val="clear" w:color="auto" w:fill="FFFFFF"/>
            <w:vAlign w:val="center"/>
          </w:tcPr>
          <w:p w14:paraId="071306A2">
            <w:pPr>
              <w:pStyle w:val="143"/>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6924</w:t>
            </w:r>
          </w:p>
        </w:tc>
        <w:tc>
          <w:tcPr>
            <w:tcW w:w="834" w:type="pct"/>
            <w:shd w:val="clear" w:color="auto" w:fill="FFFFFF"/>
            <w:vAlign w:val="center"/>
          </w:tcPr>
          <w:p w14:paraId="30C215E3">
            <w:pPr>
              <w:pStyle w:val="143"/>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814" w:type="pct"/>
            <w:shd w:val="clear" w:color="auto" w:fill="auto"/>
            <w:vAlign w:val="center"/>
          </w:tcPr>
          <w:p w14:paraId="41450ED0">
            <w:pPr>
              <w:pStyle w:val="143"/>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3.7</w:t>
            </w:r>
          </w:p>
        </w:tc>
        <w:tc>
          <w:tcPr>
            <w:tcW w:w="738" w:type="pct"/>
            <w:shd w:val="clear" w:color="auto" w:fill="auto"/>
            <w:vAlign w:val="center"/>
          </w:tcPr>
          <w:p w14:paraId="6C797B1C">
            <w:pPr>
              <w:pStyle w:val="143"/>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0.026</w:t>
            </w:r>
          </w:p>
        </w:tc>
        <w:tc>
          <w:tcPr>
            <w:tcW w:w="746" w:type="pct"/>
            <w:shd w:val="clear" w:color="auto" w:fill="auto"/>
            <w:vAlign w:val="center"/>
          </w:tcPr>
          <w:p w14:paraId="50618B33">
            <w:pPr>
              <w:pStyle w:val="143"/>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0.0624</w:t>
            </w:r>
          </w:p>
        </w:tc>
      </w:tr>
      <w:tr w14:paraId="5EFF6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5" w:type="pct"/>
            <w:shd w:val="clear" w:color="auto" w:fill="FFFFFF"/>
            <w:vAlign w:val="center"/>
          </w:tcPr>
          <w:p w14:paraId="10769575">
            <w:pPr>
              <w:pStyle w:val="143"/>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#排气筒</w:t>
            </w:r>
          </w:p>
        </w:tc>
        <w:tc>
          <w:tcPr>
            <w:tcW w:w="1041" w:type="pct"/>
            <w:shd w:val="clear" w:color="auto" w:fill="FFFFFF"/>
            <w:vAlign w:val="center"/>
          </w:tcPr>
          <w:p w14:paraId="22119DEF">
            <w:pPr>
              <w:pStyle w:val="143"/>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lang w:val="en-US" w:eastAsia="zh-CN"/>
              </w:rPr>
              <w:t>3919</w:t>
            </w:r>
          </w:p>
        </w:tc>
        <w:tc>
          <w:tcPr>
            <w:tcW w:w="834" w:type="pct"/>
            <w:shd w:val="clear" w:color="auto" w:fill="FFFFFF"/>
            <w:vAlign w:val="center"/>
          </w:tcPr>
          <w:p w14:paraId="09D3F3CF">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814" w:type="pct"/>
            <w:shd w:val="clear" w:color="auto" w:fill="auto"/>
            <w:vAlign w:val="center"/>
          </w:tcPr>
          <w:p w14:paraId="6F816986">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2.43</w:t>
            </w:r>
          </w:p>
        </w:tc>
        <w:tc>
          <w:tcPr>
            <w:tcW w:w="738" w:type="pct"/>
            <w:shd w:val="clear" w:color="auto" w:fill="auto"/>
            <w:vAlign w:val="center"/>
          </w:tcPr>
          <w:p w14:paraId="7A07B751">
            <w:pPr>
              <w:pStyle w:val="143"/>
              <w:ind w:left="0" w:leftChars="0"/>
              <w:jc w:val="center"/>
              <w:rPr>
                <w:rFonts w:hint="eastAsia" w:ascii="Times New Roman" w:hAnsi="宋体" w:eastAsia="宋体" w:cs="宋体"/>
                <w:kern w:val="2"/>
                <w:sz w:val="21"/>
                <w:szCs w:val="24"/>
                <w:lang w:val="en-US" w:eastAsia="zh-CN" w:bidi="ar-SA"/>
              </w:rPr>
            </w:pPr>
            <w:r>
              <w:rPr>
                <w:rFonts w:hint="eastAsia" w:ascii="Times New Roman"/>
                <w:sz w:val="21"/>
                <w:lang w:val="en-US" w:eastAsia="zh-CN"/>
              </w:rPr>
              <w:t>0.00951</w:t>
            </w:r>
          </w:p>
        </w:tc>
        <w:tc>
          <w:tcPr>
            <w:tcW w:w="746" w:type="pct"/>
            <w:shd w:val="clear" w:color="auto" w:fill="auto"/>
            <w:vAlign w:val="center"/>
          </w:tcPr>
          <w:p w14:paraId="368E304B">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0.022824</w:t>
            </w:r>
          </w:p>
        </w:tc>
      </w:tr>
      <w:tr w14:paraId="3B19C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5" w:type="pct"/>
            <w:vMerge w:val="restart"/>
            <w:shd w:val="clear" w:color="auto" w:fill="FFFFFF"/>
            <w:vAlign w:val="center"/>
          </w:tcPr>
          <w:p w14:paraId="77E931B3">
            <w:pPr>
              <w:pStyle w:val="143"/>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3#排气筒</w:t>
            </w:r>
          </w:p>
        </w:tc>
        <w:tc>
          <w:tcPr>
            <w:tcW w:w="1041" w:type="pct"/>
            <w:vMerge w:val="restart"/>
            <w:shd w:val="clear" w:color="auto" w:fill="FFFFFF"/>
            <w:vAlign w:val="center"/>
          </w:tcPr>
          <w:p w14:paraId="4956C2F5">
            <w:pPr>
              <w:pStyle w:val="143"/>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22984</w:t>
            </w:r>
          </w:p>
        </w:tc>
        <w:tc>
          <w:tcPr>
            <w:tcW w:w="834" w:type="pct"/>
            <w:shd w:val="clear" w:color="auto" w:fill="FFFFFF"/>
            <w:vAlign w:val="center"/>
          </w:tcPr>
          <w:p w14:paraId="021CB295">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814" w:type="pct"/>
            <w:shd w:val="clear" w:color="auto" w:fill="auto"/>
            <w:vAlign w:val="center"/>
          </w:tcPr>
          <w:p w14:paraId="29900935">
            <w:pPr>
              <w:pStyle w:val="143"/>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2.46</w:t>
            </w:r>
          </w:p>
        </w:tc>
        <w:tc>
          <w:tcPr>
            <w:tcW w:w="738" w:type="pct"/>
            <w:shd w:val="clear" w:color="auto" w:fill="auto"/>
            <w:vAlign w:val="center"/>
          </w:tcPr>
          <w:p w14:paraId="495A601F">
            <w:pPr>
              <w:pStyle w:val="143"/>
              <w:spacing w:before="0"/>
              <w:ind w:left="0" w:leftChars="0"/>
              <w:jc w:val="center"/>
              <w:rPr>
                <w:rFonts w:hint="default" w:ascii="Times New Roman"/>
                <w:sz w:val="21"/>
                <w:lang w:val="en-US" w:eastAsia="zh-CN"/>
              </w:rPr>
            </w:pPr>
            <w:r>
              <w:rPr>
                <w:rFonts w:hint="eastAsia" w:ascii="Times New Roman"/>
                <w:sz w:val="21"/>
                <w:lang w:val="en-US" w:eastAsia="zh-CN"/>
              </w:rPr>
              <w:t>0.0553</w:t>
            </w:r>
          </w:p>
        </w:tc>
        <w:tc>
          <w:tcPr>
            <w:tcW w:w="746" w:type="pct"/>
            <w:shd w:val="clear" w:color="auto" w:fill="auto"/>
            <w:vAlign w:val="center"/>
          </w:tcPr>
          <w:p w14:paraId="43C1984C">
            <w:pPr>
              <w:pStyle w:val="143"/>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0.132</w:t>
            </w:r>
          </w:p>
        </w:tc>
      </w:tr>
      <w:tr w14:paraId="54155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5" w:type="pct"/>
            <w:vMerge w:val="continue"/>
            <w:shd w:val="clear" w:color="auto" w:fill="FFFFFF"/>
            <w:vAlign w:val="center"/>
          </w:tcPr>
          <w:p w14:paraId="4EB43333">
            <w:pPr>
              <w:pStyle w:val="143"/>
              <w:rPr>
                <w:rFonts w:hint="default" w:ascii="Times New Roman" w:hAnsi="Times New Roman" w:eastAsia="宋体" w:cs="Times New Roman"/>
                <w:sz w:val="21"/>
                <w:szCs w:val="21"/>
                <w:lang w:val="en-US" w:eastAsia="zh-CN"/>
              </w:rPr>
            </w:pPr>
          </w:p>
        </w:tc>
        <w:tc>
          <w:tcPr>
            <w:tcW w:w="1041" w:type="pct"/>
            <w:vMerge w:val="continue"/>
            <w:shd w:val="clear" w:color="auto" w:fill="FFFFFF"/>
            <w:vAlign w:val="center"/>
          </w:tcPr>
          <w:p w14:paraId="2AC79844">
            <w:pPr>
              <w:pStyle w:val="143"/>
              <w:rPr>
                <w:rFonts w:ascii="Times New Roman" w:hAnsi="Times New Roman" w:cs="Times New Roman"/>
                <w:sz w:val="21"/>
                <w:szCs w:val="21"/>
              </w:rPr>
            </w:pPr>
          </w:p>
        </w:tc>
        <w:tc>
          <w:tcPr>
            <w:tcW w:w="834" w:type="pct"/>
            <w:shd w:val="clear" w:color="auto" w:fill="FFFFFF"/>
            <w:vAlign w:val="center"/>
          </w:tcPr>
          <w:p w14:paraId="19737FE2">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TVOC</w:t>
            </w:r>
          </w:p>
        </w:tc>
        <w:tc>
          <w:tcPr>
            <w:tcW w:w="814" w:type="pct"/>
            <w:shd w:val="clear" w:color="auto" w:fill="auto"/>
            <w:vAlign w:val="center"/>
          </w:tcPr>
          <w:p w14:paraId="72EE8EC8">
            <w:pPr>
              <w:pStyle w:val="143"/>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0.3506</w:t>
            </w:r>
          </w:p>
        </w:tc>
        <w:tc>
          <w:tcPr>
            <w:tcW w:w="738" w:type="pct"/>
            <w:shd w:val="clear" w:color="auto" w:fill="auto"/>
            <w:vAlign w:val="center"/>
          </w:tcPr>
          <w:p w14:paraId="14584DB9">
            <w:pPr>
              <w:pStyle w:val="143"/>
              <w:spacing w:before="0"/>
              <w:ind w:left="0" w:leftChars="0"/>
              <w:jc w:val="center"/>
              <w:rPr>
                <w:rFonts w:hint="default" w:ascii="Times New Roman"/>
                <w:sz w:val="21"/>
                <w:lang w:val="en-US" w:eastAsia="zh-CN"/>
              </w:rPr>
            </w:pPr>
            <w:r>
              <w:rPr>
                <w:rFonts w:hint="eastAsia" w:ascii="Times New Roman"/>
                <w:sz w:val="21"/>
                <w:lang w:val="en-US" w:eastAsia="zh-CN"/>
              </w:rPr>
              <w:t>0.00375</w:t>
            </w:r>
          </w:p>
        </w:tc>
        <w:tc>
          <w:tcPr>
            <w:tcW w:w="746" w:type="pct"/>
            <w:shd w:val="clear" w:color="auto" w:fill="auto"/>
            <w:vAlign w:val="center"/>
          </w:tcPr>
          <w:p w14:paraId="33B4D274">
            <w:pPr>
              <w:pStyle w:val="143"/>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0.009</w:t>
            </w:r>
          </w:p>
        </w:tc>
      </w:tr>
      <w:tr w14:paraId="601FD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5" w:type="pct"/>
            <w:vMerge w:val="restart"/>
            <w:shd w:val="clear" w:color="auto" w:fill="FFFFFF"/>
            <w:vAlign w:val="center"/>
          </w:tcPr>
          <w:p w14:paraId="44F768FF">
            <w:pPr>
              <w:pStyle w:val="143"/>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4#排气筒</w:t>
            </w:r>
          </w:p>
        </w:tc>
        <w:tc>
          <w:tcPr>
            <w:tcW w:w="1041" w:type="pct"/>
            <w:vMerge w:val="restart"/>
            <w:shd w:val="clear" w:color="auto" w:fill="FFFFFF"/>
            <w:vAlign w:val="center"/>
          </w:tcPr>
          <w:p w14:paraId="0F363D88">
            <w:pPr>
              <w:pStyle w:val="143"/>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21887</w:t>
            </w:r>
          </w:p>
        </w:tc>
        <w:tc>
          <w:tcPr>
            <w:tcW w:w="834" w:type="pct"/>
            <w:shd w:val="clear" w:color="auto" w:fill="FFFFFF"/>
            <w:vAlign w:val="center"/>
          </w:tcPr>
          <w:p w14:paraId="0F82BCEB">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814" w:type="pct"/>
            <w:shd w:val="clear" w:color="auto" w:fill="auto"/>
            <w:vAlign w:val="center"/>
          </w:tcPr>
          <w:p w14:paraId="07237357">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2.53</w:t>
            </w:r>
          </w:p>
        </w:tc>
        <w:tc>
          <w:tcPr>
            <w:tcW w:w="738" w:type="pct"/>
            <w:shd w:val="clear" w:color="auto" w:fill="auto"/>
            <w:vAlign w:val="center"/>
          </w:tcPr>
          <w:p w14:paraId="1A41101A">
            <w:pPr>
              <w:pStyle w:val="143"/>
              <w:spacing w:before="0"/>
              <w:ind w:left="0" w:leftChars="0"/>
              <w:jc w:val="center"/>
              <w:rPr>
                <w:rFonts w:hint="eastAsia" w:ascii="Times New Roman" w:hAnsi="宋体" w:eastAsia="宋体" w:cs="宋体"/>
                <w:kern w:val="2"/>
                <w:sz w:val="21"/>
                <w:szCs w:val="24"/>
                <w:lang w:val="en-US" w:eastAsia="zh-CN" w:bidi="ar-SA"/>
              </w:rPr>
            </w:pPr>
            <w:r>
              <w:rPr>
                <w:rFonts w:hint="eastAsia" w:ascii="Times New Roman"/>
                <w:sz w:val="21"/>
                <w:lang w:val="en-US" w:eastAsia="zh-CN"/>
              </w:rPr>
              <w:t>0.059</w:t>
            </w:r>
          </w:p>
        </w:tc>
        <w:tc>
          <w:tcPr>
            <w:tcW w:w="746" w:type="pct"/>
            <w:shd w:val="clear" w:color="auto" w:fill="auto"/>
            <w:vAlign w:val="center"/>
          </w:tcPr>
          <w:p w14:paraId="1039B847">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0.1416</w:t>
            </w:r>
          </w:p>
        </w:tc>
      </w:tr>
      <w:tr w14:paraId="702E7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5" w:type="pct"/>
            <w:vMerge w:val="continue"/>
            <w:shd w:val="clear" w:color="auto" w:fill="FFFFFF"/>
            <w:vAlign w:val="center"/>
          </w:tcPr>
          <w:p w14:paraId="6E8E8AE6">
            <w:pPr>
              <w:pStyle w:val="143"/>
              <w:rPr>
                <w:rFonts w:hint="default" w:ascii="Times New Roman" w:hAnsi="Times New Roman" w:eastAsia="宋体" w:cs="Times New Roman"/>
                <w:sz w:val="21"/>
                <w:szCs w:val="21"/>
                <w:lang w:val="en-US" w:eastAsia="zh-CN"/>
              </w:rPr>
            </w:pPr>
          </w:p>
        </w:tc>
        <w:tc>
          <w:tcPr>
            <w:tcW w:w="1041" w:type="pct"/>
            <w:vMerge w:val="continue"/>
            <w:shd w:val="clear" w:color="auto" w:fill="FFFFFF"/>
            <w:vAlign w:val="center"/>
          </w:tcPr>
          <w:p w14:paraId="297372D8">
            <w:pPr>
              <w:pStyle w:val="143"/>
              <w:rPr>
                <w:rFonts w:ascii="Times New Roman" w:hAnsi="Times New Roman" w:cs="Times New Roman"/>
                <w:sz w:val="21"/>
                <w:szCs w:val="21"/>
              </w:rPr>
            </w:pPr>
          </w:p>
        </w:tc>
        <w:tc>
          <w:tcPr>
            <w:tcW w:w="834" w:type="pct"/>
            <w:shd w:val="clear" w:color="auto" w:fill="FFFFFF"/>
            <w:vAlign w:val="center"/>
          </w:tcPr>
          <w:p w14:paraId="02A4DF28">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TVOC</w:t>
            </w:r>
          </w:p>
        </w:tc>
        <w:tc>
          <w:tcPr>
            <w:tcW w:w="814" w:type="pct"/>
            <w:shd w:val="clear" w:color="auto" w:fill="auto"/>
            <w:vAlign w:val="center"/>
          </w:tcPr>
          <w:p w14:paraId="4EBC0334">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0.456</w:t>
            </w:r>
          </w:p>
        </w:tc>
        <w:tc>
          <w:tcPr>
            <w:tcW w:w="738" w:type="pct"/>
            <w:shd w:val="clear" w:color="auto" w:fill="auto"/>
            <w:vAlign w:val="center"/>
          </w:tcPr>
          <w:p w14:paraId="424CABCB">
            <w:pPr>
              <w:pStyle w:val="143"/>
              <w:spacing w:before="0"/>
              <w:ind w:left="0" w:leftChars="0"/>
              <w:jc w:val="center"/>
              <w:rPr>
                <w:rFonts w:hint="eastAsia" w:ascii="Times New Roman" w:hAnsi="宋体" w:eastAsia="宋体" w:cs="宋体"/>
                <w:kern w:val="2"/>
                <w:sz w:val="21"/>
                <w:szCs w:val="24"/>
                <w:lang w:val="en-US" w:eastAsia="zh-CN" w:bidi="ar-SA"/>
              </w:rPr>
            </w:pPr>
            <w:r>
              <w:rPr>
                <w:rFonts w:hint="eastAsia" w:ascii="Times New Roman"/>
                <w:sz w:val="21"/>
                <w:lang w:val="en-US" w:eastAsia="zh-CN"/>
              </w:rPr>
              <w:t>0.00585</w:t>
            </w:r>
          </w:p>
        </w:tc>
        <w:tc>
          <w:tcPr>
            <w:tcW w:w="746" w:type="pct"/>
            <w:shd w:val="clear" w:color="auto" w:fill="auto"/>
            <w:vAlign w:val="center"/>
          </w:tcPr>
          <w:p w14:paraId="737470D3">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0.01404</w:t>
            </w:r>
          </w:p>
        </w:tc>
      </w:tr>
    </w:tbl>
    <w:p w14:paraId="62159E4D">
      <w:pPr>
        <w:adjustRightInd w:val="0"/>
        <w:snapToGrid w:val="0"/>
        <w:spacing w:line="500" w:lineRule="exact"/>
        <w:ind w:firstLine="480" w:firstLineChars="200"/>
        <w:rPr>
          <w:rFonts w:ascii="宋体" w:hAnsi="宋体" w:eastAsia="宋体" w:cs="宋体"/>
          <w:color w:val="0000FF"/>
          <w:szCs w:val="28"/>
        </w:rPr>
      </w:pPr>
      <w:r>
        <w:rPr>
          <w:rFonts w:hint="eastAsia" w:ascii="宋体" w:hAnsi="宋体" w:eastAsia="宋体" w:cs="宋体"/>
          <w:color w:val="000000" w:themeColor="text1"/>
          <w:szCs w:val="21"/>
          <w14:textFill>
            <w14:solidFill>
              <w14:schemeClr w14:val="tx1"/>
            </w14:solidFill>
          </w14:textFill>
        </w:rPr>
        <w:t>假设废气不经处理，直接排放</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8"/>
          <w14:textFill>
            <w14:solidFill>
              <w14:schemeClr w14:val="tx1"/>
            </w14:solidFill>
          </w14:textFill>
        </w:rPr>
        <w:t>员工发现超标事故至关闭生产设备时间为</w:t>
      </w:r>
      <w:r>
        <w:rPr>
          <w:rFonts w:eastAsia="宋体"/>
          <w:color w:val="000000" w:themeColor="text1"/>
          <w:szCs w:val="28"/>
          <w14:textFill>
            <w14:solidFill>
              <w14:schemeClr w14:val="tx1"/>
            </w14:solidFill>
          </w14:textFill>
        </w:rPr>
        <w:t>15分钟，即超标排放时间为15分钟，</w:t>
      </w:r>
      <w:r>
        <w:rPr>
          <w:rFonts w:eastAsia="宋体"/>
          <w:color w:val="000000" w:themeColor="text1"/>
          <w14:textFill>
            <w14:solidFill>
              <w14:schemeClr w14:val="tx1"/>
            </w14:solidFill>
          </w14:textFill>
        </w:rPr>
        <w:t>各类污染物</w:t>
      </w:r>
      <w:r>
        <w:rPr>
          <w:rFonts w:eastAsia="宋体"/>
          <w:color w:val="000000" w:themeColor="text1"/>
          <w:szCs w:val="28"/>
          <w14:textFill>
            <w14:solidFill>
              <w14:schemeClr w14:val="tx1"/>
            </w14:solidFill>
          </w14:textFill>
        </w:rPr>
        <w:t>的泄漏源强见表</w:t>
      </w:r>
      <w:r>
        <w:rPr>
          <w:rFonts w:hint="eastAsia" w:eastAsia="宋体"/>
          <w:color w:val="000000" w:themeColor="text1"/>
          <w:szCs w:val="28"/>
          <w14:textFill>
            <w14:solidFill>
              <w14:schemeClr w14:val="tx1"/>
            </w14:solidFill>
          </w14:textFill>
        </w:rPr>
        <w:t>4-</w:t>
      </w:r>
      <w:r>
        <w:rPr>
          <w:rFonts w:hint="eastAsia" w:eastAsia="宋体"/>
          <w:color w:val="000000" w:themeColor="text1"/>
          <w:szCs w:val="28"/>
          <w:lang w:val="en-US" w:eastAsia="zh-CN"/>
          <w14:textFill>
            <w14:solidFill>
              <w14:schemeClr w14:val="tx1"/>
            </w14:solidFill>
          </w14:textFill>
        </w:rPr>
        <w:t>5</w:t>
      </w:r>
      <w:r>
        <w:rPr>
          <w:rFonts w:hint="eastAsia" w:eastAsia="宋体"/>
          <w:color w:val="000000" w:themeColor="text1"/>
          <w:szCs w:val="28"/>
          <w14:textFill>
            <w14:solidFill>
              <w14:schemeClr w14:val="tx1"/>
            </w14:solidFill>
          </w14:textFill>
        </w:rPr>
        <w:t>。</w:t>
      </w:r>
    </w:p>
    <w:p w14:paraId="42D7197E">
      <w:pPr>
        <w:adjustRightInd w:val="0"/>
        <w:snapToGrid w:val="0"/>
        <w:spacing w:line="500" w:lineRule="exact"/>
        <w:jc w:val="center"/>
        <w:rPr>
          <w:rFonts w:eastAsia="宋体"/>
          <w:b/>
          <w:bCs/>
          <w:color w:val="000000" w:themeColor="text1"/>
          <w14:textFill>
            <w14:solidFill>
              <w14:schemeClr w14:val="tx1"/>
            </w14:solidFill>
          </w14:textFill>
        </w:rPr>
      </w:pPr>
      <w:r>
        <w:rPr>
          <w:rFonts w:eastAsia="宋体"/>
          <w:b/>
          <w:bCs/>
          <w:color w:val="000000" w:themeColor="text1"/>
          <w14:textFill>
            <w14:solidFill>
              <w14:schemeClr w14:val="tx1"/>
            </w14:solidFill>
          </w14:textFill>
        </w:rPr>
        <w:t>表</w:t>
      </w:r>
      <w:r>
        <w:rPr>
          <w:rFonts w:hint="eastAsia" w:eastAsia="宋体"/>
          <w:b/>
          <w:bCs/>
          <w:color w:val="000000" w:themeColor="text1"/>
          <w14:textFill>
            <w14:solidFill>
              <w14:schemeClr w14:val="tx1"/>
            </w14:solidFill>
          </w14:textFill>
        </w:rPr>
        <w:t>4-</w:t>
      </w:r>
      <w:r>
        <w:rPr>
          <w:rFonts w:hint="eastAsia" w:eastAsia="宋体"/>
          <w:b/>
          <w:bCs/>
          <w:color w:val="000000" w:themeColor="text1"/>
          <w:lang w:val="en-US" w:eastAsia="zh-CN"/>
          <w14:textFill>
            <w14:solidFill>
              <w14:schemeClr w14:val="tx1"/>
            </w14:solidFill>
          </w14:textFill>
        </w:rPr>
        <w:t>5</w:t>
      </w:r>
      <w:r>
        <w:rPr>
          <w:rFonts w:eastAsia="宋体"/>
          <w:b/>
          <w:bCs/>
          <w:color w:val="000000" w:themeColor="text1"/>
          <w:szCs w:val="28"/>
          <w14:textFill>
            <w14:solidFill>
              <w14:schemeClr w14:val="tx1"/>
            </w14:solidFill>
          </w14:textFill>
        </w:rPr>
        <w:t>15分钟</w:t>
      </w:r>
      <w:r>
        <w:rPr>
          <w:rFonts w:hint="eastAsia" w:eastAsia="宋体"/>
          <w:b/>
          <w:bCs/>
          <w:color w:val="000000" w:themeColor="text1"/>
          <w:szCs w:val="28"/>
          <w14:textFill>
            <w14:solidFill>
              <w14:schemeClr w14:val="tx1"/>
            </w14:solidFill>
          </w14:textFill>
        </w:rPr>
        <w:t>内废气产生情况一览表</w:t>
      </w:r>
    </w:p>
    <w:tbl>
      <w:tblPr>
        <w:tblStyle w:val="38"/>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02"/>
        <w:gridCol w:w="1846"/>
        <w:gridCol w:w="1986"/>
        <w:gridCol w:w="1938"/>
        <w:gridCol w:w="1763"/>
      </w:tblGrid>
      <w:tr w14:paraId="62F8D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21" w:type="pct"/>
            <w:vMerge w:val="restart"/>
            <w:shd w:val="clear" w:color="auto" w:fill="auto"/>
            <w:vAlign w:val="center"/>
          </w:tcPr>
          <w:p w14:paraId="458A6D0E">
            <w:pPr>
              <w:adjustRightInd w:val="0"/>
              <w:snapToGrid w:val="0"/>
              <w:jc w:val="center"/>
              <w:rPr>
                <w:rFonts w:eastAsia="宋体"/>
                <w:color w:val="000000"/>
                <w:kern w:val="0"/>
                <w:sz w:val="21"/>
                <w:szCs w:val="21"/>
              </w:rPr>
            </w:pPr>
            <w:r>
              <w:rPr>
                <w:rFonts w:eastAsia="宋体"/>
                <w:color w:val="000000"/>
                <w:kern w:val="0"/>
                <w:sz w:val="21"/>
                <w:szCs w:val="21"/>
              </w:rPr>
              <w:t>排放源</w:t>
            </w:r>
          </w:p>
        </w:tc>
        <w:tc>
          <w:tcPr>
            <w:tcW w:w="999" w:type="pct"/>
            <w:vMerge w:val="restart"/>
            <w:shd w:val="clear" w:color="auto" w:fill="auto"/>
            <w:vAlign w:val="center"/>
          </w:tcPr>
          <w:p w14:paraId="15CBC55E">
            <w:pPr>
              <w:adjustRightInd w:val="0"/>
              <w:snapToGrid w:val="0"/>
              <w:jc w:val="center"/>
              <w:rPr>
                <w:rFonts w:eastAsia="宋体"/>
                <w:color w:val="000000"/>
                <w:kern w:val="0"/>
                <w:sz w:val="21"/>
                <w:szCs w:val="21"/>
              </w:rPr>
            </w:pPr>
            <w:r>
              <w:rPr>
                <w:rFonts w:eastAsia="宋体"/>
                <w:color w:val="000000"/>
                <w:kern w:val="0"/>
                <w:sz w:val="21"/>
                <w:szCs w:val="21"/>
              </w:rPr>
              <w:t>废气量</w:t>
            </w:r>
          </w:p>
          <w:p w14:paraId="2BDC46C6">
            <w:pPr>
              <w:adjustRightInd w:val="0"/>
              <w:snapToGrid w:val="0"/>
              <w:jc w:val="center"/>
              <w:rPr>
                <w:rFonts w:eastAsia="宋体"/>
                <w:color w:val="000000"/>
                <w:kern w:val="0"/>
                <w:sz w:val="21"/>
                <w:szCs w:val="21"/>
              </w:rPr>
            </w:pPr>
            <w:r>
              <w:rPr>
                <w:rFonts w:eastAsia="宋体"/>
                <w:color w:val="000000"/>
                <w:kern w:val="0"/>
                <w:sz w:val="21"/>
                <w:szCs w:val="21"/>
              </w:rPr>
              <w:t>m</w:t>
            </w:r>
            <w:r>
              <w:rPr>
                <w:rFonts w:eastAsia="宋体"/>
                <w:color w:val="000000"/>
                <w:kern w:val="0"/>
                <w:sz w:val="21"/>
                <w:szCs w:val="21"/>
                <w:vertAlign w:val="superscript"/>
              </w:rPr>
              <w:t>3</w:t>
            </w:r>
            <w:r>
              <w:rPr>
                <w:rFonts w:eastAsia="宋体"/>
                <w:color w:val="000000"/>
                <w:kern w:val="0"/>
                <w:sz w:val="21"/>
                <w:szCs w:val="21"/>
              </w:rPr>
              <w:t>/h</w:t>
            </w:r>
          </w:p>
        </w:tc>
        <w:tc>
          <w:tcPr>
            <w:tcW w:w="1075" w:type="pct"/>
            <w:vMerge w:val="restart"/>
            <w:shd w:val="clear" w:color="auto" w:fill="auto"/>
            <w:vAlign w:val="center"/>
          </w:tcPr>
          <w:p w14:paraId="04A642B9">
            <w:pPr>
              <w:adjustRightInd w:val="0"/>
              <w:snapToGrid w:val="0"/>
              <w:jc w:val="center"/>
              <w:rPr>
                <w:rFonts w:eastAsia="宋体"/>
                <w:color w:val="000000"/>
                <w:kern w:val="0"/>
                <w:sz w:val="21"/>
                <w:szCs w:val="21"/>
              </w:rPr>
            </w:pPr>
            <w:r>
              <w:rPr>
                <w:rFonts w:eastAsia="宋体"/>
                <w:color w:val="000000"/>
                <w:kern w:val="0"/>
                <w:sz w:val="21"/>
                <w:szCs w:val="21"/>
              </w:rPr>
              <w:t>污染物</w:t>
            </w:r>
          </w:p>
          <w:p w14:paraId="5D905D49">
            <w:pPr>
              <w:adjustRightInd w:val="0"/>
              <w:snapToGrid w:val="0"/>
              <w:jc w:val="center"/>
              <w:rPr>
                <w:rFonts w:eastAsia="宋体"/>
                <w:color w:val="000000"/>
                <w:kern w:val="0"/>
                <w:sz w:val="21"/>
                <w:szCs w:val="21"/>
              </w:rPr>
            </w:pPr>
            <w:r>
              <w:rPr>
                <w:rFonts w:eastAsia="宋体"/>
                <w:color w:val="000000"/>
                <w:kern w:val="0"/>
                <w:sz w:val="21"/>
                <w:szCs w:val="21"/>
              </w:rPr>
              <w:t>名称</w:t>
            </w:r>
          </w:p>
        </w:tc>
        <w:tc>
          <w:tcPr>
            <w:tcW w:w="2003" w:type="pct"/>
            <w:gridSpan w:val="2"/>
            <w:shd w:val="clear" w:color="auto" w:fill="auto"/>
            <w:vAlign w:val="center"/>
          </w:tcPr>
          <w:p w14:paraId="0B3033CB">
            <w:pPr>
              <w:adjustRightInd w:val="0"/>
              <w:snapToGrid w:val="0"/>
              <w:jc w:val="center"/>
              <w:rPr>
                <w:rFonts w:eastAsia="宋体"/>
                <w:color w:val="000000"/>
                <w:kern w:val="0"/>
                <w:sz w:val="21"/>
                <w:szCs w:val="21"/>
              </w:rPr>
            </w:pPr>
            <w:r>
              <w:rPr>
                <w:rFonts w:hint="eastAsia" w:eastAsia="宋体"/>
                <w:color w:val="000000"/>
                <w:kern w:val="0"/>
                <w:sz w:val="21"/>
                <w:szCs w:val="21"/>
              </w:rPr>
              <w:t>15分钟内</w:t>
            </w:r>
            <w:r>
              <w:rPr>
                <w:rFonts w:eastAsia="宋体"/>
                <w:color w:val="000000"/>
                <w:kern w:val="0"/>
                <w:sz w:val="21"/>
                <w:szCs w:val="21"/>
              </w:rPr>
              <w:t>产生情况</w:t>
            </w:r>
          </w:p>
        </w:tc>
      </w:tr>
      <w:tr w14:paraId="0EC02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continue"/>
            <w:shd w:val="clear" w:color="auto" w:fill="auto"/>
            <w:vAlign w:val="center"/>
          </w:tcPr>
          <w:p w14:paraId="4AF82FF9">
            <w:pPr>
              <w:adjustRightInd w:val="0"/>
              <w:snapToGrid w:val="0"/>
              <w:jc w:val="center"/>
              <w:rPr>
                <w:rFonts w:eastAsia="宋体"/>
                <w:color w:val="000000"/>
                <w:kern w:val="0"/>
                <w:sz w:val="21"/>
                <w:szCs w:val="21"/>
              </w:rPr>
            </w:pPr>
          </w:p>
        </w:tc>
        <w:tc>
          <w:tcPr>
            <w:tcW w:w="999" w:type="pct"/>
            <w:vMerge w:val="continue"/>
            <w:shd w:val="clear" w:color="auto" w:fill="auto"/>
            <w:vAlign w:val="center"/>
          </w:tcPr>
          <w:p w14:paraId="42B67E07">
            <w:pPr>
              <w:adjustRightInd w:val="0"/>
              <w:snapToGrid w:val="0"/>
              <w:jc w:val="center"/>
              <w:rPr>
                <w:rFonts w:eastAsia="宋体"/>
                <w:color w:val="000000"/>
                <w:kern w:val="0"/>
                <w:sz w:val="21"/>
                <w:szCs w:val="21"/>
              </w:rPr>
            </w:pPr>
          </w:p>
        </w:tc>
        <w:tc>
          <w:tcPr>
            <w:tcW w:w="1075" w:type="pct"/>
            <w:vMerge w:val="continue"/>
            <w:shd w:val="clear" w:color="auto" w:fill="auto"/>
            <w:vAlign w:val="center"/>
          </w:tcPr>
          <w:p w14:paraId="4B43CA5C">
            <w:pPr>
              <w:adjustRightInd w:val="0"/>
              <w:snapToGrid w:val="0"/>
              <w:jc w:val="center"/>
              <w:rPr>
                <w:rFonts w:eastAsia="宋体"/>
                <w:color w:val="000000"/>
                <w:kern w:val="0"/>
                <w:sz w:val="21"/>
                <w:szCs w:val="21"/>
              </w:rPr>
            </w:pPr>
          </w:p>
        </w:tc>
        <w:tc>
          <w:tcPr>
            <w:tcW w:w="1049" w:type="pct"/>
            <w:shd w:val="clear" w:color="auto" w:fill="auto"/>
            <w:vAlign w:val="center"/>
          </w:tcPr>
          <w:p w14:paraId="4E280950">
            <w:pPr>
              <w:adjustRightInd w:val="0"/>
              <w:snapToGrid w:val="0"/>
              <w:jc w:val="center"/>
              <w:rPr>
                <w:rFonts w:eastAsia="宋体"/>
                <w:color w:val="000000"/>
                <w:kern w:val="0"/>
                <w:sz w:val="21"/>
                <w:szCs w:val="21"/>
              </w:rPr>
            </w:pPr>
            <w:r>
              <w:rPr>
                <w:rFonts w:eastAsia="宋体"/>
                <w:color w:val="000000"/>
                <w:kern w:val="0"/>
                <w:sz w:val="21"/>
                <w:szCs w:val="21"/>
              </w:rPr>
              <w:t>速率</w:t>
            </w:r>
          </w:p>
        </w:tc>
        <w:tc>
          <w:tcPr>
            <w:tcW w:w="954" w:type="pct"/>
            <w:shd w:val="clear" w:color="auto" w:fill="auto"/>
            <w:vAlign w:val="center"/>
          </w:tcPr>
          <w:p w14:paraId="4582D855">
            <w:pPr>
              <w:adjustRightInd w:val="0"/>
              <w:snapToGrid w:val="0"/>
              <w:jc w:val="center"/>
              <w:rPr>
                <w:rFonts w:eastAsia="宋体"/>
                <w:color w:val="000000"/>
                <w:kern w:val="0"/>
                <w:sz w:val="21"/>
                <w:szCs w:val="21"/>
              </w:rPr>
            </w:pPr>
            <w:r>
              <w:rPr>
                <w:rFonts w:eastAsia="宋体"/>
                <w:color w:val="000000"/>
                <w:kern w:val="0"/>
                <w:sz w:val="21"/>
                <w:szCs w:val="21"/>
              </w:rPr>
              <w:t>产生量</w:t>
            </w:r>
          </w:p>
        </w:tc>
      </w:tr>
      <w:tr w14:paraId="1FFDA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continue"/>
            <w:shd w:val="clear" w:color="auto" w:fill="auto"/>
            <w:vAlign w:val="center"/>
          </w:tcPr>
          <w:p w14:paraId="1B8AF34E">
            <w:pPr>
              <w:adjustRightInd w:val="0"/>
              <w:snapToGrid w:val="0"/>
              <w:jc w:val="center"/>
              <w:rPr>
                <w:rFonts w:eastAsia="宋体"/>
                <w:color w:val="000000"/>
                <w:kern w:val="0"/>
                <w:sz w:val="21"/>
                <w:szCs w:val="21"/>
              </w:rPr>
            </w:pPr>
          </w:p>
        </w:tc>
        <w:tc>
          <w:tcPr>
            <w:tcW w:w="999" w:type="pct"/>
            <w:vMerge w:val="continue"/>
            <w:shd w:val="clear" w:color="auto" w:fill="auto"/>
            <w:vAlign w:val="center"/>
          </w:tcPr>
          <w:p w14:paraId="5F80D8AA">
            <w:pPr>
              <w:adjustRightInd w:val="0"/>
              <w:snapToGrid w:val="0"/>
              <w:jc w:val="center"/>
              <w:rPr>
                <w:rFonts w:eastAsia="宋体"/>
                <w:color w:val="000000"/>
                <w:kern w:val="0"/>
                <w:sz w:val="21"/>
                <w:szCs w:val="21"/>
              </w:rPr>
            </w:pPr>
          </w:p>
        </w:tc>
        <w:tc>
          <w:tcPr>
            <w:tcW w:w="1075" w:type="pct"/>
            <w:vMerge w:val="continue"/>
            <w:shd w:val="clear" w:color="auto" w:fill="auto"/>
            <w:vAlign w:val="center"/>
          </w:tcPr>
          <w:p w14:paraId="56C11206">
            <w:pPr>
              <w:adjustRightInd w:val="0"/>
              <w:snapToGrid w:val="0"/>
              <w:jc w:val="center"/>
              <w:rPr>
                <w:rFonts w:eastAsia="宋体"/>
                <w:color w:val="000000"/>
                <w:kern w:val="0"/>
                <w:sz w:val="21"/>
                <w:szCs w:val="21"/>
              </w:rPr>
            </w:pPr>
          </w:p>
        </w:tc>
        <w:tc>
          <w:tcPr>
            <w:tcW w:w="1049" w:type="pct"/>
            <w:shd w:val="clear" w:color="auto" w:fill="auto"/>
            <w:vAlign w:val="center"/>
          </w:tcPr>
          <w:p w14:paraId="4562D522">
            <w:pPr>
              <w:adjustRightInd w:val="0"/>
              <w:snapToGrid w:val="0"/>
              <w:jc w:val="center"/>
              <w:rPr>
                <w:rFonts w:eastAsia="宋体"/>
                <w:color w:val="000000"/>
                <w:kern w:val="0"/>
                <w:sz w:val="21"/>
                <w:szCs w:val="21"/>
              </w:rPr>
            </w:pPr>
            <w:r>
              <w:rPr>
                <w:rFonts w:eastAsia="宋体"/>
                <w:color w:val="000000"/>
                <w:kern w:val="0"/>
                <w:sz w:val="21"/>
                <w:szCs w:val="21"/>
              </w:rPr>
              <w:t>kg/h</w:t>
            </w:r>
          </w:p>
        </w:tc>
        <w:tc>
          <w:tcPr>
            <w:tcW w:w="954" w:type="pct"/>
            <w:shd w:val="clear" w:color="auto" w:fill="auto"/>
            <w:vAlign w:val="center"/>
          </w:tcPr>
          <w:p w14:paraId="5F60D1ED">
            <w:pPr>
              <w:adjustRightInd w:val="0"/>
              <w:snapToGrid w:val="0"/>
              <w:jc w:val="center"/>
              <w:rPr>
                <w:rFonts w:eastAsia="宋体"/>
                <w:color w:val="000000"/>
                <w:kern w:val="0"/>
                <w:sz w:val="21"/>
                <w:szCs w:val="21"/>
              </w:rPr>
            </w:pPr>
            <w:r>
              <w:rPr>
                <w:rFonts w:hint="eastAsia" w:eastAsia="宋体"/>
                <w:color w:val="000000"/>
                <w:kern w:val="0"/>
                <w:sz w:val="21"/>
                <w:szCs w:val="21"/>
              </w:rPr>
              <w:t>kg</w:t>
            </w:r>
          </w:p>
        </w:tc>
      </w:tr>
      <w:tr w14:paraId="5ACBD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shd w:val="clear" w:color="auto" w:fill="FFFFFF"/>
            <w:vAlign w:val="center"/>
          </w:tcPr>
          <w:p w14:paraId="55EC5C83">
            <w:pPr>
              <w:pStyle w:val="143"/>
              <w:rPr>
                <w:rFonts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1#排气筒</w:t>
            </w:r>
          </w:p>
        </w:tc>
        <w:tc>
          <w:tcPr>
            <w:tcW w:w="1846" w:type="dxa"/>
            <w:shd w:val="clear" w:color="auto" w:fill="FFFFFF"/>
            <w:vAlign w:val="center"/>
          </w:tcPr>
          <w:p w14:paraId="6A78FA78">
            <w:pPr>
              <w:pStyle w:val="143"/>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6924</w:t>
            </w:r>
          </w:p>
        </w:tc>
        <w:tc>
          <w:tcPr>
            <w:tcW w:w="1075" w:type="pct"/>
            <w:shd w:val="clear" w:color="auto" w:fill="FFFFFF"/>
            <w:vAlign w:val="center"/>
          </w:tcPr>
          <w:p w14:paraId="53E707D5">
            <w:pPr>
              <w:pStyle w:val="143"/>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1049" w:type="pct"/>
            <w:shd w:val="clear" w:color="auto" w:fill="auto"/>
            <w:vAlign w:val="center"/>
          </w:tcPr>
          <w:p w14:paraId="3BCAB501">
            <w:pPr>
              <w:pStyle w:val="143"/>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7.4</w:t>
            </w:r>
          </w:p>
        </w:tc>
        <w:tc>
          <w:tcPr>
            <w:tcW w:w="954" w:type="pct"/>
            <w:shd w:val="clear" w:color="auto" w:fill="auto"/>
            <w:vAlign w:val="center"/>
          </w:tcPr>
          <w:p w14:paraId="6D281948">
            <w:pPr>
              <w:pStyle w:val="143"/>
              <w:rPr>
                <w:rFonts w:hint="default" w:ascii="Times New Roman" w:hAnsi="Times New Roman" w:cs="Times New Roman"/>
                <w:sz w:val="21"/>
                <w:lang w:val="en-US"/>
              </w:rPr>
            </w:pPr>
            <w:r>
              <w:rPr>
                <w:rFonts w:hint="eastAsia" w:ascii="Times New Roman" w:hAnsi="Times New Roman" w:cs="Times New Roman"/>
                <w:sz w:val="21"/>
                <w:lang w:val="en-US" w:eastAsia="zh-CN"/>
              </w:rPr>
              <w:t>0.129</w:t>
            </w:r>
          </w:p>
        </w:tc>
      </w:tr>
      <w:tr w14:paraId="3866C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shd w:val="clear" w:color="auto" w:fill="FFFFFF"/>
            <w:vAlign w:val="center"/>
          </w:tcPr>
          <w:p w14:paraId="49E6DC7D">
            <w:pPr>
              <w:pStyle w:val="143"/>
              <w:rPr>
                <w:rFonts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2#排气筒</w:t>
            </w:r>
          </w:p>
        </w:tc>
        <w:tc>
          <w:tcPr>
            <w:tcW w:w="1846" w:type="dxa"/>
            <w:shd w:val="clear" w:color="auto" w:fill="FFFFFF"/>
            <w:vAlign w:val="center"/>
          </w:tcPr>
          <w:p w14:paraId="2A99F9F9">
            <w:pPr>
              <w:pStyle w:val="143"/>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lang w:val="en-US" w:eastAsia="zh-CN"/>
              </w:rPr>
              <w:t>3919</w:t>
            </w:r>
          </w:p>
        </w:tc>
        <w:tc>
          <w:tcPr>
            <w:tcW w:w="1075" w:type="pct"/>
            <w:shd w:val="clear" w:color="auto" w:fill="FFFFFF"/>
            <w:vAlign w:val="center"/>
          </w:tcPr>
          <w:p w14:paraId="303F031D">
            <w:pPr>
              <w:pStyle w:val="143"/>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1049" w:type="pct"/>
            <w:shd w:val="clear" w:color="auto" w:fill="auto"/>
            <w:vAlign w:val="center"/>
          </w:tcPr>
          <w:p w14:paraId="44541389">
            <w:pPr>
              <w:pStyle w:val="143"/>
              <w:rPr>
                <w:rFonts w:hint="default" w:ascii="Times New Roman" w:hAnsi="宋体" w:eastAsia="宋体" w:cs="宋体"/>
                <w:kern w:val="2"/>
                <w:sz w:val="21"/>
                <w:szCs w:val="24"/>
                <w:lang w:val="en-US" w:eastAsia="zh-CN" w:bidi="ar-SA"/>
              </w:rPr>
            </w:pPr>
            <w:r>
              <w:rPr>
                <w:rFonts w:hint="eastAsia" w:ascii="Times New Roman" w:hAnsi="Times New Roman" w:cs="Times New Roman"/>
                <w:sz w:val="21"/>
                <w:lang w:val="en-US" w:eastAsia="zh-CN"/>
              </w:rPr>
              <w:t>4.2</w:t>
            </w:r>
          </w:p>
        </w:tc>
        <w:tc>
          <w:tcPr>
            <w:tcW w:w="954" w:type="pct"/>
            <w:shd w:val="clear" w:color="auto" w:fill="auto"/>
            <w:vAlign w:val="center"/>
          </w:tcPr>
          <w:p w14:paraId="25C2646D">
            <w:pPr>
              <w:pStyle w:val="143"/>
              <w:ind w:left="0" w:leftChars="0"/>
              <w:jc w:val="center"/>
              <w:rPr>
                <w:rFonts w:hint="default" w:ascii="Times New Roman" w:hAnsi="Times New Roman" w:cs="Times New Roman"/>
                <w:sz w:val="21"/>
                <w:lang w:val="en-US"/>
              </w:rPr>
            </w:pPr>
            <w:r>
              <w:rPr>
                <w:rFonts w:hint="eastAsia" w:ascii="Times New Roman"/>
                <w:sz w:val="21"/>
                <w:lang w:val="en-US" w:eastAsia="zh-CN"/>
              </w:rPr>
              <w:t>0.02</w:t>
            </w:r>
          </w:p>
        </w:tc>
      </w:tr>
      <w:tr w14:paraId="35536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restart"/>
            <w:shd w:val="clear" w:color="auto" w:fill="FFFFFF"/>
            <w:vAlign w:val="center"/>
          </w:tcPr>
          <w:p w14:paraId="5FC2568A">
            <w:pPr>
              <w:pStyle w:val="143"/>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3#排气筒</w:t>
            </w:r>
          </w:p>
          <w:p w14:paraId="600D6499">
            <w:pPr>
              <w:pStyle w:val="143"/>
              <w:rPr>
                <w:rFonts w:ascii="Times New Roman" w:hAnsi="Times New Roman" w:eastAsia="宋体" w:cs="Times New Roman"/>
                <w:kern w:val="2"/>
                <w:sz w:val="21"/>
                <w:szCs w:val="21"/>
                <w:lang w:val="en-US" w:eastAsia="zh-CN" w:bidi="ar-SA"/>
              </w:rPr>
            </w:pPr>
          </w:p>
        </w:tc>
        <w:tc>
          <w:tcPr>
            <w:tcW w:w="1846" w:type="dxa"/>
            <w:vMerge w:val="restart"/>
            <w:shd w:val="clear" w:color="auto" w:fill="FFFFFF"/>
            <w:vAlign w:val="center"/>
          </w:tcPr>
          <w:p w14:paraId="76D411BB">
            <w:pPr>
              <w:pStyle w:val="143"/>
              <w:rPr>
                <w:rFonts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22984</w:t>
            </w:r>
          </w:p>
        </w:tc>
        <w:tc>
          <w:tcPr>
            <w:tcW w:w="1075" w:type="pct"/>
            <w:shd w:val="clear" w:color="auto" w:fill="FFFFFF"/>
            <w:vAlign w:val="center"/>
          </w:tcPr>
          <w:p w14:paraId="2D36F32E">
            <w:pPr>
              <w:pStyle w:val="143"/>
              <w:rPr>
                <w:rFonts w:hint="eastAsia" w:ascii="Times New Roman" w:hAnsi="Times New Roman" w:cs="Times New Roman"/>
                <w:sz w:val="21"/>
                <w:lang w:val="en-US" w:eastAsia="zh-CN"/>
              </w:rPr>
            </w:pPr>
            <w:r>
              <w:rPr>
                <w:rFonts w:hint="eastAsia" w:ascii="Times New Roman" w:hAnsi="Times New Roman" w:cs="Times New Roman"/>
                <w:sz w:val="21"/>
              </w:rPr>
              <w:t>颗粒物</w:t>
            </w:r>
          </w:p>
        </w:tc>
        <w:tc>
          <w:tcPr>
            <w:tcW w:w="1049" w:type="pct"/>
            <w:shd w:val="clear" w:color="auto" w:fill="auto"/>
            <w:vAlign w:val="center"/>
          </w:tcPr>
          <w:p w14:paraId="4EB65513">
            <w:pPr>
              <w:pStyle w:val="143"/>
              <w:rPr>
                <w:rFonts w:hint="eastAsia" w:ascii="Times New Roman"/>
                <w:sz w:val="21"/>
                <w:lang w:val="en-US" w:eastAsia="zh-CN"/>
              </w:rPr>
            </w:pPr>
            <w:r>
              <w:rPr>
                <w:rFonts w:hint="eastAsia" w:ascii="Times New Roman" w:hAnsi="Times New Roman" w:cs="Times New Roman"/>
                <w:sz w:val="21"/>
                <w:lang w:val="en-US" w:eastAsia="zh-CN"/>
              </w:rPr>
              <w:t>4.3</w:t>
            </w:r>
          </w:p>
        </w:tc>
        <w:tc>
          <w:tcPr>
            <w:tcW w:w="954" w:type="pct"/>
            <w:shd w:val="clear" w:color="auto" w:fill="auto"/>
            <w:vAlign w:val="center"/>
          </w:tcPr>
          <w:p w14:paraId="3F724AF5">
            <w:pPr>
              <w:pStyle w:val="143"/>
              <w:spacing w:before="0"/>
              <w:ind w:left="0" w:leftChars="0"/>
              <w:jc w:val="center"/>
              <w:rPr>
                <w:rFonts w:hint="eastAsia" w:ascii="Times New Roman" w:hAnsi="Times New Roman" w:cs="Times New Roman"/>
                <w:sz w:val="21"/>
                <w:lang w:val="en-US" w:eastAsia="zh-CN"/>
              </w:rPr>
            </w:pPr>
            <w:r>
              <w:rPr>
                <w:rFonts w:hint="eastAsia" w:ascii="Times New Roman"/>
                <w:sz w:val="21"/>
                <w:lang w:val="en-US" w:eastAsia="zh-CN"/>
              </w:rPr>
              <w:t>0.081</w:t>
            </w:r>
          </w:p>
        </w:tc>
      </w:tr>
      <w:tr w14:paraId="689A1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continue"/>
            <w:shd w:val="clear" w:color="auto" w:fill="FFFFFF"/>
            <w:vAlign w:val="center"/>
          </w:tcPr>
          <w:p w14:paraId="5B521967">
            <w:pPr>
              <w:pStyle w:val="143"/>
              <w:rPr>
                <w:rFonts w:ascii="Times New Roman" w:hAnsi="Times New Roman" w:eastAsia="宋体" w:cs="Times New Roman"/>
                <w:kern w:val="2"/>
                <w:sz w:val="21"/>
                <w:szCs w:val="21"/>
                <w:lang w:val="en-US" w:eastAsia="zh-CN" w:bidi="ar-SA"/>
              </w:rPr>
            </w:pPr>
          </w:p>
        </w:tc>
        <w:tc>
          <w:tcPr>
            <w:tcW w:w="999" w:type="pct"/>
            <w:vMerge w:val="continue"/>
            <w:shd w:val="clear" w:color="auto" w:fill="FFFFFF"/>
            <w:vAlign w:val="center"/>
          </w:tcPr>
          <w:p w14:paraId="7EB108C3">
            <w:pPr>
              <w:pStyle w:val="143"/>
              <w:rPr>
                <w:rFonts w:ascii="Times New Roman" w:hAnsi="Times New Roman" w:eastAsia="宋体" w:cs="Times New Roman"/>
                <w:kern w:val="2"/>
                <w:sz w:val="21"/>
                <w:szCs w:val="21"/>
                <w:lang w:val="en-US" w:eastAsia="zh-CN" w:bidi="ar-SA"/>
              </w:rPr>
            </w:pPr>
          </w:p>
        </w:tc>
        <w:tc>
          <w:tcPr>
            <w:tcW w:w="1075" w:type="pct"/>
            <w:shd w:val="clear" w:color="auto" w:fill="FFFFFF"/>
            <w:vAlign w:val="center"/>
          </w:tcPr>
          <w:p w14:paraId="32498242">
            <w:pPr>
              <w:pStyle w:val="143"/>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TVOC</w:t>
            </w:r>
          </w:p>
        </w:tc>
        <w:tc>
          <w:tcPr>
            <w:tcW w:w="1049" w:type="pct"/>
            <w:shd w:val="clear" w:color="auto" w:fill="auto"/>
            <w:vAlign w:val="center"/>
          </w:tcPr>
          <w:p w14:paraId="47B52574">
            <w:pPr>
              <w:pStyle w:val="143"/>
              <w:rPr>
                <w:rFonts w:hint="eastAsia" w:ascii="Times New Roman"/>
                <w:sz w:val="21"/>
                <w:lang w:val="en-US" w:eastAsia="zh-CN"/>
              </w:rPr>
            </w:pPr>
            <w:r>
              <w:rPr>
                <w:rFonts w:hint="eastAsia" w:ascii="Times New Roman" w:hAnsi="Times New Roman" w:cs="Times New Roman"/>
                <w:sz w:val="21"/>
                <w:lang w:val="en-US" w:eastAsia="zh-CN"/>
              </w:rPr>
              <w:t>1.78</w:t>
            </w:r>
          </w:p>
        </w:tc>
        <w:tc>
          <w:tcPr>
            <w:tcW w:w="954" w:type="pct"/>
            <w:shd w:val="clear" w:color="auto" w:fill="auto"/>
            <w:vAlign w:val="center"/>
          </w:tcPr>
          <w:p w14:paraId="3E769B31">
            <w:pPr>
              <w:pStyle w:val="143"/>
              <w:spacing w:before="0"/>
              <w:ind w:left="0" w:leftChars="0"/>
              <w:jc w:val="center"/>
              <w:rPr>
                <w:rFonts w:hint="eastAsia" w:ascii="Times New Roman" w:hAnsi="Times New Roman" w:cs="Times New Roman"/>
                <w:sz w:val="21"/>
                <w:lang w:val="en-US" w:eastAsia="zh-CN"/>
              </w:rPr>
            </w:pPr>
            <w:r>
              <w:rPr>
                <w:rFonts w:hint="eastAsia" w:ascii="Times New Roman"/>
                <w:sz w:val="21"/>
                <w:lang w:val="en-US" w:eastAsia="zh-CN"/>
              </w:rPr>
              <w:t>0.034</w:t>
            </w:r>
          </w:p>
        </w:tc>
      </w:tr>
      <w:tr w14:paraId="7B439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restart"/>
            <w:shd w:val="clear" w:color="auto" w:fill="FFFFFF"/>
            <w:vAlign w:val="center"/>
          </w:tcPr>
          <w:p w14:paraId="6A49F82A">
            <w:pPr>
              <w:pStyle w:val="143"/>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4#排气筒</w:t>
            </w:r>
          </w:p>
          <w:p w14:paraId="3CE700BE">
            <w:pPr>
              <w:pStyle w:val="143"/>
              <w:rPr>
                <w:rFonts w:ascii="Times New Roman" w:hAnsi="Times New Roman" w:eastAsia="宋体" w:cs="Times New Roman"/>
                <w:kern w:val="2"/>
                <w:sz w:val="21"/>
                <w:szCs w:val="21"/>
                <w:lang w:val="en-US" w:eastAsia="zh-CN" w:bidi="ar-SA"/>
              </w:rPr>
            </w:pPr>
          </w:p>
        </w:tc>
        <w:tc>
          <w:tcPr>
            <w:tcW w:w="1846" w:type="dxa"/>
            <w:vMerge w:val="restart"/>
            <w:shd w:val="clear" w:color="auto" w:fill="FFFFFF"/>
            <w:vAlign w:val="center"/>
          </w:tcPr>
          <w:p w14:paraId="06B886DF">
            <w:pPr>
              <w:pStyle w:val="143"/>
              <w:rPr>
                <w:rFonts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21887</w:t>
            </w:r>
          </w:p>
        </w:tc>
        <w:tc>
          <w:tcPr>
            <w:tcW w:w="1075" w:type="pct"/>
            <w:shd w:val="clear" w:color="auto" w:fill="FFFFFF"/>
            <w:vAlign w:val="center"/>
          </w:tcPr>
          <w:p w14:paraId="6AD77A4F">
            <w:pPr>
              <w:pStyle w:val="143"/>
              <w:rPr>
                <w:rFonts w:hint="eastAsia" w:ascii="Times New Roman" w:hAnsi="Times New Roman" w:cs="Times New Roman"/>
                <w:sz w:val="21"/>
                <w:lang w:val="en-US" w:eastAsia="zh-CN"/>
              </w:rPr>
            </w:pPr>
            <w:r>
              <w:rPr>
                <w:rFonts w:hint="eastAsia" w:ascii="Times New Roman" w:hAnsi="Times New Roman" w:cs="Times New Roman"/>
                <w:sz w:val="21"/>
              </w:rPr>
              <w:t>颗粒物</w:t>
            </w:r>
          </w:p>
        </w:tc>
        <w:tc>
          <w:tcPr>
            <w:tcW w:w="1049" w:type="pct"/>
            <w:shd w:val="clear" w:color="auto" w:fill="auto"/>
            <w:vAlign w:val="center"/>
          </w:tcPr>
          <w:p w14:paraId="5A79B4BA">
            <w:pPr>
              <w:pStyle w:val="143"/>
              <w:rPr>
                <w:rFonts w:hint="eastAsia" w:ascii="Times New Roman"/>
                <w:sz w:val="21"/>
                <w:lang w:val="en-US" w:eastAsia="zh-CN"/>
              </w:rPr>
            </w:pPr>
            <w:r>
              <w:rPr>
                <w:rFonts w:hint="eastAsia" w:ascii="Times New Roman" w:hAnsi="Times New Roman" w:cs="Times New Roman"/>
                <w:sz w:val="21"/>
                <w:lang w:val="en-US" w:eastAsia="zh-CN"/>
              </w:rPr>
              <w:t>4.3</w:t>
            </w:r>
          </w:p>
        </w:tc>
        <w:tc>
          <w:tcPr>
            <w:tcW w:w="954" w:type="pct"/>
            <w:shd w:val="clear" w:color="auto" w:fill="auto"/>
            <w:vAlign w:val="center"/>
          </w:tcPr>
          <w:p w14:paraId="680F2042">
            <w:pPr>
              <w:pStyle w:val="143"/>
              <w:spacing w:before="0"/>
              <w:ind w:left="0" w:leftChars="0"/>
              <w:jc w:val="center"/>
              <w:rPr>
                <w:rFonts w:hint="eastAsia" w:ascii="Times New Roman" w:hAnsi="Times New Roman" w:cs="Times New Roman"/>
                <w:sz w:val="21"/>
                <w:lang w:val="en-US" w:eastAsia="zh-CN"/>
              </w:rPr>
            </w:pPr>
            <w:r>
              <w:rPr>
                <w:rFonts w:hint="eastAsia" w:ascii="Times New Roman"/>
                <w:sz w:val="21"/>
                <w:lang w:val="en-US" w:eastAsia="zh-CN"/>
              </w:rPr>
              <w:t>0.081</w:t>
            </w:r>
          </w:p>
        </w:tc>
      </w:tr>
      <w:tr w14:paraId="6215C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continue"/>
            <w:shd w:val="clear" w:color="auto" w:fill="FFFFFF"/>
            <w:vAlign w:val="center"/>
          </w:tcPr>
          <w:p w14:paraId="5593E22B">
            <w:pPr>
              <w:pStyle w:val="143"/>
              <w:rPr>
                <w:rFonts w:ascii="Times New Roman" w:hAnsi="Times New Roman" w:eastAsia="宋体" w:cs="Times New Roman"/>
                <w:kern w:val="2"/>
                <w:sz w:val="21"/>
                <w:szCs w:val="21"/>
                <w:lang w:val="en-US" w:eastAsia="zh-CN" w:bidi="ar-SA"/>
              </w:rPr>
            </w:pPr>
          </w:p>
        </w:tc>
        <w:tc>
          <w:tcPr>
            <w:tcW w:w="999" w:type="pct"/>
            <w:vMerge w:val="continue"/>
            <w:shd w:val="clear" w:color="auto" w:fill="FFFFFF"/>
            <w:vAlign w:val="center"/>
          </w:tcPr>
          <w:p w14:paraId="21AB725B">
            <w:pPr>
              <w:pStyle w:val="143"/>
              <w:rPr>
                <w:rFonts w:ascii="Times New Roman" w:hAnsi="Times New Roman" w:eastAsia="宋体" w:cs="Times New Roman"/>
                <w:kern w:val="2"/>
                <w:sz w:val="21"/>
                <w:szCs w:val="21"/>
                <w:lang w:val="en-US" w:eastAsia="zh-CN" w:bidi="ar-SA"/>
              </w:rPr>
            </w:pPr>
          </w:p>
        </w:tc>
        <w:tc>
          <w:tcPr>
            <w:tcW w:w="1075" w:type="pct"/>
            <w:shd w:val="clear" w:color="auto" w:fill="FFFFFF"/>
            <w:vAlign w:val="center"/>
          </w:tcPr>
          <w:p w14:paraId="69EF60FB">
            <w:pPr>
              <w:pStyle w:val="143"/>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TVOC</w:t>
            </w:r>
          </w:p>
        </w:tc>
        <w:tc>
          <w:tcPr>
            <w:tcW w:w="1049" w:type="pct"/>
            <w:shd w:val="clear" w:color="auto" w:fill="auto"/>
            <w:vAlign w:val="center"/>
          </w:tcPr>
          <w:p w14:paraId="6A02BCE5">
            <w:pPr>
              <w:pStyle w:val="143"/>
              <w:rPr>
                <w:rFonts w:hint="eastAsia" w:ascii="Times New Roman"/>
                <w:sz w:val="21"/>
                <w:lang w:val="en-US" w:eastAsia="zh-CN"/>
              </w:rPr>
            </w:pPr>
            <w:r>
              <w:rPr>
                <w:rFonts w:hint="eastAsia" w:ascii="Times New Roman" w:hAnsi="Times New Roman" w:cs="Times New Roman"/>
                <w:sz w:val="21"/>
                <w:lang w:val="en-US" w:eastAsia="zh-CN"/>
              </w:rPr>
              <w:t>1.78</w:t>
            </w:r>
          </w:p>
        </w:tc>
        <w:tc>
          <w:tcPr>
            <w:tcW w:w="954" w:type="pct"/>
            <w:shd w:val="clear" w:color="auto" w:fill="auto"/>
            <w:vAlign w:val="center"/>
          </w:tcPr>
          <w:p w14:paraId="324388A3">
            <w:pPr>
              <w:pStyle w:val="143"/>
              <w:spacing w:before="0"/>
              <w:ind w:left="0" w:leftChars="0"/>
              <w:jc w:val="center"/>
              <w:rPr>
                <w:rFonts w:hint="eastAsia" w:ascii="Times New Roman" w:hAnsi="Times New Roman" w:cs="Times New Roman"/>
                <w:sz w:val="21"/>
                <w:lang w:val="en-US" w:eastAsia="zh-CN"/>
              </w:rPr>
            </w:pPr>
            <w:r>
              <w:rPr>
                <w:rFonts w:hint="eastAsia" w:ascii="Times New Roman"/>
                <w:sz w:val="21"/>
                <w:lang w:val="en-US" w:eastAsia="zh-CN"/>
              </w:rPr>
              <w:t>0.034</w:t>
            </w:r>
          </w:p>
        </w:tc>
      </w:tr>
    </w:tbl>
    <w:p w14:paraId="37E2D31E">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eastAsia="宋体"/>
          <w:color w:val="000000" w:themeColor="text1"/>
          <w14:textFill>
            <w14:solidFill>
              <w14:schemeClr w14:val="tx1"/>
            </w14:solidFill>
          </w14:textFill>
        </w:rPr>
        <w:t>综上，</w:t>
      </w:r>
      <w:r>
        <w:rPr>
          <w:rFonts w:hint="eastAsia" w:eastAsia="宋体"/>
          <w:color w:val="000000" w:themeColor="text1"/>
          <w14:textFill>
            <w14:solidFill>
              <w14:schemeClr w14:val="tx1"/>
            </w14:solidFill>
          </w14:textFill>
        </w:rPr>
        <w:t>1#排气筒产生的颗粒物泄漏源强为</w:t>
      </w:r>
      <w:r>
        <w:rPr>
          <w:rFonts w:hint="eastAsia" w:eastAsia="宋体" w:cs="Times New Roman"/>
          <w:color w:val="000000" w:themeColor="text1"/>
          <w:sz w:val="24"/>
          <w:lang w:val="en-US" w:eastAsia="zh-CN"/>
          <w14:textFill>
            <w14:solidFill>
              <w14:schemeClr w14:val="tx1"/>
            </w14:solidFill>
          </w14:textFill>
        </w:rPr>
        <w:t>7.4</w:t>
      </w:r>
      <w:r>
        <w:rPr>
          <w:rFonts w:hint="eastAsia" w:eastAsia="宋体"/>
          <w:color w:val="000000" w:themeColor="text1"/>
          <w14:textFill>
            <w14:solidFill>
              <w14:schemeClr w14:val="tx1"/>
            </w14:solidFill>
          </w14:textFill>
        </w:rPr>
        <w:t>kg/h</w:t>
      </w:r>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3#排气筒</w:t>
      </w:r>
      <w:r>
        <w:rPr>
          <w:rFonts w:hint="eastAsia" w:eastAsia="宋体"/>
          <w:color w:val="000000" w:themeColor="text1"/>
          <w14:textFill>
            <w14:solidFill>
              <w14:schemeClr w14:val="tx1"/>
            </w14:solidFill>
          </w14:textFill>
        </w:rPr>
        <w:t>产生的颗粒物</w:t>
      </w:r>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TVOC</w:t>
      </w:r>
      <w:r>
        <w:rPr>
          <w:rFonts w:hint="eastAsia" w:eastAsia="宋体"/>
          <w:color w:val="000000" w:themeColor="text1"/>
          <w14:textFill>
            <w14:solidFill>
              <w14:schemeClr w14:val="tx1"/>
            </w14:solidFill>
          </w14:textFill>
        </w:rPr>
        <w:t>泄漏源强</w:t>
      </w:r>
      <w:r>
        <w:rPr>
          <w:rFonts w:hint="eastAsia" w:eastAsia="宋体"/>
          <w:color w:val="000000" w:themeColor="text1"/>
          <w:lang w:val="en-US" w:eastAsia="zh-CN"/>
          <w14:textFill>
            <w14:solidFill>
              <w14:schemeClr w14:val="tx1"/>
            </w14:solidFill>
          </w14:textFill>
        </w:rPr>
        <w:t>分别</w:t>
      </w:r>
      <w:r>
        <w:rPr>
          <w:rFonts w:hint="eastAsia" w:eastAsia="宋体"/>
          <w:color w:val="000000" w:themeColor="text1"/>
          <w14:textFill>
            <w14:solidFill>
              <w14:schemeClr w14:val="tx1"/>
            </w14:solidFill>
          </w14:textFill>
        </w:rPr>
        <w:t>为</w:t>
      </w:r>
      <w:r>
        <w:rPr>
          <w:rFonts w:hint="eastAsia" w:eastAsia="宋体"/>
          <w:color w:val="000000" w:themeColor="text1"/>
          <w:lang w:val="en-US" w:eastAsia="zh-CN"/>
          <w14:textFill>
            <w14:solidFill>
              <w14:schemeClr w14:val="tx1"/>
            </w14:solidFill>
          </w14:textFill>
        </w:rPr>
        <w:t>4.3</w:t>
      </w:r>
      <w:r>
        <w:rPr>
          <w:rFonts w:hint="eastAsia" w:eastAsia="宋体"/>
          <w:color w:val="000000" w:themeColor="text1"/>
          <w14:textFill>
            <w14:solidFill>
              <w14:schemeClr w14:val="tx1"/>
            </w14:solidFill>
          </w14:textFill>
        </w:rPr>
        <w:t>kg/h</w:t>
      </w:r>
      <w:r>
        <w:rPr>
          <w:rFonts w:hint="eastAsia" w:eastAsia="宋体"/>
          <w:color w:val="000000" w:themeColor="text1"/>
          <w:lang w:val="en-US" w:eastAsia="zh-CN"/>
          <w14:textFill>
            <w14:solidFill>
              <w14:schemeClr w14:val="tx1"/>
            </w14:solidFill>
          </w14:textFill>
        </w:rPr>
        <w:t>、1.78</w:t>
      </w:r>
      <w:r>
        <w:rPr>
          <w:rFonts w:hint="eastAsia" w:eastAsia="宋体"/>
          <w:color w:val="000000" w:themeColor="text1"/>
          <w14:textFill>
            <w14:solidFill>
              <w14:schemeClr w14:val="tx1"/>
            </w14:solidFill>
          </w14:textFill>
        </w:rPr>
        <w:t>kg/h</w:t>
      </w:r>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4#排气筒</w:t>
      </w:r>
      <w:r>
        <w:rPr>
          <w:rFonts w:hint="eastAsia" w:eastAsia="宋体"/>
          <w:color w:val="000000" w:themeColor="text1"/>
          <w14:textFill>
            <w14:solidFill>
              <w14:schemeClr w14:val="tx1"/>
            </w14:solidFill>
          </w14:textFill>
        </w:rPr>
        <w:t>产生的颗粒物</w:t>
      </w:r>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TVOC</w:t>
      </w:r>
      <w:r>
        <w:rPr>
          <w:rFonts w:hint="eastAsia" w:eastAsia="宋体"/>
          <w:color w:val="000000" w:themeColor="text1"/>
          <w14:textFill>
            <w14:solidFill>
              <w14:schemeClr w14:val="tx1"/>
            </w14:solidFill>
          </w14:textFill>
        </w:rPr>
        <w:t>泄漏源强</w:t>
      </w:r>
      <w:r>
        <w:rPr>
          <w:rFonts w:hint="eastAsia" w:eastAsia="宋体"/>
          <w:color w:val="000000" w:themeColor="text1"/>
          <w:lang w:val="en-US" w:eastAsia="zh-CN"/>
          <w14:textFill>
            <w14:solidFill>
              <w14:schemeClr w14:val="tx1"/>
            </w14:solidFill>
          </w14:textFill>
        </w:rPr>
        <w:t>分别</w:t>
      </w:r>
      <w:r>
        <w:rPr>
          <w:rFonts w:hint="eastAsia" w:eastAsia="宋体"/>
          <w:color w:val="000000" w:themeColor="text1"/>
          <w14:textFill>
            <w14:solidFill>
              <w14:schemeClr w14:val="tx1"/>
            </w14:solidFill>
          </w14:textFill>
        </w:rPr>
        <w:t>为</w:t>
      </w:r>
      <w:r>
        <w:rPr>
          <w:rFonts w:hint="eastAsia" w:eastAsia="宋体"/>
          <w:color w:val="000000" w:themeColor="text1"/>
          <w:lang w:val="en-US" w:eastAsia="zh-CN"/>
          <w14:textFill>
            <w14:solidFill>
              <w14:schemeClr w14:val="tx1"/>
            </w14:solidFill>
          </w14:textFill>
        </w:rPr>
        <w:t>4.3</w:t>
      </w:r>
      <w:r>
        <w:rPr>
          <w:rFonts w:hint="eastAsia" w:eastAsia="宋体"/>
          <w:color w:val="000000" w:themeColor="text1"/>
          <w14:textFill>
            <w14:solidFill>
              <w14:schemeClr w14:val="tx1"/>
            </w14:solidFill>
          </w14:textFill>
        </w:rPr>
        <w:t>kg/h</w:t>
      </w:r>
      <w:r>
        <w:rPr>
          <w:rFonts w:hint="eastAsia" w:eastAsia="宋体"/>
          <w:color w:val="000000" w:themeColor="text1"/>
          <w:lang w:val="en-US" w:eastAsia="zh-CN"/>
          <w14:textFill>
            <w14:solidFill>
              <w14:schemeClr w14:val="tx1"/>
            </w14:solidFill>
          </w14:textFill>
        </w:rPr>
        <w:t>、1.78</w:t>
      </w:r>
      <w:r>
        <w:rPr>
          <w:rFonts w:hint="eastAsia" w:eastAsia="宋体"/>
          <w:color w:val="000000" w:themeColor="text1"/>
          <w14:textFill>
            <w14:solidFill>
              <w14:schemeClr w14:val="tx1"/>
            </w14:solidFill>
          </w14:textFill>
        </w:rPr>
        <w:t>kg/h</w:t>
      </w:r>
      <w:r>
        <w:rPr>
          <w:rFonts w:hint="eastAsia" w:eastAsia="宋体"/>
          <w:color w:val="000000" w:themeColor="text1"/>
          <w:lang w:val="en-US" w:eastAsia="zh-CN"/>
          <w14:textFill>
            <w14:solidFill>
              <w14:schemeClr w14:val="tx1"/>
            </w14:solidFill>
          </w14:textFill>
        </w:rPr>
        <w:t>，2#排气筒产生的颗粒物泄露源强为4.2</w:t>
      </w:r>
      <w:r>
        <w:rPr>
          <w:rFonts w:hint="eastAsia" w:eastAsia="宋体"/>
          <w:color w:val="000000" w:themeColor="text1"/>
          <w14:textFill>
            <w14:solidFill>
              <w14:schemeClr w14:val="tx1"/>
            </w14:solidFill>
          </w14:textFill>
        </w:rPr>
        <w:t>kg/h</w:t>
      </w:r>
      <w:r>
        <w:rPr>
          <w:rFonts w:eastAsia="宋体"/>
          <w:color w:val="000000" w:themeColor="text1"/>
          <w14:textFill>
            <w14:solidFill>
              <w14:schemeClr w14:val="tx1"/>
            </w14:solidFill>
          </w14:textFill>
        </w:rPr>
        <w:t>。</w:t>
      </w:r>
    </w:p>
    <w:p w14:paraId="220750BB">
      <w:pPr>
        <w:pStyle w:val="3"/>
        <w:adjustRightInd w:val="0"/>
        <w:snapToGrid w:val="0"/>
        <w:spacing w:line="500" w:lineRule="exact"/>
        <w:rPr>
          <w:rFonts w:eastAsia="宋体"/>
          <w:color w:val="000000" w:themeColor="text1"/>
          <w:sz w:val="24"/>
          <w:szCs w:val="24"/>
          <w14:textFill>
            <w14:solidFill>
              <w14:schemeClr w14:val="tx1"/>
            </w14:solidFill>
          </w14:textFill>
        </w:rPr>
      </w:pPr>
      <w:bookmarkStart w:id="200" w:name="_Toc5652"/>
      <w:bookmarkStart w:id="201" w:name="_Toc24510"/>
      <w:bookmarkStart w:id="202" w:name="_Toc19941"/>
      <w:bookmarkStart w:id="203" w:name="_Toc10865"/>
      <w:r>
        <w:rPr>
          <w:rFonts w:eastAsia="宋体"/>
          <w:color w:val="000000" w:themeColor="text1"/>
          <w:sz w:val="24"/>
          <w:szCs w:val="24"/>
          <w14:textFill>
            <w14:solidFill>
              <w14:schemeClr w14:val="tx1"/>
            </w14:solidFill>
          </w14:textFill>
        </w:rPr>
        <w:t>4.3释放环境风险物质的扩散途径、涉及环境风险防控与应急措施、应急资源情况分析</w:t>
      </w:r>
      <w:bookmarkEnd w:id="200"/>
      <w:bookmarkEnd w:id="201"/>
      <w:bookmarkEnd w:id="202"/>
      <w:bookmarkEnd w:id="203"/>
    </w:p>
    <w:p w14:paraId="1C865CC2">
      <w:pPr>
        <w:pStyle w:val="4"/>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04" w:name="_Toc1477"/>
      <w:bookmarkStart w:id="205" w:name="_Toc641"/>
      <w:bookmarkStart w:id="206" w:name="_Toc20607"/>
      <w:bookmarkStart w:id="207" w:name="_Toc14674"/>
      <w:r>
        <w:rPr>
          <w:rFonts w:eastAsia="宋体"/>
          <w:color w:val="000000" w:themeColor="text1"/>
          <w14:textFill>
            <w14:solidFill>
              <w14:schemeClr w14:val="tx1"/>
            </w14:solidFill>
          </w14:textFill>
        </w:rPr>
        <w:t>4.3.1事件情景1</w:t>
      </w:r>
      <w:bookmarkEnd w:id="204"/>
      <w:bookmarkEnd w:id="205"/>
      <w:bookmarkEnd w:id="206"/>
      <w:bookmarkEnd w:id="207"/>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2、3、4</w:t>
      </w:r>
    </w:p>
    <w:p w14:paraId="093C5E59">
      <w:pPr>
        <w:adjustRightInd w:val="0"/>
        <w:snapToGrid w:val="0"/>
        <w:spacing w:line="500" w:lineRule="exact"/>
        <w:ind w:firstLine="482" w:firstLineChars="200"/>
        <w:rPr>
          <w:rFonts w:eastAsia="宋体"/>
          <w:b/>
          <w:color w:val="000000" w:themeColor="text1"/>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w:t>
      </w:r>
      <w:r>
        <w:rPr>
          <w:rFonts w:eastAsia="宋体"/>
          <w:b/>
          <w:color w:val="000000" w:themeColor="text1"/>
          <w14:textFill>
            <w14:solidFill>
              <w14:schemeClr w14:val="tx1"/>
            </w14:solidFill>
          </w14:textFill>
        </w:rPr>
        <w:t>风险物质的扩散途径</w:t>
      </w:r>
    </w:p>
    <w:p w14:paraId="45E646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空气、水体和土壤等环境要素是危险性物质向环境转移的最基本的途径，同时这三种要素之间又随时发生着物质和能量的传递，污染物进入环境后，随着空气和水体环境发生推流迁移、分散稀释和降解转化运动。</w:t>
      </w:r>
    </w:p>
    <w:p w14:paraId="43CC94F4">
      <w:pPr>
        <w:spacing w:line="500" w:lineRule="exac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火灾爆炸对周边以热辐射及冲击波形式产</w:t>
      </w:r>
      <w:r>
        <w:rPr>
          <w:rFonts w:eastAsia="宋体"/>
          <w:color w:val="000000" w:themeColor="text1"/>
          <w14:textFill>
            <w14:solidFill>
              <w14:schemeClr w14:val="tx1"/>
            </w14:solidFill>
          </w14:textFill>
        </w:rPr>
        <w:t>生影响，燃烧过程中会产生CO</w:t>
      </w:r>
      <w:r>
        <w:rPr>
          <w:rFonts w:hint="eastAsia" w:eastAsia="宋体"/>
          <w:color w:val="000000" w:themeColor="text1"/>
          <w14:textFill>
            <w14:solidFill>
              <w14:schemeClr w14:val="tx1"/>
            </w14:solidFill>
          </w14:textFill>
        </w:rPr>
        <w:t>等</w:t>
      </w:r>
      <w:r>
        <w:rPr>
          <w:rFonts w:eastAsia="宋体"/>
          <w:color w:val="000000" w:themeColor="text1"/>
          <w14:textFill>
            <w14:solidFill>
              <w14:schemeClr w14:val="tx1"/>
            </w14:solidFill>
          </w14:textFill>
        </w:rPr>
        <w:t>，</w:t>
      </w:r>
      <w:r>
        <w:rPr>
          <w:rFonts w:hint="eastAsia" w:eastAsia="宋体"/>
          <w:color w:val="000000" w:themeColor="text1"/>
          <w14:textFill>
            <w14:solidFill>
              <w14:schemeClr w14:val="tx1"/>
            </w14:solidFill>
          </w14:textFill>
        </w:rPr>
        <w:t>产生大量烟尘，</w:t>
      </w:r>
      <w:r>
        <w:rPr>
          <w:rFonts w:eastAsia="宋体"/>
          <w:color w:val="000000" w:themeColor="text1"/>
          <w14:textFill>
            <w14:solidFill>
              <w14:schemeClr w14:val="tx1"/>
            </w14:solidFill>
          </w14:textFill>
        </w:rPr>
        <w:t>对大气环境有一定影响。</w:t>
      </w:r>
    </w:p>
    <w:p w14:paraId="7294D90D">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09B1DB7E">
      <w:pPr>
        <w:adjustRightInd w:val="0"/>
        <w:snapToGrid w:val="0"/>
        <w:spacing w:line="500" w:lineRule="exact"/>
        <w:ind w:firstLine="480" w:firstLineChars="200"/>
        <w:rPr>
          <w:rFonts w:eastAsiaTheme="minorEastAsia"/>
        </w:rPr>
      </w:pPr>
      <w:r>
        <w:rPr>
          <w:rFonts w:eastAsiaTheme="minorEastAsia"/>
          <w:color w:val="000000" w:themeColor="text1"/>
          <w14:textFill>
            <w14:solidFill>
              <w14:schemeClr w14:val="tx1"/>
            </w14:solidFill>
          </w14:textFill>
        </w:rPr>
        <w:t>①假如发现发生火情，最早发现者应立即报告当班调度或公司领导。公司领导接报后，立即通知公司各应急小组成员赶赴现场。</w:t>
      </w:r>
      <w:r>
        <w:rPr>
          <w:rFonts w:hint="eastAsia" w:eastAsiaTheme="minorEastAsia"/>
          <w:color w:val="000000" w:themeColor="text1"/>
          <w14:textFill>
            <w14:solidFill>
              <w14:schemeClr w14:val="tx1"/>
            </w14:solidFill>
          </w14:textFill>
        </w:rPr>
        <w:t>现场处置组</w:t>
      </w:r>
      <w:r>
        <w:rPr>
          <w:rFonts w:eastAsiaTheme="minorEastAsia"/>
          <w:color w:val="000000" w:themeColor="text1"/>
          <w14:textFill>
            <w14:solidFill>
              <w14:schemeClr w14:val="tx1"/>
            </w14:solidFill>
          </w14:textFill>
        </w:rPr>
        <w:t>成员到达现场后，进行火情侦查，确定有无人员被困，灭火前做好</w:t>
      </w:r>
      <w:r>
        <w:rPr>
          <w:rFonts w:hint="eastAsia" w:eastAsiaTheme="minorEastAsia"/>
          <w:color w:val="000000" w:themeColor="text1"/>
          <w14:textFill>
            <w14:solidFill>
              <w14:schemeClr w14:val="tx1"/>
            </w14:solidFill>
          </w14:textFill>
        </w:rPr>
        <w:t>关闭雨水闸控，开启事故应急池闸控</w:t>
      </w:r>
      <w:r>
        <w:rPr>
          <w:rFonts w:eastAsiaTheme="minorEastAsia"/>
          <w:color w:val="000000" w:themeColor="text1"/>
          <w14:textFill>
            <w14:solidFill>
              <w14:schemeClr w14:val="tx1"/>
            </w14:solidFill>
          </w14:textFill>
        </w:rPr>
        <w:t>工作。</w:t>
      </w:r>
      <w:r>
        <w:rPr>
          <w:rFonts w:hint="eastAsia" w:eastAsiaTheme="minorEastAsia"/>
          <w:color w:val="000000" w:themeColor="text1"/>
          <w14:textFill>
            <w14:solidFill>
              <w14:schemeClr w14:val="tx1"/>
            </w14:solidFill>
          </w14:textFill>
        </w:rPr>
        <w:t>现场处置组</w:t>
      </w:r>
      <w:r>
        <w:rPr>
          <w:rFonts w:eastAsiaTheme="minorEastAsia"/>
          <w:color w:val="000000" w:themeColor="text1"/>
          <w14:textFill>
            <w14:solidFill>
              <w14:schemeClr w14:val="tx1"/>
            </w14:solidFill>
          </w14:textFill>
        </w:rPr>
        <w:t>人员戴</w:t>
      </w:r>
      <w:r>
        <w:rPr>
          <w:rFonts w:hint="eastAsia" w:eastAsiaTheme="minorEastAsia"/>
          <w:color w:val="000000" w:themeColor="text1"/>
          <w14:textFill>
            <w14:solidFill>
              <w14:schemeClr w14:val="tx1"/>
            </w14:solidFill>
          </w14:textFill>
        </w:rPr>
        <w:t>防毒面具</w:t>
      </w:r>
      <w:r>
        <w:rPr>
          <w:rFonts w:eastAsiaTheme="minorEastAsia"/>
          <w:color w:val="000000" w:themeColor="text1"/>
          <w14:textFill>
            <w14:solidFill>
              <w14:schemeClr w14:val="tx1"/>
            </w14:solidFill>
          </w14:textFill>
        </w:rPr>
        <w:t>，戴安全防护眼镜，穿</w:t>
      </w:r>
      <w:r>
        <w:rPr>
          <w:rFonts w:hint="eastAsia" w:eastAsiaTheme="minorEastAsia"/>
          <w:color w:val="000000" w:themeColor="text1"/>
          <w14:textFill>
            <w14:solidFill>
              <w14:schemeClr w14:val="tx1"/>
            </w14:solidFill>
          </w14:textFill>
        </w:rPr>
        <w:t>消防服</w:t>
      </w:r>
      <w:r>
        <w:rPr>
          <w:rFonts w:eastAsiaTheme="minorEastAsia"/>
          <w:color w:val="000000" w:themeColor="text1"/>
          <w14:textFill>
            <w14:solidFill>
              <w14:schemeClr w14:val="tx1"/>
            </w14:solidFill>
          </w14:textFill>
        </w:rPr>
        <w:t>，</w:t>
      </w:r>
      <w:r>
        <w:rPr>
          <w:rFonts w:hint="eastAsia" w:eastAsiaTheme="minorEastAsia"/>
          <w:color w:val="000000" w:themeColor="text1"/>
          <w14:textFill>
            <w14:solidFill>
              <w14:schemeClr w14:val="tx1"/>
            </w14:solidFill>
          </w14:textFill>
        </w:rPr>
        <w:t>防护手套</w:t>
      </w:r>
      <w:r>
        <w:rPr>
          <w:rFonts w:eastAsiaTheme="minorEastAsia"/>
          <w:color w:val="000000" w:themeColor="text1"/>
          <w14:textFill>
            <w14:solidFill>
              <w14:schemeClr w14:val="tx1"/>
            </w14:solidFill>
          </w14:textFill>
        </w:rPr>
        <w:t>，使用生产现场配置的灭火设备，扑灭初期火灾；为防止火势蔓延，在保证生产安全情况下，关停生产设备，拉下电闸。</w:t>
      </w:r>
    </w:p>
    <w:p w14:paraId="56AFE4A5">
      <w:pPr>
        <w:adjustRightInd w:val="0"/>
        <w:snapToGrid w:val="0"/>
        <w:spacing w:line="500" w:lineRule="exact"/>
        <w:ind w:firstLine="480" w:firstLineChars="200"/>
        <w:rPr>
          <w:rFonts w:eastAsiaTheme="minorEastAsia"/>
        </w:rPr>
      </w:pPr>
      <w:r>
        <w:rPr>
          <w:rFonts w:eastAsiaTheme="minorEastAsia"/>
        </w:rPr>
        <w:t>②现场管理人员要立即指挥员工搬离火场附近的可燃物，避免火灾区域扩大。</w:t>
      </w:r>
      <w:r>
        <w:rPr>
          <w:rFonts w:hint="eastAsia" w:eastAsiaTheme="minorEastAsia"/>
        </w:rPr>
        <w:t>应急保障组</w:t>
      </w:r>
      <w:r>
        <w:rPr>
          <w:rFonts w:eastAsiaTheme="minorEastAsia"/>
        </w:rPr>
        <w:t>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14:paraId="7D259FFF">
      <w:pPr>
        <w:adjustRightInd w:val="0"/>
        <w:snapToGrid w:val="0"/>
        <w:spacing w:line="500" w:lineRule="exact"/>
        <w:ind w:firstLine="480" w:firstLineChars="200"/>
        <w:rPr>
          <w:rFonts w:hint="eastAsia" w:eastAsiaTheme="minorEastAsia"/>
          <w:lang w:eastAsia="zh-CN"/>
        </w:rPr>
      </w:pPr>
      <w:r>
        <w:rPr>
          <w:rFonts w:eastAsiaTheme="minorEastAsia"/>
        </w:rPr>
        <w:t>③如火势有可能蔓延，提高预警级别，按本预案程序对周围单位和政府发出预警信息。一旦本公司力量不足以控制火势时，</w:t>
      </w:r>
      <w:r>
        <w:rPr>
          <w:rFonts w:hint="eastAsia" w:eastAsiaTheme="minorEastAsia"/>
          <w:lang w:eastAsia="zh-CN"/>
        </w:rPr>
        <w:t>木工主管</w:t>
      </w:r>
      <w:r>
        <w:rPr>
          <w:rFonts w:eastAsiaTheme="minorEastAsia"/>
        </w:rPr>
        <w:t>下令全公司全部停止，将所有人员疏散到厂区外安全地带，并进行隔离，严格限制出入，等待救援。当事件已经或可能对</w:t>
      </w:r>
      <w:r>
        <w:rPr>
          <w:rFonts w:hint="eastAsia" w:eastAsiaTheme="minorEastAsia"/>
        </w:rPr>
        <w:t>公司</w:t>
      </w:r>
      <w:r>
        <w:rPr>
          <w:rFonts w:eastAsiaTheme="minorEastAsia"/>
        </w:rPr>
        <w:t>外环境造成影响时，应经上级政府批准后由有权部门向环境突发事件可能影响的区域通报突发事件的情况，包括事件的产生、处理情况，对周围群众可能造成的影响，并给出合适的建议来确保周围群众的安全。</w:t>
      </w:r>
    </w:p>
    <w:p w14:paraId="0D78F5D0">
      <w:pPr>
        <w:adjustRightInd w:val="0"/>
        <w:snapToGrid w:val="0"/>
        <w:spacing w:line="500" w:lineRule="exact"/>
        <w:ind w:firstLine="480" w:firstLineChars="200"/>
        <w:rPr>
          <w:rFonts w:eastAsiaTheme="minorEastAsia"/>
        </w:rPr>
      </w:pPr>
      <w:r>
        <w:rPr>
          <w:rFonts w:eastAsiaTheme="minorEastAsia"/>
        </w:rPr>
        <w:t>④一般的小火灾，利用现场灭火器材可以扑灭，其产生的污染较小，对外环境的影响不需考虑。当请求外部救援灭火时，应及时堵住雨水排口，防止废物排出厂外。发生火灾时，避免用大量水灭火，应使用泡沫、二氧化碳干粉、砂土等进行灭火，防止火灾影响范围扩大。</w:t>
      </w:r>
    </w:p>
    <w:p w14:paraId="13E1B5BD">
      <w:pPr>
        <w:adjustRightInd w:val="0"/>
        <w:snapToGrid w:val="0"/>
        <w:spacing w:line="500" w:lineRule="exact"/>
        <w:ind w:firstLine="480" w:firstLineChars="200"/>
        <w:rPr>
          <w:rFonts w:eastAsiaTheme="minorEastAsia"/>
        </w:rPr>
      </w:pPr>
      <w:r>
        <w:rPr>
          <w:rFonts w:eastAsiaTheme="minorEastAsia"/>
        </w:rPr>
        <w:t>⑤灭火过程产生的废物，如受污染的砂土等应收集送资质单位处置。</w:t>
      </w:r>
      <w:r>
        <w:rPr>
          <w:rFonts w:hint="eastAsia" w:eastAsiaTheme="minorEastAsia"/>
        </w:rPr>
        <w:t>消防水</w:t>
      </w:r>
      <w:r>
        <w:rPr>
          <w:rFonts w:eastAsiaTheme="minorEastAsia"/>
        </w:rPr>
        <w:t>经雨水管网</w:t>
      </w:r>
      <w:r>
        <w:rPr>
          <w:rFonts w:hint="eastAsia" w:eastAsiaTheme="minorEastAsia"/>
        </w:rPr>
        <w:t>排入</w:t>
      </w:r>
      <w:r>
        <w:rPr>
          <w:rFonts w:eastAsiaTheme="minorEastAsia"/>
        </w:rPr>
        <w:t>厂内事故应急池，再分批进行处置。</w:t>
      </w:r>
    </w:p>
    <w:p w14:paraId="050FCD1E">
      <w:pPr>
        <w:spacing w:line="500" w:lineRule="exact"/>
        <w:ind w:firstLine="480" w:firstLineChars="200"/>
        <w:rPr>
          <w:color w:val="000000" w:themeColor="text1"/>
          <w14:textFill>
            <w14:solidFill>
              <w14:schemeClr w14:val="tx1"/>
            </w14:solidFill>
          </w14:textFill>
        </w:rPr>
      </w:pPr>
      <w:r>
        <w:rPr>
          <w:rFonts w:eastAsiaTheme="minorEastAsia"/>
        </w:rPr>
        <w:t>⑥灭火工作应采取“先控制、后消灭”的原则，集中力量切断火势蔓延途径，将火势控制在一定的范围内，防止火势向主生产区、主生产设备、易燃易爆物品、人员集中场所</w:t>
      </w:r>
      <w:r>
        <w:rPr>
          <w:rFonts w:eastAsiaTheme="minorEastAsia"/>
          <w:color w:val="000000" w:themeColor="text1"/>
          <w14:textFill>
            <w14:solidFill>
              <w14:schemeClr w14:val="tx1"/>
            </w14:solidFill>
          </w14:textFill>
        </w:rPr>
        <w:t>、重要建筑等蔓延。</w:t>
      </w:r>
    </w:p>
    <w:p w14:paraId="76CCB4D4">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6835ECBF">
      <w:pPr>
        <w:adjustRightInd w:val="0"/>
        <w:snapToGrid w:val="0"/>
        <w:spacing w:line="500" w:lineRule="exact"/>
        <w:ind w:firstLine="480" w:firstLineChars="200"/>
        <w:rPr>
          <w:rFonts w:eastAsiaTheme="minorEastAsia"/>
        </w:rPr>
      </w:pPr>
      <w:bookmarkStart w:id="208" w:name="_Toc2270"/>
      <w:r>
        <w:rPr>
          <w:rFonts w:hint="eastAsia" w:eastAsiaTheme="minorEastAsia"/>
        </w:rPr>
        <w:t>防毒面具</w:t>
      </w:r>
      <w:r>
        <w:rPr>
          <w:rFonts w:eastAsiaTheme="minorEastAsia"/>
        </w:rPr>
        <w:t>，</w:t>
      </w:r>
      <w:r>
        <w:rPr>
          <w:rFonts w:hint="eastAsia" w:eastAsiaTheme="minorEastAsia"/>
        </w:rPr>
        <w:t>消防服</w:t>
      </w:r>
      <w:r>
        <w:rPr>
          <w:rFonts w:eastAsiaTheme="minorEastAsia"/>
        </w:rPr>
        <w:t>，</w:t>
      </w:r>
      <w:r>
        <w:rPr>
          <w:rFonts w:hint="eastAsia" w:eastAsiaTheme="minorEastAsia"/>
        </w:rPr>
        <w:t>挖土工具如铁锹，</w:t>
      </w:r>
      <w:r>
        <w:rPr>
          <w:rFonts w:eastAsiaTheme="minorEastAsia"/>
        </w:rPr>
        <w:t>砂土、灭火器等。</w:t>
      </w:r>
      <w:bookmarkEnd w:id="208"/>
    </w:p>
    <w:p w14:paraId="6D0CC394">
      <w:pPr>
        <w:pStyle w:val="4"/>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09" w:name="_Toc5056"/>
      <w:bookmarkStart w:id="210" w:name="_Toc10339"/>
      <w:bookmarkStart w:id="211" w:name="_Toc18972"/>
      <w:bookmarkStart w:id="212" w:name="_Toc28688"/>
      <w:r>
        <w:rPr>
          <w:rFonts w:eastAsia="宋体"/>
          <w:color w:val="000000" w:themeColor="text1"/>
          <w14:textFill>
            <w14:solidFill>
              <w14:schemeClr w14:val="tx1"/>
            </w14:solidFill>
          </w14:textFill>
        </w:rPr>
        <w:t>4.3.2事件情景</w:t>
      </w:r>
      <w:bookmarkEnd w:id="209"/>
      <w:bookmarkEnd w:id="210"/>
      <w:bookmarkEnd w:id="211"/>
      <w:bookmarkEnd w:id="212"/>
      <w:r>
        <w:rPr>
          <w:rFonts w:hint="eastAsia" w:eastAsia="宋体"/>
          <w:color w:val="000000" w:themeColor="text1"/>
          <w:lang w:val="en-US" w:eastAsia="zh-CN"/>
          <w14:textFill>
            <w14:solidFill>
              <w14:schemeClr w14:val="tx1"/>
            </w14:solidFill>
          </w14:textFill>
        </w:rPr>
        <w:t>6、9、11</w:t>
      </w:r>
    </w:p>
    <w:p w14:paraId="4BC81153">
      <w:pPr>
        <w:adjustRightInd w:val="0"/>
        <w:snapToGrid w:val="0"/>
        <w:spacing w:line="500" w:lineRule="exact"/>
        <w:ind w:firstLine="482" w:firstLineChars="200"/>
        <w:rPr>
          <w:rFonts w:eastAsia="宋体"/>
          <w:b/>
          <w:bCs/>
          <w:color w:val="000000" w:themeColor="text1"/>
          <w14:textFill>
            <w14:solidFill>
              <w14:schemeClr w14:val="tx1"/>
            </w14:solidFill>
          </w14:textFill>
        </w:rPr>
      </w:pPr>
      <w:r>
        <w:rPr>
          <w:rFonts w:eastAsia="宋体"/>
          <w:b/>
          <w:bCs/>
          <w:color w:val="000000" w:themeColor="text1"/>
          <w14:textFill>
            <w14:solidFill>
              <w14:schemeClr w14:val="tx1"/>
            </w14:solidFill>
          </w14:textFill>
        </w:rPr>
        <w:t>A.废水外排事故</w:t>
      </w:r>
    </w:p>
    <w:p w14:paraId="05D2FCF5">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（1）风险物质的扩散途径</w:t>
      </w:r>
    </w:p>
    <w:p w14:paraId="6CE48102">
      <w:pPr>
        <w:adjustRightInd w:val="0"/>
        <w:snapToGrid w:val="0"/>
        <w:spacing w:line="500" w:lineRule="exact"/>
        <w:ind w:firstLine="48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因</w:t>
      </w:r>
      <w:r>
        <w:rPr>
          <w:rFonts w:hint="eastAsia" w:ascii="宋体" w:hAnsi="宋体" w:eastAsia="宋体" w:cs="宋体"/>
          <w:color w:val="000000" w:themeColor="text1"/>
          <w:lang w:eastAsia="zh-CN"/>
          <w14:textFill>
            <w14:solidFill>
              <w14:schemeClr w14:val="tx1"/>
            </w14:solidFill>
          </w14:textFill>
        </w:rPr>
        <w:t>回用水设施</w:t>
      </w:r>
      <w:r>
        <w:rPr>
          <w:rFonts w:hint="eastAsia" w:ascii="宋体" w:hAnsi="宋体" w:eastAsia="宋体" w:cs="宋体"/>
          <w:color w:val="000000" w:themeColor="text1"/>
          <w14:textFill>
            <w14:solidFill>
              <w14:schemeClr w14:val="tx1"/>
            </w14:solidFill>
          </w14:textFill>
        </w:rPr>
        <w:t>故障、应急事故池引流措施失败、未及时关闭雨水排口阀门等原因导致的污水、泄漏的化学物质通过雨水管道进入</w:t>
      </w:r>
      <w:r>
        <w:rPr>
          <w:rFonts w:hint="eastAsia" w:ascii="宋体" w:hAnsi="宋体" w:eastAsia="宋体" w:cs="宋体"/>
          <w:color w:val="000000" w:themeColor="text1"/>
          <w:lang w:val="en-US" w:eastAsia="zh-CN"/>
          <w14:textFill>
            <w14:solidFill>
              <w14:schemeClr w14:val="tx1"/>
            </w14:solidFill>
          </w14:textFill>
        </w:rPr>
        <w:t>环港北河</w:t>
      </w:r>
      <w:r>
        <w:rPr>
          <w:rFonts w:hint="eastAsia" w:ascii="宋体" w:hAnsi="宋体" w:eastAsia="宋体" w:cs="宋体"/>
          <w:color w:val="000000" w:themeColor="text1"/>
          <w14:textFill>
            <w14:solidFill>
              <w14:schemeClr w14:val="tx1"/>
            </w14:solidFill>
          </w14:textFill>
        </w:rPr>
        <w:t>，将对</w:t>
      </w:r>
      <w:r>
        <w:rPr>
          <w:rFonts w:hint="eastAsia" w:ascii="宋体" w:hAnsi="宋体" w:eastAsia="宋体" w:cs="宋体"/>
          <w:color w:val="000000" w:themeColor="text1"/>
          <w:lang w:val="en-US" w:eastAsia="zh-CN"/>
          <w14:textFill>
            <w14:solidFill>
              <w14:schemeClr w14:val="tx1"/>
            </w14:solidFill>
          </w14:textFill>
        </w:rPr>
        <w:t>环港北河</w:t>
      </w:r>
      <w:r>
        <w:rPr>
          <w:rFonts w:hint="eastAsia" w:ascii="宋体" w:hAnsi="宋体" w:eastAsia="宋体" w:cs="宋体"/>
          <w:color w:val="000000" w:themeColor="text1"/>
          <w14:textFill>
            <w14:solidFill>
              <w14:schemeClr w14:val="tx1"/>
            </w14:solidFill>
          </w14:textFill>
        </w:rPr>
        <w:t>断面产生不良影响。</w:t>
      </w:r>
    </w:p>
    <w:p w14:paraId="3D22D69D">
      <w:pPr>
        <w:adjustRightInd w:val="0"/>
        <w:snapToGrid w:val="0"/>
        <w:spacing w:line="500" w:lineRule="exact"/>
        <w:ind w:firstLine="482" w:firstLineChars="200"/>
        <w:jc w:val="left"/>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7DF911BD">
      <w:pPr>
        <w:adjustRightInd w:val="0"/>
        <w:snapToGrid w:val="0"/>
        <w:spacing w:line="500" w:lineRule="exact"/>
        <w:ind w:firstLine="480" w:firstLineChars="200"/>
        <w:jc w:val="left"/>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一旦发生消防废水进入</w:t>
      </w:r>
      <w:r>
        <w:rPr>
          <w:rFonts w:hint="eastAsia" w:ascii="宋体" w:hAnsi="宋体" w:eastAsia="宋体" w:cs="宋体"/>
          <w:color w:val="000000" w:themeColor="text1"/>
          <w:lang w:val="en-US" w:eastAsia="zh-CN"/>
          <w14:textFill>
            <w14:solidFill>
              <w14:schemeClr w14:val="tx1"/>
            </w14:solidFill>
          </w14:textFill>
        </w:rPr>
        <w:t>环港北河</w:t>
      </w:r>
      <w:r>
        <w:rPr>
          <w:rFonts w:hint="eastAsia" w:ascii="宋体" w:hAnsi="宋体" w:eastAsia="宋体" w:cs="宋体"/>
          <w:color w:val="000000" w:themeColor="text1"/>
          <w14:textFill>
            <w14:solidFill>
              <w14:schemeClr w14:val="tx1"/>
            </w14:solidFill>
          </w14:textFill>
        </w:rPr>
        <w:t>的情况，应堵住雨水总排口，同时通知政府部门，严密监视</w:t>
      </w:r>
      <w:r>
        <w:rPr>
          <w:rFonts w:hint="eastAsia" w:ascii="宋体" w:hAnsi="宋体" w:eastAsia="宋体" w:cs="宋体"/>
          <w:color w:val="000000" w:themeColor="text1"/>
          <w:lang w:val="en-US" w:eastAsia="zh-CN"/>
          <w14:textFill>
            <w14:solidFill>
              <w14:schemeClr w14:val="tx1"/>
            </w14:solidFill>
          </w14:textFill>
        </w:rPr>
        <w:t>环港北河</w:t>
      </w:r>
      <w:r>
        <w:rPr>
          <w:rFonts w:hint="eastAsia" w:ascii="宋体" w:hAnsi="宋体" w:eastAsia="宋体" w:cs="宋体"/>
          <w:color w:val="000000" w:themeColor="text1"/>
          <w14:textFill>
            <w14:solidFill>
              <w14:schemeClr w14:val="tx1"/>
            </w14:solidFill>
          </w14:textFill>
        </w:rPr>
        <w:t>水质情况，视污染程度决定是否启动开发区级环境突发事件应急预案。</w:t>
      </w:r>
    </w:p>
    <w:p w14:paraId="49B67A1A">
      <w:pPr>
        <w:adjustRightInd w:val="0"/>
        <w:snapToGrid w:val="0"/>
        <w:spacing w:line="500" w:lineRule="exact"/>
        <w:ind w:firstLine="482" w:firstLineChars="200"/>
        <w:jc w:val="left"/>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1D872C20">
      <w:pPr>
        <w:spacing w:line="500" w:lineRule="exac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工作服，手套、切换阀、截流阀门等</w:t>
      </w:r>
    </w:p>
    <w:p w14:paraId="784E82D7">
      <w:pPr>
        <w:adjustRightInd w:val="0"/>
        <w:snapToGrid w:val="0"/>
        <w:spacing w:line="500" w:lineRule="exact"/>
        <w:ind w:firstLine="482" w:firstLineChars="200"/>
        <w:rPr>
          <w:rFonts w:eastAsia="宋体"/>
          <w:b/>
          <w:color w:val="000000" w:themeColor="text1"/>
          <w:szCs w:val="28"/>
          <w14:textFill>
            <w14:solidFill>
              <w14:schemeClr w14:val="tx1"/>
            </w14:solidFill>
          </w14:textFill>
        </w:rPr>
      </w:pPr>
      <w:r>
        <w:rPr>
          <w:rFonts w:eastAsia="宋体"/>
          <w:b/>
          <w:color w:val="000000" w:themeColor="text1"/>
          <w:szCs w:val="28"/>
          <w14:textFill>
            <w14:solidFill>
              <w14:schemeClr w14:val="tx1"/>
            </w14:solidFill>
          </w14:textFill>
        </w:rPr>
        <w:t>B、污染土壤、地下水事故</w:t>
      </w:r>
    </w:p>
    <w:p w14:paraId="5E7D101B">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（1）风险物质的扩散途径</w:t>
      </w:r>
    </w:p>
    <w:p w14:paraId="6EFA1A35">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w:t>
      </w:r>
      <w:r>
        <w:rPr>
          <w:rFonts w:hint="eastAsia" w:ascii="宋体" w:hAnsi="宋体" w:eastAsia="宋体" w:cs="宋体"/>
          <w:color w:val="000000" w:themeColor="text1"/>
          <w:lang w:val="en-US" w:eastAsia="zh-CN"/>
          <w14:textFill>
            <w14:solidFill>
              <w14:schemeClr w14:val="tx1"/>
            </w14:solidFill>
          </w14:textFill>
        </w:rPr>
        <w:t>水性漆等</w:t>
      </w:r>
      <w:r>
        <w:rPr>
          <w:rFonts w:hint="eastAsia" w:ascii="宋体" w:hAnsi="宋体" w:eastAsia="宋体" w:cs="宋体"/>
          <w:color w:val="000000" w:themeColor="text1"/>
          <w14:textFill>
            <w14:solidFill>
              <w14:schemeClr w14:val="tx1"/>
            </w14:solidFill>
          </w14:textFill>
        </w:rPr>
        <w:t>泄漏，渗漏的污染物将以渗透、吸收等方式污染土壤及地下水。</w:t>
      </w:r>
    </w:p>
    <w:p w14:paraId="1CD1C6F2">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7296165A">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①</w:t>
      </w:r>
      <w:r>
        <w:rPr>
          <w:rFonts w:hint="eastAsia" w:ascii="宋体" w:hAnsi="宋体" w:eastAsia="宋体" w:cs="宋体"/>
          <w:color w:val="000000" w:themeColor="text1"/>
          <w14:textFill>
            <w14:solidFill>
              <w14:schemeClr w14:val="tx1"/>
            </w14:solidFill>
          </w14:textFill>
        </w:rPr>
        <w:t>为了防止一般性渗漏或其他状况产生的污染物污染土壤和地下水，应严格按照国家相关规范要求，进行源头控制。</w:t>
      </w:r>
    </w:p>
    <w:p w14:paraId="6B457D40">
      <w:pPr>
        <w:adjustRightInd w:val="0"/>
        <w:snapToGrid w:val="0"/>
        <w:spacing w:line="500" w:lineRule="exact"/>
        <w:ind w:firstLine="480" w:firstLineChars="20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②对厂区及各装置设施采取严格的防渗措施。防渗处理是防止地下水、土壤污染的重要环境保护措施，也是杜绝地下水、土壤污染的最后一道防线。末端控制坚持分区管理和控制原则。公司内划分为重点防渗区、一般防渗和简单防渗区，不同的污染物区，采取不同等级的防渗措施，并确保其可靠性和有效性</w:t>
      </w:r>
      <w:r>
        <w:rPr>
          <w:rFonts w:hint="eastAsia" w:ascii="宋体" w:hAnsi="宋体" w:eastAsia="宋体" w:cs="宋体"/>
          <w:color w:val="000000" w:themeColor="text1"/>
          <w14:textFill>
            <w14:solidFill>
              <w14:schemeClr w14:val="tx1"/>
            </w14:solidFill>
          </w14:textFill>
        </w:rPr>
        <w:t>。</w:t>
      </w:r>
    </w:p>
    <w:p w14:paraId="4435CDBC">
      <w:pPr>
        <w:snapToGrid w:val="0"/>
        <w:spacing w:line="500" w:lineRule="exact"/>
        <w:ind w:firstLine="480" w:firstLineChars="20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③根据污染区通过各种途径可能进入地下水、土壤环境的各种有毒有害原辅材料的泄漏量及其他各类污染物的性质、产生和排放量，将污染区进一步分为一般污染防治区、重点污染防治区。</w:t>
      </w:r>
    </w:p>
    <w:p w14:paraId="5C7172AD">
      <w:pPr>
        <w:adjustRightInd w:val="0"/>
        <w:snapToGrid w:val="0"/>
        <w:spacing w:line="500" w:lineRule="exact"/>
        <w:ind w:firstLine="480" w:firstLineChars="20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④重点污染防治区根据工程地质及水文地质条件、各生产、贮运装置及污染处理设施防渗要求及分类进行防</w:t>
      </w:r>
      <w:r>
        <w:rPr>
          <w:rFonts w:eastAsia="宋体"/>
          <w:color w:val="000000" w:themeColor="text1"/>
          <w:szCs w:val="28"/>
          <w14:textFill>
            <w14:solidFill>
              <w14:schemeClr w14:val="tx1"/>
            </w14:solidFill>
          </w14:textFill>
        </w:rPr>
        <w:t>渗设计。重点污染防治区应参照《危险废物安全填埋处置工程建设技术要求》（国家环保局2004.4.30颁布试行）和《危险废物填埋污染控制标准》（GB18598-20</w:t>
      </w:r>
      <w:r>
        <w:rPr>
          <w:rFonts w:hint="eastAsia" w:eastAsia="宋体"/>
          <w:color w:val="000000" w:themeColor="text1"/>
          <w:szCs w:val="28"/>
          <w14:textFill>
            <w14:solidFill>
              <w14:schemeClr w14:val="tx1"/>
            </w14:solidFill>
          </w14:textFill>
        </w:rPr>
        <w:t>19</w:t>
      </w:r>
      <w:r>
        <w:rPr>
          <w:rFonts w:eastAsia="宋体"/>
          <w:color w:val="000000" w:themeColor="text1"/>
          <w:szCs w:val="28"/>
          <w14:textFill>
            <w14:solidFill>
              <w14:schemeClr w14:val="tx1"/>
            </w14:solidFill>
          </w14:textFill>
        </w:rPr>
        <w:t>）及其修改单制定</w:t>
      </w:r>
      <w:r>
        <w:rPr>
          <w:rFonts w:hint="eastAsia" w:ascii="宋体" w:hAnsi="宋体" w:eastAsia="宋体" w:cs="宋体"/>
          <w:color w:val="000000" w:themeColor="text1"/>
          <w:szCs w:val="28"/>
          <w14:textFill>
            <w14:solidFill>
              <w14:schemeClr w14:val="tx1"/>
            </w14:solidFill>
          </w14:textFill>
        </w:rPr>
        <w:t>防渗设计方案。</w:t>
      </w:r>
    </w:p>
    <w:p w14:paraId="092221F3">
      <w:pPr>
        <w:spacing w:line="500" w:lineRule="exact"/>
        <w:ind w:firstLine="480" w:firstLineChars="20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fldChar w:fldCharType="begin"/>
      </w:r>
      <w:r>
        <w:rPr>
          <w:rFonts w:hint="eastAsia" w:ascii="宋体" w:hAnsi="宋体" w:eastAsia="宋体" w:cs="宋体"/>
          <w:color w:val="000000" w:themeColor="text1"/>
          <w:szCs w:val="28"/>
          <w14:textFill>
            <w14:solidFill>
              <w14:schemeClr w14:val="tx1"/>
            </w14:solidFill>
          </w14:textFill>
        </w:rPr>
        <w:instrText xml:space="preserve"> = 5 \* GB3 </w:instrText>
      </w:r>
      <w:r>
        <w:rPr>
          <w:rFonts w:hint="eastAsia" w:ascii="宋体" w:hAnsi="宋体" w:eastAsia="宋体" w:cs="宋体"/>
          <w:color w:val="000000" w:themeColor="text1"/>
          <w:szCs w:val="28"/>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⑤</w:t>
      </w:r>
      <w:r>
        <w:rPr>
          <w:rFonts w:hint="eastAsia" w:ascii="宋体" w:hAnsi="宋体" w:eastAsia="宋体" w:cs="宋体"/>
          <w:color w:val="000000" w:themeColor="text1"/>
          <w:szCs w:val="28"/>
          <w14:textFill>
            <w14:solidFill>
              <w14:schemeClr w14:val="tx1"/>
            </w14:solidFill>
          </w14:textFill>
        </w:rPr>
        <w:fldChar w:fldCharType="end"/>
      </w:r>
      <w:r>
        <w:rPr>
          <w:rFonts w:hint="eastAsia" w:ascii="宋体" w:hAnsi="宋体" w:eastAsia="宋体" w:cs="宋体"/>
          <w:color w:val="000000" w:themeColor="text1"/>
          <w:szCs w:val="28"/>
          <w14:textFill>
            <w14:solidFill>
              <w14:schemeClr w14:val="tx1"/>
            </w14:solidFill>
          </w14:textFill>
        </w:rPr>
        <w:t>一般污染防治区参照《</w:t>
      </w:r>
      <w:r>
        <w:rPr>
          <w:rFonts w:hint="eastAsia" w:ascii="宋体" w:hAnsi="宋体" w:eastAsia="宋体" w:cs="宋体"/>
          <w:color w:val="000000" w:themeColor="text1"/>
          <w:szCs w:val="28"/>
          <w:lang w:eastAsia="zh-CN"/>
          <w14:textFill>
            <w14:solidFill>
              <w14:schemeClr w14:val="tx1"/>
            </w14:solidFill>
          </w14:textFill>
        </w:rPr>
        <w:t>一般工业固体废物贮存和填埋污染控制标准</w:t>
      </w:r>
      <w:r>
        <w:rPr>
          <w:rFonts w:hint="eastAsia" w:ascii="宋体" w:hAnsi="宋体" w:eastAsia="宋体" w:cs="宋体"/>
          <w:color w:val="000000" w:themeColor="text1"/>
          <w:szCs w:val="28"/>
          <w14:textFill>
            <w14:solidFill>
              <w14:schemeClr w14:val="tx1"/>
            </w14:solidFill>
          </w14:textFill>
        </w:rPr>
        <w:t>》（GB18599－2020）及其修改单制定防渗设计方案。</w:t>
      </w:r>
    </w:p>
    <w:p w14:paraId="6F635C4E">
      <w:pPr>
        <w:adjustRightInd w:val="0"/>
        <w:snapToGrid w:val="0"/>
        <w:spacing w:line="500" w:lineRule="exact"/>
        <w:ind w:firstLine="480" w:firstLineChars="200"/>
        <w:rPr>
          <w:rFonts w:eastAsiaTheme="minor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⑤</w:t>
      </w:r>
      <w:r>
        <w:rPr>
          <w:rFonts w:hint="eastAsia" w:eastAsiaTheme="minorEastAsia"/>
          <w:color w:val="000000" w:themeColor="text1"/>
          <w14:textFill>
            <w14:solidFill>
              <w14:schemeClr w14:val="tx1"/>
            </w14:solidFill>
          </w14:textFill>
        </w:rPr>
        <w:t>小量泄漏：优先选用砂土混合。</w:t>
      </w:r>
    </w:p>
    <w:p w14:paraId="5BB41B1D">
      <w:pPr>
        <w:spacing w:line="500" w:lineRule="exact"/>
        <w:ind w:firstLine="480" w:firstLineChars="200"/>
        <w:rPr>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⑥</w:t>
      </w:r>
      <w:r>
        <w:rPr>
          <w:rFonts w:hint="eastAsia" w:eastAsiaTheme="minorEastAsia"/>
          <w:color w:val="000000" w:themeColor="text1"/>
          <w14:textFill>
            <w14:solidFill>
              <w14:schemeClr w14:val="tx1"/>
            </w14:solidFill>
          </w14:textFill>
        </w:rPr>
        <w:t>大量泄漏：构筑围堤或挖坑收容，</w:t>
      </w:r>
      <w:r>
        <w:rPr>
          <w:rFonts w:eastAsiaTheme="minorEastAsia"/>
          <w:color w:val="000000" w:themeColor="text1"/>
          <w14:textFill>
            <w14:solidFill>
              <w14:schemeClr w14:val="tx1"/>
            </w14:solidFill>
          </w14:textFill>
        </w:rPr>
        <w:t>用</w:t>
      </w:r>
      <w:r>
        <w:rPr>
          <w:rFonts w:hint="eastAsia" w:eastAsiaTheme="minorEastAsia"/>
          <w:color w:val="000000" w:themeColor="text1"/>
          <w:lang w:eastAsia="zh-CN"/>
          <w14:textFill>
            <w14:solidFill>
              <w14:schemeClr w14:val="tx1"/>
            </w14:solidFill>
          </w14:textFill>
        </w:rPr>
        <w:t>应急泵</w:t>
      </w:r>
      <w:r>
        <w:rPr>
          <w:rFonts w:eastAsiaTheme="minorEastAsia"/>
          <w:color w:val="000000" w:themeColor="text1"/>
          <w14:textFill>
            <w14:solidFill>
              <w14:schemeClr w14:val="tx1"/>
            </w14:solidFill>
          </w14:textFill>
        </w:rPr>
        <w:t>转移至移动专用收集容器中回收利用或作危废处理。泄漏场地用水冲洗，经稀释的洗水收集至事故应急池</w:t>
      </w:r>
      <w:r>
        <w:rPr>
          <w:rFonts w:hint="eastAsia" w:eastAsiaTheme="minorEastAsia"/>
          <w:color w:val="000000" w:themeColor="text1"/>
          <w14:textFill>
            <w14:solidFill>
              <w14:schemeClr w14:val="tx1"/>
            </w14:solidFill>
          </w14:textFill>
        </w:rPr>
        <w:t>。若流入外环境，</w:t>
      </w:r>
      <w:r>
        <w:rPr>
          <w:rFonts w:eastAsiaTheme="minorEastAsia"/>
          <w:color w:val="000000" w:themeColor="text1"/>
          <w14:textFill>
            <w14:solidFill>
              <w14:schemeClr w14:val="tx1"/>
            </w14:solidFill>
          </w14:textFill>
        </w:rPr>
        <w:t>在雨水排口下游迅速筑坝，切断受污染水体的流动，采取有效措施处理排入水体的污染物</w:t>
      </w:r>
      <w:r>
        <w:rPr>
          <w:rFonts w:hint="eastAsia" w:eastAsiaTheme="minorEastAsia"/>
          <w:color w:val="000000" w:themeColor="text1"/>
          <w14:textFill>
            <w14:solidFill>
              <w14:schemeClr w14:val="tx1"/>
            </w14:solidFill>
          </w14:textFill>
        </w:rPr>
        <w:t>。</w:t>
      </w:r>
      <w:r>
        <w:rPr>
          <w:rFonts w:eastAsiaTheme="minorEastAsia"/>
          <w:color w:val="000000" w:themeColor="text1"/>
          <w14:textFill>
            <w14:solidFill>
              <w14:schemeClr w14:val="tx1"/>
            </w14:solidFill>
          </w14:textFill>
        </w:rPr>
        <w:t>故障排除后，应联系</w:t>
      </w:r>
      <w:r>
        <w:rPr>
          <w:rFonts w:hint="eastAsia" w:eastAsiaTheme="minorEastAsia"/>
          <w:color w:val="000000" w:themeColor="text1"/>
          <w14:textFill>
            <w14:solidFill>
              <w14:schemeClr w14:val="tx1"/>
            </w14:solidFill>
          </w14:textFill>
        </w:rPr>
        <w:t>江苏裕和检测技术有限公司</w:t>
      </w:r>
      <w:r>
        <w:rPr>
          <w:rFonts w:eastAsiaTheme="minorEastAsia"/>
          <w:color w:val="000000" w:themeColor="text1"/>
          <w14:textFill>
            <w14:solidFill>
              <w14:schemeClr w14:val="tx1"/>
            </w14:solidFill>
          </w14:textFill>
        </w:rPr>
        <w:t>对受污染的下游水体及时进行监测，实时掌握水质情况</w:t>
      </w:r>
      <w:r>
        <w:rPr>
          <w:rFonts w:hint="eastAsia" w:eastAsiaTheme="minorEastAsia"/>
          <w:color w:val="000000" w:themeColor="text1"/>
          <w14:textFill>
            <w14:solidFill>
              <w14:schemeClr w14:val="tx1"/>
            </w14:solidFill>
          </w14:textFill>
        </w:rPr>
        <w:t>。</w:t>
      </w:r>
    </w:p>
    <w:p w14:paraId="7C151D9D">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2B2A35E3">
      <w:pPr>
        <w:keepNext/>
        <w:keepLines/>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Theme="minorEastAsia"/>
          <w:color w:val="000000" w:themeColor="text1"/>
          <w14:textFill>
            <w14:solidFill>
              <w14:schemeClr w14:val="tx1"/>
            </w14:solidFill>
          </w14:textFill>
        </w:rPr>
        <w:t>砂土、收集容器、沙包、应急泵等。</w:t>
      </w:r>
      <w:bookmarkStart w:id="213" w:name="_Toc299"/>
    </w:p>
    <w:p w14:paraId="0784FBA8">
      <w:pPr>
        <w:pStyle w:val="4"/>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14" w:name="_Toc19933"/>
      <w:bookmarkStart w:id="215" w:name="_Toc20452"/>
      <w:bookmarkStart w:id="216" w:name="_Toc19174"/>
      <w:r>
        <w:rPr>
          <w:rFonts w:eastAsia="宋体"/>
          <w:color w:val="000000" w:themeColor="text1"/>
          <w14:textFill>
            <w14:solidFill>
              <w14:schemeClr w14:val="tx1"/>
            </w14:solidFill>
          </w14:textFill>
        </w:rPr>
        <w:t>4.3.</w:t>
      </w:r>
      <w:r>
        <w:rPr>
          <w:rFonts w:hint="eastAsia" w:eastAsia="宋体"/>
          <w:color w:val="000000" w:themeColor="text1"/>
          <w14:textFill>
            <w14:solidFill>
              <w14:schemeClr w14:val="tx1"/>
            </w14:solidFill>
          </w14:textFill>
        </w:rPr>
        <w:t>3</w:t>
      </w:r>
      <w:r>
        <w:rPr>
          <w:rFonts w:eastAsia="宋体"/>
          <w:color w:val="000000" w:themeColor="text1"/>
          <w14:textFill>
            <w14:solidFill>
              <w14:schemeClr w14:val="tx1"/>
            </w14:solidFill>
          </w14:textFill>
        </w:rPr>
        <w:t>事件情景</w:t>
      </w:r>
      <w:bookmarkEnd w:id="213"/>
      <w:bookmarkEnd w:id="214"/>
      <w:bookmarkEnd w:id="215"/>
      <w:bookmarkEnd w:id="216"/>
      <w:r>
        <w:rPr>
          <w:rFonts w:hint="eastAsia" w:eastAsia="宋体"/>
          <w:color w:val="000000" w:themeColor="text1"/>
          <w:lang w:val="en-US" w:eastAsia="zh-CN"/>
          <w14:textFill>
            <w14:solidFill>
              <w14:schemeClr w14:val="tx1"/>
            </w14:solidFill>
          </w14:textFill>
        </w:rPr>
        <w:t>7、8</w:t>
      </w:r>
    </w:p>
    <w:p w14:paraId="7DA57521">
      <w:pPr>
        <w:adjustRightInd w:val="0"/>
        <w:snapToGrid w:val="0"/>
        <w:spacing w:line="500" w:lineRule="exact"/>
        <w:ind w:firstLine="482" w:firstLineChars="200"/>
        <w:jc w:val="left"/>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（1）风险物质的扩散途径</w:t>
      </w:r>
    </w:p>
    <w:p w14:paraId="077260D0">
      <w:pPr>
        <w:adjustRightInd w:val="0"/>
        <w:snapToGrid w:val="0"/>
        <w:spacing w:line="500" w:lineRule="exact"/>
        <w:ind w:firstLine="48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一旦发生废气超标排放，生产过程产生的污染物不经处理直接进入周边大气环境，造成影响。</w:t>
      </w:r>
    </w:p>
    <w:p w14:paraId="1AB9AB46">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5BB545A8">
      <w:pPr>
        <w:spacing w:line="500" w:lineRule="exact"/>
        <w:ind w:firstLine="480" w:firstLineChars="20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①假如发现废气超标排放（</w:t>
      </w:r>
      <w:r>
        <w:rPr>
          <w:rFonts w:hint="eastAsia" w:eastAsiaTheme="minorEastAsia"/>
          <w:color w:val="000000" w:themeColor="text1"/>
          <w14:textFill>
            <w14:solidFill>
              <w14:schemeClr w14:val="tx1"/>
            </w14:solidFill>
          </w14:textFill>
        </w:rPr>
        <w:t>废气处理设备故障、</w:t>
      </w:r>
      <w:r>
        <w:rPr>
          <w:rFonts w:eastAsiaTheme="minorEastAsia"/>
          <w:color w:val="000000" w:themeColor="text1"/>
          <w14:textFill>
            <w14:solidFill>
              <w14:schemeClr w14:val="tx1"/>
            </w14:solidFill>
          </w14:textFill>
        </w:rPr>
        <w:t>车间味道明显增大，员工因环境污染导致身体不适等），最早发现事故者应立即报告</w:t>
      </w:r>
      <w:r>
        <w:rPr>
          <w:rFonts w:hint="eastAsia" w:eastAsiaTheme="minorEastAsia"/>
          <w:color w:val="000000" w:themeColor="text1"/>
          <w14:textFill>
            <w14:solidFill>
              <w14:schemeClr w14:val="tx1"/>
            </w14:solidFill>
          </w14:textFill>
        </w:rPr>
        <w:t>应急救援指挥组</w:t>
      </w:r>
      <w:r>
        <w:rPr>
          <w:rFonts w:eastAsiaTheme="minorEastAsia"/>
          <w:color w:val="000000" w:themeColor="text1"/>
          <w14:textFill>
            <w14:solidFill>
              <w14:schemeClr w14:val="tx1"/>
            </w14:solidFill>
          </w14:textFill>
        </w:rPr>
        <w:t>。</w:t>
      </w:r>
    </w:p>
    <w:p w14:paraId="18E13CEE">
      <w:pPr>
        <w:spacing w:line="500" w:lineRule="exact"/>
        <w:ind w:firstLine="480" w:firstLineChars="200"/>
        <w:rPr>
          <w:rFonts w:eastAsiaTheme="minorEastAsia"/>
        </w:rPr>
      </w:pPr>
      <w:r>
        <w:rPr>
          <w:rFonts w:eastAsiaTheme="minorEastAsia"/>
          <w:color w:val="000000" w:themeColor="text1"/>
          <w14:textFill>
            <w14:solidFill>
              <w14:schemeClr w14:val="tx1"/>
            </w14:solidFill>
          </w14:textFill>
        </w:rPr>
        <w:t>②各应急救援队伍接到</w:t>
      </w:r>
      <w:r>
        <w:rPr>
          <w:rFonts w:eastAsiaTheme="minorEastAsia"/>
        </w:rPr>
        <w:t>通知，应迅速携带相关器材赶往事故现场。</w:t>
      </w:r>
    </w:p>
    <w:p w14:paraId="520C0FF6">
      <w:pPr>
        <w:spacing w:line="500" w:lineRule="exact"/>
        <w:ind w:firstLine="480" w:firstLineChars="200"/>
        <w:rPr>
          <w:rFonts w:eastAsiaTheme="minorEastAsia"/>
        </w:rPr>
      </w:pPr>
      <w:r>
        <w:rPr>
          <w:rFonts w:eastAsiaTheme="minorEastAsia"/>
        </w:rPr>
        <w:t>③检查设备情况，若废气超标在短时间内不能有效控制，现场应急处置指挥部视情况严重程度，下达生产线全线停产指令。</w:t>
      </w:r>
    </w:p>
    <w:p w14:paraId="6042D433">
      <w:pPr>
        <w:spacing w:line="500" w:lineRule="exact"/>
        <w:ind w:firstLine="480" w:firstLineChars="200"/>
        <w:rPr>
          <w:rFonts w:eastAsiaTheme="minorEastAsia"/>
        </w:rPr>
      </w:pPr>
      <w:r>
        <w:rPr>
          <w:rFonts w:eastAsiaTheme="minorEastAsia"/>
        </w:rPr>
        <w:t>④若废气管道泄漏，</w:t>
      </w:r>
      <w:r>
        <w:rPr>
          <w:rFonts w:hint="eastAsia" w:eastAsiaTheme="minorEastAsia"/>
        </w:rPr>
        <w:t>应急小组</w:t>
      </w:r>
      <w:r>
        <w:rPr>
          <w:rFonts w:eastAsiaTheme="minorEastAsia"/>
        </w:rPr>
        <w:t>到达现场后，应首先穿戴</w:t>
      </w:r>
      <w:r>
        <w:rPr>
          <w:rFonts w:hint="eastAsia" w:eastAsiaTheme="minorEastAsia"/>
          <w:lang w:val="en-US" w:eastAsia="zh-CN"/>
        </w:rPr>
        <w:t>消防服</w:t>
      </w:r>
      <w:r>
        <w:rPr>
          <w:rFonts w:eastAsiaTheme="minorEastAsia"/>
        </w:rPr>
        <w:t>、佩戴</w:t>
      </w:r>
      <w:r>
        <w:rPr>
          <w:rFonts w:hint="eastAsia" w:eastAsiaTheme="minorEastAsia"/>
        </w:rPr>
        <w:t>防毒面具</w:t>
      </w:r>
      <w:r>
        <w:rPr>
          <w:rFonts w:eastAsiaTheme="minorEastAsia"/>
        </w:rPr>
        <w:t>，</w:t>
      </w:r>
      <w:r>
        <w:rPr>
          <w:rFonts w:hint="eastAsia" w:eastAsiaTheme="minorEastAsia"/>
        </w:rPr>
        <w:t>停止生产后</w:t>
      </w:r>
      <w:r>
        <w:rPr>
          <w:rFonts w:eastAsiaTheme="minorEastAsia"/>
        </w:rPr>
        <w:t>关闭废气处理设施、修补泄漏管道，阻止有毒有害气体继续外泄。</w:t>
      </w:r>
    </w:p>
    <w:p w14:paraId="761C3E21">
      <w:pPr>
        <w:spacing w:line="500" w:lineRule="exact"/>
        <w:ind w:firstLine="480" w:firstLineChars="200"/>
        <w:rPr>
          <w:rFonts w:eastAsiaTheme="minorEastAsia"/>
        </w:rPr>
      </w:pPr>
      <w:r>
        <w:rPr>
          <w:rFonts w:eastAsiaTheme="minorEastAsia"/>
        </w:rPr>
        <w:t>⑤</w:t>
      </w:r>
      <w:r>
        <w:rPr>
          <w:rFonts w:hint="eastAsia" w:eastAsiaTheme="minorEastAsia"/>
        </w:rPr>
        <w:t>应急救援指挥组</w:t>
      </w:r>
      <w:r>
        <w:rPr>
          <w:rFonts w:eastAsiaTheme="minorEastAsia"/>
        </w:rPr>
        <w:t>调查废气</w:t>
      </w:r>
      <w:r>
        <w:rPr>
          <w:rFonts w:hint="eastAsia" w:eastAsiaTheme="minorEastAsia"/>
        </w:rPr>
        <w:t>超标排放</w:t>
      </w:r>
      <w:r>
        <w:rPr>
          <w:rFonts w:eastAsiaTheme="minorEastAsia"/>
        </w:rPr>
        <w:t>的原因、已造成的污染范围、影响程度、影响后果等，并立即采取相应的对策措施，如</w:t>
      </w:r>
      <w:r>
        <w:rPr>
          <w:rFonts w:hint="eastAsia" w:eastAsiaTheme="minorEastAsia"/>
        </w:rPr>
        <w:t>停止生产</w:t>
      </w:r>
      <w:r>
        <w:rPr>
          <w:rFonts w:eastAsiaTheme="minorEastAsia"/>
        </w:rPr>
        <w:t>更换故障设备等。</w:t>
      </w:r>
    </w:p>
    <w:p w14:paraId="4157627F">
      <w:pPr>
        <w:spacing w:line="500" w:lineRule="exact"/>
        <w:ind w:firstLine="480" w:firstLineChars="200"/>
        <w:rPr>
          <w:rFonts w:eastAsiaTheme="minorEastAsia"/>
        </w:rPr>
      </w:pPr>
      <w:r>
        <w:rPr>
          <w:rFonts w:eastAsiaTheme="minorEastAsia"/>
        </w:rPr>
        <w:t>⑥员工因环境污染导致身体不适时，应停止相关生产线，并加强局部通风。通知车间负责人，车间负责人立即赴现场指挥并同时通知安全环保负责人；车间负责人通知引导员工紧急疏散，集中点数。现场人员佩戴防毒面具，及时排除故障；若故障不能排除，则委托外部专业公司维修。</w:t>
      </w:r>
    </w:p>
    <w:p w14:paraId="31669830">
      <w:pPr>
        <w:spacing w:line="500" w:lineRule="exact"/>
        <w:ind w:firstLine="480" w:firstLineChars="20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⑦故障排除后，应联系</w:t>
      </w:r>
      <w:r>
        <w:rPr>
          <w:rFonts w:hint="eastAsia" w:eastAsiaTheme="minorEastAsia"/>
          <w:color w:val="000000" w:themeColor="text1"/>
          <w14:textFill>
            <w14:solidFill>
              <w14:schemeClr w14:val="tx1"/>
            </w14:solidFill>
          </w14:textFill>
        </w:rPr>
        <w:t>江苏裕和检测技术有限公司</w:t>
      </w:r>
      <w:r>
        <w:rPr>
          <w:rFonts w:eastAsiaTheme="minorEastAsia"/>
          <w:color w:val="000000" w:themeColor="text1"/>
          <w14:textFill>
            <w14:solidFill>
              <w14:schemeClr w14:val="tx1"/>
            </w14:solidFill>
          </w14:textFill>
        </w:rPr>
        <w:t>对废气进行检测，废气排放达标后，恢复相关生产。</w:t>
      </w:r>
    </w:p>
    <w:p w14:paraId="14315C11">
      <w:pPr>
        <w:spacing w:line="500" w:lineRule="exact"/>
        <w:ind w:firstLine="480" w:firstLineChars="200"/>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⑧事故后向南通市海安生态环境局汇报废气处理设施的异常情况。</w:t>
      </w:r>
    </w:p>
    <w:p w14:paraId="456C394D">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07223FE2">
      <w:pPr>
        <w:spacing w:line="500" w:lineRule="exact"/>
        <w:ind w:firstLine="480" w:firstLineChars="200"/>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防毒面具</w:t>
      </w:r>
      <w:r>
        <w:rPr>
          <w:rFonts w:eastAsiaTheme="minorEastAsia"/>
          <w:color w:val="000000" w:themeColor="text1"/>
          <w14:textFill>
            <w14:solidFill>
              <w14:schemeClr w14:val="tx1"/>
            </w14:solidFill>
          </w14:textFill>
        </w:rPr>
        <w:t>、防护服等。</w:t>
      </w:r>
    </w:p>
    <w:p w14:paraId="34E089A4">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217" w:name="_Toc26102"/>
      <w:bookmarkStart w:id="218" w:name="_Toc3234"/>
      <w:bookmarkStart w:id="219" w:name="_Toc30305"/>
      <w:bookmarkStart w:id="220" w:name="_Toc5392"/>
      <w:r>
        <w:rPr>
          <w:rFonts w:eastAsia="宋体"/>
          <w:color w:val="000000" w:themeColor="text1"/>
          <w:sz w:val="24"/>
          <w:szCs w:val="24"/>
          <w14:textFill>
            <w14:solidFill>
              <w14:schemeClr w14:val="tx1"/>
            </w14:solidFill>
          </w14:textFill>
        </w:rPr>
        <w:t>4.4突发环境事件危害后果分析</w:t>
      </w:r>
      <w:bookmarkEnd w:id="217"/>
      <w:bookmarkEnd w:id="218"/>
      <w:bookmarkEnd w:id="219"/>
      <w:bookmarkEnd w:id="220"/>
    </w:p>
    <w:p w14:paraId="145D6600">
      <w:pPr>
        <w:pStyle w:val="4"/>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21" w:name="_Toc30977"/>
      <w:bookmarkStart w:id="222" w:name="_Toc31396"/>
      <w:bookmarkStart w:id="223" w:name="_Toc24961"/>
      <w:bookmarkStart w:id="224" w:name="_Toc26602"/>
      <w:bookmarkStart w:id="225" w:name="_Toc5010"/>
      <w:r>
        <w:rPr>
          <w:rFonts w:eastAsia="宋体"/>
          <w:color w:val="000000" w:themeColor="text1"/>
          <w14:textFill>
            <w14:solidFill>
              <w14:schemeClr w14:val="tx1"/>
            </w14:solidFill>
          </w14:textFill>
        </w:rPr>
        <w:t>4.4.1</w:t>
      </w:r>
      <w:bookmarkEnd w:id="221"/>
      <w:bookmarkEnd w:id="222"/>
      <w:r>
        <w:rPr>
          <w:rFonts w:hint="eastAsia" w:eastAsia="宋体"/>
          <w:color w:val="000000" w:themeColor="text1"/>
          <w14:textFill>
            <w14:solidFill>
              <w14:schemeClr w14:val="tx1"/>
            </w14:solidFill>
          </w14:textFill>
        </w:rPr>
        <w:t>事件情景1</w:t>
      </w:r>
      <w:bookmarkEnd w:id="223"/>
      <w:bookmarkEnd w:id="224"/>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2、3、4</w:t>
      </w:r>
    </w:p>
    <w:p w14:paraId="5A6FE7C6">
      <w:pPr>
        <w:adjustRightInd w:val="0"/>
        <w:snapToGrid w:val="0"/>
        <w:spacing w:line="500" w:lineRule="exact"/>
        <w:ind w:firstLine="482" w:firstLineChars="200"/>
        <w:jc w:val="center"/>
        <w:rPr>
          <w:rFonts w:eastAsia="宋体"/>
          <w:b/>
          <w:bCs/>
          <w:color w:val="000000" w:themeColor="text1"/>
          <w:highlight w:val="yellow"/>
          <w14:textFill>
            <w14:solidFill>
              <w14:schemeClr w14:val="tx1"/>
            </w14:solidFill>
          </w14:textFill>
        </w:rPr>
      </w:pPr>
      <w:r>
        <w:rPr>
          <w:rFonts w:eastAsia="宋体"/>
          <w:b/>
          <w:bCs/>
          <w:color w:val="000000" w:themeColor="text1"/>
          <w14:textFill>
            <w14:solidFill>
              <w14:schemeClr w14:val="tx1"/>
            </w14:solidFill>
          </w14:textFill>
        </w:rPr>
        <w:t>表4-</w:t>
      </w:r>
      <w:r>
        <w:rPr>
          <w:rFonts w:hint="eastAsia" w:eastAsia="宋体"/>
          <w:b/>
          <w:bCs/>
          <w:color w:val="000000" w:themeColor="text1"/>
          <w:lang w:val="en-US" w:eastAsia="zh-CN"/>
          <w14:textFill>
            <w14:solidFill>
              <w14:schemeClr w14:val="tx1"/>
            </w14:solidFill>
          </w14:textFill>
        </w:rPr>
        <w:t>7</w:t>
      </w:r>
      <w:r>
        <w:rPr>
          <w:rFonts w:eastAsia="宋体"/>
          <w:b/>
          <w:bCs/>
          <w:color w:val="000000" w:themeColor="text1"/>
          <w14:textFill>
            <w14:solidFill>
              <w14:schemeClr w14:val="tx1"/>
            </w14:solidFill>
          </w14:textFill>
        </w:rPr>
        <w:t>CO影响范围预测结果</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15"/>
        <w:gridCol w:w="15"/>
        <w:gridCol w:w="2130"/>
      </w:tblGrid>
      <w:tr w14:paraId="50B208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021CE2B6">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毒性终点浓度2</w:t>
            </w:r>
          </w:p>
        </w:tc>
        <w:tc>
          <w:tcPr>
            <w:tcW w:w="6390" w:type="dxa"/>
            <w:gridSpan w:val="4"/>
            <w:tcBorders>
              <w:tl2br w:val="nil"/>
              <w:tr2bl w:val="nil"/>
            </w:tcBorders>
            <w:vAlign w:val="center"/>
          </w:tcPr>
          <w:p w14:paraId="41BECE9A">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95mg/m</w:t>
            </w:r>
            <w:r>
              <w:rPr>
                <w:rFonts w:eastAsia="宋体"/>
                <w:color w:val="000000" w:themeColor="text1"/>
                <w:sz w:val="21"/>
                <w:szCs w:val="21"/>
                <w:vertAlign w:val="superscript"/>
                <w14:textFill>
                  <w14:solidFill>
                    <w14:schemeClr w14:val="tx1"/>
                  </w14:solidFill>
                </w14:textFill>
              </w:rPr>
              <w:t>3</w:t>
            </w:r>
          </w:p>
        </w:tc>
      </w:tr>
      <w:tr w14:paraId="76466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430936AA">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距离</w:t>
            </w:r>
            <w:r>
              <w:rPr>
                <w:rFonts w:hint="eastAsia" w:eastAsia="宋体"/>
                <w:color w:val="000000" w:themeColor="text1"/>
                <w:sz w:val="21"/>
                <w:szCs w:val="21"/>
                <w14:textFill>
                  <w14:solidFill>
                    <w14:schemeClr w14:val="tx1"/>
                  </w14:solidFill>
                </w14:textFill>
              </w:rPr>
              <w:t>(m)</w:t>
            </w:r>
          </w:p>
        </w:tc>
        <w:tc>
          <w:tcPr>
            <w:tcW w:w="2130" w:type="dxa"/>
            <w:tcBorders>
              <w:tl2br w:val="nil"/>
              <w:tr2bl w:val="nil"/>
            </w:tcBorders>
            <w:vAlign w:val="center"/>
          </w:tcPr>
          <w:p w14:paraId="39D8F608">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浓度</w:t>
            </w:r>
            <w:r>
              <w:rPr>
                <w:rFonts w:hint="eastAsia" w:eastAsia="宋体"/>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mg/m</w:t>
            </w:r>
            <w:r>
              <w:rPr>
                <w:rFonts w:eastAsia="宋体"/>
                <w:color w:val="000000" w:themeColor="text1"/>
                <w:sz w:val="21"/>
                <w:szCs w:val="21"/>
                <w:vertAlign w:val="superscript"/>
                <w14:textFill>
                  <w14:solidFill>
                    <w14:schemeClr w14:val="tx1"/>
                  </w14:solidFill>
                </w14:textFill>
              </w:rPr>
              <w:t>3</w:t>
            </w:r>
            <w:r>
              <w:rPr>
                <w:rFonts w:hint="eastAsia" w:eastAsia="宋体"/>
                <w:color w:val="000000" w:themeColor="text1"/>
                <w:sz w:val="21"/>
                <w:szCs w:val="21"/>
                <w14:textFill>
                  <w14:solidFill>
                    <w14:schemeClr w14:val="tx1"/>
                  </w14:solidFill>
                </w14:textFill>
              </w:rPr>
              <w:t>)</w:t>
            </w:r>
          </w:p>
        </w:tc>
        <w:tc>
          <w:tcPr>
            <w:tcW w:w="2130" w:type="dxa"/>
            <w:gridSpan w:val="2"/>
            <w:tcBorders>
              <w:tl2br w:val="nil"/>
              <w:tr2bl w:val="nil"/>
            </w:tcBorders>
            <w:vAlign w:val="center"/>
          </w:tcPr>
          <w:p w14:paraId="54B12FA9">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距离</w:t>
            </w:r>
            <w:r>
              <w:rPr>
                <w:rFonts w:hint="eastAsia" w:eastAsia="宋体"/>
                <w:color w:val="000000" w:themeColor="text1"/>
                <w:sz w:val="21"/>
                <w:szCs w:val="21"/>
                <w14:textFill>
                  <w14:solidFill>
                    <w14:schemeClr w14:val="tx1"/>
                  </w14:solidFill>
                </w14:textFill>
              </w:rPr>
              <w:t>(m)</w:t>
            </w:r>
          </w:p>
        </w:tc>
        <w:tc>
          <w:tcPr>
            <w:tcW w:w="2130" w:type="dxa"/>
            <w:tcBorders>
              <w:tl2br w:val="nil"/>
              <w:tr2bl w:val="nil"/>
            </w:tcBorders>
            <w:vAlign w:val="center"/>
          </w:tcPr>
          <w:p w14:paraId="4E480E31">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浓度</w:t>
            </w:r>
            <w:r>
              <w:rPr>
                <w:rFonts w:hint="eastAsia" w:eastAsia="宋体"/>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mg/m</w:t>
            </w:r>
            <w:r>
              <w:rPr>
                <w:rFonts w:eastAsia="宋体"/>
                <w:color w:val="000000" w:themeColor="text1"/>
                <w:sz w:val="21"/>
                <w:szCs w:val="21"/>
                <w:vertAlign w:val="superscript"/>
                <w14:textFill>
                  <w14:solidFill>
                    <w14:schemeClr w14:val="tx1"/>
                  </w14:solidFill>
                </w14:textFill>
              </w:rPr>
              <w:t>3</w:t>
            </w:r>
            <w:r>
              <w:rPr>
                <w:rFonts w:hint="eastAsia" w:eastAsia="宋体"/>
                <w:color w:val="000000" w:themeColor="text1"/>
                <w:sz w:val="21"/>
                <w:szCs w:val="21"/>
                <w14:textFill>
                  <w14:solidFill>
                    <w14:schemeClr w14:val="tx1"/>
                  </w14:solidFill>
                </w14:textFill>
              </w:rPr>
              <w:t>)</w:t>
            </w:r>
          </w:p>
        </w:tc>
      </w:tr>
      <w:tr w14:paraId="7D5F9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E6D12D9">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w:t>
            </w:r>
          </w:p>
        </w:tc>
        <w:tc>
          <w:tcPr>
            <w:tcW w:w="2130" w:type="dxa"/>
            <w:tcBorders>
              <w:tl2br w:val="nil"/>
              <w:tr2bl w:val="nil"/>
            </w:tcBorders>
            <w:vAlign w:val="center"/>
          </w:tcPr>
          <w:p w14:paraId="41FC1B4D">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144.79</w:t>
            </w:r>
          </w:p>
        </w:tc>
        <w:tc>
          <w:tcPr>
            <w:tcW w:w="2130" w:type="dxa"/>
            <w:gridSpan w:val="2"/>
            <w:tcBorders>
              <w:tl2br w:val="nil"/>
              <w:tr2bl w:val="nil"/>
            </w:tcBorders>
            <w:vAlign w:val="center"/>
          </w:tcPr>
          <w:p w14:paraId="60C82A7B">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300</w:t>
            </w:r>
          </w:p>
        </w:tc>
        <w:tc>
          <w:tcPr>
            <w:tcW w:w="2130" w:type="dxa"/>
            <w:tcBorders>
              <w:tl2br w:val="nil"/>
              <w:tr2bl w:val="nil"/>
            </w:tcBorders>
            <w:vAlign w:val="center"/>
          </w:tcPr>
          <w:p w14:paraId="5E413BC9">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137.01</w:t>
            </w:r>
          </w:p>
        </w:tc>
      </w:tr>
      <w:tr w14:paraId="76CBC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79A34AA">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25</w:t>
            </w:r>
          </w:p>
        </w:tc>
        <w:tc>
          <w:tcPr>
            <w:tcW w:w="2130" w:type="dxa"/>
            <w:tcBorders>
              <w:tl2br w:val="nil"/>
              <w:tr2bl w:val="nil"/>
            </w:tcBorders>
            <w:vAlign w:val="center"/>
          </w:tcPr>
          <w:p w14:paraId="19AF0A7A">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204.00</w:t>
            </w:r>
          </w:p>
        </w:tc>
        <w:tc>
          <w:tcPr>
            <w:tcW w:w="2130" w:type="dxa"/>
            <w:gridSpan w:val="2"/>
            <w:tcBorders>
              <w:tl2br w:val="nil"/>
              <w:tr2bl w:val="nil"/>
            </w:tcBorders>
            <w:vAlign w:val="center"/>
          </w:tcPr>
          <w:p w14:paraId="3DB02958">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350</w:t>
            </w:r>
          </w:p>
        </w:tc>
        <w:tc>
          <w:tcPr>
            <w:tcW w:w="2130" w:type="dxa"/>
            <w:tcBorders>
              <w:tl2br w:val="nil"/>
              <w:tr2bl w:val="nil"/>
            </w:tcBorders>
            <w:vAlign w:val="center"/>
          </w:tcPr>
          <w:p w14:paraId="5A7458E9">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127.59</w:t>
            </w:r>
          </w:p>
        </w:tc>
      </w:tr>
      <w:tr w14:paraId="62EEF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10272C4">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50</w:t>
            </w:r>
          </w:p>
        </w:tc>
        <w:tc>
          <w:tcPr>
            <w:tcW w:w="2130" w:type="dxa"/>
            <w:tcBorders>
              <w:tl2br w:val="nil"/>
              <w:tr2bl w:val="nil"/>
            </w:tcBorders>
            <w:vAlign w:val="center"/>
          </w:tcPr>
          <w:p w14:paraId="5820BA0F">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267.62</w:t>
            </w:r>
          </w:p>
        </w:tc>
        <w:tc>
          <w:tcPr>
            <w:tcW w:w="2130" w:type="dxa"/>
            <w:gridSpan w:val="2"/>
            <w:tcBorders>
              <w:tl2br w:val="nil"/>
              <w:tr2bl w:val="nil"/>
            </w:tcBorders>
            <w:vAlign w:val="center"/>
          </w:tcPr>
          <w:p w14:paraId="26D37C64">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400</w:t>
            </w:r>
          </w:p>
        </w:tc>
        <w:tc>
          <w:tcPr>
            <w:tcW w:w="2130" w:type="dxa"/>
            <w:tcBorders>
              <w:tl2br w:val="nil"/>
              <w:tr2bl w:val="nil"/>
            </w:tcBorders>
            <w:vAlign w:val="center"/>
          </w:tcPr>
          <w:p w14:paraId="71389E5B">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116.05</w:t>
            </w:r>
          </w:p>
        </w:tc>
      </w:tr>
      <w:tr w14:paraId="5AF77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3AF7818">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75</w:t>
            </w:r>
          </w:p>
        </w:tc>
        <w:tc>
          <w:tcPr>
            <w:tcW w:w="2130" w:type="dxa"/>
            <w:tcBorders>
              <w:tl2br w:val="nil"/>
              <w:tr2bl w:val="nil"/>
            </w:tcBorders>
            <w:vAlign w:val="center"/>
          </w:tcPr>
          <w:p w14:paraId="063C46FE">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296.53</w:t>
            </w:r>
          </w:p>
        </w:tc>
        <w:tc>
          <w:tcPr>
            <w:tcW w:w="2130" w:type="dxa"/>
            <w:gridSpan w:val="2"/>
            <w:tcBorders>
              <w:tl2br w:val="nil"/>
              <w:tr2bl w:val="nil"/>
            </w:tcBorders>
            <w:vAlign w:val="center"/>
          </w:tcPr>
          <w:p w14:paraId="6D13F8CD">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450</w:t>
            </w:r>
          </w:p>
        </w:tc>
        <w:tc>
          <w:tcPr>
            <w:tcW w:w="2130" w:type="dxa"/>
            <w:tcBorders>
              <w:tl2br w:val="nil"/>
              <w:tr2bl w:val="nil"/>
            </w:tcBorders>
            <w:vAlign w:val="center"/>
          </w:tcPr>
          <w:p w14:paraId="472DC05C">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106.76</w:t>
            </w:r>
          </w:p>
        </w:tc>
      </w:tr>
      <w:tr w14:paraId="299CB9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06EE691">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100</w:t>
            </w:r>
          </w:p>
        </w:tc>
        <w:tc>
          <w:tcPr>
            <w:tcW w:w="2130" w:type="dxa"/>
            <w:tcBorders>
              <w:tl2br w:val="nil"/>
              <w:tr2bl w:val="nil"/>
            </w:tcBorders>
            <w:vAlign w:val="center"/>
          </w:tcPr>
          <w:p w14:paraId="01DD5D8D">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278.23</w:t>
            </w:r>
          </w:p>
        </w:tc>
        <w:tc>
          <w:tcPr>
            <w:tcW w:w="2130" w:type="dxa"/>
            <w:gridSpan w:val="2"/>
            <w:tcBorders>
              <w:tl2br w:val="nil"/>
              <w:tr2bl w:val="nil"/>
            </w:tcBorders>
            <w:vAlign w:val="center"/>
          </w:tcPr>
          <w:p w14:paraId="7DDAE085">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500</w:t>
            </w:r>
          </w:p>
        </w:tc>
        <w:tc>
          <w:tcPr>
            <w:tcW w:w="2130" w:type="dxa"/>
            <w:tcBorders>
              <w:tl2br w:val="nil"/>
              <w:tr2bl w:val="nil"/>
            </w:tcBorders>
            <w:vAlign w:val="center"/>
          </w:tcPr>
          <w:p w14:paraId="630BBAC4">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100.91</w:t>
            </w:r>
          </w:p>
        </w:tc>
      </w:tr>
      <w:tr w14:paraId="6E2FF0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2C4536B">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125</w:t>
            </w:r>
          </w:p>
        </w:tc>
        <w:tc>
          <w:tcPr>
            <w:tcW w:w="2130" w:type="dxa"/>
            <w:tcBorders>
              <w:tl2br w:val="nil"/>
              <w:tr2bl w:val="nil"/>
            </w:tcBorders>
            <w:vAlign w:val="center"/>
          </w:tcPr>
          <w:p w14:paraId="347D0DDD">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245.06</w:t>
            </w:r>
          </w:p>
        </w:tc>
        <w:tc>
          <w:tcPr>
            <w:tcW w:w="2130" w:type="dxa"/>
            <w:gridSpan w:val="2"/>
            <w:tcBorders>
              <w:tl2br w:val="nil"/>
              <w:tr2bl w:val="nil"/>
            </w:tcBorders>
            <w:vAlign w:val="center"/>
          </w:tcPr>
          <w:p w14:paraId="06DF52F0">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550</w:t>
            </w:r>
          </w:p>
        </w:tc>
        <w:tc>
          <w:tcPr>
            <w:tcW w:w="2130" w:type="dxa"/>
            <w:tcBorders>
              <w:tl2br w:val="nil"/>
              <w:tr2bl w:val="nil"/>
            </w:tcBorders>
            <w:vAlign w:val="center"/>
          </w:tcPr>
          <w:p w14:paraId="27B811F6">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98.12</w:t>
            </w:r>
          </w:p>
        </w:tc>
      </w:tr>
      <w:tr w14:paraId="0C03B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47876B4">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150</w:t>
            </w:r>
          </w:p>
        </w:tc>
        <w:tc>
          <w:tcPr>
            <w:tcW w:w="2130" w:type="dxa"/>
            <w:tcBorders>
              <w:tl2br w:val="nil"/>
              <w:tr2bl w:val="nil"/>
            </w:tcBorders>
            <w:vAlign w:val="center"/>
          </w:tcPr>
          <w:p w14:paraId="3F6F0D40">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215.81</w:t>
            </w:r>
          </w:p>
        </w:tc>
        <w:tc>
          <w:tcPr>
            <w:tcW w:w="2130" w:type="dxa"/>
            <w:gridSpan w:val="2"/>
            <w:tcBorders>
              <w:tl2br w:val="nil"/>
              <w:tr2bl w:val="nil"/>
            </w:tcBorders>
            <w:vAlign w:val="center"/>
          </w:tcPr>
          <w:p w14:paraId="7C86E2A1">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600</w:t>
            </w:r>
          </w:p>
        </w:tc>
        <w:tc>
          <w:tcPr>
            <w:tcW w:w="2130" w:type="dxa"/>
            <w:tcBorders>
              <w:tl2br w:val="nil"/>
              <w:tr2bl w:val="nil"/>
            </w:tcBorders>
            <w:vAlign w:val="center"/>
          </w:tcPr>
          <w:p w14:paraId="7011E1C4">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95.62</w:t>
            </w:r>
          </w:p>
        </w:tc>
      </w:tr>
      <w:tr w14:paraId="5B1AF9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91A75B7">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175</w:t>
            </w:r>
          </w:p>
        </w:tc>
        <w:tc>
          <w:tcPr>
            <w:tcW w:w="2130" w:type="dxa"/>
            <w:tcBorders>
              <w:tl2br w:val="nil"/>
              <w:tr2bl w:val="nil"/>
            </w:tcBorders>
            <w:vAlign w:val="center"/>
          </w:tcPr>
          <w:p w14:paraId="5B995683">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194.26</w:t>
            </w:r>
          </w:p>
        </w:tc>
        <w:tc>
          <w:tcPr>
            <w:tcW w:w="2130" w:type="dxa"/>
            <w:gridSpan w:val="2"/>
            <w:tcBorders>
              <w:tl2br w:val="nil"/>
              <w:tr2bl w:val="nil"/>
            </w:tcBorders>
            <w:vAlign w:val="center"/>
          </w:tcPr>
          <w:p w14:paraId="493EE92D">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625</w:t>
            </w:r>
          </w:p>
        </w:tc>
        <w:tc>
          <w:tcPr>
            <w:tcW w:w="2130" w:type="dxa"/>
            <w:tcBorders>
              <w:tl2br w:val="nil"/>
              <w:tr2bl w:val="nil"/>
            </w:tcBorders>
            <w:vAlign w:val="center"/>
          </w:tcPr>
          <w:p w14:paraId="6805B8B7">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94.46</w:t>
            </w:r>
          </w:p>
        </w:tc>
      </w:tr>
      <w:tr w14:paraId="1774B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55E26B8">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200</w:t>
            </w:r>
          </w:p>
        </w:tc>
        <w:tc>
          <w:tcPr>
            <w:tcW w:w="2130" w:type="dxa"/>
            <w:tcBorders>
              <w:tl2br w:val="nil"/>
              <w:tr2bl w:val="nil"/>
            </w:tcBorders>
            <w:vAlign w:val="center"/>
          </w:tcPr>
          <w:p w14:paraId="6B5101C5">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178.18</w:t>
            </w:r>
          </w:p>
        </w:tc>
        <w:tc>
          <w:tcPr>
            <w:tcW w:w="2130" w:type="dxa"/>
            <w:gridSpan w:val="2"/>
            <w:tcBorders>
              <w:tl2br w:val="nil"/>
              <w:tr2bl w:val="nil"/>
            </w:tcBorders>
            <w:vAlign w:val="center"/>
          </w:tcPr>
          <w:p w14:paraId="4760890E">
            <w:pPr>
              <w:adjustRightInd w:val="0"/>
              <w:snapToGrid w:val="0"/>
              <w:jc w:val="center"/>
              <w:rPr>
                <w:rFonts w:eastAsia="宋体"/>
                <w:color w:val="000000" w:themeColor="text1"/>
                <w:sz w:val="21"/>
                <w:szCs w:val="21"/>
                <w14:textFill>
                  <w14:solidFill>
                    <w14:schemeClr w14:val="tx1"/>
                  </w14:solidFill>
                </w14:textFill>
              </w:rPr>
            </w:pPr>
          </w:p>
        </w:tc>
        <w:tc>
          <w:tcPr>
            <w:tcW w:w="2130" w:type="dxa"/>
            <w:tcBorders>
              <w:tl2br w:val="nil"/>
              <w:tr2bl w:val="nil"/>
            </w:tcBorders>
            <w:vAlign w:val="center"/>
          </w:tcPr>
          <w:p w14:paraId="1DCE874B">
            <w:pPr>
              <w:adjustRightInd w:val="0"/>
              <w:snapToGrid w:val="0"/>
              <w:jc w:val="center"/>
              <w:rPr>
                <w:rFonts w:eastAsia="宋体"/>
                <w:color w:val="000000" w:themeColor="text1"/>
                <w:sz w:val="21"/>
                <w:szCs w:val="21"/>
                <w14:textFill>
                  <w14:solidFill>
                    <w14:schemeClr w14:val="tx1"/>
                  </w14:solidFill>
                </w14:textFill>
              </w:rPr>
            </w:pPr>
          </w:p>
        </w:tc>
      </w:tr>
      <w:tr w14:paraId="14C2E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90308B2">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250</w:t>
            </w:r>
          </w:p>
        </w:tc>
        <w:tc>
          <w:tcPr>
            <w:tcW w:w="2130" w:type="dxa"/>
            <w:tcBorders>
              <w:tl2br w:val="nil"/>
              <w:tr2bl w:val="nil"/>
            </w:tcBorders>
            <w:vAlign w:val="center"/>
          </w:tcPr>
          <w:p w14:paraId="5E199A01">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154.38</w:t>
            </w:r>
          </w:p>
        </w:tc>
        <w:tc>
          <w:tcPr>
            <w:tcW w:w="2130" w:type="dxa"/>
            <w:gridSpan w:val="2"/>
            <w:tcBorders>
              <w:tl2br w:val="nil"/>
              <w:tr2bl w:val="nil"/>
            </w:tcBorders>
            <w:vAlign w:val="center"/>
          </w:tcPr>
          <w:p w14:paraId="671098B9">
            <w:pPr>
              <w:adjustRightInd w:val="0"/>
              <w:snapToGrid w:val="0"/>
              <w:jc w:val="center"/>
              <w:rPr>
                <w:rFonts w:eastAsia="宋体"/>
                <w:color w:val="000000" w:themeColor="text1"/>
                <w:sz w:val="21"/>
                <w:szCs w:val="21"/>
                <w14:textFill>
                  <w14:solidFill>
                    <w14:schemeClr w14:val="tx1"/>
                  </w14:solidFill>
                </w14:textFill>
              </w:rPr>
            </w:pPr>
          </w:p>
        </w:tc>
        <w:tc>
          <w:tcPr>
            <w:tcW w:w="2130" w:type="dxa"/>
            <w:tcBorders>
              <w:tl2br w:val="nil"/>
              <w:tr2bl w:val="nil"/>
            </w:tcBorders>
            <w:vAlign w:val="center"/>
          </w:tcPr>
          <w:p w14:paraId="55A04C18">
            <w:pPr>
              <w:adjustRightInd w:val="0"/>
              <w:snapToGrid w:val="0"/>
              <w:jc w:val="center"/>
              <w:rPr>
                <w:rFonts w:eastAsia="宋体"/>
                <w:color w:val="000000" w:themeColor="text1"/>
                <w:sz w:val="21"/>
                <w:szCs w:val="21"/>
                <w14:textFill>
                  <w14:solidFill>
                    <w14:schemeClr w14:val="tx1"/>
                  </w14:solidFill>
                </w14:textFill>
              </w:rPr>
            </w:pPr>
          </w:p>
        </w:tc>
      </w:tr>
      <w:tr w14:paraId="490EA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376D272F">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毒性终点浓度1</w:t>
            </w:r>
          </w:p>
        </w:tc>
        <w:tc>
          <w:tcPr>
            <w:tcW w:w="6390" w:type="dxa"/>
            <w:gridSpan w:val="4"/>
            <w:tcBorders>
              <w:tl2br w:val="nil"/>
              <w:tr2bl w:val="nil"/>
            </w:tcBorders>
            <w:vAlign w:val="center"/>
          </w:tcPr>
          <w:p w14:paraId="6F0353F4">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380</w:t>
            </w:r>
            <w:r>
              <w:rPr>
                <w:rFonts w:eastAsia="宋体"/>
                <w:color w:val="000000" w:themeColor="text1"/>
                <w:sz w:val="21"/>
                <w:szCs w:val="21"/>
                <w14:textFill>
                  <w14:solidFill>
                    <w14:schemeClr w14:val="tx1"/>
                  </w14:solidFill>
                </w14:textFill>
              </w:rPr>
              <w:t>mg/m</w:t>
            </w:r>
            <w:r>
              <w:rPr>
                <w:rFonts w:eastAsia="宋体"/>
                <w:color w:val="000000" w:themeColor="text1"/>
                <w:sz w:val="21"/>
                <w:szCs w:val="21"/>
                <w:vertAlign w:val="superscript"/>
                <w14:textFill>
                  <w14:solidFill>
                    <w14:schemeClr w14:val="tx1"/>
                  </w14:solidFill>
                </w14:textFill>
              </w:rPr>
              <w:t>3</w:t>
            </w:r>
          </w:p>
        </w:tc>
      </w:tr>
      <w:tr w14:paraId="64F7D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14EC4DD7">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距离</w:t>
            </w:r>
            <w:r>
              <w:rPr>
                <w:rFonts w:hint="eastAsia" w:eastAsia="宋体"/>
                <w:color w:val="000000" w:themeColor="text1"/>
                <w:sz w:val="21"/>
                <w:szCs w:val="21"/>
                <w14:textFill>
                  <w14:solidFill>
                    <w14:schemeClr w14:val="tx1"/>
                  </w14:solidFill>
                </w14:textFill>
              </w:rPr>
              <w:t>(m)</w:t>
            </w:r>
          </w:p>
        </w:tc>
        <w:tc>
          <w:tcPr>
            <w:tcW w:w="2130" w:type="dxa"/>
            <w:tcBorders>
              <w:tl2br w:val="nil"/>
              <w:tr2bl w:val="nil"/>
            </w:tcBorders>
            <w:vAlign w:val="center"/>
          </w:tcPr>
          <w:p w14:paraId="648B40B6">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浓度</w:t>
            </w:r>
            <w:r>
              <w:rPr>
                <w:rFonts w:hint="eastAsia" w:eastAsia="宋体"/>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mg/m</w:t>
            </w:r>
            <w:r>
              <w:rPr>
                <w:rFonts w:eastAsia="宋体"/>
                <w:color w:val="000000" w:themeColor="text1"/>
                <w:sz w:val="21"/>
                <w:szCs w:val="21"/>
                <w:vertAlign w:val="superscript"/>
                <w14:textFill>
                  <w14:solidFill>
                    <w14:schemeClr w14:val="tx1"/>
                  </w14:solidFill>
                </w14:textFill>
              </w:rPr>
              <w:t>3</w:t>
            </w:r>
            <w:r>
              <w:rPr>
                <w:rFonts w:hint="eastAsia" w:eastAsia="宋体"/>
                <w:color w:val="000000" w:themeColor="text1"/>
                <w:sz w:val="21"/>
                <w:szCs w:val="21"/>
                <w14:textFill>
                  <w14:solidFill>
                    <w14:schemeClr w14:val="tx1"/>
                  </w14:solidFill>
                </w14:textFill>
              </w:rPr>
              <w:t>)</w:t>
            </w:r>
          </w:p>
        </w:tc>
        <w:tc>
          <w:tcPr>
            <w:tcW w:w="2115" w:type="dxa"/>
            <w:tcBorders>
              <w:tl2br w:val="nil"/>
              <w:tr2bl w:val="nil"/>
            </w:tcBorders>
            <w:vAlign w:val="center"/>
          </w:tcPr>
          <w:p w14:paraId="6C417036">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距离</w:t>
            </w:r>
            <w:r>
              <w:rPr>
                <w:rFonts w:hint="eastAsia" w:eastAsia="宋体"/>
                <w:color w:val="000000" w:themeColor="text1"/>
                <w:sz w:val="21"/>
                <w:szCs w:val="21"/>
                <w14:textFill>
                  <w14:solidFill>
                    <w14:schemeClr w14:val="tx1"/>
                  </w14:solidFill>
                </w14:textFill>
              </w:rPr>
              <w:t>(m)</w:t>
            </w:r>
          </w:p>
        </w:tc>
        <w:tc>
          <w:tcPr>
            <w:tcW w:w="2145" w:type="dxa"/>
            <w:gridSpan w:val="2"/>
            <w:tcBorders>
              <w:tl2br w:val="nil"/>
              <w:tr2bl w:val="nil"/>
            </w:tcBorders>
            <w:vAlign w:val="center"/>
          </w:tcPr>
          <w:p w14:paraId="10E69AE1">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浓度</w:t>
            </w:r>
            <w:r>
              <w:rPr>
                <w:rFonts w:hint="eastAsia" w:eastAsia="宋体"/>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mg/m</w:t>
            </w:r>
            <w:r>
              <w:rPr>
                <w:rFonts w:eastAsia="宋体"/>
                <w:color w:val="000000" w:themeColor="text1"/>
                <w:sz w:val="21"/>
                <w:szCs w:val="21"/>
                <w:vertAlign w:val="superscript"/>
                <w14:textFill>
                  <w14:solidFill>
                    <w14:schemeClr w14:val="tx1"/>
                  </w14:solidFill>
                </w14:textFill>
              </w:rPr>
              <w:t>3</w:t>
            </w:r>
            <w:r>
              <w:rPr>
                <w:rFonts w:hint="eastAsia" w:eastAsia="宋体"/>
                <w:color w:val="000000" w:themeColor="text1"/>
                <w:sz w:val="21"/>
                <w:szCs w:val="21"/>
                <w14:textFill>
                  <w14:solidFill>
                    <w14:schemeClr w14:val="tx1"/>
                  </w14:solidFill>
                </w14:textFill>
              </w:rPr>
              <w:t>)</w:t>
            </w:r>
          </w:p>
        </w:tc>
      </w:tr>
      <w:tr w14:paraId="47F50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24A2234">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w:t>
            </w:r>
          </w:p>
        </w:tc>
        <w:tc>
          <w:tcPr>
            <w:tcW w:w="2130" w:type="dxa"/>
            <w:tcBorders>
              <w:tl2br w:val="nil"/>
              <w:tr2bl w:val="nil"/>
            </w:tcBorders>
            <w:vAlign w:val="center"/>
          </w:tcPr>
          <w:p w14:paraId="7F7F2142">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144.79</w:t>
            </w:r>
          </w:p>
        </w:tc>
        <w:tc>
          <w:tcPr>
            <w:tcW w:w="2115" w:type="dxa"/>
            <w:tcBorders>
              <w:tl2br w:val="nil"/>
              <w:tr2bl w:val="nil"/>
            </w:tcBorders>
            <w:vAlign w:val="center"/>
          </w:tcPr>
          <w:p w14:paraId="0EC81D88">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100</w:t>
            </w:r>
          </w:p>
        </w:tc>
        <w:tc>
          <w:tcPr>
            <w:tcW w:w="2145" w:type="dxa"/>
            <w:gridSpan w:val="2"/>
            <w:tcBorders>
              <w:tl2br w:val="nil"/>
              <w:tr2bl w:val="nil"/>
            </w:tcBorders>
            <w:vAlign w:val="center"/>
          </w:tcPr>
          <w:p w14:paraId="3EDD9F4D">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278.23</w:t>
            </w:r>
          </w:p>
        </w:tc>
      </w:tr>
      <w:tr w14:paraId="57887A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51ED9A9">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25</w:t>
            </w:r>
          </w:p>
        </w:tc>
        <w:tc>
          <w:tcPr>
            <w:tcW w:w="2130" w:type="dxa"/>
            <w:tcBorders>
              <w:tl2br w:val="nil"/>
              <w:tr2bl w:val="nil"/>
            </w:tcBorders>
            <w:vAlign w:val="center"/>
          </w:tcPr>
          <w:p w14:paraId="10726699">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204.00</w:t>
            </w:r>
          </w:p>
        </w:tc>
        <w:tc>
          <w:tcPr>
            <w:tcW w:w="2115" w:type="dxa"/>
            <w:tcBorders>
              <w:tl2br w:val="nil"/>
              <w:tr2bl w:val="nil"/>
            </w:tcBorders>
            <w:vAlign w:val="center"/>
          </w:tcPr>
          <w:p w14:paraId="7A252745">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125</w:t>
            </w:r>
          </w:p>
        </w:tc>
        <w:tc>
          <w:tcPr>
            <w:tcW w:w="2145" w:type="dxa"/>
            <w:gridSpan w:val="2"/>
            <w:tcBorders>
              <w:tl2br w:val="nil"/>
              <w:tr2bl w:val="nil"/>
            </w:tcBorders>
            <w:vAlign w:val="center"/>
          </w:tcPr>
          <w:p w14:paraId="5983593C">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245.06</w:t>
            </w:r>
          </w:p>
        </w:tc>
      </w:tr>
      <w:tr w14:paraId="721E8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3A087431">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50</w:t>
            </w:r>
          </w:p>
        </w:tc>
        <w:tc>
          <w:tcPr>
            <w:tcW w:w="2130" w:type="dxa"/>
            <w:tcBorders>
              <w:tl2br w:val="nil"/>
              <w:tr2bl w:val="nil"/>
            </w:tcBorders>
            <w:vAlign w:val="center"/>
          </w:tcPr>
          <w:p w14:paraId="0EC26B79">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267.62</w:t>
            </w:r>
          </w:p>
        </w:tc>
        <w:tc>
          <w:tcPr>
            <w:tcW w:w="2115" w:type="dxa"/>
            <w:tcBorders>
              <w:tl2br w:val="nil"/>
              <w:tr2bl w:val="nil"/>
            </w:tcBorders>
            <w:vAlign w:val="center"/>
          </w:tcPr>
          <w:p w14:paraId="15C4C3C7">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150</w:t>
            </w:r>
          </w:p>
        </w:tc>
        <w:tc>
          <w:tcPr>
            <w:tcW w:w="2145" w:type="dxa"/>
            <w:gridSpan w:val="2"/>
            <w:tcBorders>
              <w:tl2br w:val="nil"/>
              <w:tr2bl w:val="nil"/>
            </w:tcBorders>
            <w:vAlign w:val="center"/>
          </w:tcPr>
          <w:p w14:paraId="5B2DFB18">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215.81</w:t>
            </w:r>
          </w:p>
        </w:tc>
      </w:tr>
      <w:tr w14:paraId="23DFC4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bottom w:val="single" w:color="auto" w:sz="12" w:space="0"/>
            </w:tcBorders>
            <w:vAlign w:val="center"/>
          </w:tcPr>
          <w:p w14:paraId="3C9622E8">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75</w:t>
            </w:r>
          </w:p>
        </w:tc>
        <w:tc>
          <w:tcPr>
            <w:tcW w:w="2130" w:type="dxa"/>
            <w:tcBorders>
              <w:bottom w:val="single" w:color="auto" w:sz="12" w:space="0"/>
            </w:tcBorders>
            <w:vAlign w:val="center"/>
          </w:tcPr>
          <w:p w14:paraId="77ED468E">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296.53</w:t>
            </w:r>
          </w:p>
        </w:tc>
        <w:tc>
          <w:tcPr>
            <w:tcW w:w="2115" w:type="dxa"/>
            <w:tcBorders>
              <w:bottom w:val="single" w:color="auto" w:sz="12" w:space="0"/>
            </w:tcBorders>
            <w:vAlign w:val="center"/>
          </w:tcPr>
          <w:p w14:paraId="21930CB1">
            <w:pPr>
              <w:adjustRightInd w:val="0"/>
              <w:snapToGrid w:val="0"/>
              <w:jc w:val="center"/>
              <w:rPr>
                <w:rFonts w:eastAsia="宋体"/>
                <w:color w:val="000000" w:themeColor="text1"/>
                <w:sz w:val="21"/>
                <w:szCs w:val="21"/>
                <w14:textFill>
                  <w14:solidFill>
                    <w14:schemeClr w14:val="tx1"/>
                  </w14:solidFill>
                </w14:textFill>
              </w:rPr>
            </w:pPr>
          </w:p>
        </w:tc>
        <w:tc>
          <w:tcPr>
            <w:tcW w:w="2145" w:type="dxa"/>
            <w:gridSpan w:val="2"/>
            <w:tcBorders>
              <w:bottom w:val="single" w:color="auto" w:sz="12" w:space="0"/>
            </w:tcBorders>
            <w:vAlign w:val="center"/>
          </w:tcPr>
          <w:p w14:paraId="19A91243">
            <w:pPr>
              <w:adjustRightInd w:val="0"/>
              <w:snapToGrid w:val="0"/>
              <w:jc w:val="center"/>
              <w:rPr>
                <w:rFonts w:eastAsia="宋体"/>
                <w:color w:val="000000" w:themeColor="text1"/>
                <w:sz w:val="21"/>
                <w:szCs w:val="21"/>
                <w14:textFill>
                  <w14:solidFill>
                    <w14:schemeClr w14:val="tx1"/>
                  </w14:solidFill>
                </w14:textFill>
              </w:rPr>
            </w:pPr>
          </w:p>
        </w:tc>
      </w:tr>
    </w:tbl>
    <w:p w14:paraId="0F3F9720">
      <w:pPr>
        <w:spacing w:line="500" w:lineRule="exact"/>
        <w:ind w:firstLine="480" w:firstLineChars="200"/>
        <w:rPr>
          <w:rFonts w:eastAsia="宋体"/>
        </w:rPr>
      </w:pPr>
      <w:r>
        <w:rPr>
          <w:rFonts w:eastAsia="宋体"/>
          <w:color w:val="000000" w:themeColor="text1"/>
          <w14:textFill>
            <w14:solidFill>
              <w14:schemeClr w14:val="tx1"/>
            </w14:solidFill>
          </w14:textFill>
        </w:rPr>
        <w:t>由预测结果可知，发生火灾时CO扩散的最大影响</w:t>
      </w:r>
      <w:r>
        <w:rPr>
          <w:rFonts w:eastAsia="宋体"/>
        </w:rPr>
        <w:t>范围为周边</w:t>
      </w:r>
      <w:r>
        <w:rPr>
          <w:rFonts w:hint="eastAsia" w:eastAsia="宋体"/>
        </w:rPr>
        <w:t>800</w:t>
      </w:r>
      <w:r>
        <w:rPr>
          <w:rFonts w:eastAsia="宋体"/>
        </w:rPr>
        <w:t>米内。</w:t>
      </w:r>
    </w:p>
    <w:p w14:paraId="32D59716">
      <w:pPr>
        <w:pStyle w:val="4"/>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26" w:name="_Toc11612"/>
      <w:bookmarkStart w:id="227" w:name="_Toc6104"/>
      <w:bookmarkStart w:id="228" w:name="_Toc2498"/>
      <w:r>
        <w:rPr>
          <w:rFonts w:eastAsia="宋体"/>
          <w:color w:val="000000" w:themeColor="text1"/>
          <w14:textFill>
            <w14:solidFill>
              <w14:schemeClr w14:val="tx1"/>
            </w14:solidFill>
          </w14:textFill>
        </w:rPr>
        <w:t>4.4.</w:t>
      </w:r>
      <w:r>
        <w:rPr>
          <w:rFonts w:hint="eastAsia" w:eastAsia="宋体"/>
          <w:color w:val="000000" w:themeColor="text1"/>
          <w14:textFill>
            <w14:solidFill>
              <w14:schemeClr w14:val="tx1"/>
            </w14:solidFill>
          </w14:textFill>
        </w:rPr>
        <w:t>2</w:t>
      </w:r>
      <w:bookmarkEnd w:id="225"/>
      <w:bookmarkEnd w:id="226"/>
      <w:r>
        <w:rPr>
          <w:rFonts w:hint="eastAsia" w:eastAsia="宋体"/>
          <w:color w:val="000000" w:themeColor="text1"/>
          <w14:textFill>
            <w14:solidFill>
              <w14:schemeClr w14:val="tx1"/>
            </w14:solidFill>
          </w14:textFill>
        </w:rPr>
        <w:t>事件情景</w:t>
      </w:r>
      <w:bookmarkEnd w:id="227"/>
      <w:bookmarkEnd w:id="228"/>
      <w:r>
        <w:rPr>
          <w:rFonts w:hint="eastAsia" w:eastAsia="宋体"/>
          <w:color w:val="000000" w:themeColor="text1"/>
          <w:lang w:val="en-US" w:eastAsia="zh-CN"/>
          <w14:textFill>
            <w14:solidFill>
              <w14:schemeClr w14:val="tx1"/>
            </w14:solidFill>
          </w14:textFill>
        </w:rPr>
        <w:t>6、9、11</w:t>
      </w:r>
    </w:p>
    <w:p w14:paraId="45D7AB45">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bookmarkStart w:id="229" w:name="_Toc1731"/>
      <w:r>
        <w:rPr>
          <w:rFonts w:eastAsia="宋体"/>
          <w:color w:val="000000" w:themeColor="text1"/>
          <w14:textFill>
            <w14:solidFill>
              <w14:schemeClr w14:val="tx1"/>
            </w14:solidFill>
          </w14:textFill>
        </w:rPr>
        <w:t>对地表水造成的不良影响以</w:t>
      </w:r>
      <w:r>
        <w:rPr>
          <w:rFonts w:hint="eastAsia" w:eastAsia="宋体"/>
          <w:color w:val="000000" w:themeColor="text1"/>
          <w14:textFill>
            <w14:solidFill>
              <w14:schemeClr w14:val="tx1"/>
            </w14:solidFill>
          </w14:textFill>
        </w:rPr>
        <w:t>洗消废水</w:t>
      </w:r>
      <w:r>
        <w:rPr>
          <w:rFonts w:eastAsia="宋体"/>
          <w:color w:val="000000" w:themeColor="text1"/>
          <w14:textFill>
            <w14:solidFill>
              <w14:schemeClr w14:val="tx1"/>
            </w14:solidFill>
          </w14:textFill>
        </w:rPr>
        <w:t>进入</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进行测算。</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COD为</w:t>
      </w:r>
      <w:r>
        <w:rPr>
          <w:rFonts w:hint="eastAsia" w:eastAsia="宋体"/>
          <w:color w:val="000000" w:themeColor="text1"/>
          <w14:textFill>
            <w14:solidFill>
              <w14:schemeClr w14:val="tx1"/>
            </w14:solidFill>
          </w14:textFill>
        </w:rPr>
        <w:t>20</w:t>
      </w:r>
      <w:r>
        <w:rPr>
          <w:rFonts w:eastAsia="宋体"/>
          <w:color w:val="000000" w:themeColor="text1"/>
          <w14:textFill>
            <w14:solidFill>
              <w14:schemeClr w14:val="tx1"/>
            </w14:solidFill>
          </w14:textFill>
        </w:rPr>
        <w:t>mg/L，水深3~4米，枯水期流速平均约为0.06m/s，枯水期流量约</w:t>
      </w:r>
      <w:r>
        <w:rPr>
          <w:rFonts w:hint="eastAsia" w:eastAsia="宋体"/>
          <w:color w:val="000000" w:themeColor="text1"/>
          <w14:textFill>
            <w14:solidFill>
              <w14:schemeClr w14:val="tx1"/>
            </w14:solidFill>
          </w14:textFill>
        </w:rPr>
        <w:t>3</w:t>
      </w:r>
      <w:r>
        <w:rPr>
          <w:rFonts w:eastAsia="宋体"/>
          <w:color w:val="000000" w:themeColor="text1"/>
          <w14:textFill>
            <w14:solidFill>
              <w14:schemeClr w14:val="tx1"/>
            </w14:solidFill>
          </w14:textFill>
        </w:rPr>
        <w:t>.0m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/s。</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水质情况见表4-</w:t>
      </w:r>
      <w:r>
        <w:rPr>
          <w:rFonts w:hint="eastAsia" w:eastAsia="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w:t>
      </w:r>
    </w:p>
    <w:p w14:paraId="56D795A9">
      <w:pPr>
        <w:pStyle w:val="13"/>
        <w:adjustRightInd w:val="0"/>
        <w:snapToGrid w:val="0"/>
        <w:spacing w:after="0" w:line="500" w:lineRule="exact"/>
        <w:jc w:val="center"/>
        <w:rPr>
          <w:rFonts w:ascii="宋体" w:hAnsi="宋体" w:eastAsia="宋体" w:cs="宋体"/>
          <w:b/>
          <w:color w:val="0000FF"/>
        </w:rPr>
      </w:pPr>
      <w:r>
        <w:rPr>
          <w:rFonts w:eastAsia="宋体"/>
          <w:b/>
          <w:color w:val="000000" w:themeColor="text1"/>
          <w14:textFill>
            <w14:solidFill>
              <w14:schemeClr w14:val="tx1"/>
            </w14:solidFill>
          </w14:textFill>
        </w:rPr>
        <w:t>表4-</w:t>
      </w:r>
      <w:r>
        <w:rPr>
          <w:rFonts w:hint="eastAsia" w:eastAsia="宋体"/>
          <w:b/>
          <w:color w:val="000000" w:themeColor="text1"/>
          <w:lang w:val="en-US" w:eastAsia="zh-CN"/>
          <w14:textFill>
            <w14:solidFill>
              <w14:schemeClr w14:val="tx1"/>
            </w14:solidFill>
          </w14:textFill>
        </w:rPr>
        <w:t>8环港北河</w:t>
      </w:r>
      <w:r>
        <w:rPr>
          <w:rFonts w:eastAsia="宋体"/>
          <w:b/>
          <w:color w:val="000000" w:themeColor="text1"/>
          <w14:textFill>
            <w14:solidFill>
              <w14:schemeClr w14:val="tx1"/>
            </w14:solidFill>
          </w14:textFill>
        </w:rPr>
        <w:t>水质情况</w:t>
      </w:r>
    </w:p>
    <w:tbl>
      <w:tblPr>
        <w:tblStyle w:val="38"/>
        <w:tblW w:w="498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3763"/>
        <w:gridCol w:w="5295"/>
      </w:tblGrid>
      <w:tr w14:paraId="1E279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36" w:hRule="atLeast"/>
          <w:jc w:val="center"/>
        </w:trPr>
        <w:tc>
          <w:tcPr>
            <w:tcW w:w="2077" w:type="pct"/>
            <w:tcBorders>
              <w:tl2br w:val="nil"/>
              <w:tr2bl w:val="nil"/>
            </w:tcBorders>
            <w:vAlign w:val="center"/>
          </w:tcPr>
          <w:p w14:paraId="651E8ED8">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河流</w:t>
            </w:r>
          </w:p>
        </w:tc>
        <w:tc>
          <w:tcPr>
            <w:tcW w:w="2922" w:type="pct"/>
            <w:tcBorders>
              <w:tl2br w:val="nil"/>
              <w:tr2bl w:val="nil"/>
            </w:tcBorders>
            <w:vAlign w:val="center"/>
          </w:tcPr>
          <w:p w14:paraId="7F4BC779">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CODcr(mg/L)</w:t>
            </w:r>
          </w:p>
        </w:tc>
      </w:tr>
      <w:tr w14:paraId="73982D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0" w:hRule="atLeast"/>
          <w:jc w:val="center"/>
        </w:trPr>
        <w:tc>
          <w:tcPr>
            <w:tcW w:w="2077" w:type="pct"/>
            <w:tcBorders>
              <w:tl2br w:val="nil"/>
              <w:tr2bl w:val="nil"/>
            </w:tcBorders>
            <w:vAlign w:val="center"/>
          </w:tcPr>
          <w:p w14:paraId="3435B4EE">
            <w:pPr>
              <w:adjustRightInd w:val="0"/>
              <w:snapToGrid w:val="0"/>
              <w:jc w:val="center"/>
              <w:rPr>
                <w:rFonts w:hint="eastAsia"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环港北河</w:t>
            </w:r>
          </w:p>
        </w:tc>
        <w:tc>
          <w:tcPr>
            <w:tcW w:w="2922" w:type="pct"/>
            <w:tcBorders>
              <w:tl2br w:val="nil"/>
              <w:tr2bl w:val="nil"/>
            </w:tcBorders>
            <w:vAlign w:val="center"/>
          </w:tcPr>
          <w:p w14:paraId="28A88109">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20</w:t>
            </w:r>
          </w:p>
        </w:tc>
      </w:tr>
    </w:tbl>
    <w:p w14:paraId="584BE293">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污水非正常排放对水质会产生不良影响，假设污</w:t>
      </w:r>
      <w:r>
        <w:rPr>
          <w:rFonts w:eastAsia="宋体"/>
          <w:color w:val="000000" w:themeColor="text1"/>
          <w14:textFill>
            <w14:solidFill>
              <w14:schemeClr w14:val="tx1"/>
            </w14:solidFill>
          </w14:textFill>
        </w:rPr>
        <w:t>水COD浓度为</w:t>
      </w:r>
      <w:r>
        <w:rPr>
          <w:rFonts w:hint="eastAsia" w:eastAsia="宋体"/>
          <w:color w:val="000000" w:themeColor="text1"/>
          <w14:textFill>
            <w14:solidFill>
              <w14:schemeClr w14:val="tx1"/>
            </w14:solidFill>
          </w14:textFill>
        </w:rPr>
        <w:t>250</w:t>
      </w:r>
      <w:r>
        <w:rPr>
          <w:rFonts w:eastAsia="宋体"/>
          <w:color w:val="000000" w:themeColor="text1"/>
          <w14:textFill>
            <w14:solidFill>
              <w14:schemeClr w14:val="tx1"/>
            </w14:solidFill>
          </w14:textFill>
        </w:rPr>
        <w:t>mg/L，流量</w:t>
      </w:r>
      <w:r>
        <w:rPr>
          <w:rFonts w:eastAsia="宋体"/>
          <w:color w:val="000000" w:themeColor="text1"/>
          <w:szCs w:val="28"/>
          <w14:textFill>
            <w14:solidFill>
              <w14:schemeClr w14:val="tx1"/>
            </w14:solidFill>
          </w14:textFill>
        </w:rPr>
        <w:t>0.</w:t>
      </w:r>
      <w:r>
        <w:rPr>
          <w:rFonts w:hint="eastAsia" w:eastAsia="宋体"/>
          <w:color w:val="000000" w:themeColor="text1"/>
          <w:szCs w:val="28"/>
          <w14:textFill>
            <w14:solidFill>
              <w14:schemeClr w14:val="tx1"/>
            </w14:solidFill>
          </w14:textFill>
        </w:rPr>
        <w:t>0</w:t>
      </w:r>
      <w:r>
        <w:rPr>
          <w:rFonts w:hint="eastAsia" w:eastAsia="宋体"/>
          <w:color w:val="000000" w:themeColor="text1"/>
          <w:szCs w:val="28"/>
          <w:lang w:val="en-US" w:eastAsia="zh-CN"/>
          <w14:textFill>
            <w14:solidFill>
              <w14:schemeClr w14:val="tx1"/>
            </w14:solidFill>
          </w14:textFill>
        </w:rPr>
        <w:t>367</w:t>
      </w:r>
      <w:r>
        <w:rPr>
          <w:rFonts w:eastAsia="宋体"/>
          <w:color w:val="000000" w:themeColor="text1"/>
          <w:szCs w:val="28"/>
          <w14:textFill>
            <w14:solidFill>
              <w14:schemeClr w14:val="tx1"/>
            </w14:solidFill>
          </w14:textFill>
        </w:rPr>
        <w:t>m</w:t>
      </w:r>
      <w:r>
        <w:rPr>
          <w:rFonts w:eastAsia="宋体"/>
          <w:color w:val="000000" w:themeColor="text1"/>
          <w:szCs w:val="28"/>
          <w:vertAlign w:val="superscript"/>
          <w14:textFill>
            <w14:solidFill>
              <w14:schemeClr w14:val="tx1"/>
            </w14:solidFill>
          </w14:textFill>
        </w:rPr>
        <w:t>3</w:t>
      </w:r>
      <w:r>
        <w:rPr>
          <w:rFonts w:eastAsia="宋体"/>
          <w:color w:val="000000" w:themeColor="text1"/>
          <w:szCs w:val="28"/>
          <w14:textFill>
            <w14:solidFill>
              <w14:schemeClr w14:val="tx1"/>
            </w14:solidFill>
          </w14:textFill>
        </w:rPr>
        <w:t>/s</w:t>
      </w:r>
      <w:r>
        <w:rPr>
          <w:rFonts w:eastAsia="宋体"/>
          <w:color w:val="000000" w:themeColor="text1"/>
          <w14:textFill>
            <w14:solidFill>
              <w14:schemeClr w14:val="tx1"/>
            </w14:solidFill>
          </w14:textFill>
        </w:rPr>
        <w:t>，事故时间</w:t>
      </w:r>
      <w:r>
        <w:rPr>
          <w:rFonts w:hint="eastAsia" w:eastAsia="宋体"/>
          <w:color w:val="000000" w:themeColor="text1"/>
          <w:highlight w:val="none"/>
          <w14:textFill>
            <w14:solidFill>
              <w14:schemeClr w14:val="tx1"/>
            </w14:solidFill>
          </w14:textFill>
        </w:rPr>
        <w:t>1h</w:t>
      </w:r>
      <w:r>
        <w:rPr>
          <w:rFonts w:eastAsia="宋体"/>
          <w:color w:val="000000" w:themeColor="text1"/>
          <w:highlight w:val="none"/>
          <w14:textFill>
            <w14:solidFill>
              <w14:schemeClr w14:val="tx1"/>
            </w14:solidFill>
          </w14:textFill>
        </w:rPr>
        <w:t>，总废水量</w:t>
      </w:r>
      <w:r>
        <w:rPr>
          <w:rFonts w:hint="eastAsia" w:eastAsia="宋体"/>
          <w:color w:val="000000" w:themeColor="text1"/>
          <w:highlight w:val="none"/>
          <w:lang w:val="en-US" w:eastAsia="zh-CN"/>
          <w14:textFill>
            <w14:solidFill>
              <w14:schemeClr w14:val="tx1"/>
            </w14:solidFill>
          </w14:textFill>
        </w:rPr>
        <w:t>120</w:t>
      </w:r>
      <w:r>
        <w:rPr>
          <w:rFonts w:eastAsia="宋体"/>
          <w:color w:val="000000" w:themeColor="text1"/>
          <w:highlight w:val="none"/>
          <w14:textFill>
            <w14:solidFill>
              <w14:schemeClr w14:val="tx1"/>
            </w14:solidFill>
          </w14:textFill>
        </w:rPr>
        <w:t>m</w:t>
      </w:r>
      <w:r>
        <w:rPr>
          <w:rFonts w:eastAsia="宋体"/>
          <w:color w:val="000000" w:themeColor="text1"/>
          <w:vertAlign w:val="superscript"/>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w:t>
      </w:r>
    </w:p>
    <w:p w14:paraId="22DA261C">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按照《环境影响评价技术导则地表水环境》，</w:t>
      </w:r>
      <w:r>
        <w:rPr>
          <w:rFonts w:hint="eastAsia" w:eastAsia="宋体"/>
          <w:color w:val="000000" w:themeColor="text1"/>
          <w14:textFill>
            <w14:solidFill>
              <w14:schemeClr w14:val="tx1"/>
            </w14:solidFill>
          </w14:textFill>
        </w:rPr>
        <w:t>附近水体</w:t>
      </w:r>
      <w:r>
        <w:rPr>
          <w:rFonts w:hint="eastAsia" w:ascii="宋体" w:hAnsi="宋体" w:eastAsia="宋体" w:cs="宋体"/>
          <w:color w:val="000000" w:themeColor="text1"/>
          <w14:textFill>
            <w14:solidFill>
              <w14:schemeClr w14:val="tx1"/>
            </w14:solidFill>
          </w14:textFill>
        </w:rPr>
        <w:t>河道基本平直,考虑河流充分混合段，评价采用一维对流扩散模型进行预测。</w:t>
      </w:r>
    </w:p>
    <w:p w14:paraId="07CC96CD">
      <w:pPr>
        <w:adjustRightInd w:val="0"/>
        <w:snapToGrid w:val="0"/>
        <w:spacing w:line="500" w:lineRule="exact"/>
        <w:ind w:firstLine="480" w:firstLineChars="200"/>
        <w:jc w:val="left"/>
        <w:rPr>
          <w:rFonts w:ascii="宋体" w:hAnsi="宋体" w:eastAsia="宋体" w:cs="宋体"/>
          <w:color w:val="0000FF"/>
        </w:rPr>
      </w:pPr>
      <w:r>
        <w:rPr>
          <w:rFonts w:hint="eastAsia" w:ascii="宋体" w:hAnsi="宋体" w:eastAsia="宋体" w:cs="宋体"/>
          <w:color w:val="000000" w:themeColor="text1"/>
          <w14:textFill>
            <w14:solidFill>
              <w14:schemeClr w14:val="tx1"/>
            </w14:solidFill>
          </w14:textFill>
        </w:rPr>
        <w:t>一维对流扩散模型如下：</w:t>
      </w:r>
    </w:p>
    <w:p w14:paraId="62FFC457">
      <w:pPr>
        <w:spacing w:line="360" w:lineRule="auto"/>
        <w:jc w:val="center"/>
        <w:rPr>
          <w:rFonts w:ascii="宋体" w:hAnsi="宋体" w:eastAsia="宋体" w:cs="宋体"/>
          <w:color w:val="0000FF"/>
          <w:sz w:val="28"/>
          <w:szCs w:val="28"/>
        </w:rPr>
      </w:pPr>
      <w:r>
        <w:rPr>
          <w:rFonts w:hint="eastAsia" w:ascii="宋体" w:hAnsi="宋体" w:eastAsia="宋体" w:cs="宋体"/>
          <w:color w:val="0000FF"/>
          <w:position w:val="-28"/>
          <w:sz w:val="28"/>
          <w:szCs w:val="28"/>
        </w:rPr>
        <w:object>
          <v:shape id="_x0000_i1026" o:spt="75" type="#_x0000_t75" style="height:34.45pt;width:124.6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p>
    <w:p w14:paraId="435EFA3C">
      <w:pPr>
        <w:adjustRightInd w:val="0"/>
        <w:snapToGrid w:val="0"/>
        <w:spacing w:line="500" w:lineRule="exact"/>
        <w:ind w:firstLine="48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式中：</w:t>
      </w:r>
    </w:p>
    <w:p w14:paraId="5F3475D3">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C—预测河段污染物浓度，mg/L;</w:t>
      </w:r>
    </w:p>
    <w:p w14:paraId="3428C1FC">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w:t>
      </w:r>
      <w:r>
        <w:rPr>
          <w:rFonts w:eastAsia="宋体"/>
          <w:color w:val="000000" w:themeColor="text1"/>
          <w:vertAlign w:val="subscript"/>
          <w14:textFill>
            <w14:solidFill>
              <w14:schemeClr w14:val="tx1"/>
            </w14:solidFill>
          </w14:textFill>
        </w:rPr>
        <w:t>0</w:t>
      </w:r>
      <w:r>
        <w:rPr>
          <w:rFonts w:eastAsia="宋体"/>
          <w:color w:val="000000" w:themeColor="text1"/>
          <w14:textFill>
            <w14:solidFill>
              <w14:schemeClr w14:val="tx1"/>
            </w14:solidFill>
          </w14:textFill>
        </w:rPr>
        <w:t>—初始预测断面污染物浓度，mg/L;</w:t>
      </w:r>
    </w:p>
    <w:p w14:paraId="450AD1AD">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k</w:t>
      </w:r>
      <w:r>
        <w:rPr>
          <w:rFonts w:eastAsia="宋体"/>
          <w:color w:val="000000" w:themeColor="text1"/>
          <w:vertAlign w:val="subscript"/>
          <w14:textFill>
            <w14:solidFill>
              <w14:schemeClr w14:val="tx1"/>
            </w14:solidFill>
          </w14:textFill>
        </w:rPr>
        <w:t>1</w:t>
      </w:r>
      <w:r>
        <w:rPr>
          <w:rFonts w:eastAsia="宋体"/>
          <w:color w:val="000000" w:themeColor="text1"/>
          <w14:textFill>
            <w14:solidFill>
              <w14:schemeClr w14:val="tx1"/>
            </w14:solidFill>
          </w14:textFill>
        </w:rPr>
        <w:t>—衰减系数，1/d;</w:t>
      </w:r>
    </w:p>
    <w:p w14:paraId="0C7EC756">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d—混合深度；</w:t>
      </w:r>
    </w:p>
    <w:p w14:paraId="629DD847">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x—距排污口的纵向距离，m;</w:t>
      </w:r>
    </w:p>
    <w:p w14:paraId="76B902BC">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u—河水流速，m/s;</w:t>
      </w:r>
    </w:p>
    <w:p w14:paraId="26B3F72D">
      <w:pPr>
        <w:widowControl/>
        <w:adjustRightInd w:val="0"/>
        <w:snapToGrid w:val="0"/>
        <w:spacing w:line="360" w:lineRule="auto"/>
        <w:ind w:firstLine="560"/>
        <w:rPr>
          <w:rFonts w:eastAsia="宋体"/>
          <w:color w:val="000000" w:themeColor="text1"/>
          <w14:textFill>
            <w14:solidFill>
              <w14:schemeClr w14:val="tx1"/>
            </w14:solidFill>
          </w14:textFill>
        </w:rPr>
      </w:pPr>
      <w:r>
        <w:rPr>
          <w:rFonts w:ascii="宋体" w:hAnsi="宋体" w:eastAsia="宋体" w:cs="宋体"/>
          <w:color w:val="0000FF"/>
        </w:rPr>
        <w:pict>
          <v:shape id="_x0000_s1027" o:spid="_x0000_s1027" o:spt="75" type="#_x0000_t75" style="position:absolute;left:0pt;margin-left:152.25pt;margin-top:6.4pt;height:36.75pt;width:106.5pt;mso-wrap-distance-bottom:0pt;mso-wrap-distance-top:0pt;z-index:251666432;mso-width-relative:page;mso-height-relative:page;" o:ole="t" filled="f" o:preferrelative="t" stroked="f" coordsize="21600,21600">
            <v:path/>
            <v:fill on="f" focussize="0,0"/>
            <v:stroke on="f" joinstyle="miter"/>
            <v:imagedata r:id="rId22" o:title=""/>
            <o:lock v:ext="edit" aspectratio="t"/>
            <w10:wrap type="topAndBottom"/>
          </v:shape>
          <o:OLEObject Type="Embed" ProgID="Equation.3" ShapeID="_x0000_s1027" DrawAspect="Content" ObjectID="_1468075727" r:id="rId21">
            <o:LockedField>false</o:LockedField>
          </o:OLEObject>
        </w:pict>
      </w:r>
      <w:r>
        <w:rPr>
          <w:rFonts w:eastAsia="宋体"/>
          <w:color w:val="000000" w:themeColor="text1"/>
          <w14:textFill>
            <w14:solidFill>
              <w14:schemeClr w14:val="tx1"/>
            </w14:solidFill>
          </w14:textFill>
        </w:rPr>
        <w:t>式中：</w:t>
      </w:r>
    </w:p>
    <w:p w14:paraId="441DA25D">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w:t>
      </w:r>
      <w:r>
        <w:rPr>
          <w:rFonts w:eastAsia="宋体"/>
          <w:color w:val="000000" w:themeColor="text1"/>
          <w:vertAlign w:val="subscript"/>
          <w14:textFill>
            <w14:solidFill>
              <w14:schemeClr w14:val="tx1"/>
            </w14:solidFill>
          </w14:textFill>
        </w:rPr>
        <w:t>0</w:t>
      </w:r>
      <w:r>
        <w:rPr>
          <w:rFonts w:eastAsia="宋体"/>
          <w:color w:val="000000" w:themeColor="text1"/>
          <w14:textFill>
            <w14:solidFill>
              <w14:schemeClr w14:val="tx1"/>
            </w14:solidFill>
          </w14:textFill>
        </w:rPr>
        <w:t>—混合后河流中污染物浓度，mg/L;</w:t>
      </w:r>
    </w:p>
    <w:p w14:paraId="055CD099">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w:t>
      </w:r>
      <w:r>
        <w:rPr>
          <w:rFonts w:eastAsia="宋体"/>
          <w:color w:val="000000" w:themeColor="text1"/>
          <w:vertAlign w:val="subscript"/>
          <w14:textFill>
            <w14:solidFill>
              <w14:schemeClr w14:val="tx1"/>
            </w14:solidFill>
          </w14:textFill>
        </w:rPr>
        <w:t>h</w:t>
      </w:r>
      <w:r>
        <w:rPr>
          <w:rFonts w:eastAsia="宋体"/>
          <w:color w:val="000000" w:themeColor="text1"/>
          <w14:textFill>
            <w14:solidFill>
              <w14:schemeClr w14:val="tx1"/>
            </w14:solidFill>
          </w14:textFill>
        </w:rPr>
        <w:t>—河流中污染物的背景浓度，mg/L;</w:t>
      </w:r>
    </w:p>
    <w:p w14:paraId="0EB58FAE">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w:t>
      </w:r>
      <w:r>
        <w:rPr>
          <w:rFonts w:eastAsia="宋体"/>
          <w:color w:val="000000" w:themeColor="text1"/>
          <w:vertAlign w:val="subscript"/>
          <w14:textFill>
            <w14:solidFill>
              <w14:schemeClr w14:val="tx1"/>
            </w14:solidFill>
          </w14:textFill>
        </w:rPr>
        <w:t>p</w:t>
      </w:r>
      <w:r>
        <w:rPr>
          <w:rFonts w:eastAsia="宋体"/>
          <w:color w:val="000000" w:themeColor="text1"/>
          <w14:textFill>
            <w14:solidFill>
              <w14:schemeClr w14:val="tx1"/>
            </w14:solidFill>
          </w14:textFill>
        </w:rPr>
        <w:t>—污水中污染物的浓度，mg/L;</w:t>
      </w:r>
    </w:p>
    <w:p w14:paraId="5C760E58">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Q</w:t>
      </w:r>
      <w:r>
        <w:rPr>
          <w:rFonts w:eastAsia="宋体"/>
          <w:color w:val="000000" w:themeColor="text1"/>
          <w:vertAlign w:val="subscript"/>
          <w14:textFill>
            <w14:solidFill>
              <w14:schemeClr w14:val="tx1"/>
            </w14:solidFill>
          </w14:textFill>
        </w:rPr>
        <w:t>h</w:t>
      </w:r>
      <w:r>
        <w:rPr>
          <w:rFonts w:eastAsia="宋体"/>
          <w:color w:val="000000" w:themeColor="text1"/>
          <w14:textFill>
            <w14:solidFill>
              <w14:schemeClr w14:val="tx1"/>
            </w14:solidFill>
          </w14:textFill>
        </w:rPr>
        <w:t>—河流流量，m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/s;</w:t>
      </w:r>
    </w:p>
    <w:p w14:paraId="6672D3A4">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Q</w:t>
      </w:r>
      <w:r>
        <w:rPr>
          <w:rFonts w:eastAsia="宋体"/>
          <w:color w:val="000000" w:themeColor="text1"/>
          <w:vertAlign w:val="subscript"/>
          <w14:textFill>
            <w14:solidFill>
              <w14:schemeClr w14:val="tx1"/>
            </w14:solidFill>
          </w14:textFill>
        </w:rPr>
        <w:t>p</w:t>
      </w:r>
      <w:r>
        <w:rPr>
          <w:rFonts w:eastAsia="宋体"/>
          <w:color w:val="000000" w:themeColor="text1"/>
          <w14:textFill>
            <w14:solidFill>
              <w14:schemeClr w14:val="tx1"/>
            </w14:solidFill>
          </w14:textFill>
        </w:rPr>
        <w:t>—污水流量，m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/s。</w:t>
      </w:r>
    </w:p>
    <w:p w14:paraId="320B88F9">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COD降解系数K</w:t>
      </w:r>
      <w:r>
        <w:rPr>
          <w:rFonts w:eastAsia="宋体"/>
          <w:color w:val="000000" w:themeColor="text1"/>
          <w:vertAlign w:val="subscript"/>
          <w14:textFill>
            <w14:solidFill>
              <w14:schemeClr w14:val="tx1"/>
            </w14:solidFill>
          </w14:textFill>
        </w:rPr>
        <w:t>1</w:t>
      </w:r>
      <w:r>
        <w:rPr>
          <w:rFonts w:eastAsia="宋体"/>
          <w:color w:val="000000" w:themeColor="text1"/>
          <w14:textFill>
            <w14:solidFill>
              <w14:schemeClr w14:val="tx1"/>
            </w14:solidFill>
          </w14:textFill>
        </w:rPr>
        <w:t>为0.1-0.25d</w:t>
      </w:r>
      <w:r>
        <w:rPr>
          <w:rFonts w:eastAsia="宋体"/>
          <w:color w:val="000000" w:themeColor="text1"/>
          <w:vertAlign w:val="superscript"/>
          <w14:textFill>
            <w14:solidFill>
              <w14:schemeClr w14:val="tx1"/>
            </w14:solidFill>
          </w14:textFill>
        </w:rPr>
        <w:t>-1</w:t>
      </w:r>
      <w:r>
        <w:rPr>
          <w:rFonts w:eastAsia="宋体"/>
          <w:color w:val="000000" w:themeColor="text1"/>
          <w14:textFill>
            <w14:solidFill>
              <w14:schemeClr w14:val="tx1"/>
            </w14:solidFill>
          </w14:textFill>
        </w:rPr>
        <w:t>，取0.2。</w:t>
      </w:r>
    </w:p>
    <w:p w14:paraId="687896B3">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生产废水超标排放对</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河段COD浓度影响进行预测，结算结果见表4-</w:t>
      </w:r>
      <w:r>
        <w:rPr>
          <w:rFonts w:hint="eastAsia" w:eastAsia="宋体"/>
          <w:color w:val="000000" w:themeColor="text1"/>
          <w:lang w:val="en-US" w:eastAsia="zh-CN"/>
          <w14:textFill>
            <w14:solidFill>
              <w14:schemeClr w14:val="tx1"/>
            </w14:solidFill>
          </w14:textFill>
        </w:rPr>
        <w:t>9</w:t>
      </w:r>
      <w:r>
        <w:rPr>
          <w:rFonts w:eastAsia="宋体"/>
          <w:color w:val="000000" w:themeColor="text1"/>
          <w14:textFill>
            <w14:solidFill>
              <w14:schemeClr w14:val="tx1"/>
            </w14:solidFill>
          </w14:textFill>
        </w:rPr>
        <w:t>。</w:t>
      </w:r>
    </w:p>
    <w:p w14:paraId="331B3087">
      <w:pPr>
        <w:pStyle w:val="13"/>
        <w:adjustRightInd w:val="0"/>
        <w:snapToGrid w:val="0"/>
        <w:spacing w:after="0" w:line="460" w:lineRule="exact"/>
        <w:jc w:val="center"/>
        <w:rPr>
          <w:rFonts w:eastAsia="宋体"/>
          <w:b/>
          <w:color w:val="0000FF"/>
        </w:rPr>
      </w:pPr>
      <w:r>
        <w:rPr>
          <w:rFonts w:eastAsia="宋体"/>
          <w:b/>
          <w:color w:val="000000" w:themeColor="text1"/>
          <w14:textFill>
            <w14:solidFill>
              <w14:schemeClr w14:val="tx1"/>
            </w14:solidFill>
          </w14:textFill>
        </w:rPr>
        <w:t>表4-</w:t>
      </w:r>
      <w:r>
        <w:rPr>
          <w:rFonts w:hint="eastAsia" w:eastAsia="宋体"/>
          <w:b/>
          <w:color w:val="000000" w:themeColor="text1"/>
          <w:lang w:val="en-US" w:eastAsia="zh-CN"/>
          <w14:textFill>
            <w14:solidFill>
              <w14:schemeClr w14:val="tx1"/>
            </w14:solidFill>
          </w14:textFill>
        </w:rPr>
        <w:t>9</w:t>
      </w:r>
      <w:r>
        <w:rPr>
          <w:rFonts w:eastAsia="宋体"/>
          <w:b/>
          <w:color w:val="000000" w:themeColor="text1"/>
          <w14:textFill>
            <w14:solidFill>
              <w14:schemeClr w14:val="tx1"/>
            </w14:solidFill>
          </w14:textFill>
        </w:rPr>
        <w:t>超标废水直排对下游不同断面影响</w:t>
      </w:r>
    </w:p>
    <w:tbl>
      <w:tblPr>
        <w:tblStyle w:val="39"/>
        <w:tblW w:w="87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4390"/>
      </w:tblGrid>
      <w:tr w14:paraId="2727C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390" w:type="dxa"/>
            <w:tcBorders>
              <w:tl2br w:val="nil"/>
              <w:tr2bl w:val="nil"/>
            </w:tcBorders>
            <w:vAlign w:val="center"/>
          </w:tcPr>
          <w:p w14:paraId="63161225">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排污口下游距离x（m）</w:t>
            </w:r>
          </w:p>
        </w:tc>
        <w:tc>
          <w:tcPr>
            <w:tcW w:w="4390" w:type="dxa"/>
            <w:tcBorders>
              <w:tl2br w:val="nil"/>
              <w:tr2bl w:val="nil"/>
            </w:tcBorders>
            <w:vAlign w:val="center"/>
          </w:tcPr>
          <w:p w14:paraId="7E9C3F95">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COD（mg/L）</w:t>
            </w:r>
          </w:p>
        </w:tc>
      </w:tr>
      <w:tr w14:paraId="4707BF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3E4F8078">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0</w:t>
            </w:r>
          </w:p>
        </w:tc>
        <w:tc>
          <w:tcPr>
            <w:tcW w:w="4390" w:type="dxa"/>
            <w:tcBorders>
              <w:tl2br w:val="nil"/>
              <w:tr2bl w:val="nil"/>
            </w:tcBorders>
            <w:vAlign w:val="center"/>
          </w:tcPr>
          <w:p w14:paraId="2BD8FE98">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24.69</w:t>
            </w:r>
          </w:p>
        </w:tc>
      </w:tr>
      <w:tr w14:paraId="5EBE4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68C4483E">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100</w:t>
            </w:r>
          </w:p>
        </w:tc>
        <w:tc>
          <w:tcPr>
            <w:tcW w:w="4390" w:type="dxa"/>
            <w:tcBorders>
              <w:tl2br w:val="nil"/>
              <w:tr2bl w:val="nil"/>
            </w:tcBorders>
            <w:vAlign w:val="center"/>
          </w:tcPr>
          <w:p w14:paraId="2E4011C6">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24.31</w:t>
            </w:r>
          </w:p>
        </w:tc>
      </w:tr>
      <w:tr w14:paraId="4A943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47C36B6D">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200</w:t>
            </w:r>
          </w:p>
        </w:tc>
        <w:tc>
          <w:tcPr>
            <w:tcW w:w="4390" w:type="dxa"/>
            <w:tcBorders>
              <w:tl2br w:val="nil"/>
              <w:tr2bl w:val="nil"/>
            </w:tcBorders>
            <w:vAlign w:val="center"/>
          </w:tcPr>
          <w:p w14:paraId="3AEE1D47">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23.94</w:t>
            </w:r>
          </w:p>
        </w:tc>
      </w:tr>
      <w:tr w14:paraId="2AA36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5CA42333">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300</w:t>
            </w:r>
          </w:p>
        </w:tc>
        <w:tc>
          <w:tcPr>
            <w:tcW w:w="4390" w:type="dxa"/>
            <w:tcBorders>
              <w:tl2br w:val="nil"/>
              <w:tr2bl w:val="nil"/>
            </w:tcBorders>
            <w:vAlign w:val="center"/>
          </w:tcPr>
          <w:p w14:paraId="1610C140">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23.57</w:t>
            </w:r>
          </w:p>
        </w:tc>
      </w:tr>
      <w:tr w14:paraId="7F0F2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763DCCEF">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400</w:t>
            </w:r>
          </w:p>
        </w:tc>
        <w:tc>
          <w:tcPr>
            <w:tcW w:w="4390" w:type="dxa"/>
            <w:tcBorders>
              <w:tl2br w:val="nil"/>
              <w:tr2bl w:val="nil"/>
            </w:tcBorders>
            <w:vAlign w:val="center"/>
          </w:tcPr>
          <w:p w14:paraId="2DD8579F">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23.21</w:t>
            </w:r>
          </w:p>
        </w:tc>
      </w:tr>
      <w:tr w14:paraId="6C212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4D9549E8">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500</w:t>
            </w:r>
          </w:p>
        </w:tc>
        <w:tc>
          <w:tcPr>
            <w:tcW w:w="4390" w:type="dxa"/>
            <w:tcBorders>
              <w:tl2br w:val="nil"/>
              <w:tr2bl w:val="nil"/>
            </w:tcBorders>
            <w:vAlign w:val="center"/>
          </w:tcPr>
          <w:p w14:paraId="0AD12FEE">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22.86</w:t>
            </w:r>
          </w:p>
        </w:tc>
      </w:tr>
      <w:tr w14:paraId="1773A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2B9F700B">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600</w:t>
            </w:r>
          </w:p>
        </w:tc>
        <w:tc>
          <w:tcPr>
            <w:tcW w:w="4390" w:type="dxa"/>
            <w:tcBorders>
              <w:tl2br w:val="nil"/>
              <w:tr2bl w:val="nil"/>
            </w:tcBorders>
            <w:vAlign w:val="center"/>
          </w:tcPr>
          <w:p w14:paraId="2FC54479">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22.51</w:t>
            </w:r>
          </w:p>
        </w:tc>
      </w:tr>
      <w:tr w14:paraId="61A7C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90" w:type="dxa"/>
            <w:tcBorders>
              <w:tl2br w:val="nil"/>
              <w:tr2bl w:val="nil"/>
            </w:tcBorders>
            <w:vAlign w:val="center"/>
          </w:tcPr>
          <w:p w14:paraId="19278EEF">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700</w:t>
            </w:r>
          </w:p>
        </w:tc>
        <w:tc>
          <w:tcPr>
            <w:tcW w:w="4390" w:type="dxa"/>
            <w:tcBorders>
              <w:tl2br w:val="nil"/>
              <w:tr2bl w:val="nil"/>
            </w:tcBorders>
            <w:vAlign w:val="center"/>
          </w:tcPr>
          <w:p w14:paraId="2ED7FEE7">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22.16</w:t>
            </w:r>
          </w:p>
        </w:tc>
      </w:tr>
      <w:tr w14:paraId="5AF4B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1C4A8468">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800</w:t>
            </w:r>
          </w:p>
        </w:tc>
        <w:tc>
          <w:tcPr>
            <w:tcW w:w="4390" w:type="dxa"/>
            <w:vAlign w:val="center"/>
          </w:tcPr>
          <w:p w14:paraId="40422CF4">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21.82</w:t>
            </w:r>
          </w:p>
        </w:tc>
      </w:tr>
      <w:tr w14:paraId="382DD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4E4CF0BF">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900</w:t>
            </w:r>
          </w:p>
        </w:tc>
        <w:tc>
          <w:tcPr>
            <w:tcW w:w="4390" w:type="dxa"/>
            <w:vAlign w:val="center"/>
          </w:tcPr>
          <w:p w14:paraId="25B45A82">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21.49</w:t>
            </w:r>
          </w:p>
        </w:tc>
      </w:tr>
      <w:tr w14:paraId="480FE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48A3B7A3">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1000</w:t>
            </w:r>
          </w:p>
        </w:tc>
        <w:tc>
          <w:tcPr>
            <w:tcW w:w="4390" w:type="dxa"/>
            <w:vAlign w:val="center"/>
          </w:tcPr>
          <w:p w14:paraId="7B64C76E">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21.16</w:t>
            </w:r>
          </w:p>
        </w:tc>
      </w:tr>
      <w:tr w14:paraId="22625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38C75225">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1100</w:t>
            </w:r>
          </w:p>
        </w:tc>
        <w:tc>
          <w:tcPr>
            <w:tcW w:w="4390" w:type="dxa"/>
            <w:vAlign w:val="center"/>
          </w:tcPr>
          <w:p w14:paraId="4446B8CC">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20.84</w:t>
            </w:r>
          </w:p>
        </w:tc>
      </w:tr>
      <w:tr w14:paraId="3F1A6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5F36845C">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1200</w:t>
            </w:r>
          </w:p>
        </w:tc>
        <w:tc>
          <w:tcPr>
            <w:tcW w:w="4390" w:type="dxa"/>
            <w:vAlign w:val="center"/>
          </w:tcPr>
          <w:p w14:paraId="665763A9">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20.52</w:t>
            </w:r>
          </w:p>
        </w:tc>
      </w:tr>
      <w:tr w14:paraId="5D607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3D416757">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1300</w:t>
            </w:r>
          </w:p>
        </w:tc>
        <w:tc>
          <w:tcPr>
            <w:tcW w:w="4390" w:type="dxa"/>
            <w:vAlign w:val="center"/>
          </w:tcPr>
          <w:p w14:paraId="5656635D">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20.20</w:t>
            </w:r>
          </w:p>
        </w:tc>
      </w:tr>
      <w:tr w14:paraId="73C4D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bottom w:val="single" w:color="auto" w:sz="12" w:space="0"/>
            </w:tcBorders>
            <w:vAlign w:val="center"/>
          </w:tcPr>
          <w:p w14:paraId="51CB84CD">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1400</w:t>
            </w:r>
          </w:p>
        </w:tc>
        <w:tc>
          <w:tcPr>
            <w:tcW w:w="4390" w:type="dxa"/>
            <w:tcBorders>
              <w:bottom w:val="single" w:color="auto" w:sz="12" w:space="0"/>
            </w:tcBorders>
            <w:vAlign w:val="center"/>
          </w:tcPr>
          <w:p w14:paraId="12537DBF">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19.89</w:t>
            </w:r>
          </w:p>
        </w:tc>
      </w:tr>
    </w:tbl>
    <w:p w14:paraId="4F4A051B">
      <w:pPr>
        <w:spacing w:line="500" w:lineRule="exac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由上表可以看出，初始混合浓</w:t>
      </w:r>
      <w:r>
        <w:rPr>
          <w:rFonts w:eastAsia="宋体"/>
          <w:color w:val="000000" w:themeColor="text1"/>
          <w14:textFill>
            <w14:solidFill>
              <w14:schemeClr w14:val="tx1"/>
            </w14:solidFill>
          </w14:textFill>
        </w:rPr>
        <w:t>度为</w:t>
      </w:r>
      <w:r>
        <w:rPr>
          <w:rFonts w:hint="eastAsia" w:eastAsia="宋体"/>
          <w:color w:val="000000" w:themeColor="text1"/>
          <w14:textFill>
            <w14:solidFill>
              <w14:schemeClr w14:val="tx1"/>
            </w14:solidFill>
          </w14:textFill>
        </w:rPr>
        <w:t>24.69</w:t>
      </w:r>
      <w:r>
        <w:rPr>
          <w:rFonts w:eastAsia="宋体"/>
          <w:color w:val="000000" w:themeColor="text1"/>
          <w14:textFill>
            <w14:solidFill>
              <w14:schemeClr w14:val="tx1"/>
            </w14:solidFill>
          </w14:textFill>
        </w:rPr>
        <w:t>mg/L，与本底值（</w:t>
      </w:r>
      <w:r>
        <w:rPr>
          <w:rFonts w:hint="eastAsia" w:eastAsia="宋体"/>
          <w:color w:val="000000" w:themeColor="text1"/>
          <w14:textFill>
            <w14:solidFill>
              <w14:schemeClr w14:val="tx1"/>
            </w14:solidFill>
          </w14:textFill>
        </w:rPr>
        <w:t>20</w:t>
      </w:r>
      <w:r>
        <w:rPr>
          <w:rFonts w:eastAsia="宋体"/>
          <w:color w:val="000000" w:themeColor="text1"/>
          <w14:textFill>
            <w14:solidFill>
              <w14:schemeClr w14:val="tx1"/>
            </w14:solidFill>
          </w14:textFill>
        </w:rPr>
        <w:t>mg/L）相比，超标废水直接进入</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将对</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断面COD指标</w:t>
      </w:r>
      <w:r>
        <w:rPr>
          <w:rFonts w:hint="eastAsia" w:ascii="宋体" w:hAnsi="宋体" w:eastAsia="宋体" w:cs="宋体"/>
          <w:color w:val="000000" w:themeColor="text1"/>
          <w14:textFill>
            <w14:solidFill>
              <w14:schemeClr w14:val="tx1"/>
            </w14:solidFill>
          </w14:textFill>
        </w:rPr>
        <w:t>有一定影响。</w:t>
      </w:r>
    </w:p>
    <w:p w14:paraId="72948F7D">
      <w:pPr>
        <w:pStyle w:val="4"/>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30" w:name="_Toc6431"/>
      <w:bookmarkStart w:id="231" w:name="_Toc19761"/>
      <w:bookmarkStart w:id="232" w:name="_Toc8859"/>
      <w:r>
        <w:rPr>
          <w:rFonts w:hint="eastAsia" w:eastAsia="宋体"/>
          <w:color w:val="000000" w:themeColor="text1"/>
          <w:lang w:val="en-US" w:eastAsia="zh-CN"/>
          <w14:textFill>
            <w14:solidFill>
              <w14:schemeClr w14:val="tx1"/>
            </w14:solidFill>
          </w14:textFill>
        </w:rPr>
        <w:t>1</w:t>
      </w:r>
      <w:r>
        <w:rPr>
          <w:rFonts w:eastAsia="宋体"/>
          <w:color w:val="000000" w:themeColor="text1"/>
          <w14:textFill>
            <w14:solidFill>
              <w14:schemeClr w14:val="tx1"/>
            </w14:solidFill>
          </w14:textFill>
        </w:rPr>
        <w:t>4.4.</w:t>
      </w:r>
      <w:r>
        <w:rPr>
          <w:rFonts w:hint="eastAsia" w:eastAsia="宋体"/>
          <w:color w:val="000000" w:themeColor="text1"/>
          <w14:textFill>
            <w14:solidFill>
              <w14:schemeClr w14:val="tx1"/>
            </w14:solidFill>
          </w14:textFill>
        </w:rPr>
        <w:t>3</w:t>
      </w:r>
      <w:r>
        <w:rPr>
          <w:rFonts w:eastAsia="宋体"/>
          <w:color w:val="000000" w:themeColor="text1"/>
          <w14:textFill>
            <w14:solidFill>
              <w14:schemeClr w14:val="tx1"/>
            </w14:solidFill>
          </w14:textFill>
        </w:rPr>
        <w:t>事件情景</w:t>
      </w:r>
      <w:bookmarkEnd w:id="229"/>
      <w:bookmarkEnd w:id="230"/>
      <w:bookmarkEnd w:id="231"/>
      <w:bookmarkEnd w:id="232"/>
      <w:r>
        <w:rPr>
          <w:rFonts w:hint="eastAsia" w:eastAsia="宋体"/>
          <w:color w:val="000000" w:themeColor="text1"/>
          <w:lang w:val="en-US" w:eastAsia="zh-CN"/>
          <w14:textFill>
            <w14:solidFill>
              <w14:schemeClr w14:val="tx1"/>
            </w14:solidFill>
          </w14:textFill>
        </w:rPr>
        <w:t>7、8</w:t>
      </w:r>
    </w:p>
    <w:p w14:paraId="2EA5B04F">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废气超标排放对外环境影响根据大气环境影响评价技术导则中的单源预测模式。根据公司验收报告，预测源强参数见</w:t>
      </w:r>
      <w:r>
        <w:rPr>
          <w:rFonts w:eastAsia="宋体"/>
          <w:color w:val="000000" w:themeColor="text1"/>
          <w14:textFill>
            <w14:solidFill>
              <w14:schemeClr w14:val="tx1"/>
            </w14:solidFill>
          </w14:textFill>
        </w:rPr>
        <w:t>表4-</w:t>
      </w:r>
      <w:r>
        <w:rPr>
          <w:rFonts w:hint="eastAsia" w:eastAsia="宋体"/>
          <w:color w:val="000000" w:themeColor="text1"/>
          <w14:textFill>
            <w14:solidFill>
              <w14:schemeClr w14:val="tx1"/>
            </w14:solidFill>
          </w14:textFill>
        </w:rPr>
        <w:t>1</w:t>
      </w:r>
      <w:r>
        <w:rPr>
          <w:rFonts w:hint="eastAsia" w:eastAsia="宋体"/>
          <w:color w:val="000000" w:themeColor="text1"/>
          <w:lang w:val="en-US" w:eastAsia="zh-CN"/>
          <w14:textFill>
            <w14:solidFill>
              <w14:schemeClr w14:val="tx1"/>
            </w14:solidFill>
          </w14:textFill>
        </w:rPr>
        <w:t>0</w:t>
      </w:r>
      <w:r>
        <w:rPr>
          <w:rFonts w:eastAsia="宋体"/>
          <w:color w:val="000000" w:themeColor="text1"/>
          <w14:textFill>
            <w14:solidFill>
              <w14:schemeClr w14:val="tx1"/>
            </w14:solidFill>
          </w14:textFill>
        </w:rPr>
        <w:t>，预测结果见表4-</w:t>
      </w:r>
      <w:r>
        <w:rPr>
          <w:rFonts w:hint="eastAsia" w:eastAsia="宋体"/>
          <w:color w:val="000000" w:themeColor="text1"/>
          <w14:textFill>
            <w14:solidFill>
              <w14:schemeClr w14:val="tx1"/>
            </w14:solidFill>
          </w14:textFill>
        </w:rPr>
        <w:t>1</w:t>
      </w:r>
      <w:r>
        <w:rPr>
          <w:rFonts w:hint="eastAsia" w:eastAsia="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w:t>
      </w:r>
    </w:p>
    <w:p w14:paraId="6154E127">
      <w:pPr>
        <w:pStyle w:val="12"/>
        <w:adjustRightInd w:val="0"/>
        <w:snapToGrid w:val="0"/>
        <w:spacing w:line="460" w:lineRule="exact"/>
        <w:jc w:val="center"/>
        <w:rPr>
          <w:color w:val="000000" w:themeColor="text1"/>
          <w:highlight w:val="yellow"/>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表</w:t>
      </w:r>
      <w:r>
        <w:rPr>
          <w:rFonts w:eastAsia="宋体"/>
          <w:b/>
          <w:color w:val="000000" w:themeColor="text1"/>
          <w14:textFill>
            <w14:solidFill>
              <w14:schemeClr w14:val="tx1"/>
            </w14:solidFill>
          </w14:textFill>
        </w:rPr>
        <w:t>4-</w:t>
      </w:r>
      <w:r>
        <w:rPr>
          <w:rFonts w:hint="eastAsia" w:eastAsia="宋体"/>
          <w:b/>
          <w:color w:val="000000" w:themeColor="text1"/>
          <w14:textFill>
            <w14:solidFill>
              <w14:schemeClr w14:val="tx1"/>
            </w14:solidFill>
          </w14:textFill>
        </w:rPr>
        <w:t>11</w:t>
      </w:r>
      <w:r>
        <w:rPr>
          <w:rFonts w:hint="eastAsia" w:ascii="宋体" w:hAnsi="宋体" w:eastAsia="宋体" w:cs="宋体"/>
          <w:b/>
          <w:color w:val="000000" w:themeColor="text1"/>
          <w14:textFill>
            <w14:solidFill>
              <w14:schemeClr w14:val="tx1"/>
            </w14:solidFill>
          </w14:textFill>
        </w:rPr>
        <w:t>有组织污染源参数</w:t>
      </w:r>
    </w:p>
    <w:tbl>
      <w:tblPr>
        <w:tblStyle w:val="38"/>
        <w:tblW w:w="524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862"/>
        <w:gridCol w:w="1033"/>
        <w:gridCol w:w="1119"/>
        <w:gridCol w:w="1332"/>
        <w:gridCol w:w="1092"/>
        <w:gridCol w:w="1030"/>
        <w:gridCol w:w="1480"/>
        <w:gridCol w:w="1544"/>
      </w:tblGrid>
      <w:tr w14:paraId="0C5839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454" w:type="pct"/>
            <w:tcBorders>
              <w:tl2br w:val="nil"/>
              <w:tr2bl w:val="nil"/>
            </w:tcBorders>
            <w:vAlign w:val="center"/>
          </w:tcPr>
          <w:p w14:paraId="3B57130B">
            <w:pPr>
              <w:pStyle w:val="119"/>
              <w:adjustRightInd w:val="0"/>
              <w:spacing w:line="240" w:lineRule="auto"/>
              <w:rPr>
                <w:rFonts w:eastAsia="宋体"/>
                <w:color w:val="000000" w:themeColor="text1"/>
                <w:kern w:val="2"/>
                <w:sz w:val="21"/>
                <w14:textFill>
                  <w14:solidFill>
                    <w14:schemeClr w14:val="tx1"/>
                  </w14:solidFill>
                </w14:textFill>
              </w:rPr>
            </w:pPr>
            <w:r>
              <w:rPr>
                <w:rFonts w:eastAsia="宋体"/>
                <w:color w:val="000000" w:themeColor="text1"/>
                <w:kern w:val="2"/>
                <w:sz w:val="21"/>
                <w14:textFill>
                  <w14:solidFill>
                    <w14:schemeClr w14:val="tx1"/>
                  </w14:solidFill>
                </w14:textFill>
              </w:rPr>
              <w:t>污染源</w:t>
            </w:r>
          </w:p>
        </w:tc>
        <w:tc>
          <w:tcPr>
            <w:tcW w:w="544" w:type="pct"/>
            <w:tcBorders>
              <w:tl2br w:val="nil"/>
              <w:tr2bl w:val="nil"/>
            </w:tcBorders>
            <w:vAlign w:val="center"/>
          </w:tcPr>
          <w:p w14:paraId="02D34FE2">
            <w:pPr>
              <w:pStyle w:val="119"/>
              <w:adjustRightInd w:val="0"/>
              <w:spacing w:line="240" w:lineRule="auto"/>
              <w:rPr>
                <w:rFonts w:eastAsia="宋体"/>
                <w:color w:val="000000" w:themeColor="text1"/>
                <w:kern w:val="2"/>
                <w:sz w:val="21"/>
                <w14:textFill>
                  <w14:solidFill>
                    <w14:schemeClr w14:val="tx1"/>
                  </w14:solidFill>
                </w14:textFill>
              </w:rPr>
            </w:pPr>
            <w:r>
              <w:rPr>
                <w:rFonts w:eastAsia="宋体"/>
                <w:color w:val="000000" w:themeColor="text1"/>
                <w:kern w:val="2"/>
                <w:sz w:val="21"/>
                <w14:textFill>
                  <w14:solidFill>
                    <w14:schemeClr w14:val="tx1"/>
                  </w14:solidFill>
                </w14:textFill>
              </w:rPr>
              <w:t>污染物名称</w:t>
            </w:r>
          </w:p>
        </w:tc>
        <w:tc>
          <w:tcPr>
            <w:tcW w:w="589" w:type="pct"/>
            <w:tcBorders>
              <w:tl2br w:val="nil"/>
              <w:tr2bl w:val="nil"/>
            </w:tcBorders>
            <w:vAlign w:val="center"/>
          </w:tcPr>
          <w:p w14:paraId="38CC596B">
            <w:pPr>
              <w:pStyle w:val="119"/>
              <w:adjustRightInd w:val="0"/>
              <w:spacing w:line="240" w:lineRule="auto"/>
              <w:rPr>
                <w:rFonts w:eastAsia="宋体"/>
                <w:color w:val="000000" w:themeColor="text1"/>
                <w:kern w:val="2"/>
                <w:sz w:val="21"/>
                <w14:textFill>
                  <w14:solidFill>
                    <w14:schemeClr w14:val="tx1"/>
                  </w14:solidFill>
                </w14:textFill>
              </w:rPr>
            </w:pPr>
            <w:r>
              <w:rPr>
                <w:rFonts w:eastAsia="宋体"/>
                <w:color w:val="000000" w:themeColor="text1"/>
                <w:kern w:val="2"/>
                <w:sz w:val="21"/>
                <w14:textFill>
                  <w14:solidFill>
                    <w14:schemeClr w14:val="tx1"/>
                  </w14:solidFill>
                </w14:textFill>
              </w:rPr>
              <w:t>排气筒高度（m）</w:t>
            </w:r>
          </w:p>
        </w:tc>
        <w:tc>
          <w:tcPr>
            <w:tcW w:w="701" w:type="pct"/>
            <w:tcBorders>
              <w:tl2br w:val="nil"/>
              <w:tr2bl w:val="nil"/>
            </w:tcBorders>
            <w:vAlign w:val="center"/>
          </w:tcPr>
          <w:p w14:paraId="33C33C33">
            <w:pPr>
              <w:pStyle w:val="119"/>
              <w:adjustRightInd w:val="0"/>
              <w:spacing w:line="240" w:lineRule="auto"/>
              <w:rPr>
                <w:rFonts w:eastAsia="宋体"/>
                <w:color w:val="000000" w:themeColor="text1"/>
                <w:kern w:val="2"/>
                <w:sz w:val="21"/>
                <w14:textFill>
                  <w14:solidFill>
                    <w14:schemeClr w14:val="tx1"/>
                  </w14:solidFill>
                </w14:textFill>
              </w:rPr>
            </w:pPr>
            <w:r>
              <w:rPr>
                <w:rFonts w:hint="eastAsia" w:eastAsia="宋体"/>
                <w:color w:val="000000" w:themeColor="text1"/>
                <w:kern w:val="2"/>
                <w:sz w:val="21"/>
                <w14:textFill>
                  <w14:solidFill>
                    <w14:schemeClr w14:val="tx1"/>
                  </w14:solidFill>
                </w14:textFill>
              </w:rPr>
              <w:t>排气筒出口内径（m）</w:t>
            </w:r>
          </w:p>
        </w:tc>
        <w:tc>
          <w:tcPr>
            <w:tcW w:w="575" w:type="pct"/>
            <w:tcBorders>
              <w:tl2br w:val="nil"/>
              <w:tr2bl w:val="nil"/>
            </w:tcBorders>
            <w:vAlign w:val="center"/>
          </w:tcPr>
          <w:p w14:paraId="0CDE70A6">
            <w:pPr>
              <w:pStyle w:val="119"/>
              <w:adjustRightInd w:val="0"/>
              <w:spacing w:line="240" w:lineRule="auto"/>
              <w:rPr>
                <w:rFonts w:eastAsia="宋体"/>
                <w:color w:val="000000" w:themeColor="text1"/>
                <w:kern w:val="2"/>
                <w:sz w:val="21"/>
                <w14:textFill>
                  <w14:solidFill>
                    <w14:schemeClr w14:val="tx1"/>
                  </w14:solidFill>
                </w14:textFill>
              </w:rPr>
            </w:pPr>
            <w:r>
              <w:rPr>
                <w:rFonts w:eastAsia="宋体"/>
                <w:color w:val="000000" w:themeColor="text1"/>
                <w:kern w:val="2"/>
                <w:sz w:val="21"/>
                <w14:textFill>
                  <w14:solidFill>
                    <w14:schemeClr w14:val="tx1"/>
                  </w14:solidFill>
                </w14:textFill>
              </w:rPr>
              <w:t>标况气量（m</w:t>
            </w:r>
            <w:r>
              <w:rPr>
                <w:rFonts w:eastAsia="宋体"/>
                <w:color w:val="000000" w:themeColor="text1"/>
                <w:kern w:val="2"/>
                <w:sz w:val="21"/>
                <w:vertAlign w:val="superscript"/>
                <w14:textFill>
                  <w14:solidFill>
                    <w14:schemeClr w14:val="tx1"/>
                  </w14:solidFill>
                </w14:textFill>
              </w:rPr>
              <w:t>3</w:t>
            </w:r>
            <w:r>
              <w:rPr>
                <w:rFonts w:eastAsia="宋体"/>
                <w:color w:val="000000" w:themeColor="text1"/>
                <w:kern w:val="2"/>
                <w:sz w:val="21"/>
                <w14:textFill>
                  <w14:solidFill>
                    <w14:schemeClr w14:val="tx1"/>
                  </w14:solidFill>
                </w14:textFill>
              </w:rPr>
              <w:t>/h）</w:t>
            </w:r>
          </w:p>
        </w:tc>
        <w:tc>
          <w:tcPr>
            <w:tcW w:w="542" w:type="pct"/>
            <w:tcBorders>
              <w:tl2br w:val="nil"/>
              <w:tr2bl w:val="nil"/>
            </w:tcBorders>
            <w:vAlign w:val="center"/>
          </w:tcPr>
          <w:p w14:paraId="405600B1">
            <w:pPr>
              <w:pStyle w:val="119"/>
              <w:adjustRightInd w:val="0"/>
              <w:spacing w:line="240" w:lineRule="auto"/>
              <w:rPr>
                <w:rFonts w:eastAsia="宋体"/>
                <w:color w:val="000000" w:themeColor="text1"/>
                <w:kern w:val="2"/>
                <w:sz w:val="21"/>
                <w14:textFill>
                  <w14:solidFill>
                    <w14:schemeClr w14:val="tx1"/>
                  </w14:solidFill>
                </w14:textFill>
              </w:rPr>
            </w:pPr>
            <w:r>
              <w:rPr>
                <w:rFonts w:hint="eastAsia" w:eastAsia="宋体"/>
                <w:color w:val="000000" w:themeColor="text1"/>
                <w:kern w:val="2"/>
                <w:sz w:val="21"/>
                <w14:textFill>
                  <w14:solidFill>
                    <w14:schemeClr w14:val="tx1"/>
                  </w14:solidFill>
                </w14:textFill>
              </w:rPr>
              <w:t>烟气温度（℃）</w:t>
            </w:r>
          </w:p>
        </w:tc>
        <w:tc>
          <w:tcPr>
            <w:tcW w:w="779" w:type="pct"/>
            <w:tcBorders>
              <w:tl2br w:val="nil"/>
              <w:tr2bl w:val="nil"/>
            </w:tcBorders>
            <w:vAlign w:val="center"/>
          </w:tcPr>
          <w:p w14:paraId="6AAD1C11">
            <w:pPr>
              <w:pStyle w:val="119"/>
              <w:adjustRightInd w:val="0"/>
              <w:spacing w:line="240" w:lineRule="auto"/>
              <w:rPr>
                <w:rFonts w:eastAsia="宋体"/>
                <w:color w:val="000000" w:themeColor="text1"/>
                <w:kern w:val="2"/>
                <w:sz w:val="21"/>
                <w14:textFill>
                  <w14:solidFill>
                    <w14:schemeClr w14:val="tx1"/>
                  </w14:solidFill>
                </w14:textFill>
              </w:rPr>
            </w:pPr>
            <w:r>
              <w:rPr>
                <w:rFonts w:eastAsia="宋体"/>
                <w:color w:val="000000" w:themeColor="text1"/>
                <w:kern w:val="2"/>
                <w:sz w:val="21"/>
                <w14:textFill>
                  <w14:solidFill>
                    <w14:schemeClr w14:val="tx1"/>
                  </w14:solidFill>
                </w14:textFill>
              </w:rPr>
              <w:t>评价标准</w:t>
            </w:r>
          </w:p>
          <w:p w14:paraId="6D9CB1B6">
            <w:pPr>
              <w:pStyle w:val="119"/>
              <w:adjustRightInd w:val="0"/>
              <w:spacing w:line="240" w:lineRule="auto"/>
              <w:rPr>
                <w:rFonts w:eastAsia="宋体"/>
                <w:color w:val="000000" w:themeColor="text1"/>
                <w:kern w:val="2"/>
                <w:sz w:val="21"/>
                <w14:textFill>
                  <w14:solidFill>
                    <w14:schemeClr w14:val="tx1"/>
                  </w14:solidFill>
                </w14:textFill>
              </w:rPr>
            </w:pPr>
            <w:r>
              <w:rPr>
                <w:rFonts w:eastAsia="宋体"/>
                <w:color w:val="000000" w:themeColor="text1"/>
                <w:kern w:val="2"/>
                <w:sz w:val="21"/>
                <w14:textFill>
                  <w14:solidFill>
                    <w14:schemeClr w14:val="tx1"/>
                  </w14:solidFill>
                </w14:textFill>
              </w:rPr>
              <w:t>（µg/m</w:t>
            </w:r>
            <w:r>
              <w:rPr>
                <w:rFonts w:eastAsia="宋体"/>
                <w:color w:val="000000" w:themeColor="text1"/>
                <w:kern w:val="2"/>
                <w:sz w:val="21"/>
                <w:vertAlign w:val="superscript"/>
                <w14:textFill>
                  <w14:solidFill>
                    <w14:schemeClr w14:val="tx1"/>
                  </w14:solidFill>
                </w14:textFill>
              </w:rPr>
              <w:t>3</w:t>
            </w:r>
            <w:r>
              <w:rPr>
                <w:rFonts w:eastAsia="宋体"/>
                <w:color w:val="000000" w:themeColor="text1"/>
                <w:kern w:val="2"/>
                <w:sz w:val="21"/>
                <w14:textFill>
                  <w14:solidFill>
                    <w14:schemeClr w14:val="tx1"/>
                  </w14:solidFill>
                </w14:textFill>
              </w:rPr>
              <w:t>）</w:t>
            </w:r>
          </w:p>
        </w:tc>
        <w:tc>
          <w:tcPr>
            <w:tcW w:w="813" w:type="pct"/>
            <w:tcBorders>
              <w:tl2br w:val="nil"/>
              <w:tr2bl w:val="nil"/>
            </w:tcBorders>
            <w:vAlign w:val="center"/>
          </w:tcPr>
          <w:p w14:paraId="6C91D45D">
            <w:pPr>
              <w:pStyle w:val="119"/>
              <w:adjustRightInd w:val="0"/>
              <w:spacing w:line="240" w:lineRule="auto"/>
              <w:rPr>
                <w:rFonts w:eastAsia="宋体"/>
                <w:color w:val="000000" w:themeColor="text1"/>
                <w:kern w:val="2"/>
                <w:sz w:val="21"/>
                <w14:textFill>
                  <w14:solidFill>
                    <w14:schemeClr w14:val="tx1"/>
                  </w14:solidFill>
                </w14:textFill>
              </w:rPr>
            </w:pPr>
            <w:r>
              <w:rPr>
                <w:rFonts w:eastAsia="宋体"/>
                <w:color w:val="000000" w:themeColor="text1"/>
                <w:kern w:val="2"/>
                <w:sz w:val="21"/>
                <w14:textFill>
                  <w14:solidFill>
                    <w14:schemeClr w14:val="tx1"/>
                  </w14:solidFill>
                </w14:textFill>
              </w:rPr>
              <w:t>非正常排放时源强（kg/h）</w:t>
            </w:r>
          </w:p>
        </w:tc>
      </w:tr>
      <w:tr w14:paraId="6133E5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54" w:type="pct"/>
            <w:tcBorders>
              <w:tl2br w:val="nil"/>
              <w:tr2bl w:val="nil"/>
            </w:tcBorders>
            <w:vAlign w:val="center"/>
          </w:tcPr>
          <w:p w14:paraId="0E286334">
            <w:pPr>
              <w:pStyle w:val="143"/>
              <w:rPr>
                <w:rFonts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1#排气筒</w:t>
            </w:r>
          </w:p>
        </w:tc>
        <w:tc>
          <w:tcPr>
            <w:tcW w:w="544" w:type="pct"/>
            <w:tcBorders>
              <w:tl2br w:val="nil"/>
              <w:tr2bl w:val="nil"/>
            </w:tcBorders>
            <w:vAlign w:val="center"/>
          </w:tcPr>
          <w:p w14:paraId="7BADA445">
            <w:pPr>
              <w:pStyle w:val="143"/>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589" w:type="pct"/>
            <w:tcBorders>
              <w:tl2br w:val="nil"/>
              <w:tr2bl w:val="nil"/>
            </w:tcBorders>
            <w:vAlign w:val="center"/>
          </w:tcPr>
          <w:p w14:paraId="640A7D9A">
            <w:pPr>
              <w:pStyle w:val="143"/>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20</w:t>
            </w:r>
          </w:p>
        </w:tc>
        <w:tc>
          <w:tcPr>
            <w:tcW w:w="701" w:type="pct"/>
            <w:tcBorders>
              <w:tl2br w:val="nil"/>
              <w:tr2bl w:val="nil"/>
            </w:tcBorders>
            <w:vAlign w:val="center"/>
          </w:tcPr>
          <w:p w14:paraId="4AC652AF">
            <w:pPr>
              <w:pStyle w:val="143"/>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1</w:t>
            </w:r>
          </w:p>
        </w:tc>
        <w:tc>
          <w:tcPr>
            <w:tcW w:w="575" w:type="pct"/>
            <w:tcBorders>
              <w:tl2br w:val="nil"/>
              <w:tr2bl w:val="nil"/>
            </w:tcBorders>
            <w:shd w:val="clear" w:color="auto" w:fill="FFFFFF"/>
            <w:vAlign w:val="center"/>
          </w:tcPr>
          <w:p w14:paraId="7DBFB58E">
            <w:pPr>
              <w:pStyle w:val="143"/>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6924</w:t>
            </w:r>
          </w:p>
        </w:tc>
        <w:tc>
          <w:tcPr>
            <w:tcW w:w="542" w:type="pct"/>
            <w:tcBorders>
              <w:tl2br w:val="nil"/>
              <w:tr2bl w:val="nil"/>
            </w:tcBorders>
            <w:vAlign w:val="center"/>
          </w:tcPr>
          <w:p w14:paraId="3436ADB7">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25</w:t>
            </w:r>
          </w:p>
        </w:tc>
        <w:tc>
          <w:tcPr>
            <w:tcW w:w="779" w:type="pct"/>
            <w:tcBorders>
              <w:tl2br w:val="nil"/>
              <w:tr2bl w:val="nil"/>
            </w:tcBorders>
            <w:vAlign w:val="center"/>
          </w:tcPr>
          <w:p w14:paraId="281A32A2">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300（日均值）</w:t>
            </w:r>
          </w:p>
        </w:tc>
        <w:tc>
          <w:tcPr>
            <w:tcW w:w="813" w:type="pct"/>
            <w:tcBorders>
              <w:tl2br w:val="nil"/>
              <w:tr2bl w:val="nil"/>
            </w:tcBorders>
            <w:vAlign w:val="center"/>
          </w:tcPr>
          <w:p w14:paraId="2D8B0786">
            <w:pPr>
              <w:pStyle w:val="143"/>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7.4</w:t>
            </w:r>
          </w:p>
        </w:tc>
      </w:tr>
      <w:tr w14:paraId="761E05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54" w:type="pct"/>
            <w:vMerge w:val="restart"/>
            <w:tcBorders>
              <w:tl2br w:val="nil"/>
              <w:tr2bl w:val="nil"/>
            </w:tcBorders>
            <w:vAlign w:val="center"/>
          </w:tcPr>
          <w:p w14:paraId="37E6EAEB">
            <w:pPr>
              <w:pStyle w:val="143"/>
              <w:rPr>
                <w:rFonts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#排气筒</w:t>
            </w:r>
          </w:p>
        </w:tc>
        <w:tc>
          <w:tcPr>
            <w:tcW w:w="544" w:type="pct"/>
            <w:tcBorders>
              <w:tl2br w:val="nil"/>
              <w:tr2bl w:val="nil"/>
            </w:tcBorders>
            <w:vAlign w:val="center"/>
          </w:tcPr>
          <w:p w14:paraId="4EFED935">
            <w:pPr>
              <w:pStyle w:val="143"/>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589" w:type="pct"/>
            <w:vMerge w:val="restart"/>
            <w:tcBorders>
              <w:tl2br w:val="nil"/>
              <w:tr2bl w:val="nil"/>
            </w:tcBorders>
            <w:vAlign w:val="center"/>
          </w:tcPr>
          <w:p w14:paraId="286AEE97">
            <w:pPr>
              <w:pStyle w:val="143"/>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20</w:t>
            </w:r>
          </w:p>
        </w:tc>
        <w:tc>
          <w:tcPr>
            <w:tcW w:w="701" w:type="pct"/>
            <w:vMerge w:val="restart"/>
            <w:tcBorders>
              <w:tl2br w:val="nil"/>
              <w:tr2bl w:val="nil"/>
            </w:tcBorders>
            <w:vAlign w:val="center"/>
          </w:tcPr>
          <w:p w14:paraId="4E40F58A">
            <w:pPr>
              <w:pStyle w:val="143"/>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0.8</w:t>
            </w:r>
          </w:p>
        </w:tc>
        <w:tc>
          <w:tcPr>
            <w:tcW w:w="575" w:type="pct"/>
            <w:vMerge w:val="restart"/>
            <w:tcBorders>
              <w:tl2br w:val="nil"/>
              <w:tr2bl w:val="nil"/>
            </w:tcBorders>
            <w:shd w:val="clear" w:color="auto" w:fill="FFFFFF"/>
            <w:vAlign w:val="center"/>
          </w:tcPr>
          <w:p w14:paraId="18FEDD2E">
            <w:pPr>
              <w:pStyle w:val="143"/>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lang w:val="en-US" w:eastAsia="zh-CN"/>
              </w:rPr>
              <w:t>3919</w:t>
            </w:r>
          </w:p>
          <w:p w14:paraId="261B8575">
            <w:pPr>
              <w:pStyle w:val="143"/>
              <w:rPr>
                <w:rFonts w:hint="default" w:ascii="Times New Roman" w:hAnsi="Times New Roman" w:eastAsia="宋体" w:cs="Times New Roman"/>
                <w:kern w:val="2"/>
                <w:sz w:val="21"/>
                <w:szCs w:val="21"/>
                <w:lang w:val="en-US" w:eastAsia="zh-CN" w:bidi="ar-SA"/>
              </w:rPr>
            </w:pPr>
          </w:p>
        </w:tc>
        <w:tc>
          <w:tcPr>
            <w:tcW w:w="542" w:type="pct"/>
            <w:vMerge w:val="restart"/>
            <w:tcBorders>
              <w:tl2br w:val="nil"/>
              <w:tr2bl w:val="nil"/>
            </w:tcBorders>
            <w:vAlign w:val="center"/>
          </w:tcPr>
          <w:p w14:paraId="064B7FA9">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25</w:t>
            </w:r>
          </w:p>
        </w:tc>
        <w:tc>
          <w:tcPr>
            <w:tcW w:w="779" w:type="pct"/>
            <w:tcBorders>
              <w:tl2br w:val="nil"/>
              <w:tr2bl w:val="nil"/>
            </w:tcBorders>
            <w:vAlign w:val="center"/>
          </w:tcPr>
          <w:p w14:paraId="30360FB0">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300（日均值）</w:t>
            </w:r>
          </w:p>
        </w:tc>
        <w:tc>
          <w:tcPr>
            <w:tcW w:w="813" w:type="pct"/>
            <w:tcBorders>
              <w:tl2br w:val="nil"/>
              <w:tr2bl w:val="nil"/>
            </w:tcBorders>
            <w:vAlign w:val="center"/>
          </w:tcPr>
          <w:p w14:paraId="203240E3">
            <w:pPr>
              <w:pStyle w:val="143"/>
              <w:ind w:left="0" w:leftChars="0"/>
              <w:jc w:val="center"/>
              <w:rPr>
                <w:rFonts w:hint="default" w:ascii="Times New Roman" w:hAnsi="宋体" w:eastAsia="宋体" w:cs="宋体"/>
                <w:kern w:val="2"/>
                <w:sz w:val="21"/>
                <w:szCs w:val="24"/>
                <w:lang w:val="en-US" w:eastAsia="zh-CN" w:bidi="ar-SA"/>
              </w:rPr>
            </w:pPr>
            <w:r>
              <w:rPr>
                <w:rFonts w:hint="eastAsia" w:ascii="Times New Roman" w:cs="宋体"/>
                <w:kern w:val="2"/>
                <w:sz w:val="21"/>
                <w:szCs w:val="24"/>
                <w:lang w:val="en-US" w:eastAsia="zh-CN" w:bidi="ar-SA"/>
              </w:rPr>
              <w:t>4.3</w:t>
            </w:r>
          </w:p>
        </w:tc>
      </w:tr>
      <w:tr w14:paraId="6608B7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54" w:type="pct"/>
            <w:vMerge w:val="continue"/>
            <w:tcBorders>
              <w:tl2br w:val="nil"/>
              <w:tr2bl w:val="nil"/>
            </w:tcBorders>
            <w:vAlign w:val="center"/>
          </w:tcPr>
          <w:p w14:paraId="1632AE97">
            <w:pPr>
              <w:pStyle w:val="143"/>
              <w:rPr>
                <w:rFonts w:ascii="Times New Roman" w:hAnsi="Times New Roman" w:eastAsia="宋体" w:cs="Times New Roman"/>
                <w:kern w:val="2"/>
                <w:sz w:val="21"/>
                <w:szCs w:val="21"/>
                <w:lang w:val="en-US" w:eastAsia="zh-CN" w:bidi="ar-SA"/>
              </w:rPr>
            </w:pPr>
          </w:p>
        </w:tc>
        <w:tc>
          <w:tcPr>
            <w:tcW w:w="544" w:type="pct"/>
            <w:tcBorders>
              <w:tl2br w:val="nil"/>
              <w:tr2bl w:val="nil"/>
            </w:tcBorders>
            <w:vAlign w:val="center"/>
          </w:tcPr>
          <w:p w14:paraId="3E5CE6D9">
            <w:pPr>
              <w:pStyle w:val="143"/>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TVOC</w:t>
            </w:r>
          </w:p>
        </w:tc>
        <w:tc>
          <w:tcPr>
            <w:tcW w:w="589" w:type="pct"/>
            <w:vMerge w:val="continue"/>
            <w:tcBorders>
              <w:tl2br w:val="nil"/>
              <w:tr2bl w:val="nil"/>
            </w:tcBorders>
            <w:vAlign w:val="center"/>
          </w:tcPr>
          <w:p w14:paraId="53D2DBA3">
            <w:pPr>
              <w:pStyle w:val="143"/>
              <w:rPr>
                <w:rFonts w:ascii="Times New Roman" w:hAnsi="Times New Roman" w:eastAsia="宋体" w:cs="Times New Roman"/>
                <w:kern w:val="2"/>
                <w:sz w:val="21"/>
                <w:szCs w:val="24"/>
                <w:lang w:val="en-US" w:eastAsia="zh-CN" w:bidi="ar-SA"/>
              </w:rPr>
            </w:pPr>
          </w:p>
        </w:tc>
        <w:tc>
          <w:tcPr>
            <w:tcW w:w="701" w:type="pct"/>
            <w:vMerge w:val="continue"/>
            <w:tcBorders>
              <w:tl2br w:val="nil"/>
              <w:tr2bl w:val="nil"/>
            </w:tcBorders>
            <w:vAlign w:val="center"/>
          </w:tcPr>
          <w:p w14:paraId="42EA5288">
            <w:pPr>
              <w:pStyle w:val="143"/>
              <w:rPr>
                <w:rFonts w:hint="default" w:ascii="Times New Roman" w:hAnsi="Times New Roman" w:eastAsia="宋体" w:cs="Times New Roman"/>
                <w:kern w:val="2"/>
                <w:sz w:val="21"/>
                <w:szCs w:val="24"/>
                <w:lang w:val="en-US" w:eastAsia="zh-CN" w:bidi="ar-SA"/>
              </w:rPr>
            </w:pPr>
          </w:p>
        </w:tc>
        <w:tc>
          <w:tcPr>
            <w:tcW w:w="575" w:type="pct"/>
            <w:vMerge w:val="continue"/>
            <w:tcBorders>
              <w:tl2br w:val="nil"/>
              <w:tr2bl w:val="nil"/>
            </w:tcBorders>
            <w:shd w:val="clear" w:color="auto" w:fill="FFFFFF"/>
            <w:vAlign w:val="center"/>
          </w:tcPr>
          <w:p w14:paraId="1A3FA14F">
            <w:pPr>
              <w:rPr>
                <w:rFonts w:ascii="Times New Roman" w:hAnsi="Times New Roman" w:eastAsia="仿宋_GB2312" w:cs="Times New Roman"/>
                <w:kern w:val="2"/>
                <w:sz w:val="24"/>
                <w:szCs w:val="24"/>
                <w:lang w:val="en-US" w:eastAsia="zh-CN" w:bidi="ar-SA"/>
              </w:rPr>
            </w:pPr>
          </w:p>
        </w:tc>
        <w:tc>
          <w:tcPr>
            <w:tcW w:w="542" w:type="pct"/>
            <w:vMerge w:val="continue"/>
            <w:tcBorders>
              <w:tl2br w:val="nil"/>
              <w:tr2bl w:val="nil"/>
            </w:tcBorders>
            <w:vAlign w:val="center"/>
          </w:tcPr>
          <w:p w14:paraId="3E005A2A">
            <w:pPr>
              <w:adjustRightInd w:val="0"/>
              <w:snapToGrid w:val="0"/>
              <w:jc w:val="center"/>
              <w:rPr>
                <w:rFonts w:eastAsia="宋体"/>
                <w:color w:val="000000" w:themeColor="text1"/>
                <w:sz w:val="21"/>
                <w:szCs w:val="21"/>
                <w14:textFill>
                  <w14:solidFill>
                    <w14:schemeClr w14:val="tx1"/>
                  </w14:solidFill>
                </w14:textFill>
              </w:rPr>
            </w:pPr>
          </w:p>
        </w:tc>
        <w:tc>
          <w:tcPr>
            <w:tcW w:w="779" w:type="pct"/>
            <w:tcBorders>
              <w:tl2br w:val="nil"/>
              <w:tr2bl w:val="nil"/>
            </w:tcBorders>
            <w:vAlign w:val="center"/>
          </w:tcPr>
          <w:p w14:paraId="13F0EBF8">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600（8小时值）</w:t>
            </w:r>
          </w:p>
        </w:tc>
        <w:tc>
          <w:tcPr>
            <w:tcW w:w="813" w:type="pct"/>
            <w:tcBorders>
              <w:tl2br w:val="nil"/>
              <w:tr2bl w:val="nil"/>
            </w:tcBorders>
            <w:vAlign w:val="center"/>
          </w:tcPr>
          <w:p w14:paraId="466A9B73">
            <w:pPr>
              <w:pStyle w:val="143"/>
              <w:spacing w:before="0"/>
              <w:ind w:left="0" w:leftChars="0"/>
              <w:jc w:val="center"/>
              <w:rPr>
                <w:rFonts w:hint="default" w:ascii="Times New Roman" w:hAnsi="宋体" w:eastAsia="宋体" w:cs="宋体"/>
                <w:kern w:val="2"/>
                <w:sz w:val="21"/>
                <w:szCs w:val="24"/>
                <w:lang w:val="en-US" w:eastAsia="zh-CN" w:bidi="ar-SA"/>
              </w:rPr>
            </w:pPr>
            <w:r>
              <w:rPr>
                <w:rFonts w:hint="eastAsia" w:ascii="Times New Roman" w:cs="宋体"/>
                <w:kern w:val="2"/>
                <w:sz w:val="21"/>
                <w:szCs w:val="24"/>
                <w:lang w:val="en-US" w:eastAsia="zh-CN" w:bidi="ar-SA"/>
              </w:rPr>
              <w:t>1.78</w:t>
            </w:r>
          </w:p>
        </w:tc>
      </w:tr>
      <w:tr w14:paraId="673CAF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454" w:type="pct"/>
            <w:vMerge w:val="restart"/>
            <w:tcBorders>
              <w:tl2br w:val="nil"/>
              <w:tr2bl w:val="nil"/>
            </w:tcBorders>
            <w:vAlign w:val="center"/>
          </w:tcPr>
          <w:p w14:paraId="09E9EF3B">
            <w:pPr>
              <w:pStyle w:val="143"/>
              <w:rPr>
                <w:rFonts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rPr>
              <w:t>#排气筒</w:t>
            </w:r>
          </w:p>
        </w:tc>
        <w:tc>
          <w:tcPr>
            <w:tcW w:w="544" w:type="pct"/>
            <w:tcBorders>
              <w:tl2br w:val="nil"/>
              <w:tr2bl w:val="nil"/>
            </w:tcBorders>
            <w:vAlign w:val="center"/>
          </w:tcPr>
          <w:p w14:paraId="04F3CEED">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589" w:type="pct"/>
            <w:vMerge w:val="restart"/>
            <w:tcBorders>
              <w:tl2br w:val="nil"/>
              <w:tr2bl w:val="nil"/>
            </w:tcBorders>
            <w:vAlign w:val="center"/>
          </w:tcPr>
          <w:p w14:paraId="09AB8EFD">
            <w:pPr>
              <w:pStyle w:val="143"/>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20</w:t>
            </w:r>
          </w:p>
          <w:p w14:paraId="3F5A75F3">
            <w:pPr>
              <w:pStyle w:val="143"/>
              <w:rPr>
                <w:rFonts w:hint="default" w:ascii="Times New Roman" w:hAnsi="Times New Roman" w:eastAsia="宋体" w:cs="Times New Roman"/>
                <w:kern w:val="2"/>
                <w:sz w:val="21"/>
                <w:szCs w:val="24"/>
                <w:lang w:val="en-US" w:eastAsia="zh-CN" w:bidi="ar-SA"/>
              </w:rPr>
            </w:pPr>
          </w:p>
        </w:tc>
        <w:tc>
          <w:tcPr>
            <w:tcW w:w="701" w:type="pct"/>
            <w:vMerge w:val="restart"/>
            <w:tcBorders>
              <w:tl2br w:val="nil"/>
              <w:tr2bl w:val="nil"/>
            </w:tcBorders>
            <w:vAlign w:val="center"/>
          </w:tcPr>
          <w:p w14:paraId="2A68EA5F">
            <w:pPr>
              <w:pStyle w:val="143"/>
              <w:rPr>
                <w:rFonts w:hint="eastAsia" w:ascii="Times New Roman" w:hAnsi="Times New Roman" w:cs="Times New Roman"/>
                <w:kern w:val="2"/>
                <w:sz w:val="21"/>
                <w:szCs w:val="24"/>
                <w:lang w:val="en-US" w:eastAsia="zh-CN" w:bidi="ar-SA"/>
              </w:rPr>
            </w:pPr>
          </w:p>
          <w:p w14:paraId="49A0DD85">
            <w:pPr>
              <w:pStyle w:val="143"/>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0.8</w:t>
            </w:r>
          </w:p>
        </w:tc>
        <w:tc>
          <w:tcPr>
            <w:tcW w:w="575" w:type="pct"/>
            <w:vMerge w:val="restart"/>
            <w:tcBorders>
              <w:tl2br w:val="nil"/>
              <w:tr2bl w:val="nil"/>
            </w:tcBorders>
            <w:shd w:val="clear" w:color="auto" w:fill="FFFFFF"/>
            <w:vAlign w:val="center"/>
          </w:tcPr>
          <w:p w14:paraId="1076DA14">
            <w:pPr>
              <w:rPr>
                <w:rFonts w:ascii="Times New Roman" w:hAnsi="Times New Roman" w:eastAsia="仿宋_GB2312" w:cs="Times New Roman"/>
                <w:kern w:val="2"/>
                <w:sz w:val="24"/>
                <w:szCs w:val="24"/>
                <w:lang w:val="en-US" w:eastAsia="zh-CN" w:bidi="ar-SA"/>
              </w:rPr>
            </w:pPr>
          </w:p>
          <w:p w14:paraId="7EE6010C">
            <w:pPr>
              <w:pStyle w:val="143"/>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22984</w:t>
            </w:r>
          </w:p>
        </w:tc>
        <w:tc>
          <w:tcPr>
            <w:tcW w:w="542" w:type="pct"/>
            <w:tcBorders>
              <w:tl2br w:val="nil"/>
              <w:tr2bl w:val="nil"/>
            </w:tcBorders>
            <w:vAlign w:val="center"/>
          </w:tcPr>
          <w:p w14:paraId="160C23EB">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25</w:t>
            </w:r>
          </w:p>
        </w:tc>
        <w:tc>
          <w:tcPr>
            <w:tcW w:w="779" w:type="pct"/>
            <w:tcBorders>
              <w:tl2br w:val="nil"/>
              <w:tr2bl w:val="nil"/>
            </w:tcBorders>
            <w:vAlign w:val="center"/>
          </w:tcPr>
          <w:p w14:paraId="13E9AD9C">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eastAsia="宋体"/>
                <w:color w:val="000000" w:themeColor="text1"/>
                <w:sz w:val="21"/>
                <w:szCs w:val="21"/>
                <w14:textFill>
                  <w14:solidFill>
                    <w14:schemeClr w14:val="tx1"/>
                  </w14:solidFill>
                </w14:textFill>
              </w:rPr>
              <w:t>300（日均值）</w:t>
            </w:r>
          </w:p>
        </w:tc>
        <w:tc>
          <w:tcPr>
            <w:tcW w:w="813" w:type="pct"/>
            <w:tcBorders>
              <w:tl2br w:val="nil"/>
              <w:tr2bl w:val="nil"/>
            </w:tcBorders>
            <w:shd w:val="clear" w:color="auto" w:fill="auto"/>
            <w:vAlign w:val="center"/>
          </w:tcPr>
          <w:p w14:paraId="78A9E494">
            <w:pPr>
              <w:pStyle w:val="143"/>
              <w:ind w:left="0" w:leftChars="0"/>
              <w:jc w:val="center"/>
              <w:rPr>
                <w:rFonts w:hint="eastAsia" w:ascii="Times New Roman" w:hAnsi="宋体" w:eastAsia="宋体" w:cs="宋体"/>
                <w:kern w:val="2"/>
                <w:sz w:val="21"/>
                <w:szCs w:val="24"/>
                <w:lang w:val="en-US" w:eastAsia="zh-CN" w:bidi="ar-SA"/>
              </w:rPr>
            </w:pPr>
            <w:r>
              <w:rPr>
                <w:rFonts w:hint="eastAsia" w:ascii="Times New Roman" w:cs="宋体"/>
                <w:kern w:val="2"/>
                <w:sz w:val="21"/>
                <w:szCs w:val="24"/>
                <w:lang w:val="en-US" w:eastAsia="zh-CN" w:bidi="ar-SA"/>
              </w:rPr>
              <w:t>4.3</w:t>
            </w:r>
          </w:p>
        </w:tc>
      </w:tr>
      <w:tr w14:paraId="5EFF0E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454" w:type="pct"/>
            <w:vMerge w:val="continue"/>
            <w:tcBorders>
              <w:tl2br w:val="nil"/>
              <w:tr2bl w:val="nil"/>
            </w:tcBorders>
            <w:vAlign w:val="center"/>
          </w:tcPr>
          <w:p w14:paraId="53390D31">
            <w:pPr>
              <w:pStyle w:val="143"/>
              <w:rPr>
                <w:rFonts w:ascii="Times New Roman" w:hAnsi="Times New Roman" w:eastAsia="宋体" w:cs="Times New Roman"/>
                <w:kern w:val="2"/>
                <w:sz w:val="21"/>
                <w:szCs w:val="21"/>
                <w:lang w:val="en-US" w:eastAsia="zh-CN" w:bidi="ar-SA"/>
              </w:rPr>
            </w:pPr>
          </w:p>
        </w:tc>
        <w:tc>
          <w:tcPr>
            <w:tcW w:w="544" w:type="pct"/>
            <w:tcBorders>
              <w:tl2br w:val="nil"/>
              <w:tr2bl w:val="nil"/>
            </w:tcBorders>
            <w:vAlign w:val="center"/>
          </w:tcPr>
          <w:p w14:paraId="2FFB24B4">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TVOC</w:t>
            </w:r>
          </w:p>
        </w:tc>
        <w:tc>
          <w:tcPr>
            <w:tcW w:w="589" w:type="pct"/>
            <w:vMerge w:val="continue"/>
            <w:tcBorders>
              <w:tl2br w:val="nil"/>
              <w:tr2bl w:val="nil"/>
            </w:tcBorders>
            <w:vAlign w:val="center"/>
          </w:tcPr>
          <w:p w14:paraId="76535D85">
            <w:pPr>
              <w:pStyle w:val="143"/>
              <w:rPr>
                <w:rFonts w:hint="default" w:ascii="Times New Roman" w:hAnsi="Times New Roman" w:eastAsia="宋体" w:cs="Times New Roman"/>
                <w:kern w:val="2"/>
                <w:sz w:val="21"/>
                <w:szCs w:val="24"/>
                <w:lang w:val="en-US" w:eastAsia="zh-CN" w:bidi="ar-SA"/>
              </w:rPr>
            </w:pPr>
          </w:p>
        </w:tc>
        <w:tc>
          <w:tcPr>
            <w:tcW w:w="701" w:type="pct"/>
            <w:vMerge w:val="continue"/>
            <w:tcBorders>
              <w:tl2br w:val="nil"/>
              <w:tr2bl w:val="nil"/>
            </w:tcBorders>
            <w:vAlign w:val="center"/>
          </w:tcPr>
          <w:p w14:paraId="503B642C">
            <w:pPr>
              <w:pStyle w:val="143"/>
              <w:rPr>
                <w:rFonts w:hint="default" w:ascii="Times New Roman" w:hAnsi="Times New Roman" w:eastAsia="宋体" w:cs="Times New Roman"/>
                <w:kern w:val="2"/>
                <w:sz w:val="21"/>
                <w:szCs w:val="24"/>
                <w:lang w:val="en-US" w:eastAsia="zh-CN" w:bidi="ar-SA"/>
              </w:rPr>
            </w:pPr>
          </w:p>
        </w:tc>
        <w:tc>
          <w:tcPr>
            <w:tcW w:w="575" w:type="pct"/>
            <w:vMerge w:val="continue"/>
            <w:tcBorders>
              <w:tl2br w:val="nil"/>
              <w:tr2bl w:val="nil"/>
            </w:tcBorders>
            <w:shd w:val="clear" w:color="auto" w:fill="FFFFFF"/>
            <w:vAlign w:val="center"/>
          </w:tcPr>
          <w:p w14:paraId="0B7F0462">
            <w:pPr>
              <w:pStyle w:val="143"/>
              <w:rPr>
                <w:rFonts w:hint="default" w:ascii="Times New Roman" w:hAnsi="Times New Roman" w:eastAsia="宋体" w:cs="Times New Roman"/>
                <w:kern w:val="2"/>
                <w:sz w:val="21"/>
                <w:szCs w:val="21"/>
                <w:lang w:val="en-US" w:eastAsia="zh-CN" w:bidi="ar-SA"/>
              </w:rPr>
            </w:pPr>
          </w:p>
        </w:tc>
        <w:tc>
          <w:tcPr>
            <w:tcW w:w="542" w:type="pct"/>
            <w:tcBorders>
              <w:tl2br w:val="nil"/>
              <w:tr2bl w:val="nil"/>
            </w:tcBorders>
            <w:vAlign w:val="center"/>
          </w:tcPr>
          <w:p w14:paraId="65BFFCE2">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25</w:t>
            </w:r>
          </w:p>
        </w:tc>
        <w:tc>
          <w:tcPr>
            <w:tcW w:w="779" w:type="pct"/>
            <w:tcBorders>
              <w:tl2br w:val="nil"/>
              <w:tr2bl w:val="nil"/>
            </w:tcBorders>
            <w:vAlign w:val="center"/>
          </w:tcPr>
          <w:p w14:paraId="0FAA819B">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600（8小时值）</w:t>
            </w:r>
          </w:p>
        </w:tc>
        <w:tc>
          <w:tcPr>
            <w:tcW w:w="813" w:type="pct"/>
            <w:tcBorders>
              <w:tl2br w:val="nil"/>
              <w:tr2bl w:val="nil"/>
            </w:tcBorders>
            <w:shd w:val="clear" w:color="auto" w:fill="auto"/>
            <w:vAlign w:val="center"/>
          </w:tcPr>
          <w:p w14:paraId="5AEF95F6">
            <w:pPr>
              <w:pStyle w:val="143"/>
              <w:spacing w:before="0"/>
              <w:ind w:left="0" w:leftChars="0"/>
              <w:jc w:val="center"/>
              <w:rPr>
                <w:rFonts w:hint="eastAsia" w:ascii="Times New Roman" w:hAnsi="宋体" w:eastAsia="宋体" w:cs="宋体"/>
                <w:kern w:val="2"/>
                <w:sz w:val="21"/>
                <w:szCs w:val="24"/>
                <w:lang w:val="en-US" w:eastAsia="zh-CN" w:bidi="ar-SA"/>
              </w:rPr>
            </w:pPr>
            <w:r>
              <w:rPr>
                <w:rFonts w:hint="eastAsia" w:ascii="Times New Roman" w:cs="宋体"/>
                <w:kern w:val="2"/>
                <w:sz w:val="21"/>
                <w:szCs w:val="24"/>
                <w:lang w:val="en-US" w:eastAsia="zh-CN" w:bidi="ar-SA"/>
              </w:rPr>
              <w:t>1.78</w:t>
            </w:r>
          </w:p>
        </w:tc>
      </w:tr>
      <w:tr w14:paraId="5073F2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454" w:type="pct"/>
            <w:tcBorders>
              <w:tl2br w:val="nil"/>
              <w:tr2bl w:val="nil"/>
            </w:tcBorders>
            <w:vAlign w:val="center"/>
          </w:tcPr>
          <w:p w14:paraId="7FA64CEA">
            <w:pPr>
              <w:pStyle w:val="143"/>
              <w:rPr>
                <w:rFonts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#排气筒</w:t>
            </w:r>
          </w:p>
        </w:tc>
        <w:tc>
          <w:tcPr>
            <w:tcW w:w="544" w:type="pct"/>
            <w:tcBorders>
              <w:tl2br w:val="nil"/>
              <w:tr2bl w:val="nil"/>
            </w:tcBorders>
            <w:vAlign w:val="center"/>
          </w:tcPr>
          <w:p w14:paraId="761566D9">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589" w:type="pct"/>
            <w:tcBorders>
              <w:tl2br w:val="nil"/>
              <w:tr2bl w:val="nil"/>
            </w:tcBorders>
            <w:vAlign w:val="center"/>
          </w:tcPr>
          <w:p w14:paraId="54BA27D5">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20</w:t>
            </w:r>
          </w:p>
        </w:tc>
        <w:tc>
          <w:tcPr>
            <w:tcW w:w="701" w:type="pct"/>
            <w:tcBorders>
              <w:tl2br w:val="nil"/>
              <w:tr2bl w:val="nil"/>
            </w:tcBorders>
            <w:vAlign w:val="center"/>
          </w:tcPr>
          <w:p w14:paraId="68E27DAD">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0.4</w:t>
            </w:r>
          </w:p>
        </w:tc>
        <w:tc>
          <w:tcPr>
            <w:tcW w:w="575" w:type="pct"/>
            <w:tcBorders>
              <w:tl2br w:val="nil"/>
              <w:tr2bl w:val="nil"/>
            </w:tcBorders>
            <w:vAlign w:val="center"/>
          </w:tcPr>
          <w:p w14:paraId="76B2A172">
            <w:pPr>
              <w:pStyle w:val="143"/>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21887</w:t>
            </w:r>
          </w:p>
        </w:tc>
        <w:tc>
          <w:tcPr>
            <w:tcW w:w="542" w:type="pct"/>
            <w:tcBorders>
              <w:tl2br w:val="nil"/>
              <w:tr2bl w:val="nil"/>
            </w:tcBorders>
            <w:vAlign w:val="center"/>
          </w:tcPr>
          <w:p w14:paraId="3830ED3B">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25</w:t>
            </w:r>
          </w:p>
        </w:tc>
        <w:tc>
          <w:tcPr>
            <w:tcW w:w="779" w:type="pct"/>
            <w:tcBorders>
              <w:tl2br w:val="nil"/>
              <w:tr2bl w:val="nil"/>
            </w:tcBorders>
            <w:vAlign w:val="center"/>
          </w:tcPr>
          <w:p w14:paraId="224A0EBD">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eastAsia="宋体"/>
                <w:color w:val="000000" w:themeColor="text1"/>
                <w:sz w:val="21"/>
                <w:szCs w:val="21"/>
                <w14:textFill>
                  <w14:solidFill>
                    <w14:schemeClr w14:val="tx1"/>
                  </w14:solidFill>
                </w14:textFill>
              </w:rPr>
              <w:t>300（日均值）</w:t>
            </w:r>
          </w:p>
        </w:tc>
        <w:tc>
          <w:tcPr>
            <w:tcW w:w="813" w:type="pct"/>
            <w:tcBorders>
              <w:tl2br w:val="nil"/>
              <w:tr2bl w:val="nil"/>
            </w:tcBorders>
            <w:vAlign w:val="center"/>
          </w:tcPr>
          <w:p w14:paraId="476BD3D2">
            <w:pPr>
              <w:pStyle w:val="143"/>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4.2</w:t>
            </w:r>
          </w:p>
        </w:tc>
      </w:tr>
    </w:tbl>
    <w:p w14:paraId="677587AA">
      <w:pPr>
        <w:pStyle w:val="13"/>
        <w:adjustRightInd w:val="0"/>
        <w:snapToGrid w:val="0"/>
        <w:spacing w:after="0" w:line="500" w:lineRule="exact"/>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表</w:t>
      </w:r>
      <w:r>
        <w:rPr>
          <w:rFonts w:eastAsia="宋体"/>
          <w:b/>
          <w:color w:val="000000" w:themeColor="text1"/>
          <w14:textFill>
            <w14:solidFill>
              <w14:schemeClr w14:val="tx1"/>
            </w14:solidFill>
          </w14:textFill>
        </w:rPr>
        <w:t>4-</w:t>
      </w:r>
      <w:r>
        <w:rPr>
          <w:rFonts w:hint="eastAsia" w:eastAsia="宋体"/>
          <w:b/>
          <w:color w:val="000000" w:themeColor="text1"/>
          <w14:textFill>
            <w14:solidFill>
              <w14:schemeClr w14:val="tx1"/>
            </w14:solidFill>
          </w14:textFill>
        </w:rPr>
        <w:t>12</w:t>
      </w:r>
      <w:r>
        <w:rPr>
          <w:rFonts w:hint="eastAsia" w:ascii="宋体" w:hAnsi="宋体" w:eastAsia="宋体" w:cs="宋体"/>
          <w:b/>
          <w:color w:val="000000" w:themeColor="text1"/>
          <w:highlight w:val="none"/>
          <w14:textFill>
            <w14:solidFill>
              <w14:schemeClr w14:val="tx1"/>
            </w14:solidFill>
          </w14:textFill>
        </w:rPr>
        <w:t>废气污染源</w:t>
      </w:r>
      <w:r>
        <w:rPr>
          <w:rFonts w:hint="eastAsia" w:ascii="宋体" w:hAnsi="宋体" w:eastAsia="宋体" w:cs="宋体"/>
          <w:b/>
          <w:color w:val="000000" w:themeColor="text1"/>
          <w14:textFill>
            <w14:solidFill>
              <w14:schemeClr w14:val="tx1"/>
            </w14:solidFill>
          </w14:textFill>
        </w:rPr>
        <w:t>预测参数</w:t>
      </w:r>
    </w:p>
    <w:tbl>
      <w:tblPr>
        <w:tblStyle w:val="38"/>
        <w:tblpPr w:leftFromText="180" w:rightFromText="180" w:vertAnchor="text" w:horzAnchor="page" w:tblpX="1457" w:tblpY="340"/>
        <w:tblOverlap w:val="never"/>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831"/>
        <w:gridCol w:w="1476"/>
        <w:gridCol w:w="3086"/>
        <w:gridCol w:w="1621"/>
      </w:tblGrid>
      <w:tr w14:paraId="09B0C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92" w:hRule="atLeast"/>
          <w:tblHeader/>
        </w:trPr>
        <w:tc>
          <w:tcPr>
            <w:tcW w:w="661" w:type="pct"/>
            <w:tcBorders>
              <w:tl2br w:val="nil"/>
              <w:tr2bl w:val="nil"/>
            </w:tcBorders>
            <w:vAlign w:val="center"/>
          </w:tcPr>
          <w:p w14:paraId="6ED81821">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污染源</w:t>
            </w:r>
          </w:p>
        </w:tc>
        <w:tc>
          <w:tcPr>
            <w:tcW w:w="991" w:type="pct"/>
            <w:tcBorders>
              <w:tl2br w:val="nil"/>
              <w:tr2bl w:val="nil"/>
            </w:tcBorders>
            <w:vAlign w:val="center"/>
          </w:tcPr>
          <w:p w14:paraId="0B7E3372">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下风向距离(m)</w:t>
            </w:r>
          </w:p>
        </w:tc>
        <w:tc>
          <w:tcPr>
            <w:tcW w:w="799" w:type="pct"/>
            <w:tcBorders>
              <w:tl2br w:val="nil"/>
              <w:tr2bl w:val="nil"/>
            </w:tcBorders>
            <w:vAlign w:val="center"/>
          </w:tcPr>
          <w:p w14:paraId="70B205AB">
            <w:pPr>
              <w:pStyle w:val="143"/>
              <w:adjustRightInd w:val="0"/>
              <w:snapToGrid w:val="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污染物名称</w:t>
            </w:r>
          </w:p>
        </w:tc>
        <w:tc>
          <w:tcPr>
            <w:tcW w:w="1670" w:type="pct"/>
            <w:tcBorders>
              <w:tl2br w:val="nil"/>
              <w:tr2bl w:val="nil"/>
            </w:tcBorders>
            <w:vAlign w:val="center"/>
          </w:tcPr>
          <w:p w14:paraId="70E901FE">
            <w:pPr>
              <w:pStyle w:val="143"/>
              <w:adjustRightInd w:val="0"/>
              <w:snapToGri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下风向预测浓度Ci(mg/m</w:t>
            </w:r>
            <w:r>
              <w:rPr>
                <w:rFonts w:ascii="Times New Roman" w:hAnsi="Times New Roman" w:cs="Times New Roman"/>
                <w:color w:val="000000" w:themeColor="text1"/>
                <w:sz w:val="21"/>
                <w:szCs w:val="21"/>
                <w:vertAlign w:val="superscript"/>
                <w14:textFill>
                  <w14:solidFill>
                    <w14:schemeClr w14:val="tx1"/>
                  </w14:solidFill>
                </w14:textFill>
              </w:rPr>
              <w:t>3</w:t>
            </w:r>
            <w:r>
              <w:rPr>
                <w:rFonts w:ascii="Times New Roman" w:hAnsi="Times New Roman" w:cs="Times New Roman"/>
                <w:color w:val="000000" w:themeColor="text1"/>
                <w:sz w:val="21"/>
                <w:szCs w:val="21"/>
                <w14:textFill>
                  <w14:solidFill>
                    <w14:schemeClr w14:val="tx1"/>
                  </w14:solidFill>
                </w14:textFill>
              </w:rPr>
              <w:t>)</w:t>
            </w:r>
          </w:p>
        </w:tc>
        <w:tc>
          <w:tcPr>
            <w:tcW w:w="877" w:type="pct"/>
            <w:tcBorders>
              <w:tl2br w:val="nil"/>
              <w:tr2bl w:val="nil"/>
            </w:tcBorders>
            <w:vAlign w:val="center"/>
          </w:tcPr>
          <w:p w14:paraId="6E88318B">
            <w:pPr>
              <w:pStyle w:val="143"/>
              <w:adjustRightInd w:val="0"/>
              <w:snapToGri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占标率Pi(%)</w:t>
            </w:r>
          </w:p>
        </w:tc>
      </w:tr>
      <w:tr w14:paraId="1840F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1" w:type="pct"/>
            <w:tcBorders>
              <w:tl2br w:val="nil"/>
              <w:tr2bl w:val="nil"/>
            </w:tcBorders>
            <w:vAlign w:val="center"/>
          </w:tcPr>
          <w:p w14:paraId="5B4BFDB8">
            <w:pPr>
              <w:pStyle w:val="143"/>
              <w:rPr>
                <w:rFonts w:ascii="Times New Roman" w:hAnsi="Times New Roman" w:cs="Times New Roman"/>
                <w:sz w:val="21"/>
                <w:szCs w:val="21"/>
              </w:rPr>
            </w:pPr>
            <w:r>
              <w:rPr>
                <w:rFonts w:hint="eastAsia" w:ascii="Times New Roman" w:hAnsi="Times New Roman" w:cs="Times New Roman"/>
                <w:sz w:val="21"/>
                <w:szCs w:val="21"/>
              </w:rPr>
              <w:t>1#排气筒</w:t>
            </w:r>
          </w:p>
        </w:tc>
        <w:tc>
          <w:tcPr>
            <w:tcW w:w="991" w:type="pct"/>
            <w:tcBorders>
              <w:tl2br w:val="nil"/>
              <w:tr2bl w:val="nil"/>
            </w:tcBorders>
            <w:vAlign w:val="center"/>
          </w:tcPr>
          <w:p w14:paraId="5EB8AD31">
            <w:pPr>
              <w:pStyle w:val="143"/>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120</w:t>
            </w:r>
          </w:p>
        </w:tc>
        <w:tc>
          <w:tcPr>
            <w:tcW w:w="799" w:type="pct"/>
            <w:tcBorders>
              <w:tl2br w:val="nil"/>
              <w:tr2bl w:val="nil"/>
            </w:tcBorders>
            <w:vAlign w:val="center"/>
          </w:tcPr>
          <w:p w14:paraId="333B46F3">
            <w:pPr>
              <w:pStyle w:val="143"/>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1670" w:type="pct"/>
            <w:tcBorders>
              <w:tl2br w:val="nil"/>
              <w:tr2bl w:val="nil"/>
            </w:tcBorders>
            <w:vAlign w:val="center"/>
          </w:tcPr>
          <w:p w14:paraId="117F34A2">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0.16</w:t>
            </w:r>
          </w:p>
        </w:tc>
        <w:tc>
          <w:tcPr>
            <w:tcW w:w="877" w:type="pct"/>
            <w:tcBorders>
              <w:tl2br w:val="nil"/>
              <w:tr2bl w:val="nil"/>
            </w:tcBorders>
            <w:vAlign w:val="center"/>
          </w:tcPr>
          <w:p w14:paraId="33B12FBF">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0.02</w:t>
            </w:r>
          </w:p>
        </w:tc>
      </w:tr>
      <w:tr w14:paraId="5322E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1" w:type="pct"/>
            <w:vMerge w:val="restart"/>
            <w:tcBorders>
              <w:tl2br w:val="nil"/>
              <w:tr2bl w:val="nil"/>
            </w:tcBorders>
            <w:vAlign w:val="center"/>
          </w:tcPr>
          <w:p w14:paraId="333F2E94">
            <w:pPr>
              <w:adjustRightInd w:val="0"/>
              <w:snapToGrid w:val="0"/>
              <w:jc w:val="center"/>
              <w:rPr>
                <w:rFonts w:ascii="Times New Roman" w:hAnsi="Times New Roman" w:cs="Times New Roman"/>
                <w:sz w:val="21"/>
                <w:szCs w:val="21"/>
              </w:rPr>
            </w:pPr>
            <w:r>
              <w:rPr>
                <w:rFonts w:hint="eastAsia" w:eastAsia="宋体"/>
                <w:sz w:val="21"/>
                <w:szCs w:val="21"/>
                <w:lang w:val="en-US" w:eastAsia="zh-CN"/>
              </w:rPr>
              <w:t>3</w:t>
            </w:r>
            <w:r>
              <w:rPr>
                <w:rFonts w:hint="eastAsia" w:eastAsia="宋体"/>
                <w:sz w:val="21"/>
                <w:szCs w:val="21"/>
              </w:rPr>
              <w:t>#排气筒</w:t>
            </w:r>
          </w:p>
        </w:tc>
        <w:tc>
          <w:tcPr>
            <w:tcW w:w="991" w:type="pct"/>
            <w:vMerge w:val="restart"/>
            <w:tcBorders>
              <w:tl2br w:val="nil"/>
              <w:tr2bl w:val="nil"/>
            </w:tcBorders>
            <w:vAlign w:val="center"/>
          </w:tcPr>
          <w:p w14:paraId="1E969A44">
            <w:pPr>
              <w:pStyle w:val="143"/>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435</w:t>
            </w:r>
          </w:p>
        </w:tc>
        <w:tc>
          <w:tcPr>
            <w:tcW w:w="799" w:type="pct"/>
            <w:tcBorders>
              <w:tl2br w:val="nil"/>
              <w:tr2bl w:val="nil"/>
            </w:tcBorders>
            <w:vAlign w:val="center"/>
          </w:tcPr>
          <w:p w14:paraId="2E3A168B">
            <w:pPr>
              <w:pStyle w:val="143"/>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1670" w:type="pct"/>
            <w:tcBorders>
              <w:tl2br w:val="nil"/>
              <w:tr2bl w:val="nil"/>
            </w:tcBorders>
            <w:shd w:val="clear" w:color="auto" w:fill="auto"/>
            <w:vAlign w:val="center"/>
          </w:tcPr>
          <w:p w14:paraId="26F49D6F">
            <w:pPr>
              <w:jc w:val="center"/>
              <w:rPr>
                <w:rFonts w:hint="default" w:ascii="Times New Roman" w:hAnsi="Times New Roman" w:eastAsia="仿宋_GB2312" w:cs="Times New Roman"/>
                <w:kern w:val="2"/>
                <w:sz w:val="24"/>
                <w:szCs w:val="24"/>
                <w:lang w:val="en-US" w:eastAsia="zh-CN" w:bidi="ar-SA"/>
              </w:rPr>
            </w:pPr>
            <w:r>
              <w:rPr>
                <w:rFonts w:ascii="宋体" w:hAnsi="宋体" w:eastAsia="宋体"/>
                <w:b w:val="0"/>
                <w:sz w:val="23"/>
                <w:szCs w:val="23"/>
              </w:rPr>
              <w:t>0.45</w:t>
            </w:r>
          </w:p>
        </w:tc>
        <w:tc>
          <w:tcPr>
            <w:tcW w:w="877" w:type="pct"/>
            <w:tcBorders>
              <w:tl2br w:val="nil"/>
              <w:tr2bl w:val="nil"/>
            </w:tcBorders>
            <w:shd w:val="clear" w:color="auto" w:fill="auto"/>
            <w:vAlign w:val="center"/>
          </w:tcPr>
          <w:p w14:paraId="4CA98A04">
            <w:pPr>
              <w:jc w:val="center"/>
              <w:rPr>
                <w:rFonts w:hint="default" w:ascii="Times New Roman" w:hAnsi="Times New Roman" w:eastAsia="仿宋_GB2312" w:cs="Times New Roman"/>
                <w:kern w:val="2"/>
                <w:sz w:val="24"/>
                <w:szCs w:val="24"/>
                <w:lang w:val="en-US" w:eastAsia="zh-CN" w:bidi="ar-SA"/>
              </w:rPr>
            </w:pPr>
            <w:r>
              <w:rPr>
                <w:rFonts w:ascii="宋体" w:hAnsi="宋体" w:eastAsia="宋体"/>
                <w:b w:val="0"/>
                <w:sz w:val="23"/>
                <w:szCs w:val="23"/>
              </w:rPr>
              <w:t>0.05</w:t>
            </w:r>
          </w:p>
        </w:tc>
      </w:tr>
      <w:tr w14:paraId="7F577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1" w:type="pct"/>
            <w:vMerge w:val="continue"/>
            <w:tcBorders>
              <w:tl2br w:val="nil"/>
              <w:tr2bl w:val="nil"/>
            </w:tcBorders>
            <w:vAlign w:val="center"/>
          </w:tcPr>
          <w:p w14:paraId="30084526">
            <w:pPr>
              <w:pStyle w:val="143"/>
              <w:rPr>
                <w:rFonts w:ascii="Times New Roman" w:hAnsi="Times New Roman" w:cs="Times New Roman"/>
                <w:sz w:val="21"/>
                <w:szCs w:val="21"/>
              </w:rPr>
            </w:pPr>
          </w:p>
        </w:tc>
        <w:tc>
          <w:tcPr>
            <w:tcW w:w="991" w:type="pct"/>
            <w:vMerge w:val="continue"/>
            <w:tcBorders>
              <w:tl2br w:val="nil"/>
              <w:tr2bl w:val="nil"/>
            </w:tcBorders>
            <w:vAlign w:val="center"/>
          </w:tcPr>
          <w:p w14:paraId="4B97AEFD">
            <w:pPr>
              <w:pStyle w:val="143"/>
              <w:rPr>
                <w:rFonts w:hint="default" w:ascii="Times New Roman" w:hAnsi="Times New Roman" w:eastAsia="宋体" w:cs="Times New Roman"/>
                <w:sz w:val="21"/>
                <w:lang w:val="en-US" w:eastAsia="zh-CN"/>
              </w:rPr>
            </w:pPr>
          </w:p>
        </w:tc>
        <w:tc>
          <w:tcPr>
            <w:tcW w:w="799" w:type="pct"/>
            <w:tcBorders>
              <w:tl2br w:val="nil"/>
              <w:tr2bl w:val="nil"/>
            </w:tcBorders>
            <w:vAlign w:val="center"/>
          </w:tcPr>
          <w:p w14:paraId="1ABFD8E4">
            <w:pPr>
              <w:pStyle w:val="143"/>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TVOC</w:t>
            </w:r>
          </w:p>
        </w:tc>
        <w:tc>
          <w:tcPr>
            <w:tcW w:w="1670" w:type="pct"/>
            <w:tcBorders>
              <w:tl2br w:val="nil"/>
              <w:tr2bl w:val="nil"/>
            </w:tcBorders>
            <w:shd w:val="clear" w:color="auto" w:fill="auto"/>
            <w:vAlign w:val="center"/>
          </w:tcPr>
          <w:p w14:paraId="63F470CB">
            <w:pPr>
              <w:jc w:val="center"/>
              <w:rPr>
                <w:rFonts w:hint="default" w:ascii="Times New Roman" w:hAnsi="Times New Roman" w:eastAsia="仿宋_GB2312" w:cs="Times New Roman"/>
                <w:kern w:val="2"/>
                <w:sz w:val="24"/>
                <w:szCs w:val="24"/>
                <w:lang w:val="en-US" w:eastAsia="zh-CN" w:bidi="ar-SA"/>
              </w:rPr>
            </w:pPr>
            <w:r>
              <w:rPr>
                <w:rFonts w:ascii="宋体" w:hAnsi="宋体" w:eastAsia="宋体"/>
                <w:b w:val="0"/>
                <w:sz w:val="23"/>
                <w:szCs w:val="23"/>
              </w:rPr>
              <w:t>0.06</w:t>
            </w:r>
          </w:p>
        </w:tc>
        <w:tc>
          <w:tcPr>
            <w:tcW w:w="877" w:type="pct"/>
            <w:tcBorders>
              <w:tl2br w:val="nil"/>
              <w:tr2bl w:val="nil"/>
            </w:tcBorders>
            <w:shd w:val="clear" w:color="auto" w:fill="auto"/>
            <w:vAlign w:val="center"/>
          </w:tcPr>
          <w:p w14:paraId="7BE15BCB">
            <w:pPr>
              <w:jc w:val="center"/>
              <w:rPr>
                <w:rFonts w:hint="default" w:ascii="Times New Roman" w:hAnsi="Times New Roman" w:eastAsia="仿宋_GB2312" w:cs="Times New Roman"/>
                <w:kern w:val="2"/>
                <w:sz w:val="24"/>
                <w:szCs w:val="24"/>
                <w:lang w:val="en-US" w:eastAsia="zh-CN" w:bidi="ar-SA"/>
              </w:rPr>
            </w:pPr>
            <w:r>
              <w:rPr>
                <w:rFonts w:ascii="宋体" w:hAnsi="宋体" w:eastAsia="宋体"/>
                <w:b w:val="0"/>
                <w:sz w:val="23"/>
                <w:szCs w:val="23"/>
              </w:rPr>
              <w:t>0.00</w:t>
            </w:r>
          </w:p>
        </w:tc>
      </w:tr>
      <w:tr w14:paraId="7C18D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1" w:type="pct"/>
            <w:vMerge w:val="restart"/>
            <w:tcBorders>
              <w:tl2br w:val="nil"/>
              <w:tr2bl w:val="nil"/>
            </w:tcBorders>
            <w:vAlign w:val="center"/>
          </w:tcPr>
          <w:p w14:paraId="68EBBF41">
            <w:pPr>
              <w:pStyle w:val="143"/>
              <w:rPr>
                <w:rFonts w:ascii="Times New Roman" w:hAnsi="Times New Roman" w:cs="Times New Roman"/>
                <w:sz w:val="21"/>
                <w:szCs w:val="21"/>
              </w:rPr>
            </w:pP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rPr>
              <w:t>#排气筒</w:t>
            </w:r>
          </w:p>
        </w:tc>
        <w:tc>
          <w:tcPr>
            <w:tcW w:w="991" w:type="pct"/>
            <w:vMerge w:val="restart"/>
            <w:tcBorders>
              <w:tl2br w:val="nil"/>
              <w:tr2bl w:val="nil"/>
            </w:tcBorders>
            <w:vAlign w:val="center"/>
          </w:tcPr>
          <w:p w14:paraId="76422D8F">
            <w:pPr>
              <w:pStyle w:val="143"/>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432</w:t>
            </w:r>
          </w:p>
        </w:tc>
        <w:tc>
          <w:tcPr>
            <w:tcW w:w="799" w:type="pct"/>
            <w:tcBorders>
              <w:tl2br w:val="nil"/>
              <w:tr2bl w:val="nil"/>
            </w:tcBorders>
            <w:vAlign w:val="center"/>
          </w:tcPr>
          <w:p w14:paraId="5BFD5EA5">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1670" w:type="pct"/>
            <w:tcBorders>
              <w:tl2br w:val="nil"/>
              <w:tr2bl w:val="nil"/>
            </w:tcBorders>
            <w:shd w:val="clear" w:color="auto" w:fill="auto"/>
            <w:vAlign w:val="center"/>
          </w:tcPr>
          <w:p w14:paraId="624977F1">
            <w:pPr>
              <w:jc w:val="center"/>
              <w:rPr>
                <w:rFonts w:hint="default" w:ascii="Times New Roman" w:hAnsi="Times New Roman" w:eastAsia="仿宋_GB2312" w:cs="Times New Roman"/>
                <w:kern w:val="2"/>
                <w:sz w:val="24"/>
                <w:szCs w:val="24"/>
                <w:lang w:val="en-US" w:eastAsia="zh-CN" w:bidi="ar-SA"/>
              </w:rPr>
            </w:pPr>
            <w:r>
              <w:rPr>
                <w:rFonts w:ascii="宋体" w:hAnsi="宋体" w:eastAsia="宋体"/>
                <w:b w:val="0"/>
                <w:sz w:val="23"/>
                <w:szCs w:val="23"/>
              </w:rPr>
              <w:t>0.39</w:t>
            </w:r>
          </w:p>
        </w:tc>
        <w:tc>
          <w:tcPr>
            <w:tcW w:w="877" w:type="pct"/>
            <w:tcBorders>
              <w:tl2br w:val="nil"/>
              <w:tr2bl w:val="nil"/>
            </w:tcBorders>
            <w:shd w:val="clear" w:color="auto" w:fill="auto"/>
            <w:vAlign w:val="center"/>
          </w:tcPr>
          <w:p w14:paraId="62913400">
            <w:pPr>
              <w:jc w:val="center"/>
              <w:rPr>
                <w:rFonts w:hint="default" w:ascii="Times New Roman" w:hAnsi="Times New Roman" w:eastAsia="仿宋_GB2312" w:cs="Times New Roman"/>
                <w:kern w:val="2"/>
                <w:sz w:val="24"/>
                <w:szCs w:val="24"/>
                <w:lang w:val="en-US" w:eastAsia="zh-CN" w:bidi="ar-SA"/>
              </w:rPr>
            </w:pPr>
            <w:r>
              <w:rPr>
                <w:rFonts w:ascii="宋体" w:hAnsi="宋体" w:eastAsia="宋体"/>
                <w:b w:val="0"/>
                <w:sz w:val="23"/>
                <w:szCs w:val="23"/>
              </w:rPr>
              <w:t>0.04</w:t>
            </w:r>
          </w:p>
        </w:tc>
      </w:tr>
      <w:tr w14:paraId="74A33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1" w:type="pct"/>
            <w:vMerge w:val="continue"/>
            <w:tcBorders>
              <w:tl2br w:val="nil"/>
              <w:tr2bl w:val="nil"/>
            </w:tcBorders>
            <w:vAlign w:val="center"/>
          </w:tcPr>
          <w:p w14:paraId="5A37E8F3">
            <w:pPr>
              <w:pStyle w:val="143"/>
              <w:rPr>
                <w:rFonts w:ascii="Times New Roman" w:hAnsi="Times New Roman" w:cs="Times New Roman"/>
                <w:sz w:val="21"/>
                <w:szCs w:val="21"/>
              </w:rPr>
            </w:pPr>
          </w:p>
        </w:tc>
        <w:tc>
          <w:tcPr>
            <w:tcW w:w="991" w:type="pct"/>
            <w:vMerge w:val="continue"/>
            <w:tcBorders>
              <w:tl2br w:val="nil"/>
              <w:tr2bl w:val="nil"/>
            </w:tcBorders>
            <w:vAlign w:val="center"/>
          </w:tcPr>
          <w:p w14:paraId="24A23A79">
            <w:pPr>
              <w:pStyle w:val="143"/>
              <w:rPr>
                <w:rFonts w:hint="default" w:ascii="Times New Roman" w:hAnsi="Times New Roman" w:eastAsia="宋体" w:cs="Times New Roman"/>
                <w:kern w:val="2"/>
                <w:sz w:val="21"/>
                <w:szCs w:val="24"/>
                <w:lang w:val="en-US" w:eastAsia="zh-CN" w:bidi="ar-SA"/>
              </w:rPr>
            </w:pPr>
          </w:p>
        </w:tc>
        <w:tc>
          <w:tcPr>
            <w:tcW w:w="799" w:type="pct"/>
            <w:tcBorders>
              <w:tl2br w:val="nil"/>
              <w:tr2bl w:val="nil"/>
            </w:tcBorders>
            <w:vAlign w:val="center"/>
          </w:tcPr>
          <w:p w14:paraId="7A10F995">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TVOC</w:t>
            </w:r>
          </w:p>
        </w:tc>
        <w:tc>
          <w:tcPr>
            <w:tcW w:w="1670" w:type="pct"/>
            <w:tcBorders>
              <w:tl2br w:val="nil"/>
              <w:tr2bl w:val="nil"/>
            </w:tcBorders>
            <w:shd w:val="clear" w:color="auto" w:fill="auto"/>
            <w:vAlign w:val="center"/>
          </w:tcPr>
          <w:p w14:paraId="37FF3C73">
            <w:pPr>
              <w:jc w:val="center"/>
              <w:rPr>
                <w:rFonts w:hint="default" w:ascii="Times New Roman" w:hAnsi="Times New Roman" w:eastAsia="仿宋_GB2312" w:cs="Times New Roman"/>
                <w:kern w:val="2"/>
                <w:sz w:val="24"/>
                <w:szCs w:val="24"/>
                <w:lang w:val="en-US" w:eastAsia="zh-CN" w:bidi="ar-SA"/>
              </w:rPr>
            </w:pPr>
            <w:r>
              <w:rPr>
                <w:rFonts w:ascii="宋体" w:hAnsi="宋体" w:eastAsia="宋体"/>
                <w:b w:val="0"/>
                <w:sz w:val="23"/>
                <w:szCs w:val="23"/>
              </w:rPr>
              <w:t>0.09</w:t>
            </w:r>
          </w:p>
        </w:tc>
        <w:tc>
          <w:tcPr>
            <w:tcW w:w="877" w:type="pct"/>
            <w:tcBorders>
              <w:tl2br w:val="nil"/>
              <w:tr2bl w:val="nil"/>
            </w:tcBorders>
            <w:shd w:val="clear" w:color="auto" w:fill="auto"/>
            <w:vAlign w:val="center"/>
          </w:tcPr>
          <w:p w14:paraId="080436F2">
            <w:pPr>
              <w:jc w:val="center"/>
              <w:rPr>
                <w:rFonts w:hint="default" w:ascii="Times New Roman" w:hAnsi="Times New Roman" w:eastAsia="仿宋_GB2312" w:cs="Times New Roman"/>
                <w:kern w:val="2"/>
                <w:sz w:val="24"/>
                <w:szCs w:val="24"/>
                <w:lang w:val="en-US" w:eastAsia="zh-CN" w:bidi="ar-SA"/>
              </w:rPr>
            </w:pPr>
            <w:r>
              <w:rPr>
                <w:rFonts w:ascii="宋体" w:hAnsi="宋体" w:eastAsia="宋体"/>
                <w:b w:val="0"/>
                <w:sz w:val="23"/>
                <w:szCs w:val="23"/>
              </w:rPr>
              <w:t>0.01</w:t>
            </w:r>
          </w:p>
        </w:tc>
      </w:tr>
      <w:tr w14:paraId="6818A5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1" w:type="pct"/>
            <w:tcBorders>
              <w:tl2br w:val="nil"/>
              <w:tr2bl w:val="nil"/>
            </w:tcBorders>
            <w:vAlign w:val="center"/>
          </w:tcPr>
          <w:p w14:paraId="6280695F">
            <w:pPr>
              <w:pStyle w:val="143"/>
              <w:rPr>
                <w:rFonts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#排气筒</w:t>
            </w:r>
          </w:p>
        </w:tc>
        <w:tc>
          <w:tcPr>
            <w:tcW w:w="991" w:type="pct"/>
            <w:tcBorders>
              <w:tl2br w:val="nil"/>
              <w:tr2bl w:val="nil"/>
            </w:tcBorders>
            <w:vAlign w:val="center"/>
          </w:tcPr>
          <w:p w14:paraId="21538B0A">
            <w:pPr>
              <w:pStyle w:val="143"/>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2055</w:t>
            </w:r>
          </w:p>
        </w:tc>
        <w:tc>
          <w:tcPr>
            <w:tcW w:w="799" w:type="pct"/>
            <w:tcBorders>
              <w:tl2br w:val="nil"/>
              <w:tr2bl w:val="nil"/>
            </w:tcBorders>
            <w:vAlign w:val="center"/>
          </w:tcPr>
          <w:p w14:paraId="1056E510">
            <w:pPr>
              <w:pStyle w:val="143"/>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1670" w:type="pct"/>
            <w:tcBorders>
              <w:tl2br w:val="nil"/>
              <w:tr2bl w:val="nil"/>
            </w:tcBorders>
            <w:vAlign w:val="center"/>
          </w:tcPr>
          <w:p w14:paraId="259DB2D4">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0.01</w:t>
            </w:r>
          </w:p>
        </w:tc>
        <w:tc>
          <w:tcPr>
            <w:tcW w:w="877" w:type="pct"/>
            <w:tcBorders>
              <w:tl2br w:val="nil"/>
              <w:tr2bl w:val="nil"/>
            </w:tcBorders>
            <w:vAlign w:val="center"/>
          </w:tcPr>
          <w:p w14:paraId="560FF29F">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w:t>
            </w:r>
          </w:p>
        </w:tc>
      </w:tr>
    </w:tbl>
    <w:p w14:paraId="2562F785">
      <w:pPr>
        <w:adjustRightInd w:val="0"/>
        <w:snapToGrid w:val="0"/>
        <w:spacing w:line="500" w:lineRule="exact"/>
        <w:ind w:firstLine="482" w:firstLineChars="200"/>
        <w:rPr>
          <w:rFonts w:ascii="宋体" w:hAnsi="宋体" w:eastAsia="宋体" w:cs="宋体"/>
          <w:b/>
          <w:color w:val="000000" w:themeColor="text1"/>
          <w14:textFill>
            <w14:solidFill>
              <w14:schemeClr w14:val="tx1"/>
            </w14:solidFill>
          </w14:textFill>
        </w:rPr>
      </w:pPr>
      <w:r>
        <w:rPr>
          <w:rFonts w:eastAsia="宋体"/>
          <w:b/>
          <w:color w:val="000000" w:themeColor="text1"/>
          <w14:textFill>
            <w14:solidFill>
              <w14:schemeClr w14:val="tx1"/>
            </w14:solidFill>
          </w14:textFill>
        </w:rPr>
        <w:t>1#</w:t>
      </w:r>
      <w:r>
        <w:rPr>
          <w:rFonts w:hint="eastAsia" w:ascii="宋体" w:hAnsi="宋体" w:eastAsia="宋体" w:cs="宋体"/>
          <w:b/>
          <w:color w:val="000000" w:themeColor="text1"/>
          <w14:textFill>
            <w14:solidFill>
              <w14:schemeClr w14:val="tx1"/>
            </w14:solidFill>
          </w14:textFill>
        </w:rPr>
        <w:t>排气筒废气超标排放事故</w:t>
      </w:r>
    </w:p>
    <w:p w14:paraId="50B8FF0B">
      <w:pPr>
        <w:pStyle w:val="12"/>
        <w:adjustRightInd w:val="0"/>
        <w:snapToGrid w:val="0"/>
        <w:spacing w:line="500" w:lineRule="exact"/>
        <w:ind w:firstLine="480" w:firstLineChars="200"/>
        <w:jc w:val="both"/>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从上表分析可知，在</w:t>
      </w:r>
      <w:r>
        <w:rPr>
          <w:rFonts w:hint="eastAsia" w:eastAsia="宋体"/>
          <w:color w:val="000000" w:themeColor="text1"/>
          <w14:textFill>
            <w14:solidFill>
              <w14:schemeClr w14:val="tx1"/>
            </w14:solidFill>
          </w14:textFill>
        </w:rPr>
        <w:t>1#排气筒</w:t>
      </w:r>
      <w:r>
        <w:rPr>
          <w:rFonts w:eastAsia="宋体"/>
          <w:color w:val="000000" w:themeColor="text1"/>
          <w14:textFill>
            <w14:solidFill>
              <w14:schemeClr w14:val="tx1"/>
            </w14:solidFill>
          </w14:textFill>
        </w:rPr>
        <w:t>下方向</w:t>
      </w:r>
      <w:r>
        <w:rPr>
          <w:rFonts w:hint="eastAsia" w:eastAsia="宋体"/>
          <w:color w:val="000000" w:themeColor="text1"/>
          <w:lang w:val="en-US" w:eastAsia="zh-CN"/>
          <w14:textFill>
            <w14:solidFill>
              <w14:schemeClr w14:val="tx1"/>
            </w14:solidFill>
          </w14:textFill>
        </w:rPr>
        <w:t>120</w:t>
      </w:r>
      <w:r>
        <w:rPr>
          <w:rFonts w:eastAsia="宋体"/>
          <w:color w:val="000000" w:themeColor="text1"/>
          <w14:textFill>
            <w14:solidFill>
              <w14:schemeClr w14:val="tx1"/>
            </w14:solidFill>
          </w14:textFill>
        </w:rPr>
        <w:t>米处</w:t>
      </w:r>
      <w:r>
        <w:rPr>
          <w:rFonts w:hint="eastAsia" w:eastAsia="宋体"/>
          <w:color w:val="000000" w:themeColor="text1"/>
          <w14:textFill>
            <w14:solidFill>
              <w14:schemeClr w14:val="tx1"/>
            </w14:solidFill>
          </w14:textFill>
        </w:rPr>
        <w:t>颗粒物</w:t>
      </w:r>
      <w:r>
        <w:rPr>
          <w:rFonts w:eastAsia="宋体"/>
          <w:color w:val="000000" w:themeColor="text1"/>
          <w14:textFill>
            <w14:solidFill>
              <w14:schemeClr w14:val="tx1"/>
            </w14:solidFill>
          </w14:textFill>
        </w:rPr>
        <w:t>出现了最大落地浓度</w:t>
      </w:r>
      <w:r>
        <w:rPr>
          <w:rFonts w:hint="eastAsia" w:eastAsia="宋体"/>
          <w:color w:val="000000" w:themeColor="text1"/>
          <w:lang w:val="en-US" w:eastAsia="zh-CN"/>
          <w14:textFill>
            <w14:solidFill>
              <w14:schemeClr w14:val="tx1"/>
            </w14:solidFill>
          </w14:textFill>
        </w:rPr>
        <w:t>0.16</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，小于标准值</w:t>
      </w:r>
      <w:r>
        <w:rPr>
          <w:rFonts w:hint="eastAsia" w:eastAsia="宋体"/>
          <w:color w:val="000000" w:themeColor="text1"/>
          <w14:textFill>
            <w14:solidFill>
              <w14:schemeClr w14:val="tx1"/>
            </w14:solidFill>
          </w14:textFill>
        </w:rPr>
        <w:t>0.9</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，对大气环境和人的影响较小，主要影响厂界及周边企业职工。</w:t>
      </w:r>
    </w:p>
    <w:p w14:paraId="572FADED">
      <w:pPr>
        <w:adjustRightInd w:val="0"/>
        <w:snapToGrid w:val="0"/>
        <w:spacing w:line="500" w:lineRule="exact"/>
        <w:ind w:firstLine="482" w:firstLineChars="200"/>
        <w:rPr>
          <w:rFonts w:ascii="宋体" w:hAnsi="宋体" w:eastAsia="宋体" w:cs="宋体"/>
          <w:b/>
          <w:color w:val="000000" w:themeColor="text1"/>
          <w14:textFill>
            <w14:solidFill>
              <w14:schemeClr w14:val="tx1"/>
            </w14:solidFill>
          </w14:textFill>
        </w:rPr>
      </w:pPr>
      <w:r>
        <w:rPr>
          <w:rFonts w:hint="eastAsia" w:eastAsia="宋体"/>
          <w:b/>
          <w:color w:val="000000" w:themeColor="text1"/>
          <w:lang w:val="en-US" w:eastAsia="zh-CN"/>
          <w14:textFill>
            <w14:solidFill>
              <w14:schemeClr w14:val="tx1"/>
            </w14:solidFill>
          </w14:textFill>
        </w:rPr>
        <w:t>2</w:t>
      </w:r>
      <w:r>
        <w:rPr>
          <w:rFonts w:eastAsia="宋体"/>
          <w:b/>
          <w:color w:val="000000" w:themeColor="text1"/>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排气筒废气超标排放事故</w:t>
      </w:r>
    </w:p>
    <w:p w14:paraId="5A8C4078">
      <w:pPr>
        <w:pStyle w:val="12"/>
        <w:adjustRightInd w:val="0"/>
        <w:snapToGrid w:val="0"/>
        <w:spacing w:line="500" w:lineRule="exact"/>
        <w:ind w:firstLine="480" w:firstLineChars="200"/>
        <w:jc w:val="both"/>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从上表分析可知，在</w:t>
      </w:r>
      <w:r>
        <w:rPr>
          <w:rFonts w:hint="eastAsia" w:eastAsia="宋体"/>
          <w:color w:val="000000" w:themeColor="text1"/>
          <w:lang w:val="en-US" w:eastAsia="zh-CN"/>
          <w14:textFill>
            <w14:solidFill>
              <w14:schemeClr w14:val="tx1"/>
            </w14:solidFill>
          </w14:textFill>
        </w:rPr>
        <w:t>2</w:t>
      </w:r>
      <w:r>
        <w:rPr>
          <w:rFonts w:hint="eastAsia" w:eastAsia="宋体"/>
          <w:color w:val="000000" w:themeColor="text1"/>
          <w14:textFill>
            <w14:solidFill>
              <w14:schemeClr w14:val="tx1"/>
            </w14:solidFill>
          </w14:textFill>
        </w:rPr>
        <w:t>#排气筒</w:t>
      </w:r>
      <w:r>
        <w:rPr>
          <w:rFonts w:eastAsia="宋体"/>
          <w:color w:val="000000" w:themeColor="text1"/>
          <w14:textFill>
            <w14:solidFill>
              <w14:schemeClr w14:val="tx1"/>
            </w14:solidFill>
          </w14:textFill>
        </w:rPr>
        <w:t>下方向</w:t>
      </w:r>
      <w:r>
        <w:rPr>
          <w:rFonts w:hint="eastAsia" w:eastAsia="宋体"/>
          <w:color w:val="000000" w:themeColor="text1"/>
          <w:lang w:val="en-US" w:eastAsia="zh-CN"/>
          <w14:textFill>
            <w14:solidFill>
              <w14:schemeClr w14:val="tx1"/>
            </w14:solidFill>
          </w14:textFill>
        </w:rPr>
        <w:t>2055</w:t>
      </w:r>
      <w:r>
        <w:rPr>
          <w:rFonts w:eastAsia="宋体"/>
          <w:color w:val="000000" w:themeColor="text1"/>
          <w14:textFill>
            <w14:solidFill>
              <w14:schemeClr w14:val="tx1"/>
            </w14:solidFill>
          </w14:textFill>
        </w:rPr>
        <w:t>米处</w:t>
      </w:r>
      <w:r>
        <w:rPr>
          <w:rFonts w:hint="eastAsia" w:eastAsia="宋体"/>
          <w:color w:val="000000" w:themeColor="text1"/>
          <w14:textFill>
            <w14:solidFill>
              <w14:schemeClr w14:val="tx1"/>
            </w14:solidFill>
          </w14:textFill>
        </w:rPr>
        <w:t>颗粒物</w:t>
      </w:r>
      <w:r>
        <w:rPr>
          <w:rFonts w:eastAsia="宋体"/>
          <w:color w:val="000000" w:themeColor="text1"/>
          <w14:textFill>
            <w14:solidFill>
              <w14:schemeClr w14:val="tx1"/>
            </w14:solidFill>
          </w14:textFill>
        </w:rPr>
        <w:t>出现了最大落地浓度</w:t>
      </w:r>
      <w:r>
        <w:rPr>
          <w:rFonts w:hint="eastAsia" w:eastAsia="宋体"/>
          <w:color w:val="000000" w:themeColor="text1"/>
          <w:lang w:val="en-US" w:eastAsia="zh-CN"/>
          <w14:textFill>
            <w14:solidFill>
              <w14:schemeClr w14:val="tx1"/>
            </w14:solidFill>
          </w14:textFill>
        </w:rPr>
        <w:t>0.01</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，小于标准值</w:t>
      </w:r>
      <w:r>
        <w:rPr>
          <w:rFonts w:hint="eastAsia" w:eastAsia="宋体"/>
          <w:color w:val="000000" w:themeColor="text1"/>
          <w14:textFill>
            <w14:solidFill>
              <w14:schemeClr w14:val="tx1"/>
            </w14:solidFill>
          </w14:textFill>
        </w:rPr>
        <w:t>0.9</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，对大气环境和人的影响较小，主要影响厂界及周边企业职工。</w:t>
      </w:r>
    </w:p>
    <w:p w14:paraId="200CA231">
      <w:pPr>
        <w:adjustRightInd w:val="0"/>
        <w:snapToGrid w:val="0"/>
        <w:spacing w:line="500" w:lineRule="exact"/>
        <w:ind w:firstLine="482" w:firstLineChars="200"/>
        <w:rPr>
          <w:rFonts w:ascii="宋体" w:hAnsi="宋体" w:eastAsia="宋体" w:cs="宋体"/>
          <w:b/>
          <w:color w:val="000000" w:themeColor="text1"/>
          <w14:textFill>
            <w14:solidFill>
              <w14:schemeClr w14:val="tx1"/>
            </w14:solidFill>
          </w14:textFill>
        </w:rPr>
      </w:pPr>
      <w:r>
        <w:rPr>
          <w:rFonts w:hint="eastAsia" w:eastAsia="宋体"/>
          <w:b/>
          <w:color w:val="000000" w:themeColor="text1"/>
          <w:lang w:val="en-US" w:eastAsia="zh-CN"/>
          <w14:textFill>
            <w14:solidFill>
              <w14:schemeClr w14:val="tx1"/>
            </w14:solidFill>
          </w14:textFill>
        </w:rPr>
        <w:t>3</w:t>
      </w:r>
      <w:r>
        <w:rPr>
          <w:rFonts w:eastAsia="宋体"/>
          <w:b/>
          <w:color w:val="000000" w:themeColor="text1"/>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排气筒废气超标排放事故</w:t>
      </w:r>
    </w:p>
    <w:p w14:paraId="28DEE0EC">
      <w:pPr>
        <w:pStyle w:val="12"/>
        <w:adjustRightInd w:val="0"/>
        <w:snapToGrid w:val="0"/>
        <w:spacing w:line="500" w:lineRule="exact"/>
        <w:ind w:firstLine="480" w:firstLineChars="200"/>
        <w:jc w:val="both"/>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从上表分析可知，在</w:t>
      </w:r>
      <w:r>
        <w:rPr>
          <w:rFonts w:hint="eastAsia" w:eastAsia="宋体"/>
          <w:color w:val="000000" w:themeColor="text1"/>
          <w:lang w:val="en-US" w:eastAsia="zh-CN"/>
          <w14:textFill>
            <w14:solidFill>
              <w14:schemeClr w14:val="tx1"/>
            </w14:solidFill>
          </w14:textFill>
        </w:rPr>
        <w:t>3</w:t>
      </w:r>
      <w:r>
        <w:rPr>
          <w:rFonts w:hint="eastAsia" w:eastAsia="宋体"/>
          <w:color w:val="000000" w:themeColor="text1"/>
          <w14:textFill>
            <w14:solidFill>
              <w14:schemeClr w14:val="tx1"/>
            </w14:solidFill>
          </w14:textFill>
        </w:rPr>
        <w:t>#排气筒</w:t>
      </w:r>
      <w:r>
        <w:rPr>
          <w:rFonts w:eastAsia="宋体"/>
          <w:color w:val="000000" w:themeColor="text1"/>
          <w14:textFill>
            <w14:solidFill>
              <w14:schemeClr w14:val="tx1"/>
            </w14:solidFill>
          </w14:textFill>
        </w:rPr>
        <w:t>下方向</w:t>
      </w:r>
      <w:r>
        <w:rPr>
          <w:rFonts w:hint="eastAsia" w:eastAsia="宋体"/>
          <w:color w:val="000000" w:themeColor="text1"/>
          <w:lang w:val="en-US" w:eastAsia="zh-CN"/>
          <w14:textFill>
            <w14:solidFill>
              <w14:schemeClr w14:val="tx1"/>
            </w14:solidFill>
          </w14:textFill>
        </w:rPr>
        <w:t>435</w:t>
      </w:r>
      <w:r>
        <w:rPr>
          <w:rFonts w:eastAsia="宋体"/>
          <w:color w:val="000000" w:themeColor="text1"/>
          <w14:textFill>
            <w14:solidFill>
              <w14:schemeClr w14:val="tx1"/>
            </w14:solidFill>
          </w14:textFill>
        </w:rPr>
        <w:t>米处</w:t>
      </w:r>
      <w:r>
        <w:rPr>
          <w:rFonts w:hint="eastAsia" w:eastAsia="宋体"/>
          <w:color w:val="000000" w:themeColor="text1"/>
          <w14:textFill>
            <w14:solidFill>
              <w14:schemeClr w14:val="tx1"/>
            </w14:solidFill>
          </w14:textFill>
        </w:rPr>
        <w:t>颗粒物</w:t>
      </w:r>
      <w:r>
        <w:rPr>
          <w:rFonts w:eastAsia="宋体"/>
          <w:color w:val="000000" w:themeColor="text1"/>
          <w14:textFill>
            <w14:solidFill>
              <w14:schemeClr w14:val="tx1"/>
            </w14:solidFill>
          </w14:textFill>
        </w:rPr>
        <w:t>出现了最大落地浓度</w:t>
      </w:r>
      <w:r>
        <w:rPr>
          <w:rFonts w:hint="eastAsia" w:eastAsia="宋体"/>
          <w:color w:val="000000" w:themeColor="text1"/>
          <w:lang w:val="en-US" w:eastAsia="zh-CN"/>
          <w14:textFill>
            <w14:solidFill>
              <w14:schemeClr w14:val="tx1"/>
            </w14:solidFill>
          </w14:textFill>
        </w:rPr>
        <w:t>0.45</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，小于标准值</w:t>
      </w:r>
      <w:r>
        <w:rPr>
          <w:rFonts w:hint="eastAsia" w:eastAsia="宋体"/>
          <w:color w:val="000000" w:themeColor="text1"/>
          <w14:textFill>
            <w14:solidFill>
              <w14:schemeClr w14:val="tx1"/>
            </w14:solidFill>
          </w14:textFill>
        </w:rPr>
        <w:t>0.9</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w:t>
      </w:r>
      <w:r>
        <w:rPr>
          <w:rFonts w:hint="eastAsia" w:eastAsia="宋体"/>
          <w:color w:val="000000" w:themeColor="text1"/>
          <w:lang w:val="en-US" w:eastAsia="zh-CN"/>
          <w14:textFill>
            <w14:solidFill>
              <w14:schemeClr w14:val="tx1"/>
            </w14:solidFill>
          </w14:textFill>
        </w:rPr>
        <w:t>VOCS出现了</w:t>
      </w:r>
      <w:r>
        <w:rPr>
          <w:rFonts w:eastAsia="宋体"/>
          <w:color w:val="000000" w:themeColor="text1"/>
          <w14:textFill>
            <w14:solidFill>
              <w14:schemeClr w14:val="tx1"/>
            </w14:solidFill>
          </w14:textFill>
        </w:rPr>
        <w:t>最大落地浓度</w:t>
      </w:r>
      <w:r>
        <w:rPr>
          <w:rFonts w:hint="eastAsia" w:eastAsia="宋体"/>
          <w:color w:val="000000" w:themeColor="text1"/>
          <w:lang w:val="en-US" w:eastAsia="zh-CN"/>
          <w14:textFill>
            <w14:solidFill>
              <w14:schemeClr w14:val="tx1"/>
            </w14:solidFill>
          </w14:textFill>
        </w:rPr>
        <w:t>0.06</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，小于标准值</w:t>
      </w:r>
      <w:r>
        <w:rPr>
          <w:rFonts w:hint="eastAsia" w:eastAsia="宋体"/>
          <w:color w:val="000000" w:themeColor="text1"/>
          <w:lang w:val="en-US" w:eastAsia="zh-CN"/>
          <w14:textFill>
            <w14:solidFill>
              <w14:schemeClr w14:val="tx1"/>
            </w14:solidFill>
          </w14:textFill>
        </w:rPr>
        <w:t>1.2</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hint="eastAsia" w:eastAsia="宋体"/>
          <w:color w:val="000000" w:themeColor="text1"/>
          <w:vertAlign w:val="baseline"/>
          <w:lang w:eastAsia="zh-CN"/>
          <w14:textFill>
            <w14:solidFill>
              <w14:schemeClr w14:val="tx1"/>
            </w14:solidFill>
          </w14:textFill>
        </w:rPr>
        <w:t>，</w:t>
      </w:r>
      <w:r>
        <w:rPr>
          <w:rFonts w:eastAsia="宋体"/>
          <w:color w:val="000000" w:themeColor="text1"/>
          <w14:textFill>
            <w14:solidFill>
              <w14:schemeClr w14:val="tx1"/>
            </w14:solidFill>
          </w14:textFill>
        </w:rPr>
        <w:t>对大气环境和人的影响较小，主要影响厂界及周边企业职工。</w:t>
      </w:r>
    </w:p>
    <w:p w14:paraId="4EF79E9A">
      <w:pPr>
        <w:adjustRightInd w:val="0"/>
        <w:snapToGrid w:val="0"/>
        <w:spacing w:line="500" w:lineRule="exact"/>
        <w:ind w:firstLine="482" w:firstLineChars="200"/>
        <w:rPr>
          <w:rFonts w:ascii="宋体" w:hAnsi="宋体" w:eastAsia="宋体" w:cs="宋体"/>
          <w:b/>
          <w:color w:val="000000" w:themeColor="text1"/>
          <w14:textFill>
            <w14:solidFill>
              <w14:schemeClr w14:val="tx1"/>
            </w14:solidFill>
          </w14:textFill>
        </w:rPr>
      </w:pPr>
      <w:r>
        <w:rPr>
          <w:rFonts w:hint="eastAsia" w:eastAsia="宋体"/>
          <w:b/>
          <w:color w:val="000000" w:themeColor="text1"/>
          <w:lang w:val="en-US" w:eastAsia="zh-CN"/>
          <w14:textFill>
            <w14:solidFill>
              <w14:schemeClr w14:val="tx1"/>
            </w14:solidFill>
          </w14:textFill>
        </w:rPr>
        <w:t>4</w:t>
      </w:r>
      <w:r>
        <w:rPr>
          <w:rFonts w:eastAsia="宋体"/>
          <w:b/>
          <w:color w:val="000000" w:themeColor="text1"/>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排气筒废气超标排放事故</w:t>
      </w:r>
    </w:p>
    <w:p w14:paraId="0EC39779">
      <w:pPr>
        <w:pStyle w:val="12"/>
        <w:adjustRightInd w:val="0"/>
        <w:snapToGrid w:val="0"/>
        <w:spacing w:line="500" w:lineRule="exact"/>
        <w:ind w:firstLine="480" w:firstLineChars="200"/>
        <w:jc w:val="both"/>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从上表分析可知，在</w:t>
      </w:r>
      <w:r>
        <w:rPr>
          <w:rFonts w:hint="eastAsia" w:eastAsia="宋体"/>
          <w:color w:val="000000" w:themeColor="text1"/>
          <w:lang w:val="en-US" w:eastAsia="zh-CN"/>
          <w14:textFill>
            <w14:solidFill>
              <w14:schemeClr w14:val="tx1"/>
            </w14:solidFill>
          </w14:textFill>
        </w:rPr>
        <w:t>4</w:t>
      </w:r>
      <w:r>
        <w:rPr>
          <w:rFonts w:hint="eastAsia" w:eastAsia="宋体"/>
          <w:color w:val="000000" w:themeColor="text1"/>
          <w14:textFill>
            <w14:solidFill>
              <w14:schemeClr w14:val="tx1"/>
            </w14:solidFill>
          </w14:textFill>
        </w:rPr>
        <w:t>#排气筒</w:t>
      </w:r>
      <w:r>
        <w:rPr>
          <w:rFonts w:eastAsia="宋体"/>
          <w:color w:val="000000" w:themeColor="text1"/>
          <w14:textFill>
            <w14:solidFill>
              <w14:schemeClr w14:val="tx1"/>
            </w14:solidFill>
          </w14:textFill>
        </w:rPr>
        <w:t>下方向</w:t>
      </w:r>
      <w:r>
        <w:rPr>
          <w:rFonts w:hint="eastAsia" w:eastAsia="宋体"/>
          <w:color w:val="000000" w:themeColor="text1"/>
          <w:lang w:val="en-US" w:eastAsia="zh-CN"/>
          <w14:textFill>
            <w14:solidFill>
              <w14:schemeClr w14:val="tx1"/>
            </w14:solidFill>
          </w14:textFill>
        </w:rPr>
        <w:t>432</w:t>
      </w:r>
      <w:r>
        <w:rPr>
          <w:rFonts w:eastAsia="宋体"/>
          <w:color w:val="000000" w:themeColor="text1"/>
          <w14:textFill>
            <w14:solidFill>
              <w14:schemeClr w14:val="tx1"/>
            </w14:solidFill>
          </w14:textFill>
        </w:rPr>
        <w:t>米处</w:t>
      </w:r>
      <w:r>
        <w:rPr>
          <w:rFonts w:hint="eastAsia" w:eastAsia="宋体"/>
          <w:color w:val="000000" w:themeColor="text1"/>
          <w14:textFill>
            <w14:solidFill>
              <w14:schemeClr w14:val="tx1"/>
            </w14:solidFill>
          </w14:textFill>
        </w:rPr>
        <w:t>颗粒物</w:t>
      </w:r>
      <w:r>
        <w:rPr>
          <w:rFonts w:eastAsia="宋体"/>
          <w:color w:val="000000" w:themeColor="text1"/>
          <w14:textFill>
            <w14:solidFill>
              <w14:schemeClr w14:val="tx1"/>
            </w14:solidFill>
          </w14:textFill>
        </w:rPr>
        <w:t>出现了最大落地浓度</w:t>
      </w:r>
      <w:r>
        <w:rPr>
          <w:rFonts w:hint="eastAsia" w:eastAsia="宋体"/>
          <w:color w:val="000000" w:themeColor="text1"/>
          <w:lang w:val="en-US" w:eastAsia="zh-CN"/>
          <w14:textFill>
            <w14:solidFill>
              <w14:schemeClr w14:val="tx1"/>
            </w14:solidFill>
          </w14:textFill>
        </w:rPr>
        <w:t>0.39</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，小于标准值</w:t>
      </w:r>
      <w:r>
        <w:rPr>
          <w:rFonts w:hint="eastAsia" w:eastAsia="宋体"/>
          <w:color w:val="000000" w:themeColor="text1"/>
          <w14:textFill>
            <w14:solidFill>
              <w14:schemeClr w14:val="tx1"/>
            </w14:solidFill>
          </w14:textFill>
        </w:rPr>
        <w:t>0.9</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w:t>
      </w:r>
      <w:r>
        <w:rPr>
          <w:rFonts w:hint="eastAsia" w:eastAsia="宋体"/>
          <w:color w:val="000000" w:themeColor="text1"/>
          <w:lang w:val="en-US" w:eastAsia="zh-CN"/>
          <w14:textFill>
            <w14:solidFill>
              <w14:schemeClr w14:val="tx1"/>
            </w14:solidFill>
          </w14:textFill>
        </w:rPr>
        <w:t>VOCS出现了</w:t>
      </w:r>
      <w:r>
        <w:rPr>
          <w:rFonts w:eastAsia="宋体"/>
          <w:color w:val="000000" w:themeColor="text1"/>
          <w14:textFill>
            <w14:solidFill>
              <w14:schemeClr w14:val="tx1"/>
            </w14:solidFill>
          </w14:textFill>
        </w:rPr>
        <w:t>最大落地浓度</w:t>
      </w:r>
      <w:r>
        <w:rPr>
          <w:rFonts w:hint="eastAsia" w:eastAsia="宋体"/>
          <w:color w:val="000000" w:themeColor="text1"/>
          <w:lang w:val="en-US" w:eastAsia="zh-CN"/>
          <w14:textFill>
            <w14:solidFill>
              <w14:schemeClr w14:val="tx1"/>
            </w14:solidFill>
          </w14:textFill>
        </w:rPr>
        <w:t>0.09</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，小于标准值</w:t>
      </w:r>
      <w:r>
        <w:rPr>
          <w:rFonts w:hint="eastAsia" w:eastAsia="宋体"/>
          <w:color w:val="000000" w:themeColor="text1"/>
          <w:lang w:val="en-US" w:eastAsia="zh-CN"/>
          <w14:textFill>
            <w14:solidFill>
              <w14:schemeClr w14:val="tx1"/>
            </w14:solidFill>
          </w14:textFill>
        </w:rPr>
        <w:t>1.2</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hint="eastAsia" w:eastAsia="宋体"/>
          <w:color w:val="000000" w:themeColor="text1"/>
          <w:vertAlign w:val="baseline"/>
          <w:lang w:eastAsia="zh-CN"/>
          <w14:textFill>
            <w14:solidFill>
              <w14:schemeClr w14:val="tx1"/>
            </w14:solidFill>
          </w14:textFill>
        </w:rPr>
        <w:t>，</w:t>
      </w:r>
      <w:r>
        <w:rPr>
          <w:rFonts w:eastAsia="宋体"/>
          <w:color w:val="000000" w:themeColor="text1"/>
          <w14:textFill>
            <w14:solidFill>
              <w14:schemeClr w14:val="tx1"/>
            </w14:solidFill>
          </w14:textFill>
        </w:rPr>
        <w:t>对大气环境和人的影响较小，主要影响厂界及周边企业职工。</w:t>
      </w:r>
    </w:p>
    <w:p w14:paraId="656B08EF">
      <w:pPr>
        <w:pStyle w:val="2"/>
        <w:adjustRightInd w:val="0"/>
        <w:snapToGrid w:val="0"/>
        <w:spacing w:line="500" w:lineRule="exact"/>
        <w:rPr>
          <w:rFonts w:eastAsia="宋体"/>
          <w:sz w:val="24"/>
          <w:szCs w:val="24"/>
        </w:rPr>
      </w:pPr>
      <w:bookmarkStart w:id="233" w:name="_Toc32454"/>
      <w:bookmarkStart w:id="234" w:name="_Toc2754"/>
      <w:bookmarkStart w:id="235" w:name="_Toc30419"/>
      <w:bookmarkStart w:id="236" w:name="_Toc24446"/>
      <w:r>
        <w:rPr>
          <w:rFonts w:hint="eastAsia" w:eastAsia="宋体"/>
          <w:sz w:val="24"/>
          <w:szCs w:val="24"/>
        </w:rPr>
        <w:t>5现有环境风险防控和应急措施差距分析</w:t>
      </w:r>
      <w:bookmarkEnd w:id="178"/>
      <w:bookmarkEnd w:id="233"/>
      <w:bookmarkEnd w:id="234"/>
      <w:bookmarkEnd w:id="235"/>
      <w:bookmarkEnd w:id="236"/>
    </w:p>
    <w:p w14:paraId="2078B20B">
      <w:pPr>
        <w:adjustRightInd w:val="0"/>
        <w:snapToGrid w:val="0"/>
        <w:spacing w:line="500" w:lineRule="exact"/>
        <w:ind w:firstLine="480" w:firstLineChars="200"/>
        <w:rPr>
          <w:rFonts w:ascii="宋体" w:hAnsi="宋体" w:eastAsia="宋体" w:cs="宋体"/>
        </w:rPr>
      </w:pPr>
      <w:bookmarkStart w:id="237" w:name="_Toc353379550"/>
      <w:r>
        <w:rPr>
          <w:rFonts w:hint="eastAsia" w:ascii="宋体" w:hAnsi="宋体" w:eastAsia="宋体" w:cs="宋体"/>
        </w:rPr>
        <w:t>环境风险管理是对可能存在的事故采取有效的防范措施，控制和防治对环境的污染，同时对可能造成的环境灾害制定应急预案，减少环境风险。</w:t>
      </w:r>
    </w:p>
    <w:p w14:paraId="43F50BDB">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238" w:name="_Toc2496"/>
      <w:bookmarkStart w:id="239" w:name="_Toc7996"/>
      <w:bookmarkStart w:id="240" w:name="_Toc402776217"/>
      <w:bookmarkStart w:id="241" w:name="_Toc27239"/>
      <w:bookmarkStart w:id="242" w:name="_Toc7007"/>
      <w:r>
        <w:rPr>
          <w:rFonts w:hint="eastAsia" w:eastAsia="宋体"/>
          <w:color w:val="000000" w:themeColor="text1"/>
          <w:sz w:val="24"/>
          <w:szCs w:val="24"/>
          <w14:textFill>
            <w14:solidFill>
              <w14:schemeClr w14:val="tx1"/>
            </w14:solidFill>
          </w14:textFill>
        </w:rPr>
        <w:t>5.1环境风险管理制度</w:t>
      </w:r>
      <w:bookmarkEnd w:id="238"/>
      <w:bookmarkEnd w:id="239"/>
      <w:bookmarkEnd w:id="240"/>
      <w:bookmarkEnd w:id="241"/>
      <w:bookmarkEnd w:id="242"/>
    </w:p>
    <w:p w14:paraId="4C0CA294">
      <w:pPr>
        <w:adjustRightInd w:val="0"/>
        <w:snapToGrid w:val="0"/>
        <w:spacing w:line="500" w:lineRule="exact"/>
        <w:ind w:firstLine="480" w:firstLineChars="200"/>
        <w:rPr>
          <w:rFonts w:eastAsia="宋体"/>
        </w:rPr>
      </w:pPr>
      <w:bookmarkStart w:id="243" w:name="_Toc402776219"/>
      <w:r>
        <w:rPr>
          <w:rFonts w:eastAsia="宋体"/>
        </w:rPr>
        <w:t>公司现有环境风险管理制度差距分析见表5-1。</w:t>
      </w:r>
    </w:p>
    <w:p w14:paraId="34BA3067">
      <w:pPr>
        <w:adjustRightInd w:val="0"/>
        <w:snapToGrid w:val="0"/>
        <w:spacing w:line="500" w:lineRule="exact"/>
        <w:jc w:val="center"/>
        <w:rPr>
          <w:rFonts w:eastAsia="宋体"/>
          <w:b/>
        </w:rPr>
      </w:pPr>
      <w:r>
        <w:rPr>
          <w:rFonts w:eastAsia="宋体"/>
          <w:b/>
        </w:rPr>
        <w:t>表5-1环境风险管理制度差距分析</w:t>
      </w:r>
    </w:p>
    <w:tbl>
      <w:tblPr>
        <w:tblStyle w:val="38"/>
        <w:tblW w:w="501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21"/>
        <w:gridCol w:w="2462"/>
        <w:gridCol w:w="4075"/>
        <w:gridCol w:w="1829"/>
      </w:tblGrid>
      <w:tr w14:paraId="0D063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2" w:hRule="atLeast"/>
          <w:tblHeader/>
          <w:jc w:val="center"/>
        </w:trPr>
        <w:tc>
          <w:tcPr>
            <w:tcW w:w="397" w:type="pct"/>
            <w:tcBorders>
              <w:tl2br w:val="nil"/>
              <w:tr2bl w:val="nil"/>
            </w:tcBorders>
            <w:vAlign w:val="center"/>
          </w:tcPr>
          <w:p w14:paraId="1A3BFBDC">
            <w:pPr>
              <w:pStyle w:val="119"/>
              <w:adjustRightInd w:val="0"/>
              <w:spacing w:line="240" w:lineRule="auto"/>
              <w:rPr>
                <w:rFonts w:eastAsia="宋体"/>
                <w:sz w:val="21"/>
              </w:rPr>
            </w:pPr>
            <w:r>
              <w:rPr>
                <w:rFonts w:eastAsia="宋体"/>
                <w:sz w:val="21"/>
              </w:rPr>
              <w:t>序号</w:t>
            </w:r>
          </w:p>
        </w:tc>
        <w:tc>
          <w:tcPr>
            <w:tcW w:w="1354" w:type="pct"/>
            <w:tcBorders>
              <w:tl2br w:val="nil"/>
              <w:tr2bl w:val="nil"/>
            </w:tcBorders>
            <w:vAlign w:val="center"/>
          </w:tcPr>
          <w:p w14:paraId="633FB4B2">
            <w:pPr>
              <w:pStyle w:val="119"/>
              <w:adjustRightInd w:val="0"/>
              <w:spacing w:line="240" w:lineRule="auto"/>
              <w:rPr>
                <w:rFonts w:eastAsia="宋体"/>
                <w:sz w:val="21"/>
              </w:rPr>
            </w:pPr>
            <w:r>
              <w:rPr>
                <w:rFonts w:eastAsia="宋体"/>
                <w:sz w:val="21"/>
              </w:rPr>
              <w:t>项目</w:t>
            </w:r>
          </w:p>
        </w:tc>
        <w:tc>
          <w:tcPr>
            <w:tcW w:w="2241" w:type="pct"/>
            <w:tcBorders>
              <w:tl2br w:val="nil"/>
              <w:tr2bl w:val="nil"/>
            </w:tcBorders>
            <w:vAlign w:val="center"/>
          </w:tcPr>
          <w:p w14:paraId="54B5D99A">
            <w:pPr>
              <w:pStyle w:val="119"/>
              <w:adjustRightInd w:val="0"/>
              <w:spacing w:line="240" w:lineRule="auto"/>
              <w:rPr>
                <w:rFonts w:eastAsia="宋体"/>
                <w:sz w:val="21"/>
              </w:rPr>
            </w:pPr>
            <w:r>
              <w:rPr>
                <w:rFonts w:eastAsia="宋体"/>
                <w:sz w:val="21"/>
              </w:rPr>
              <w:t>实际情况</w:t>
            </w:r>
          </w:p>
        </w:tc>
        <w:tc>
          <w:tcPr>
            <w:tcW w:w="1006" w:type="pct"/>
            <w:tcBorders>
              <w:tl2br w:val="nil"/>
              <w:tr2bl w:val="nil"/>
            </w:tcBorders>
            <w:vAlign w:val="center"/>
          </w:tcPr>
          <w:p w14:paraId="405C2AA6">
            <w:pPr>
              <w:pStyle w:val="119"/>
              <w:adjustRightInd w:val="0"/>
              <w:spacing w:line="240" w:lineRule="auto"/>
              <w:rPr>
                <w:rFonts w:eastAsia="宋体"/>
                <w:sz w:val="21"/>
              </w:rPr>
            </w:pPr>
            <w:r>
              <w:rPr>
                <w:rFonts w:eastAsia="宋体"/>
                <w:sz w:val="21"/>
              </w:rPr>
              <w:t>存在问题</w:t>
            </w:r>
          </w:p>
        </w:tc>
      </w:tr>
      <w:tr w14:paraId="137D9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63" w:hRule="atLeast"/>
          <w:jc w:val="center"/>
        </w:trPr>
        <w:tc>
          <w:tcPr>
            <w:tcW w:w="397" w:type="pct"/>
            <w:tcBorders>
              <w:tl2br w:val="nil"/>
              <w:tr2bl w:val="nil"/>
            </w:tcBorders>
            <w:vAlign w:val="center"/>
          </w:tcPr>
          <w:p w14:paraId="7F874ABF">
            <w:pPr>
              <w:pStyle w:val="119"/>
              <w:adjustRightInd w:val="0"/>
              <w:spacing w:line="240" w:lineRule="auto"/>
              <w:rPr>
                <w:rFonts w:eastAsia="宋体"/>
                <w:sz w:val="21"/>
              </w:rPr>
            </w:pPr>
            <w:r>
              <w:rPr>
                <w:rFonts w:eastAsia="宋体"/>
                <w:sz w:val="21"/>
              </w:rPr>
              <w:t>1</w:t>
            </w:r>
          </w:p>
        </w:tc>
        <w:tc>
          <w:tcPr>
            <w:tcW w:w="1354" w:type="pct"/>
            <w:tcBorders>
              <w:tl2br w:val="nil"/>
              <w:tr2bl w:val="nil"/>
            </w:tcBorders>
            <w:vAlign w:val="center"/>
          </w:tcPr>
          <w:p w14:paraId="45B1D6FB">
            <w:pPr>
              <w:pStyle w:val="119"/>
              <w:adjustRightInd w:val="0"/>
              <w:spacing w:line="240" w:lineRule="auto"/>
              <w:rPr>
                <w:rFonts w:eastAsia="宋体"/>
                <w:sz w:val="21"/>
              </w:rPr>
            </w:pPr>
            <w:r>
              <w:rPr>
                <w:rFonts w:eastAsia="宋体"/>
                <w:sz w:val="21"/>
              </w:rPr>
              <w:t>环境风险防控和应急措施制度是否建立，环境风险防控重点岗位的责任人或责任机构是否明确，定期巡检和维护责任制度是否落实。</w:t>
            </w:r>
          </w:p>
        </w:tc>
        <w:tc>
          <w:tcPr>
            <w:tcW w:w="2241" w:type="pct"/>
            <w:tcBorders>
              <w:tl2br w:val="nil"/>
              <w:tr2bl w:val="nil"/>
            </w:tcBorders>
            <w:shd w:val="clear" w:color="auto" w:fill="auto"/>
            <w:vAlign w:val="center"/>
          </w:tcPr>
          <w:p w14:paraId="62E496D9">
            <w:pPr>
              <w:pStyle w:val="119"/>
              <w:adjustRightInd w:val="0"/>
              <w:spacing w:line="240" w:lineRule="auto"/>
              <w:rPr>
                <w:rFonts w:eastAsia="宋体"/>
                <w:sz w:val="21"/>
              </w:rPr>
            </w:pPr>
            <w:r>
              <w:rPr>
                <w:rFonts w:eastAsia="宋体"/>
                <w:sz w:val="21"/>
              </w:rPr>
              <w:t>公司已建立了环境风险防控和应急措施制度、环境应急资源维护更新制度、污染防治设施运行管理制度，重点风险防控岗位由专人负责，见表5-2、5-3。</w:t>
            </w:r>
          </w:p>
        </w:tc>
        <w:tc>
          <w:tcPr>
            <w:tcW w:w="1006" w:type="pct"/>
            <w:tcBorders>
              <w:tl2br w:val="nil"/>
              <w:tr2bl w:val="nil"/>
            </w:tcBorders>
            <w:vAlign w:val="center"/>
          </w:tcPr>
          <w:p w14:paraId="24519B1E">
            <w:pPr>
              <w:pStyle w:val="119"/>
              <w:adjustRightInd w:val="0"/>
              <w:spacing w:line="240" w:lineRule="auto"/>
              <w:rPr>
                <w:rFonts w:eastAsia="宋体"/>
                <w:sz w:val="21"/>
              </w:rPr>
            </w:pPr>
            <w:r>
              <w:rPr>
                <w:rFonts w:eastAsia="宋体"/>
                <w:sz w:val="21"/>
              </w:rPr>
              <w:t>/</w:t>
            </w:r>
          </w:p>
        </w:tc>
      </w:tr>
      <w:tr w14:paraId="75D790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97" w:type="pct"/>
            <w:tcBorders>
              <w:tl2br w:val="nil"/>
              <w:tr2bl w:val="nil"/>
            </w:tcBorders>
            <w:vAlign w:val="center"/>
          </w:tcPr>
          <w:p w14:paraId="02EAF4A8">
            <w:pPr>
              <w:pStyle w:val="119"/>
              <w:adjustRightInd w:val="0"/>
              <w:spacing w:line="240" w:lineRule="auto"/>
              <w:rPr>
                <w:rFonts w:eastAsia="宋体"/>
                <w:sz w:val="21"/>
              </w:rPr>
            </w:pPr>
            <w:r>
              <w:rPr>
                <w:rFonts w:eastAsia="宋体"/>
                <w:sz w:val="21"/>
              </w:rPr>
              <w:t>2</w:t>
            </w:r>
          </w:p>
        </w:tc>
        <w:tc>
          <w:tcPr>
            <w:tcW w:w="1354" w:type="pct"/>
            <w:tcBorders>
              <w:tl2br w:val="nil"/>
              <w:tr2bl w:val="nil"/>
            </w:tcBorders>
            <w:vAlign w:val="center"/>
          </w:tcPr>
          <w:p w14:paraId="63B7CB92">
            <w:pPr>
              <w:pStyle w:val="119"/>
              <w:adjustRightInd w:val="0"/>
              <w:spacing w:line="240" w:lineRule="auto"/>
              <w:rPr>
                <w:rFonts w:eastAsia="宋体"/>
                <w:sz w:val="21"/>
              </w:rPr>
            </w:pPr>
            <w:r>
              <w:rPr>
                <w:rFonts w:eastAsia="宋体"/>
                <w:sz w:val="21"/>
              </w:rPr>
              <w:t>环评及批复文件的各项环境风险防控和应急措施要求是否落实。</w:t>
            </w:r>
          </w:p>
        </w:tc>
        <w:tc>
          <w:tcPr>
            <w:tcW w:w="2241" w:type="pct"/>
            <w:tcBorders>
              <w:tl2br w:val="nil"/>
              <w:tr2bl w:val="nil"/>
            </w:tcBorders>
            <w:shd w:val="clear" w:color="auto" w:fill="auto"/>
            <w:vAlign w:val="center"/>
          </w:tcPr>
          <w:p w14:paraId="0EE85290">
            <w:pPr>
              <w:pStyle w:val="119"/>
              <w:adjustRightInd w:val="0"/>
              <w:spacing w:line="240" w:lineRule="auto"/>
              <w:jc w:val="both"/>
              <w:rPr>
                <w:rFonts w:eastAsia="宋体"/>
                <w:sz w:val="21"/>
              </w:rPr>
            </w:pPr>
            <w:r>
              <w:rPr>
                <w:rFonts w:eastAsia="宋体"/>
                <w:sz w:val="21"/>
              </w:rPr>
              <w:t>公司建设项目</w:t>
            </w:r>
            <w:r>
              <w:rPr>
                <w:rFonts w:hint="eastAsia" w:eastAsia="宋体"/>
                <w:sz w:val="21"/>
              </w:rPr>
              <w:t>环评</w:t>
            </w:r>
            <w:r>
              <w:rPr>
                <w:rFonts w:eastAsia="宋体"/>
                <w:sz w:val="21"/>
              </w:rPr>
              <w:t>及</w:t>
            </w:r>
            <w:r>
              <w:rPr>
                <w:rFonts w:hint="eastAsia" w:eastAsia="宋体"/>
                <w:sz w:val="21"/>
              </w:rPr>
              <w:t>环评批复</w:t>
            </w:r>
            <w:r>
              <w:rPr>
                <w:rFonts w:eastAsia="宋体"/>
                <w:sz w:val="21"/>
              </w:rPr>
              <w:t>的各项环境风险防控和应急措施均已落实。</w:t>
            </w:r>
          </w:p>
        </w:tc>
        <w:tc>
          <w:tcPr>
            <w:tcW w:w="1006" w:type="pct"/>
            <w:tcBorders>
              <w:tl2br w:val="nil"/>
              <w:tr2bl w:val="nil"/>
            </w:tcBorders>
            <w:vAlign w:val="center"/>
          </w:tcPr>
          <w:p w14:paraId="12CC0FE8">
            <w:pPr>
              <w:tabs>
                <w:tab w:val="left" w:pos="432"/>
              </w:tabs>
              <w:adjustRightInd w:val="0"/>
              <w:snapToGrid w:val="0"/>
              <w:jc w:val="center"/>
              <w:rPr>
                <w:rFonts w:eastAsia="宋体"/>
                <w:sz w:val="21"/>
                <w:szCs w:val="21"/>
              </w:rPr>
            </w:pPr>
            <w:r>
              <w:rPr>
                <w:rFonts w:eastAsia="宋体"/>
                <w:sz w:val="21"/>
                <w:szCs w:val="21"/>
              </w:rPr>
              <w:t>/</w:t>
            </w:r>
          </w:p>
        </w:tc>
      </w:tr>
      <w:tr w14:paraId="7EBFC1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97" w:type="pct"/>
            <w:tcBorders>
              <w:tl2br w:val="nil"/>
              <w:tr2bl w:val="nil"/>
            </w:tcBorders>
            <w:vAlign w:val="center"/>
          </w:tcPr>
          <w:p w14:paraId="52B44DA2">
            <w:pPr>
              <w:pStyle w:val="119"/>
              <w:adjustRightInd w:val="0"/>
              <w:spacing w:line="240" w:lineRule="auto"/>
              <w:rPr>
                <w:rFonts w:eastAsia="宋体"/>
                <w:sz w:val="21"/>
              </w:rPr>
            </w:pPr>
            <w:r>
              <w:rPr>
                <w:rFonts w:eastAsia="宋体"/>
                <w:sz w:val="21"/>
              </w:rPr>
              <w:t>3</w:t>
            </w:r>
          </w:p>
        </w:tc>
        <w:tc>
          <w:tcPr>
            <w:tcW w:w="1354" w:type="pct"/>
            <w:tcBorders>
              <w:tl2br w:val="nil"/>
              <w:tr2bl w:val="nil"/>
            </w:tcBorders>
            <w:vAlign w:val="center"/>
          </w:tcPr>
          <w:p w14:paraId="206048CD">
            <w:pPr>
              <w:pStyle w:val="119"/>
              <w:adjustRightInd w:val="0"/>
              <w:spacing w:line="240" w:lineRule="auto"/>
              <w:rPr>
                <w:rFonts w:eastAsia="宋体"/>
                <w:sz w:val="21"/>
              </w:rPr>
            </w:pPr>
            <w:r>
              <w:rPr>
                <w:rFonts w:eastAsia="宋体"/>
                <w:sz w:val="21"/>
              </w:rPr>
              <w:t>是否经常对职工开展环境风险和环境应急管理宣传和培训。</w:t>
            </w:r>
          </w:p>
        </w:tc>
        <w:tc>
          <w:tcPr>
            <w:tcW w:w="2241" w:type="pct"/>
            <w:tcBorders>
              <w:tl2br w:val="nil"/>
              <w:tr2bl w:val="nil"/>
            </w:tcBorders>
            <w:vAlign w:val="center"/>
          </w:tcPr>
          <w:p w14:paraId="7A1D9BAF">
            <w:pPr>
              <w:pStyle w:val="119"/>
              <w:adjustRightInd w:val="0"/>
              <w:spacing w:line="240" w:lineRule="auto"/>
              <w:rPr>
                <w:rFonts w:eastAsia="宋体"/>
                <w:sz w:val="21"/>
              </w:rPr>
            </w:pPr>
            <w:r>
              <w:rPr>
                <w:rFonts w:hint="eastAsia" w:eastAsia="宋体"/>
                <w:sz w:val="21"/>
              </w:rPr>
              <w:t>未张贴应急处置卡</w:t>
            </w:r>
            <w:r>
              <w:rPr>
                <w:rFonts w:eastAsia="宋体"/>
                <w:sz w:val="21"/>
              </w:rPr>
              <w:t>，</w:t>
            </w:r>
            <w:r>
              <w:rPr>
                <w:rFonts w:hint="eastAsia" w:eastAsia="宋体"/>
                <w:sz w:val="21"/>
              </w:rPr>
              <w:t>但已对</w:t>
            </w:r>
            <w:r>
              <w:rPr>
                <w:rFonts w:eastAsia="宋体"/>
                <w:sz w:val="21"/>
              </w:rPr>
              <w:t>对员工进行宣讲及培训。</w:t>
            </w:r>
          </w:p>
        </w:tc>
        <w:tc>
          <w:tcPr>
            <w:tcW w:w="1006" w:type="pct"/>
            <w:tcBorders>
              <w:tl2br w:val="nil"/>
              <w:tr2bl w:val="nil"/>
            </w:tcBorders>
            <w:vAlign w:val="center"/>
          </w:tcPr>
          <w:p w14:paraId="66BE2DA0">
            <w:pPr>
              <w:pStyle w:val="119"/>
              <w:adjustRightInd w:val="0"/>
              <w:spacing w:line="240" w:lineRule="auto"/>
              <w:rPr>
                <w:rFonts w:eastAsia="宋体"/>
                <w:sz w:val="21"/>
              </w:rPr>
            </w:pPr>
            <w:r>
              <w:rPr>
                <w:rFonts w:hint="eastAsia" w:eastAsia="宋体"/>
                <w:sz w:val="21"/>
              </w:rPr>
              <w:t>未张贴应急处置卡</w:t>
            </w:r>
          </w:p>
        </w:tc>
      </w:tr>
      <w:tr w14:paraId="123DA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397" w:type="pct"/>
            <w:tcBorders>
              <w:tl2br w:val="nil"/>
              <w:tr2bl w:val="nil"/>
            </w:tcBorders>
            <w:vAlign w:val="center"/>
          </w:tcPr>
          <w:p w14:paraId="277E2814">
            <w:pPr>
              <w:pStyle w:val="119"/>
              <w:adjustRightInd w:val="0"/>
              <w:spacing w:line="240" w:lineRule="auto"/>
              <w:rPr>
                <w:rFonts w:eastAsia="宋体"/>
                <w:sz w:val="21"/>
              </w:rPr>
            </w:pPr>
            <w:r>
              <w:rPr>
                <w:rFonts w:eastAsia="宋体"/>
                <w:sz w:val="21"/>
              </w:rPr>
              <w:t>4</w:t>
            </w:r>
          </w:p>
        </w:tc>
        <w:tc>
          <w:tcPr>
            <w:tcW w:w="1354" w:type="pct"/>
            <w:tcBorders>
              <w:tl2br w:val="nil"/>
              <w:tr2bl w:val="nil"/>
            </w:tcBorders>
            <w:vAlign w:val="center"/>
          </w:tcPr>
          <w:p w14:paraId="478059D1">
            <w:pPr>
              <w:pStyle w:val="119"/>
              <w:adjustRightInd w:val="0"/>
              <w:spacing w:line="240" w:lineRule="auto"/>
              <w:rPr>
                <w:rFonts w:eastAsia="宋体"/>
                <w:sz w:val="21"/>
              </w:rPr>
            </w:pPr>
            <w:r>
              <w:rPr>
                <w:rFonts w:eastAsia="宋体"/>
                <w:sz w:val="21"/>
              </w:rPr>
              <w:t>是否建立突发环境事件信息报告制度，并有效执行。</w:t>
            </w:r>
          </w:p>
        </w:tc>
        <w:tc>
          <w:tcPr>
            <w:tcW w:w="2241" w:type="pct"/>
            <w:tcBorders>
              <w:tl2br w:val="nil"/>
              <w:tr2bl w:val="nil"/>
            </w:tcBorders>
            <w:vAlign w:val="center"/>
          </w:tcPr>
          <w:p w14:paraId="710ED648">
            <w:pPr>
              <w:pStyle w:val="119"/>
              <w:adjustRightInd w:val="0"/>
              <w:spacing w:line="240" w:lineRule="auto"/>
              <w:rPr>
                <w:rFonts w:eastAsia="宋体"/>
                <w:sz w:val="21"/>
              </w:rPr>
            </w:pPr>
            <w:r>
              <w:rPr>
                <w:rFonts w:eastAsia="宋体"/>
                <w:sz w:val="21"/>
              </w:rPr>
              <w:t>公司建立了有效的突发环境事件信息报告制度，并确保有效执行。</w:t>
            </w:r>
          </w:p>
        </w:tc>
        <w:tc>
          <w:tcPr>
            <w:tcW w:w="1006" w:type="pct"/>
            <w:tcBorders>
              <w:tl2br w:val="nil"/>
              <w:tr2bl w:val="nil"/>
            </w:tcBorders>
            <w:vAlign w:val="center"/>
          </w:tcPr>
          <w:p w14:paraId="21689471">
            <w:pPr>
              <w:pStyle w:val="119"/>
              <w:adjustRightInd w:val="0"/>
              <w:spacing w:line="240" w:lineRule="auto"/>
              <w:rPr>
                <w:rFonts w:eastAsia="宋体"/>
                <w:sz w:val="21"/>
              </w:rPr>
            </w:pPr>
            <w:r>
              <w:rPr>
                <w:rFonts w:eastAsia="宋体"/>
                <w:sz w:val="21"/>
              </w:rPr>
              <w:t>/</w:t>
            </w:r>
          </w:p>
        </w:tc>
      </w:tr>
    </w:tbl>
    <w:p w14:paraId="75DD43DE">
      <w:pPr>
        <w:adjustRightInd w:val="0"/>
        <w:snapToGrid w:val="0"/>
        <w:spacing w:line="500" w:lineRule="exact"/>
        <w:ind w:firstLine="480" w:firstLineChars="200"/>
        <w:jc w:val="left"/>
        <w:rPr>
          <w:rFonts w:eastAsia="宋体"/>
        </w:rPr>
      </w:pPr>
      <w:r>
        <w:rPr>
          <w:rFonts w:eastAsia="宋体"/>
        </w:rPr>
        <w:t>公司已建立了环境风险防控和应急措施制度，重点风险防控岗位由专人负责；公司环境风险防控相关制度见表5-2；关键装置/重点部位岗位责任情况见表5-3。</w:t>
      </w:r>
    </w:p>
    <w:p w14:paraId="3B292A81">
      <w:pPr>
        <w:adjustRightInd w:val="0"/>
        <w:snapToGrid w:val="0"/>
        <w:spacing w:line="500" w:lineRule="exact"/>
        <w:jc w:val="center"/>
        <w:rPr>
          <w:rFonts w:eastAsia="宋体"/>
          <w:b/>
        </w:rPr>
      </w:pPr>
      <w:r>
        <w:rPr>
          <w:rFonts w:eastAsia="宋体"/>
          <w:b/>
        </w:rPr>
        <w:t>表5-2环境风险防控相关制度一览表</w:t>
      </w:r>
    </w:p>
    <w:tbl>
      <w:tblPr>
        <w:tblStyle w:val="38"/>
        <w:tblW w:w="50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66"/>
        <w:gridCol w:w="8162"/>
      </w:tblGrid>
      <w:tr w14:paraId="03CE86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32" w:hRule="atLeast"/>
          <w:jc w:val="center"/>
        </w:trPr>
        <w:tc>
          <w:tcPr>
            <w:tcW w:w="529" w:type="pct"/>
            <w:tcBorders>
              <w:tl2br w:val="nil"/>
              <w:tr2bl w:val="nil"/>
            </w:tcBorders>
            <w:tcMar>
              <w:left w:w="0" w:type="dxa"/>
              <w:right w:w="0" w:type="dxa"/>
            </w:tcMar>
            <w:vAlign w:val="center"/>
          </w:tcPr>
          <w:p w14:paraId="54B586C2">
            <w:pPr>
              <w:widowControl/>
              <w:adjustRightInd w:val="0"/>
              <w:snapToGrid w:val="0"/>
              <w:jc w:val="center"/>
              <w:rPr>
                <w:rFonts w:eastAsia="宋体"/>
                <w:b/>
                <w:kern w:val="0"/>
                <w:sz w:val="21"/>
                <w:szCs w:val="21"/>
              </w:rPr>
            </w:pPr>
            <w:r>
              <w:rPr>
                <w:rFonts w:eastAsia="宋体"/>
                <w:b/>
                <w:kern w:val="0"/>
                <w:sz w:val="21"/>
                <w:szCs w:val="21"/>
              </w:rPr>
              <w:t>序号</w:t>
            </w:r>
          </w:p>
        </w:tc>
        <w:tc>
          <w:tcPr>
            <w:tcW w:w="4470" w:type="pct"/>
            <w:tcBorders>
              <w:tl2br w:val="nil"/>
              <w:tr2bl w:val="nil"/>
            </w:tcBorders>
            <w:tcMar>
              <w:left w:w="0" w:type="dxa"/>
              <w:right w:w="0" w:type="dxa"/>
            </w:tcMar>
            <w:vAlign w:val="center"/>
          </w:tcPr>
          <w:p w14:paraId="296C057F">
            <w:pPr>
              <w:widowControl/>
              <w:adjustRightInd w:val="0"/>
              <w:snapToGrid w:val="0"/>
              <w:jc w:val="center"/>
              <w:rPr>
                <w:rFonts w:eastAsia="宋体"/>
                <w:b/>
                <w:kern w:val="0"/>
                <w:sz w:val="21"/>
                <w:szCs w:val="21"/>
              </w:rPr>
            </w:pPr>
            <w:r>
              <w:rPr>
                <w:rFonts w:eastAsia="宋体"/>
                <w:b/>
                <w:kern w:val="0"/>
                <w:sz w:val="21"/>
                <w:szCs w:val="21"/>
              </w:rPr>
              <w:t>文件名称</w:t>
            </w:r>
          </w:p>
        </w:tc>
      </w:tr>
      <w:tr w14:paraId="65DE2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9" w:type="pct"/>
            <w:tcBorders>
              <w:tl2br w:val="nil"/>
              <w:tr2bl w:val="nil"/>
            </w:tcBorders>
            <w:tcMar>
              <w:left w:w="0" w:type="dxa"/>
              <w:right w:w="0" w:type="dxa"/>
            </w:tcMar>
            <w:vAlign w:val="center"/>
          </w:tcPr>
          <w:p w14:paraId="631C0E6A">
            <w:pPr>
              <w:widowControl/>
              <w:adjustRightInd w:val="0"/>
              <w:snapToGrid w:val="0"/>
              <w:jc w:val="center"/>
              <w:rPr>
                <w:rFonts w:eastAsia="宋体"/>
                <w:kern w:val="0"/>
                <w:sz w:val="21"/>
                <w:szCs w:val="21"/>
              </w:rPr>
            </w:pPr>
            <w:r>
              <w:rPr>
                <w:rFonts w:eastAsia="宋体"/>
                <w:kern w:val="0"/>
                <w:sz w:val="21"/>
                <w:szCs w:val="21"/>
              </w:rPr>
              <w:t>1</w:t>
            </w:r>
          </w:p>
        </w:tc>
        <w:tc>
          <w:tcPr>
            <w:tcW w:w="4470" w:type="pct"/>
            <w:tcBorders>
              <w:tl2br w:val="nil"/>
              <w:tr2bl w:val="nil"/>
            </w:tcBorders>
            <w:tcMar>
              <w:left w:w="0" w:type="dxa"/>
              <w:right w:w="0" w:type="dxa"/>
            </w:tcMar>
            <w:vAlign w:val="center"/>
          </w:tcPr>
          <w:p w14:paraId="6315C4E3">
            <w:pPr>
              <w:widowControl/>
              <w:adjustRightInd w:val="0"/>
              <w:snapToGrid w:val="0"/>
              <w:jc w:val="center"/>
              <w:rPr>
                <w:rFonts w:eastAsia="宋体"/>
                <w:kern w:val="0"/>
                <w:sz w:val="21"/>
                <w:szCs w:val="21"/>
              </w:rPr>
            </w:pPr>
            <w:r>
              <w:rPr>
                <w:rFonts w:eastAsia="宋体"/>
                <w:sz w:val="21"/>
              </w:rPr>
              <w:t>环境风险防控和应急措施制度</w:t>
            </w:r>
          </w:p>
        </w:tc>
      </w:tr>
      <w:tr w14:paraId="451F91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9" w:type="pct"/>
            <w:tcBorders>
              <w:tl2br w:val="nil"/>
              <w:tr2bl w:val="nil"/>
            </w:tcBorders>
            <w:tcMar>
              <w:left w:w="0" w:type="dxa"/>
              <w:right w:w="0" w:type="dxa"/>
            </w:tcMar>
            <w:vAlign w:val="center"/>
          </w:tcPr>
          <w:p w14:paraId="5C2A155A">
            <w:pPr>
              <w:widowControl/>
              <w:adjustRightInd w:val="0"/>
              <w:snapToGrid w:val="0"/>
              <w:jc w:val="center"/>
              <w:rPr>
                <w:rFonts w:eastAsia="宋体"/>
                <w:kern w:val="0"/>
                <w:sz w:val="21"/>
                <w:szCs w:val="21"/>
              </w:rPr>
            </w:pPr>
            <w:r>
              <w:rPr>
                <w:rFonts w:eastAsia="宋体"/>
                <w:kern w:val="0"/>
                <w:sz w:val="21"/>
                <w:szCs w:val="21"/>
              </w:rPr>
              <w:t>2</w:t>
            </w:r>
          </w:p>
        </w:tc>
        <w:tc>
          <w:tcPr>
            <w:tcW w:w="4470" w:type="pct"/>
            <w:tcBorders>
              <w:tl2br w:val="nil"/>
              <w:tr2bl w:val="nil"/>
            </w:tcBorders>
            <w:tcMar>
              <w:left w:w="0" w:type="dxa"/>
              <w:right w:w="0" w:type="dxa"/>
            </w:tcMar>
            <w:vAlign w:val="center"/>
          </w:tcPr>
          <w:p w14:paraId="112B66DB">
            <w:pPr>
              <w:widowControl/>
              <w:adjustRightInd w:val="0"/>
              <w:snapToGrid w:val="0"/>
              <w:jc w:val="center"/>
              <w:rPr>
                <w:rFonts w:eastAsia="宋体"/>
                <w:kern w:val="0"/>
                <w:sz w:val="21"/>
                <w:szCs w:val="21"/>
              </w:rPr>
            </w:pPr>
            <w:r>
              <w:rPr>
                <w:rFonts w:eastAsia="宋体"/>
                <w:sz w:val="21"/>
              </w:rPr>
              <w:t>环境应急资源维护更新制度</w:t>
            </w:r>
          </w:p>
        </w:tc>
      </w:tr>
      <w:tr w14:paraId="51459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529" w:type="pct"/>
            <w:tcBorders>
              <w:tl2br w:val="nil"/>
              <w:tr2bl w:val="nil"/>
            </w:tcBorders>
            <w:tcMar>
              <w:left w:w="0" w:type="dxa"/>
              <w:right w:w="0" w:type="dxa"/>
            </w:tcMar>
            <w:vAlign w:val="center"/>
          </w:tcPr>
          <w:p w14:paraId="7680535A">
            <w:pPr>
              <w:widowControl/>
              <w:adjustRightInd w:val="0"/>
              <w:snapToGrid w:val="0"/>
              <w:jc w:val="center"/>
              <w:rPr>
                <w:rFonts w:eastAsia="宋体"/>
                <w:kern w:val="0"/>
                <w:sz w:val="21"/>
                <w:szCs w:val="21"/>
              </w:rPr>
            </w:pPr>
            <w:r>
              <w:rPr>
                <w:rFonts w:eastAsia="宋体"/>
                <w:kern w:val="0"/>
                <w:sz w:val="21"/>
                <w:szCs w:val="21"/>
              </w:rPr>
              <w:t>3</w:t>
            </w:r>
          </w:p>
        </w:tc>
        <w:tc>
          <w:tcPr>
            <w:tcW w:w="4470" w:type="pct"/>
            <w:tcBorders>
              <w:tl2br w:val="nil"/>
              <w:tr2bl w:val="nil"/>
            </w:tcBorders>
            <w:tcMar>
              <w:left w:w="0" w:type="dxa"/>
              <w:right w:w="0" w:type="dxa"/>
            </w:tcMar>
            <w:vAlign w:val="center"/>
          </w:tcPr>
          <w:p w14:paraId="32671B36">
            <w:pPr>
              <w:widowControl/>
              <w:adjustRightInd w:val="0"/>
              <w:snapToGrid w:val="0"/>
              <w:jc w:val="center"/>
              <w:rPr>
                <w:rFonts w:eastAsia="宋体"/>
                <w:kern w:val="0"/>
                <w:sz w:val="21"/>
                <w:szCs w:val="21"/>
              </w:rPr>
            </w:pPr>
            <w:r>
              <w:rPr>
                <w:rFonts w:eastAsia="宋体"/>
                <w:sz w:val="21"/>
              </w:rPr>
              <w:t>污染防治设施运行管理制度</w:t>
            </w:r>
          </w:p>
        </w:tc>
      </w:tr>
    </w:tbl>
    <w:p w14:paraId="6D6B330F">
      <w:pPr>
        <w:adjustRightInd w:val="0"/>
        <w:snapToGrid w:val="0"/>
        <w:spacing w:line="500" w:lineRule="exact"/>
        <w:jc w:val="center"/>
        <w:rPr>
          <w:rFonts w:eastAsia="宋体"/>
          <w:b/>
        </w:rPr>
      </w:pPr>
      <w:r>
        <w:rPr>
          <w:rFonts w:eastAsia="宋体"/>
          <w:b/>
        </w:rPr>
        <w:t>表5-3环境风险防控重点岗位责任一览表</w:t>
      </w:r>
    </w:p>
    <w:tbl>
      <w:tblPr>
        <w:tblStyle w:val="38"/>
        <w:tblW w:w="9118"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3102"/>
        <w:gridCol w:w="1378"/>
        <w:gridCol w:w="1721"/>
        <w:gridCol w:w="2917"/>
      </w:tblGrid>
      <w:tr w14:paraId="112587E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3102" w:type="dxa"/>
            <w:tcBorders>
              <w:tl2br w:val="nil"/>
              <w:tr2bl w:val="nil"/>
            </w:tcBorders>
            <w:vAlign w:val="center"/>
          </w:tcPr>
          <w:p w14:paraId="28C3364E">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重点风险防控岗位名称</w:t>
            </w:r>
          </w:p>
        </w:tc>
        <w:tc>
          <w:tcPr>
            <w:tcW w:w="1378" w:type="dxa"/>
            <w:tcBorders>
              <w:tl2br w:val="nil"/>
              <w:tr2bl w:val="nil"/>
            </w:tcBorders>
            <w:vAlign w:val="center"/>
          </w:tcPr>
          <w:p w14:paraId="5A6E4E6B">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负责部门</w:t>
            </w:r>
          </w:p>
        </w:tc>
        <w:tc>
          <w:tcPr>
            <w:tcW w:w="1721" w:type="dxa"/>
            <w:tcBorders>
              <w:tl2br w:val="nil"/>
              <w:tr2bl w:val="nil"/>
            </w:tcBorders>
            <w:vAlign w:val="center"/>
          </w:tcPr>
          <w:p w14:paraId="7DD10A54">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部门负责人</w:t>
            </w:r>
          </w:p>
        </w:tc>
        <w:tc>
          <w:tcPr>
            <w:tcW w:w="2917" w:type="dxa"/>
            <w:tcBorders>
              <w:tl2br w:val="nil"/>
              <w:tr2bl w:val="nil"/>
            </w:tcBorders>
            <w:vAlign w:val="center"/>
          </w:tcPr>
          <w:p w14:paraId="48C60938">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管理要求</w:t>
            </w:r>
          </w:p>
        </w:tc>
      </w:tr>
      <w:tr w14:paraId="4A607A6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102" w:type="dxa"/>
            <w:tcBorders>
              <w:tl2br w:val="nil"/>
              <w:tr2bl w:val="nil"/>
            </w:tcBorders>
            <w:vAlign w:val="center"/>
          </w:tcPr>
          <w:p w14:paraId="1EC95D34">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生产车间、油漆仓库、原料仓库</w:t>
            </w:r>
          </w:p>
        </w:tc>
        <w:tc>
          <w:tcPr>
            <w:tcW w:w="1378" w:type="dxa"/>
            <w:tcBorders>
              <w:tl2br w:val="nil"/>
              <w:tr2bl w:val="nil"/>
            </w:tcBorders>
            <w:vAlign w:val="center"/>
          </w:tcPr>
          <w:p w14:paraId="00D0FBB7">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木工主管</w:t>
            </w:r>
          </w:p>
        </w:tc>
        <w:tc>
          <w:tcPr>
            <w:tcW w:w="1721" w:type="dxa"/>
            <w:tcBorders>
              <w:tl2br w:val="nil"/>
              <w:tr2bl w:val="nil"/>
            </w:tcBorders>
            <w:vAlign w:val="center"/>
          </w:tcPr>
          <w:p w14:paraId="65B439F6">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尹义华</w:t>
            </w:r>
          </w:p>
        </w:tc>
        <w:tc>
          <w:tcPr>
            <w:tcW w:w="2917" w:type="dxa"/>
            <w:vMerge w:val="restart"/>
            <w:tcBorders>
              <w:tl2br w:val="nil"/>
              <w:tr2bl w:val="nil"/>
            </w:tcBorders>
            <w:vAlign w:val="center"/>
          </w:tcPr>
          <w:p w14:paraId="29D7407C">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按要求进行操作和定期维护保养，定期对安全设施进行检查并记录，确保有效实施</w:t>
            </w:r>
          </w:p>
        </w:tc>
      </w:tr>
      <w:tr w14:paraId="4F96F58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102" w:type="dxa"/>
            <w:tcBorders>
              <w:tl2br w:val="nil"/>
              <w:tr2bl w:val="nil"/>
            </w:tcBorders>
            <w:vAlign w:val="center"/>
          </w:tcPr>
          <w:p w14:paraId="78614F44">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危废仓库</w:t>
            </w:r>
          </w:p>
        </w:tc>
        <w:tc>
          <w:tcPr>
            <w:tcW w:w="1378" w:type="dxa"/>
            <w:tcBorders>
              <w:tl2br w:val="nil"/>
              <w:tr2bl w:val="nil"/>
            </w:tcBorders>
            <w:vAlign w:val="center"/>
          </w:tcPr>
          <w:p w14:paraId="7938B331">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木工主管</w:t>
            </w:r>
          </w:p>
        </w:tc>
        <w:tc>
          <w:tcPr>
            <w:tcW w:w="1721" w:type="dxa"/>
            <w:tcBorders>
              <w:tl2br w:val="nil"/>
              <w:tr2bl w:val="nil"/>
            </w:tcBorders>
            <w:vAlign w:val="center"/>
          </w:tcPr>
          <w:p w14:paraId="595BFEDB">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尹义华</w:t>
            </w:r>
          </w:p>
        </w:tc>
        <w:tc>
          <w:tcPr>
            <w:tcW w:w="2917" w:type="dxa"/>
            <w:vMerge w:val="continue"/>
            <w:tcBorders>
              <w:tl2br w:val="nil"/>
              <w:tr2bl w:val="nil"/>
            </w:tcBorders>
            <w:vAlign w:val="center"/>
          </w:tcPr>
          <w:p w14:paraId="036AC091">
            <w:pPr>
              <w:widowControl/>
              <w:adjustRightInd w:val="0"/>
              <w:snapToGrid w:val="0"/>
              <w:jc w:val="center"/>
              <w:rPr>
                <w:rFonts w:ascii="宋体" w:hAnsi="宋体" w:eastAsia="宋体" w:cs="宋体"/>
                <w:kern w:val="0"/>
                <w:sz w:val="21"/>
                <w:szCs w:val="21"/>
              </w:rPr>
            </w:pPr>
          </w:p>
        </w:tc>
      </w:tr>
      <w:tr w14:paraId="1C830B4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42284C4E">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废气处理设施</w:t>
            </w:r>
          </w:p>
        </w:tc>
        <w:tc>
          <w:tcPr>
            <w:tcW w:w="1378" w:type="dxa"/>
            <w:tcBorders>
              <w:tl2br w:val="nil"/>
              <w:tr2bl w:val="nil"/>
            </w:tcBorders>
            <w:vAlign w:val="center"/>
          </w:tcPr>
          <w:p w14:paraId="11571A82">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木工主管</w:t>
            </w:r>
          </w:p>
        </w:tc>
        <w:tc>
          <w:tcPr>
            <w:tcW w:w="1721" w:type="dxa"/>
            <w:tcBorders>
              <w:tl2br w:val="nil"/>
              <w:tr2bl w:val="nil"/>
            </w:tcBorders>
            <w:vAlign w:val="center"/>
          </w:tcPr>
          <w:p w14:paraId="0B93DF12">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尹义华</w:t>
            </w:r>
          </w:p>
        </w:tc>
        <w:tc>
          <w:tcPr>
            <w:tcW w:w="2917" w:type="dxa"/>
            <w:vMerge w:val="continue"/>
            <w:tcBorders>
              <w:tl2br w:val="nil"/>
              <w:tr2bl w:val="nil"/>
            </w:tcBorders>
            <w:vAlign w:val="center"/>
          </w:tcPr>
          <w:p w14:paraId="1846FB28">
            <w:pPr>
              <w:widowControl/>
              <w:adjustRightInd w:val="0"/>
              <w:snapToGrid w:val="0"/>
              <w:jc w:val="center"/>
              <w:rPr>
                <w:rFonts w:ascii="宋体" w:hAnsi="宋体" w:eastAsia="宋体" w:cs="宋体"/>
                <w:kern w:val="0"/>
                <w:sz w:val="21"/>
                <w:szCs w:val="21"/>
              </w:rPr>
            </w:pPr>
          </w:p>
        </w:tc>
      </w:tr>
      <w:tr w14:paraId="324AE81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69CEA8CC">
            <w:pPr>
              <w:widowControl/>
              <w:adjustRightInd w:val="0"/>
              <w:snapToGrid w:val="0"/>
              <w:jc w:val="center"/>
              <w:rPr>
                <w:rFonts w:hint="eastAsia" w:ascii="宋体" w:hAnsi="宋体" w:eastAsia="宋体" w:cs="宋体"/>
                <w:kern w:val="0"/>
                <w:sz w:val="21"/>
                <w:szCs w:val="21"/>
                <w:lang w:eastAsia="zh-CN"/>
              </w:rPr>
            </w:pPr>
            <w:bookmarkStart w:id="244" w:name="_Toc402776218"/>
            <w:bookmarkStart w:id="245" w:name="_Toc4920"/>
            <w:bookmarkStart w:id="246" w:name="_Toc496887136"/>
            <w:bookmarkStart w:id="247" w:name="_Toc510092964"/>
            <w:r>
              <w:rPr>
                <w:rFonts w:hint="eastAsia" w:ascii="宋体" w:hAnsi="宋体" w:eastAsia="宋体" w:cs="宋体"/>
                <w:kern w:val="0"/>
                <w:sz w:val="21"/>
                <w:szCs w:val="21"/>
                <w:lang w:eastAsia="zh-CN"/>
              </w:rPr>
              <w:t>回用水设施</w:t>
            </w:r>
          </w:p>
        </w:tc>
        <w:tc>
          <w:tcPr>
            <w:tcW w:w="1378" w:type="dxa"/>
            <w:tcBorders>
              <w:tl2br w:val="nil"/>
              <w:tr2bl w:val="nil"/>
            </w:tcBorders>
            <w:vAlign w:val="center"/>
          </w:tcPr>
          <w:p w14:paraId="1D985A32">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木工主管</w:t>
            </w:r>
          </w:p>
        </w:tc>
        <w:tc>
          <w:tcPr>
            <w:tcW w:w="1721" w:type="dxa"/>
            <w:tcBorders>
              <w:tl2br w:val="nil"/>
              <w:tr2bl w:val="nil"/>
            </w:tcBorders>
            <w:vAlign w:val="center"/>
          </w:tcPr>
          <w:p w14:paraId="0F3183BC">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尹义华</w:t>
            </w:r>
          </w:p>
        </w:tc>
        <w:tc>
          <w:tcPr>
            <w:tcW w:w="2917" w:type="dxa"/>
            <w:vMerge w:val="continue"/>
            <w:tcBorders>
              <w:tl2br w:val="nil"/>
              <w:tr2bl w:val="nil"/>
            </w:tcBorders>
            <w:vAlign w:val="center"/>
          </w:tcPr>
          <w:p w14:paraId="7D3195D8">
            <w:pPr>
              <w:widowControl/>
              <w:adjustRightInd w:val="0"/>
              <w:snapToGrid w:val="0"/>
              <w:jc w:val="center"/>
              <w:rPr>
                <w:rFonts w:ascii="宋体" w:hAnsi="宋体" w:eastAsia="宋体" w:cs="宋体"/>
                <w:kern w:val="0"/>
                <w:sz w:val="21"/>
                <w:szCs w:val="21"/>
              </w:rPr>
            </w:pPr>
          </w:p>
        </w:tc>
      </w:tr>
      <w:tr w14:paraId="571E96B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26E44600">
            <w:pPr>
              <w:widowControl/>
              <w:adjustRightInd w:val="0"/>
              <w:snapToGrid w:val="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雨水排口、应急池</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污水排口</w:t>
            </w:r>
          </w:p>
        </w:tc>
        <w:tc>
          <w:tcPr>
            <w:tcW w:w="1378" w:type="dxa"/>
            <w:tcBorders>
              <w:tl2br w:val="nil"/>
              <w:tr2bl w:val="nil"/>
            </w:tcBorders>
            <w:vAlign w:val="center"/>
          </w:tcPr>
          <w:p w14:paraId="4875285B">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木工主管</w:t>
            </w:r>
          </w:p>
        </w:tc>
        <w:tc>
          <w:tcPr>
            <w:tcW w:w="1721" w:type="dxa"/>
            <w:tcBorders>
              <w:tl2br w:val="nil"/>
              <w:tr2bl w:val="nil"/>
            </w:tcBorders>
            <w:vAlign w:val="center"/>
          </w:tcPr>
          <w:p w14:paraId="6CFE1344">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尹义华</w:t>
            </w:r>
          </w:p>
        </w:tc>
        <w:tc>
          <w:tcPr>
            <w:tcW w:w="2917" w:type="dxa"/>
            <w:vMerge w:val="continue"/>
            <w:tcBorders>
              <w:tl2br w:val="nil"/>
              <w:tr2bl w:val="nil"/>
            </w:tcBorders>
            <w:vAlign w:val="center"/>
          </w:tcPr>
          <w:p w14:paraId="74C59187">
            <w:pPr>
              <w:widowControl/>
              <w:adjustRightInd w:val="0"/>
              <w:snapToGrid w:val="0"/>
              <w:jc w:val="center"/>
              <w:rPr>
                <w:rFonts w:ascii="宋体" w:hAnsi="宋体" w:eastAsia="宋体" w:cs="宋体"/>
                <w:kern w:val="0"/>
                <w:sz w:val="21"/>
                <w:szCs w:val="21"/>
              </w:rPr>
            </w:pPr>
          </w:p>
        </w:tc>
      </w:tr>
    </w:tbl>
    <w:p w14:paraId="518CBDB1">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248" w:name="_Toc24558"/>
      <w:bookmarkStart w:id="249" w:name="_Toc5822"/>
      <w:bookmarkStart w:id="250" w:name="_Toc10025"/>
      <w:r>
        <w:rPr>
          <w:rFonts w:hint="eastAsia" w:eastAsia="宋体"/>
          <w:color w:val="000000" w:themeColor="text1"/>
          <w:sz w:val="24"/>
          <w:szCs w:val="24"/>
          <w14:textFill>
            <w14:solidFill>
              <w14:schemeClr w14:val="tx1"/>
            </w14:solidFill>
          </w14:textFill>
        </w:rPr>
        <w:t>5.2环境风险防控与应急措施</w:t>
      </w:r>
      <w:bookmarkEnd w:id="244"/>
      <w:bookmarkEnd w:id="245"/>
      <w:bookmarkEnd w:id="246"/>
      <w:bookmarkEnd w:id="247"/>
      <w:bookmarkEnd w:id="248"/>
      <w:bookmarkEnd w:id="249"/>
      <w:bookmarkEnd w:id="250"/>
    </w:p>
    <w:p w14:paraId="6893D1D6">
      <w:pPr>
        <w:adjustRightInd w:val="0"/>
        <w:snapToGrid w:val="0"/>
        <w:spacing w:line="500" w:lineRule="exact"/>
        <w:ind w:firstLine="480" w:firstLineChars="200"/>
        <w:jc w:val="left"/>
        <w:rPr>
          <w:rFonts w:eastAsia="宋体"/>
        </w:rPr>
      </w:pPr>
      <w:r>
        <w:rPr>
          <w:rFonts w:eastAsia="宋体"/>
        </w:rPr>
        <w:t>企业环境风险防范与应急措施情况见表5-4。</w:t>
      </w:r>
    </w:p>
    <w:p w14:paraId="1424CD7B">
      <w:pPr>
        <w:adjustRightInd w:val="0"/>
        <w:snapToGrid w:val="0"/>
        <w:spacing w:line="500" w:lineRule="exact"/>
        <w:jc w:val="center"/>
        <w:rPr>
          <w:rFonts w:eastAsia="宋体"/>
          <w:b/>
        </w:rPr>
      </w:pPr>
      <w:r>
        <w:rPr>
          <w:rFonts w:eastAsia="宋体"/>
          <w:b/>
        </w:rPr>
        <w:t>表5-4环境风险防控与应急措施差距分析对比表</w:t>
      </w:r>
    </w:p>
    <w:tbl>
      <w:tblPr>
        <w:tblStyle w:val="38"/>
        <w:tblW w:w="501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70"/>
        <w:gridCol w:w="4096"/>
        <w:gridCol w:w="2427"/>
        <w:gridCol w:w="2094"/>
      </w:tblGrid>
      <w:tr w14:paraId="38750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4" w:hRule="atLeast"/>
          <w:tblHeader/>
        </w:trPr>
        <w:tc>
          <w:tcPr>
            <w:tcW w:w="259" w:type="pct"/>
            <w:tcBorders>
              <w:tl2br w:val="nil"/>
              <w:tr2bl w:val="nil"/>
            </w:tcBorders>
            <w:vAlign w:val="center"/>
          </w:tcPr>
          <w:p w14:paraId="6EA6D543">
            <w:pPr>
              <w:adjustRightInd w:val="0"/>
              <w:snapToGrid w:val="0"/>
              <w:spacing w:line="320" w:lineRule="exact"/>
              <w:jc w:val="center"/>
              <w:rPr>
                <w:rFonts w:eastAsia="宋体"/>
                <w:sz w:val="21"/>
                <w:szCs w:val="21"/>
              </w:rPr>
            </w:pPr>
            <w:r>
              <w:rPr>
                <w:rFonts w:eastAsia="宋体"/>
                <w:sz w:val="21"/>
                <w:szCs w:val="21"/>
              </w:rPr>
              <w:t>序号</w:t>
            </w:r>
          </w:p>
        </w:tc>
        <w:tc>
          <w:tcPr>
            <w:tcW w:w="2253" w:type="pct"/>
            <w:tcBorders>
              <w:tl2br w:val="nil"/>
              <w:tr2bl w:val="nil"/>
            </w:tcBorders>
            <w:vAlign w:val="center"/>
          </w:tcPr>
          <w:p w14:paraId="5E051A14">
            <w:pPr>
              <w:adjustRightInd w:val="0"/>
              <w:snapToGrid w:val="0"/>
              <w:spacing w:line="320" w:lineRule="exact"/>
              <w:jc w:val="center"/>
              <w:rPr>
                <w:rFonts w:eastAsia="宋体"/>
                <w:sz w:val="21"/>
                <w:szCs w:val="21"/>
              </w:rPr>
            </w:pPr>
            <w:r>
              <w:rPr>
                <w:rFonts w:eastAsia="宋体"/>
                <w:sz w:val="21"/>
                <w:szCs w:val="21"/>
              </w:rPr>
              <w:t>环境风险防控与应急措施要求</w:t>
            </w:r>
          </w:p>
        </w:tc>
        <w:tc>
          <w:tcPr>
            <w:tcW w:w="1335" w:type="pct"/>
            <w:tcBorders>
              <w:tl2br w:val="nil"/>
              <w:tr2bl w:val="nil"/>
            </w:tcBorders>
            <w:vAlign w:val="center"/>
          </w:tcPr>
          <w:p w14:paraId="4B022F61">
            <w:pPr>
              <w:adjustRightInd w:val="0"/>
              <w:snapToGrid w:val="0"/>
              <w:spacing w:line="320" w:lineRule="exact"/>
              <w:jc w:val="center"/>
              <w:rPr>
                <w:rFonts w:eastAsia="宋体"/>
                <w:sz w:val="21"/>
                <w:szCs w:val="21"/>
              </w:rPr>
            </w:pPr>
            <w:r>
              <w:rPr>
                <w:rFonts w:eastAsia="宋体"/>
                <w:sz w:val="21"/>
                <w:szCs w:val="21"/>
              </w:rPr>
              <w:t>企业现状</w:t>
            </w:r>
          </w:p>
        </w:tc>
        <w:tc>
          <w:tcPr>
            <w:tcW w:w="1152" w:type="pct"/>
            <w:tcBorders>
              <w:tl2br w:val="nil"/>
              <w:tr2bl w:val="nil"/>
            </w:tcBorders>
            <w:vAlign w:val="center"/>
          </w:tcPr>
          <w:p w14:paraId="0261732A">
            <w:pPr>
              <w:adjustRightInd w:val="0"/>
              <w:snapToGrid w:val="0"/>
              <w:spacing w:line="320" w:lineRule="exact"/>
              <w:jc w:val="center"/>
              <w:rPr>
                <w:rFonts w:eastAsia="宋体"/>
                <w:sz w:val="21"/>
                <w:szCs w:val="21"/>
              </w:rPr>
            </w:pPr>
            <w:r>
              <w:rPr>
                <w:rFonts w:eastAsia="宋体"/>
                <w:sz w:val="21"/>
                <w:szCs w:val="21"/>
              </w:rPr>
              <w:t>差距分析情况</w:t>
            </w:r>
          </w:p>
        </w:tc>
      </w:tr>
      <w:tr w14:paraId="17794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39" w:hRule="atLeast"/>
        </w:trPr>
        <w:tc>
          <w:tcPr>
            <w:tcW w:w="259" w:type="pct"/>
            <w:tcBorders>
              <w:tl2br w:val="nil"/>
              <w:tr2bl w:val="nil"/>
            </w:tcBorders>
            <w:vAlign w:val="center"/>
          </w:tcPr>
          <w:p w14:paraId="2378596B">
            <w:pPr>
              <w:adjustRightInd w:val="0"/>
              <w:snapToGrid w:val="0"/>
              <w:spacing w:line="320" w:lineRule="exact"/>
              <w:jc w:val="center"/>
              <w:rPr>
                <w:rFonts w:eastAsia="宋体"/>
                <w:sz w:val="21"/>
                <w:szCs w:val="21"/>
              </w:rPr>
            </w:pPr>
            <w:r>
              <w:rPr>
                <w:rFonts w:eastAsia="宋体"/>
                <w:sz w:val="21"/>
                <w:szCs w:val="21"/>
              </w:rPr>
              <w:t>1</w:t>
            </w:r>
          </w:p>
        </w:tc>
        <w:tc>
          <w:tcPr>
            <w:tcW w:w="2253" w:type="pct"/>
            <w:tcBorders>
              <w:tl2br w:val="nil"/>
              <w:tr2bl w:val="nil"/>
            </w:tcBorders>
            <w:vAlign w:val="center"/>
          </w:tcPr>
          <w:p w14:paraId="7D5634C3">
            <w:pPr>
              <w:adjustRightInd w:val="0"/>
              <w:snapToGrid w:val="0"/>
              <w:spacing w:line="320" w:lineRule="exact"/>
              <w:jc w:val="center"/>
              <w:rPr>
                <w:rFonts w:eastAsia="宋体"/>
                <w:sz w:val="21"/>
                <w:szCs w:val="21"/>
              </w:rPr>
            </w:pPr>
            <w:r>
              <w:rPr>
                <w:rFonts w:eastAsia="宋体"/>
                <w:sz w:val="21"/>
                <w:szCs w:val="21"/>
              </w:rPr>
              <w:t>是否在废气排放口、废水、雨水和清洁下水排放口对可能排出的环境风险物质，按照物质特性、危害，设置监视、控制措施，分析每项措施的管理规定、岗位职责落实情况和措施的有效性。</w:t>
            </w:r>
          </w:p>
        </w:tc>
        <w:tc>
          <w:tcPr>
            <w:tcW w:w="1335" w:type="pct"/>
            <w:tcBorders>
              <w:tl2br w:val="nil"/>
              <w:tr2bl w:val="nil"/>
            </w:tcBorders>
            <w:vAlign w:val="center"/>
          </w:tcPr>
          <w:p w14:paraId="06F8B3E4">
            <w:pPr>
              <w:adjustRightInd w:val="0"/>
              <w:snapToGrid w:val="0"/>
              <w:spacing w:line="320" w:lineRule="exact"/>
              <w:jc w:val="left"/>
              <w:rPr>
                <w:rFonts w:eastAsia="宋体"/>
                <w:sz w:val="21"/>
                <w:szCs w:val="21"/>
              </w:rPr>
            </w:pPr>
            <w:r>
              <w:rPr>
                <w:rFonts w:eastAsia="宋体"/>
                <w:sz w:val="21"/>
                <w:szCs w:val="21"/>
              </w:rPr>
              <w:t>公司废气排放口设置采样孔，虽已配备专人负责巡回检查废气处理装置的运转情况，但无监督核查机制，无法确保责任人是否履职。公司实行“雨污分流”制，雨水收集后经厂区雨水管网排入市政雨水管网。</w:t>
            </w:r>
          </w:p>
        </w:tc>
        <w:tc>
          <w:tcPr>
            <w:tcW w:w="1152" w:type="pct"/>
            <w:tcBorders>
              <w:tl2br w:val="nil"/>
              <w:tr2bl w:val="nil"/>
            </w:tcBorders>
            <w:vAlign w:val="center"/>
          </w:tcPr>
          <w:p w14:paraId="792E0660">
            <w:pPr>
              <w:adjustRightInd w:val="0"/>
              <w:snapToGrid w:val="0"/>
              <w:spacing w:line="320" w:lineRule="exact"/>
              <w:jc w:val="center"/>
              <w:rPr>
                <w:rFonts w:eastAsia="宋体"/>
                <w:sz w:val="21"/>
                <w:szCs w:val="21"/>
              </w:rPr>
            </w:pPr>
            <w:r>
              <w:rPr>
                <w:rFonts w:eastAsia="宋体"/>
                <w:sz w:val="21"/>
                <w:szCs w:val="21"/>
              </w:rPr>
              <w:t>配备专人巡查，并由</w:t>
            </w:r>
            <w:r>
              <w:rPr>
                <w:rFonts w:hint="eastAsia" w:eastAsia="宋体"/>
                <w:sz w:val="21"/>
                <w:szCs w:val="21"/>
              </w:rPr>
              <w:t>安环</w:t>
            </w:r>
            <w:r>
              <w:rPr>
                <w:rFonts w:eastAsia="宋体"/>
                <w:sz w:val="21"/>
                <w:szCs w:val="21"/>
              </w:rPr>
              <w:t>部门进行监督检查。</w:t>
            </w:r>
          </w:p>
        </w:tc>
      </w:tr>
      <w:tr w14:paraId="5A0F3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60" w:hRule="atLeast"/>
        </w:trPr>
        <w:tc>
          <w:tcPr>
            <w:tcW w:w="259" w:type="pct"/>
            <w:tcBorders>
              <w:tl2br w:val="nil"/>
              <w:tr2bl w:val="nil"/>
            </w:tcBorders>
            <w:vAlign w:val="center"/>
          </w:tcPr>
          <w:p w14:paraId="61F272CE">
            <w:pPr>
              <w:adjustRightInd w:val="0"/>
              <w:snapToGrid w:val="0"/>
              <w:spacing w:line="320" w:lineRule="exact"/>
              <w:jc w:val="center"/>
              <w:rPr>
                <w:rFonts w:eastAsia="宋体"/>
                <w:sz w:val="21"/>
                <w:szCs w:val="21"/>
              </w:rPr>
            </w:pPr>
            <w:r>
              <w:rPr>
                <w:rFonts w:eastAsia="宋体"/>
                <w:sz w:val="21"/>
                <w:szCs w:val="21"/>
              </w:rPr>
              <w:t>2</w:t>
            </w:r>
          </w:p>
        </w:tc>
        <w:tc>
          <w:tcPr>
            <w:tcW w:w="2253" w:type="pct"/>
            <w:tcBorders>
              <w:tl2br w:val="nil"/>
              <w:tr2bl w:val="nil"/>
            </w:tcBorders>
            <w:vAlign w:val="center"/>
          </w:tcPr>
          <w:p w14:paraId="4B996B91">
            <w:pPr>
              <w:adjustRightInd w:val="0"/>
              <w:snapToGrid w:val="0"/>
              <w:spacing w:line="320" w:lineRule="exact"/>
              <w:jc w:val="center"/>
              <w:rPr>
                <w:rFonts w:eastAsia="宋体"/>
                <w:sz w:val="21"/>
                <w:szCs w:val="21"/>
              </w:rPr>
            </w:pPr>
            <w:r>
              <w:rPr>
                <w:rFonts w:eastAsia="宋体"/>
                <w:sz w:val="21"/>
                <w:szCs w:val="21"/>
              </w:rPr>
              <w:t>是否采取防止事故排水、污染物等扩散、排出厂界的措施，包括截流措施、事故排水收集措施、清净下水系统防控措施、雨水系统防控措施、生产废水处理系统防控措施等，分析每项措施的管理规定、岗位职责落实情况和措施的有效性。</w:t>
            </w:r>
          </w:p>
        </w:tc>
        <w:tc>
          <w:tcPr>
            <w:tcW w:w="1335" w:type="pct"/>
            <w:tcBorders>
              <w:tl2br w:val="nil"/>
              <w:tr2bl w:val="nil"/>
            </w:tcBorders>
            <w:vAlign w:val="center"/>
          </w:tcPr>
          <w:p w14:paraId="70A133F6">
            <w:pPr>
              <w:adjustRightInd w:val="0"/>
              <w:snapToGrid w:val="0"/>
              <w:rPr>
                <w:rFonts w:eastAsia="宋体"/>
                <w:sz w:val="21"/>
                <w:szCs w:val="21"/>
              </w:rPr>
            </w:pPr>
            <w:r>
              <w:rPr>
                <w:rFonts w:hint="eastAsia" w:eastAsia="宋体"/>
                <w:sz w:val="21"/>
                <w:szCs w:val="21"/>
              </w:rPr>
              <w:t>（</w:t>
            </w:r>
            <w:r>
              <w:rPr>
                <w:rFonts w:eastAsia="宋体"/>
                <w:sz w:val="21"/>
                <w:szCs w:val="21"/>
              </w:rPr>
              <w:t>1）危废仓库设置导流沟和收集槽；</w:t>
            </w:r>
          </w:p>
          <w:p w14:paraId="4422BD2B">
            <w:pPr>
              <w:adjustRightInd w:val="0"/>
              <w:snapToGrid w:val="0"/>
              <w:rPr>
                <w:rFonts w:eastAsia="宋体"/>
                <w:sz w:val="21"/>
                <w:szCs w:val="21"/>
              </w:rPr>
            </w:pPr>
            <w:r>
              <w:rPr>
                <w:rFonts w:eastAsia="宋体"/>
                <w:sz w:val="21"/>
                <w:szCs w:val="21"/>
              </w:rPr>
              <w:t>（2）本公司消防尾水全部排入</w:t>
            </w:r>
            <w:r>
              <w:rPr>
                <w:rFonts w:hint="eastAsia" w:eastAsia="宋体"/>
                <w:sz w:val="21"/>
                <w:szCs w:val="21"/>
                <w:lang w:val="en-US" w:eastAsia="zh-CN"/>
              </w:rPr>
              <w:t>租赁园区</w:t>
            </w:r>
            <w:r>
              <w:rPr>
                <w:rFonts w:hint="eastAsia" w:eastAsia="宋体"/>
                <w:sz w:val="21"/>
                <w:szCs w:val="21"/>
              </w:rPr>
              <w:t>的</w:t>
            </w:r>
            <w:r>
              <w:rPr>
                <w:rFonts w:eastAsia="宋体"/>
                <w:sz w:val="21"/>
                <w:szCs w:val="21"/>
              </w:rPr>
              <w:t>事故应急池</w:t>
            </w:r>
            <w:r>
              <w:rPr>
                <w:rFonts w:eastAsia="宋体"/>
                <w:sz w:val="21"/>
                <w:szCs w:val="21"/>
                <w:highlight w:val="none"/>
              </w:rPr>
              <w:t>（</w:t>
            </w:r>
            <w:r>
              <w:rPr>
                <w:rFonts w:hint="eastAsia" w:eastAsia="宋体"/>
                <w:sz w:val="21"/>
                <w:szCs w:val="21"/>
                <w:highlight w:val="none"/>
                <w:lang w:val="en-US" w:eastAsia="zh-CN"/>
              </w:rPr>
              <w:t>700</w:t>
            </w:r>
            <w:r>
              <w:rPr>
                <w:rFonts w:hint="eastAsia" w:eastAsia="宋体"/>
                <w:sz w:val="21"/>
                <w:szCs w:val="21"/>
                <w:highlight w:val="none"/>
              </w:rPr>
              <w:t>m</w:t>
            </w:r>
            <w:r>
              <w:rPr>
                <w:rFonts w:hint="eastAsia" w:eastAsia="宋体"/>
                <w:sz w:val="21"/>
                <w:szCs w:val="21"/>
                <w:highlight w:val="none"/>
                <w:vertAlign w:val="superscript"/>
              </w:rPr>
              <w:t>3</w:t>
            </w:r>
            <w:r>
              <w:rPr>
                <w:rFonts w:eastAsia="宋体"/>
                <w:sz w:val="21"/>
                <w:szCs w:val="21"/>
                <w:highlight w:val="none"/>
              </w:rPr>
              <w:t>）</w:t>
            </w:r>
            <w:r>
              <w:rPr>
                <w:rFonts w:eastAsia="宋体"/>
                <w:sz w:val="21"/>
                <w:szCs w:val="21"/>
              </w:rPr>
              <w:t>，</w:t>
            </w:r>
            <w:r>
              <w:rPr>
                <w:rFonts w:hint="eastAsia" w:eastAsia="宋体"/>
                <w:sz w:val="21"/>
                <w:szCs w:val="21"/>
              </w:rPr>
              <w:t>应急事故</w:t>
            </w:r>
            <w:r>
              <w:rPr>
                <w:rFonts w:eastAsia="宋体"/>
                <w:sz w:val="21"/>
                <w:szCs w:val="21"/>
              </w:rPr>
              <w:t>池位于</w:t>
            </w:r>
            <w:r>
              <w:rPr>
                <w:rFonts w:hint="eastAsia" w:eastAsia="宋体"/>
                <w:sz w:val="21"/>
                <w:szCs w:val="21"/>
              </w:rPr>
              <w:t>雨</w:t>
            </w:r>
            <w:r>
              <w:rPr>
                <w:rFonts w:eastAsia="宋体"/>
                <w:sz w:val="21"/>
                <w:szCs w:val="21"/>
              </w:rPr>
              <w:t>水收集管道的末端，能保证事故状态下顺利收集泄漏物，并已设置抽水设备，可将泄漏物运送至污水处理厂处理。</w:t>
            </w:r>
          </w:p>
        </w:tc>
        <w:tc>
          <w:tcPr>
            <w:tcW w:w="1152" w:type="pct"/>
            <w:tcBorders>
              <w:tl2br w:val="nil"/>
              <w:tr2bl w:val="nil"/>
            </w:tcBorders>
            <w:vAlign w:val="center"/>
          </w:tcPr>
          <w:p w14:paraId="76368056">
            <w:pPr>
              <w:adjustRightInd w:val="0"/>
              <w:snapToGrid w:val="0"/>
              <w:spacing w:line="320" w:lineRule="exact"/>
              <w:jc w:val="center"/>
              <w:rPr>
                <w:rFonts w:eastAsia="宋体"/>
                <w:sz w:val="21"/>
                <w:szCs w:val="21"/>
              </w:rPr>
            </w:pPr>
            <w:r>
              <w:rPr>
                <w:rFonts w:eastAsia="宋体"/>
                <w:sz w:val="21"/>
                <w:szCs w:val="21"/>
              </w:rPr>
              <w:t>上述措施合理有效，但未能定岗定员，需安排专门人员并严格执行，方可有效控制事故排放。</w:t>
            </w:r>
          </w:p>
        </w:tc>
      </w:tr>
      <w:tr w14:paraId="5EA9E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39" w:hRule="atLeast"/>
        </w:trPr>
        <w:tc>
          <w:tcPr>
            <w:tcW w:w="259" w:type="pct"/>
            <w:tcBorders>
              <w:tl2br w:val="nil"/>
              <w:tr2bl w:val="nil"/>
            </w:tcBorders>
            <w:vAlign w:val="center"/>
          </w:tcPr>
          <w:p w14:paraId="508DBB2E">
            <w:pPr>
              <w:adjustRightInd w:val="0"/>
              <w:snapToGrid w:val="0"/>
              <w:spacing w:line="320" w:lineRule="exact"/>
              <w:jc w:val="center"/>
              <w:rPr>
                <w:rFonts w:eastAsia="宋体"/>
                <w:sz w:val="21"/>
                <w:szCs w:val="21"/>
              </w:rPr>
            </w:pPr>
            <w:r>
              <w:rPr>
                <w:rFonts w:eastAsia="宋体"/>
                <w:sz w:val="21"/>
                <w:szCs w:val="21"/>
              </w:rPr>
              <w:t>3</w:t>
            </w:r>
          </w:p>
        </w:tc>
        <w:tc>
          <w:tcPr>
            <w:tcW w:w="2253" w:type="pct"/>
            <w:tcBorders>
              <w:tl2br w:val="nil"/>
              <w:tr2bl w:val="nil"/>
            </w:tcBorders>
            <w:vAlign w:val="center"/>
          </w:tcPr>
          <w:p w14:paraId="7E1E7B71">
            <w:pPr>
              <w:adjustRightInd w:val="0"/>
              <w:snapToGrid w:val="0"/>
              <w:spacing w:line="320" w:lineRule="exact"/>
              <w:jc w:val="center"/>
              <w:rPr>
                <w:rFonts w:eastAsia="宋体"/>
                <w:sz w:val="21"/>
                <w:szCs w:val="21"/>
              </w:rPr>
            </w:pPr>
            <w:r>
              <w:rPr>
                <w:rFonts w:eastAsia="宋体"/>
                <w:color w:val="000000" w:themeColor="text1"/>
                <w:sz w:val="21"/>
                <w:szCs w:val="21"/>
                <w14:textFill>
                  <w14:solidFill>
                    <w14:schemeClr w14:val="tx1"/>
                  </w14:solidFill>
                </w14:textFill>
              </w:rPr>
              <w:t>涉及毒性气体的，是否设置毒性气体泄漏紧急处置装置，是否已布置生产区域或厂界毒性气体泄漏监控预警系统，是否有提醒周边公众紧急疏散的措施和手段等，分析每项措施的管理规定、岗位责任落实情况和措施的有效性</w:t>
            </w:r>
          </w:p>
        </w:tc>
        <w:tc>
          <w:tcPr>
            <w:tcW w:w="1335" w:type="pct"/>
            <w:tcBorders>
              <w:tl2br w:val="nil"/>
              <w:tr2bl w:val="nil"/>
            </w:tcBorders>
            <w:vAlign w:val="center"/>
          </w:tcPr>
          <w:p w14:paraId="5DB14B64">
            <w:pPr>
              <w:adjustRightInd w:val="0"/>
              <w:snapToGrid w:val="0"/>
              <w:spacing w:line="320" w:lineRule="exact"/>
              <w:jc w:val="center"/>
              <w:rPr>
                <w:rFonts w:eastAsia="宋体"/>
                <w:sz w:val="21"/>
                <w:szCs w:val="21"/>
              </w:rPr>
            </w:pPr>
            <w:r>
              <w:rPr>
                <w:rFonts w:eastAsia="宋体"/>
                <w:sz w:val="21"/>
                <w:szCs w:val="21"/>
              </w:rPr>
              <w:t>不涉及</w:t>
            </w:r>
          </w:p>
        </w:tc>
        <w:tc>
          <w:tcPr>
            <w:tcW w:w="1152" w:type="pct"/>
            <w:tcBorders>
              <w:tl2br w:val="nil"/>
              <w:tr2bl w:val="nil"/>
            </w:tcBorders>
            <w:vAlign w:val="center"/>
          </w:tcPr>
          <w:p w14:paraId="5291FE44">
            <w:pPr>
              <w:adjustRightInd w:val="0"/>
              <w:snapToGrid w:val="0"/>
              <w:spacing w:line="320" w:lineRule="exact"/>
              <w:jc w:val="center"/>
              <w:rPr>
                <w:rFonts w:eastAsia="宋体"/>
                <w:sz w:val="21"/>
                <w:szCs w:val="21"/>
              </w:rPr>
            </w:pPr>
            <w:r>
              <w:rPr>
                <w:rFonts w:eastAsia="宋体"/>
                <w:sz w:val="21"/>
                <w:szCs w:val="21"/>
              </w:rPr>
              <w:t>不涉及</w:t>
            </w:r>
          </w:p>
        </w:tc>
      </w:tr>
    </w:tbl>
    <w:p w14:paraId="46FA9323">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251" w:name="_Toc31733"/>
      <w:bookmarkStart w:id="252" w:name="_Toc14196"/>
      <w:bookmarkStart w:id="253" w:name="_Toc16479"/>
      <w:bookmarkStart w:id="254" w:name="_Toc24990"/>
      <w:r>
        <w:rPr>
          <w:rFonts w:hint="eastAsia" w:eastAsia="宋体"/>
          <w:color w:val="000000" w:themeColor="text1"/>
          <w:sz w:val="24"/>
          <w:szCs w:val="24"/>
          <w14:textFill>
            <w14:solidFill>
              <w14:schemeClr w14:val="tx1"/>
            </w14:solidFill>
          </w14:textFill>
        </w:rPr>
        <w:t>5.3环境应急资源</w:t>
      </w:r>
      <w:bookmarkEnd w:id="251"/>
      <w:bookmarkEnd w:id="252"/>
      <w:bookmarkEnd w:id="253"/>
      <w:bookmarkEnd w:id="254"/>
    </w:p>
    <w:p w14:paraId="3216967D">
      <w:pPr>
        <w:adjustRightInd w:val="0"/>
        <w:snapToGrid w:val="0"/>
        <w:spacing w:line="500" w:lineRule="exact"/>
        <w:ind w:firstLine="480" w:firstLineChars="200"/>
        <w:rPr>
          <w:rFonts w:eastAsia="宋体"/>
          <w:color w:val="000000" w:themeColor="text1"/>
          <w:szCs w:val="28"/>
          <w14:textFill>
            <w14:solidFill>
              <w14:schemeClr w14:val="tx1"/>
            </w14:solidFill>
          </w14:textFill>
        </w:rPr>
      </w:pPr>
      <w:r>
        <w:rPr>
          <w:rFonts w:eastAsia="宋体"/>
          <w:color w:val="000000" w:themeColor="text1"/>
          <w:szCs w:val="28"/>
          <w14:textFill>
            <w14:solidFill>
              <w14:schemeClr w14:val="tx1"/>
            </w14:solidFill>
          </w14:textFill>
        </w:rPr>
        <w:t>公司环境应急资源见表5-5。</w:t>
      </w:r>
    </w:p>
    <w:p w14:paraId="0D9A107A">
      <w:pPr>
        <w:adjustRightInd w:val="0"/>
        <w:snapToGrid w:val="0"/>
        <w:spacing w:line="480" w:lineRule="exact"/>
        <w:jc w:val="center"/>
        <w:rPr>
          <w:rFonts w:eastAsia="宋体"/>
          <w:b/>
        </w:rPr>
      </w:pPr>
      <w:r>
        <w:rPr>
          <w:rFonts w:eastAsia="宋体"/>
          <w:b/>
        </w:rPr>
        <w:t>表5-5公司环境应急资源情况</w:t>
      </w:r>
    </w:p>
    <w:tbl>
      <w:tblPr>
        <w:tblStyle w:val="3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25"/>
        <w:gridCol w:w="3416"/>
        <w:gridCol w:w="3697"/>
        <w:gridCol w:w="1518"/>
      </w:tblGrid>
      <w:tr w14:paraId="0E350F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3FB03B53">
            <w:pPr>
              <w:tabs>
                <w:tab w:val="left" w:pos="432"/>
              </w:tabs>
              <w:adjustRightInd w:val="0"/>
              <w:snapToGrid w:val="0"/>
              <w:jc w:val="center"/>
              <w:rPr>
                <w:rFonts w:eastAsia="宋体"/>
                <w:sz w:val="21"/>
                <w:szCs w:val="21"/>
              </w:rPr>
            </w:pPr>
            <w:r>
              <w:rPr>
                <w:rFonts w:eastAsia="宋体"/>
                <w:sz w:val="21"/>
                <w:szCs w:val="21"/>
              </w:rPr>
              <w:t>序号</w:t>
            </w:r>
          </w:p>
        </w:tc>
        <w:tc>
          <w:tcPr>
            <w:tcW w:w="1886" w:type="pct"/>
            <w:tcBorders>
              <w:tl2br w:val="nil"/>
              <w:tr2bl w:val="nil"/>
            </w:tcBorders>
            <w:vAlign w:val="center"/>
          </w:tcPr>
          <w:p w14:paraId="44493266">
            <w:pPr>
              <w:tabs>
                <w:tab w:val="left" w:pos="432"/>
              </w:tabs>
              <w:adjustRightInd w:val="0"/>
              <w:snapToGrid w:val="0"/>
              <w:jc w:val="center"/>
              <w:rPr>
                <w:rFonts w:eastAsia="宋体"/>
                <w:sz w:val="21"/>
                <w:szCs w:val="21"/>
              </w:rPr>
            </w:pPr>
            <w:r>
              <w:rPr>
                <w:rFonts w:eastAsia="宋体"/>
                <w:sz w:val="21"/>
                <w:szCs w:val="21"/>
              </w:rPr>
              <w:t>环境应急资源</w:t>
            </w:r>
          </w:p>
        </w:tc>
        <w:tc>
          <w:tcPr>
            <w:tcW w:w="2041" w:type="pct"/>
            <w:tcBorders>
              <w:tl2br w:val="nil"/>
              <w:tr2bl w:val="nil"/>
            </w:tcBorders>
            <w:vAlign w:val="center"/>
          </w:tcPr>
          <w:p w14:paraId="433815EB">
            <w:pPr>
              <w:tabs>
                <w:tab w:val="left" w:pos="432"/>
              </w:tabs>
              <w:adjustRightInd w:val="0"/>
              <w:snapToGrid w:val="0"/>
              <w:jc w:val="center"/>
              <w:rPr>
                <w:rFonts w:eastAsia="宋体"/>
                <w:sz w:val="21"/>
                <w:szCs w:val="21"/>
              </w:rPr>
            </w:pPr>
            <w:r>
              <w:rPr>
                <w:rFonts w:eastAsia="宋体"/>
                <w:sz w:val="21"/>
                <w:szCs w:val="21"/>
              </w:rPr>
              <w:t>企业现状</w:t>
            </w:r>
          </w:p>
        </w:tc>
        <w:tc>
          <w:tcPr>
            <w:tcW w:w="838" w:type="pct"/>
            <w:tcBorders>
              <w:tl2br w:val="nil"/>
              <w:tr2bl w:val="nil"/>
            </w:tcBorders>
            <w:vAlign w:val="center"/>
          </w:tcPr>
          <w:p w14:paraId="42DE79A8">
            <w:pPr>
              <w:tabs>
                <w:tab w:val="left" w:pos="432"/>
              </w:tabs>
              <w:adjustRightInd w:val="0"/>
              <w:snapToGrid w:val="0"/>
              <w:jc w:val="center"/>
              <w:rPr>
                <w:rFonts w:eastAsia="宋体"/>
                <w:sz w:val="21"/>
                <w:szCs w:val="21"/>
              </w:rPr>
            </w:pPr>
            <w:r>
              <w:rPr>
                <w:rFonts w:eastAsia="宋体"/>
                <w:sz w:val="21"/>
                <w:szCs w:val="21"/>
              </w:rPr>
              <w:t>差距分析情况</w:t>
            </w:r>
          </w:p>
        </w:tc>
      </w:tr>
      <w:tr w14:paraId="619AA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4BC8FF48">
            <w:pPr>
              <w:tabs>
                <w:tab w:val="left" w:pos="432"/>
              </w:tabs>
              <w:adjustRightInd w:val="0"/>
              <w:snapToGrid w:val="0"/>
              <w:jc w:val="center"/>
              <w:rPr>
                <w:rFonts w:eastAsia="宋体"/>
                <w:sz w:val="21"/>
                <w:szCs w:val="21"/>
              </w:rPr>
            </w:pPr>
            <w:r>
              <w:rPr>
                <w:rFonts w:eastAsia="宋体"/>
                <w:sz w:val="21"/>
                <w:szCs w:val="21"/>
              </w:rPr>
              <w:t>1</w:t>
            </w:r>
          </w:p>
        </w:tc>
        <w:tc>
          <w:tcPr>
            <w:tcW w:w="1886" w:type="pct"/>
            <w:tcBorders>
              <w:tl2br w:val="nil"/>
              <w:tr2bl w:val="nil"/>
            </w:tcBorders>
            <w:vAlign w:val="center"/>
          </w:tcPr>
          <w:p w14:paraId="0773FA1A">
            <w:pPr>
              <w:tabs>
                <w:tab w:val="left" w:pos="432"/>
              </w:tabs>
              <w:adjustRightInd w:val="0"/>
              <w:snapToGrid w:val="0"/>
              <w:jc w:val="center"/>
              <w:rPr>
                <w:rFonts w:eastAsia="宋体"/>
                <w:sz w:val="21"/>
                <w:szCs w:val="21"/>
              </w:rPr>
            </w:pPr>
            <w:r>
              <w:rPr>
                <w:rFonts w:eastAsia="宋体"/>
                <w:sz w:val="21"/>
                <w:szCs w:val="21"/>
              </w:rPr>
              <w:t>是否配备必要的应急物资和应急装备（包括应急监测）</w:t>
            </w:r>
          </w:p>
        </w:tc>
        <w:tc>
          <w:tcPr>
            <w:tcW w:w="2041" w:type="pct"/>
            <w:tcBorders>
              <w:tl2br w:val="nil"/>
              <w:tr2bl w:val="nil"/>
            </w:tcBorders>
            <w:vAlign w:val="center"/>
          </w:tcPr>
          <w:p w14:paraId="6849C6BF">
            <w:pPr>
              <w:tabs>
                <w:tab w:val="left" w:pos="432"/>
              </w:tabs>
              <w:adjustRightInd w:val="0"/>
              <w:snapToGrid w:val="0"/>
              <w:jc w:val="center"/>
              <w:rPr>
                <w:rFonts w:eastAsia="宋体"/>
                <w:sz w:val="21"/>
                <w:szCs w:val="21"/>
              </w:rPr>
            </w:pPr>
            <w:r>
              <w:rPr>
                <w:rFonts w:eastAsia="宋体"/>
                <w:sz w:val="21"/>
                <w:szCs w:val="21"/>
              </w:rPr>
              <w:t>已配备大部分的应急物资和应急装备</w:t>
            </w:r>
            <w:r>
              <w:rPr>
                <w:rFonts w:hint="eastAsia" w:eastAsia="宋体"/>
                <w:sz w:val="21"/>
                <w:szCs w:val="21"/>
              </w:rPr>
              <w:t>，</w:t>
            </w:r>
            <w:r>
              <w:rPr>
                <w:rFonts w:eastAsia="宋体"/>
                <w:sz w:val="21"/>
                <w:szCs w:val="21"/>
              </w:rPr>
              <w:t>应急监测委托专业的监测队伍进行</w:t>
            </w:r>
          </w:p>
        </w:tc>
        <w:tc>
          <w:tcPr>
            <w:tcW w:w="838" w:type="pct"/>
            <w:tcBorders>
              <w:tl2br w:val="nil"/>
              <w:tr2bl w:val="nil"/>
            </w:tcBorders>
            <w:vAlign w:val="center"/>
          </w:tcPr>
          <w:p w14:paraId="1EF17032">
            <w:pPr>
              <w:tabs>
                <w:tab w:val="left" w:pos="432"/>
              </w:tabs>
              <w:adjustRightInd w:val="0"/>
              <w:snapToGrid w:val="0"/>
              <w:jc w:val="center"/>
              <w:rPr>
                <w:rFonts w:eastAsia="宋体"/>
                <w:sz w:val="21"/>
                <w:szCs w:val="21"/>
              </w:rPr>
            </w:pPr>
            <w:r>
              <w:rPr>
                <w:rFonts w:hint="eastAsia" w:eastAsia="宋体"/>
                <w:sz w:val="21"/>
                <w:szCs w:val="21"/>
              </w:rPr>
              <w:t>/</w:t>
            </w:r>
          </w:p>
        </w:tc>
      </w:tr>
      <w:tr w14:paraId="4A7B29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590B3702">
            <w:pPr>
              <w:tabs>
                <w:tab w:val="left" w:pos="432"/>
              </w:tabs>
              <w:adjustRightInd w:val="0"/>
              <w:snapToGrid w:val="0"/>
              <w:jc w:val="center"/>
              <w:rPr>
                <w:rFonts w:eastAsia="宋体"/>
                <w:sz w:val="21"/>
                <w:szCs w:val="21"/>
              </w:rPr>
            </w:pPr>
            <w:r>
              <w:rPr>
                <w:rFonts w:eastAsia="宋体"/>
                <w:sz w:val="21"/>
                <w:szCs w:val="21"/>
              </w:rPr>
              <w:t>2</w:t>
            </w:r>
          </w:p>
        </w:tc>
        <w:tc>
          <w:tcPr>
            <w:tcW w:w="1886" w:type="pct"/>
            <w:tcBorders>
              <w:tl2br w:val="nil"/>
              <w:tr2bl w:val="nil"/>
            </w:tcBorders>
            <w:vAlign w:val="center"/>
          </w:tcPr>
          <w:p w14:paraId="33E07E84">
            <w:pPr>
              <w:tabs>
                <w:tab w:val="left" w:pos="432"/>
              </w:tabs>
              <w:adjustRightInd w:val="0"/>
              <w:snapToGrid w:val="0"/>
              <w:jc w:val="center"/>
              <w:rPr>
                <w:rFonts w:eastAsia="宋体"/>
                <w:sz w:val="21"/>
                <w:szCs w:val="21"/>
              </w:rPr>
            </w:pPr>
            <w:r>
              <w:rPr>
                <w:rFonts w:eastAsia="宋体"/>
                <w:sz w:val="21"/>
                <w:szCs w:val="21"/>
              </w:rPr>
              <w:t>是否已设专职或兼职人员组成的应急救援队伍</w:t>
            </w:r>
          </w:p>
        </w:tc>
        <w:tc>
          <w:tcPr>
            <w:tcW w:w="2041" w:type="pct"/>
            <w:tcBorders>
              <w:tl2br w:val="nil"/>
              <w:tr2bl w:val="nil"/>
            </w:tcBorders>
            <w:vAlign w:val="center"/>
          </w:tcPr>
          <w:p w14:paraId="4768579C">
            <w:pPr>
              <w:tabs>
                <w:tab w:val="left" w:pos="432"/>
              </w:tabs>
              <w:adjustRightInd w:val="0"/>
              <w:snapToGrid w:val="0"/>
              <w:jc w:val="center"/>
              <w:rPr>
                <w:rFonts w:eastAsia="宋体"/>
                <w:sz w:val="21"/>
                <w:szCs w:val="21"/>
              </w:rPr>
            </w:pPr>
            <w:r>
              <w:rPr>
                <w:rFonts w:eastAsia="宋体"/>
                <w:sz w:val="21"/>
                <w:szCs w:val="21"/>
              </w:rPr>
              <w:t>已设置专门的应急救援队伍，由不同部门人员兼职。</w:t>
            </w:r>
          </w:p>
        </w:tc>
        <w:tc>
          <w:tcPr>
            <w:tcW w:w="838" w:type="pct"/>
            <w:tcBorders>
              <w:tl2br w:val="nil"/>
              <w:tr2bl w:val="nil"/>
            </w:tcBorders>
            <w:vAlign w:val="center"/>
          </w:tcPr>
          <w:p w14:paraId="20FAAB35">
            <w:pPr>
              <w:tabs>
                <w:tab w:val="left" w:pos="432"/>
              </w:tabs>
              <w:adjustRightInd w:val="0"/>
              <w:snapToGrid w:val="0"/>
              <w:jc w:val="center"/>
              <w:rPr>
                <w:rFonts w:eastAsia="宋体"/>
                <w:sz w:val="21"/>
                <w:szCs w:val="21"/>
              </w:rPr>
            </w:pPr>
            <w:r>
              <w:rPr>
                <w:rFonts w:eastAsia="宋体"/>
                <w:sz w:val="21"/>
                <w:szCs w:val="21"/>
              </w:rPr>
              <w:t>/</w:t>
            </w:r>
          </w:p>
        </w:tc>
      </w:tr>
      <w:tr w14:paraId="30A86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57DD19D6">
            <w:pPr>
              <w:tabs>
                <w:tab w:val="left" w:pos="432"/>
              </w:tabs>
              <w:adjustRightInd w:val="0"/>
              <w:snapToGrid w:val="0"/>
              <w:jc w:val="center"/>
              <w:rPr>
                <w:rFonts w:eastAsia="宋体"/>
                <w:sz w:val="21"/>
                <w:szCs w:val="21"/>
              </w:rPr>
            </w:pPr>
            <w:r>
              <w:rPr>
                <w:rFonts w:eastAsia="宋体"/>
                <w:sz w:val="21"/>
                <w:szCs w:val="21"/>
              </w:rPr>
              <w:t>3</w:t>
            </w:r>
          </w:p>
        </w:tc>
        <w:tc>
          <w:tcPr>
            <w:tcW w:w="1886" w:type="pct"/>
            <w:tcBorders>
              <w:tl2br w:val="nil"/>
              <w:tr2bl w:val="nil"/>
            </w:tcBorders>
            <w:vAlign w:val="center"/>
          </w:tcPr>
          <w:p w14:paraId="1A4DF29D">
            <w:pPr>
              <w:tabs>
                <w:tab w:val="left" w:pos="432"/>
              </w:tabs>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是否与其他组织或单位签订应急救援协议或互救协议（包括应急物资、应急装备和救援队伍等）</w:t>
            </w:r>
          </w:p>
        </w:tc>
        <w:tc>
          <w:tcPr>
            <w:tcW w:w="2041" w:type="pct"/>
            <w:tcBorders>
              <w:tl2br w:val="nil"/>
              <w:tr2bl w:val="nil"/>
            </w:tcBorders>
            <w:vAlign w:val="center"/>
          </w:tcPr>
          <w:p w14:paraId="5055E2E2">
            <w:pPr>
              <w:tabs>
                <w:tab w:val="left" w:pos="432"/>
              </w:tabs>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与签订互救协议。</w:t>
            </w:r>
          </w:p>
        </w:tc>
        <w:tc>
          <w:tcPr>
            <w:tcW w:w="838" w:type="pct"/>
            <w:tcBorders>
              <w:tl2br w:val="nil"/>
              <w:tr2bl w:val="nil"/>
            </w:tcBorders>
            <w:vAlign w:val="center"/>
          </w:tcPr>
          <w:p w14:paraId="3589E84B">
            <w:pPr>
              <w:tabs>
                <w:tab w:val="left" w:pos="432"/>
              </w:tabs>
              <w:adjustRightInd w:val="0"/>
              <w:snapToGrid w:val="0"/>
              <w:jc w:val="center"/>
              <w:rPr>
                <w:rFonts w:eastAsia="宋体"/>
                <w:sz w:val="21"/>
                <w:szCs w:val="21"/>
              </w:rPr>
            </w:pPr>
            <w:r>
              <w:rPr>
                <w:rFonts w:eastAsia="宋体"/>
                <w:sz w:val="21"/>
                <w:szCs w:val="21"/>
              </w:rPr>
              <w:t>/</w:t>
            </w:r>
          </w:p>
        </w:tc>
      </w:tr>
      <w:tr w14:paraId="44E42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06F1C0B9">
            <w:pPr>
              <w:tabs>
                <w:tab w:val="left" w:pos="432"/>
              </w:tabs>
              <w:adjustRightInd w:val="0"/>
              <w:snapToGrid w:val="0"/>
              <w:jc w:val="center"/>
              <w:rPr>
                <w:rFonts w:eastAsia="宋体"/>
                <w:sz w:val="21"/>
                <w:szCs w:val="21"/>
              </w:rPr>
            </w:pPr>
            <w:r>
              <w:rPr>
                <w:rFonts w:eastAsia="宋体"/>
                <w:sz w:val="21"/>
                <w:szCs w:val="21"/>
              </w:rPr>
              <w:t>4</w:t>
            </w:r>
          </w:p>
        </w:tc>
        <w:tc>
          <w:tcPr>
            <w:tcW w:w="1886" w:type="pct"/>
            <w:tcBorders>
              <w:tl2br w:val="nil"/>
              <w:tr2bl w:val="nil"/>
            </w:tcBorders>
            <w:vAlign w:val="center"/>
          </w:tcPr>
          <w:p w14:paraId="01F90B02">
            <w:pPr>
              <w:tabs>
                <w:tab w:val="left" w:pos="432"/>
              </w:tabs>
              <w:adjustRightInd w:val="0"/>
              <w:snapToGrid w:val="0"/>
              <w:jc w:val="center"/>
              <w:rPr>
                <w:rFonts w:eastAsia="宋体"/>
                <w:sz w:val="21"/>
                <w:szCs w:val="21"/>
              </w:rPr>
            </w:pPr>
            <w:r>
              <w:rPr>
                <w:rFonts w:eastAsia="宋体"/>
                <w:sz w:val="21"/>
                <w:szCs w:val="21"/>
              </w:rPr>
              <w:t>是否签订突发环境事件应急监测协议</w:t>
            </w:r>
          </w:p>
        </w:tc>
        <w:tc>
          <w:tcPr>
            <w:tcW w:w="2041" w:type="pct"/>
            <w:tcBorders>
              <w:tl2br w:val="nil"/>
              <w:tr2bl w:val="nil"/>
            </w:tcBorders>
            <w:vAlign w:val="center"/>
          </w:tcPr>
          <w:p w14:paraId="6BFF0F51">
            <w:pPr>
              <w:tabs>
                <w:tab w:val="left" w:pos="432"/>
              </w:tabs>
              <w:adjustRightInd w:val="0"/>
              <w:snapToGrid w:val="0"/>
              <w:jc w:val="center"/>
              <w:rPr>
                <w:rFonts w:eastAsia="宋体"/>
                <w:sz w:val="21"/>
                <w:szCs w:val="21"/>
              </w:rPr>
            </w:pPr>
            <w:r>
              <w:rPr>
                <w:rFonts w:eastAsia="宋体"/>
                <w:sz w:val="21"/>
                <w:szCs w:val="21"/>
              </w:rPr>
              <w:t>与</w:t>
            </w:r>
            <w:r>
              <w:rPr>
                <w:rFonts w:hint="eastAsia" w:eastAsia="宋体"/>
                <w:sz w:val="21"/>
                <w:szCs w:val="21"/>
              </w:rPr>
              <w:t>江苏裕和检测技术有限公司</w:t>
            </w:r>
            <w:r>
              <w:rPr>
                <w:rFonts w:eastAsia="宋体"/>
                <w:sz w:val="21"/>
                <w:szCs w:val="21"/>
              </w:rPr>
              <w:t>签订应急监测协议。</w:t>
            </w:r>
          </w:p>
        </w:tc>
        <w:tc>
          <w:tcPr>
            <w:tcW w:w="838" w:type="pct"/>
            <w:tcBorders>
              <w:tl2br w:val="nil"/>
              <w:tr2bl w:val="nil"/>
            </w:tcBorders>
            <w:vAlign w:val="center"/>
          </w:tcPr>
          <w:p w14:paraId="54413370">
            <w:pPr>
              <w:tabs>
                <w:tab w:val="left" w:pos="432"/>
              </w:tabs>
              <w:adjustRightInd w:val="0"/>
              <w:snapToGrid w:val="0"/>
              <w:jc w:val="center"/>
              <w:rPr>
                <w:rFonts w:eastAsia="宋体"/>
                <w:sz w:val="21"/>
                <w:szCs w:val="21"/>
              </w:rPr>
            </w:pPr>
            <w:r>
              <w:rPr>
                <w:rFonts w:eastAsia="宋体"/>
                <w:sz w:val="21"/>
                <w:szCs w:val="21"/>
              </w:rPr>
              <w:t>/</w:t>
            </w:r>
          </w:p>
        </w:tc>
      </w:tr>
      <w:bookmarkEnd w:id="237"/>
      <w:bookmarkEnd w:id="243"/>
    </w:tbl>
    <w:p w14:paraId="2BE798A5">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255" w:name="_Toc14351"/>
      <w:bookmarkStart w:id="256" w:name="_Toc19935"/>
      <w:bookmarkStart w:id="257" w:name="_Toc496887138"/>
      <w:bookmarkStart w:id="258" w:name="_Toc22853"/>
      <w:bookmarkStart w:id="259" w:name="_Toc402776220"/>
      <w:bookmarkStart w:id="260" w:name="_Toc7855"/>
      <w:bookmarkStart w:id="261" w:name="_Toc510092966"/>
      <w:bookmarkStart w:id="262" w:name="_Toc353379551"/>
      <w:bookmarkStart w:id="263" w:name="_Toc402776225"/>
      <w:r>
        <w:rPr>
          <w:rFonts w:hint="eastAsia" w:eastAsia="宋体"/>
          <w:color w:val="000000" w:themeColor="text1"/>
          <w:sz w:val="24"/>
          <w:szCs w:val="24"/>
          <w14:textFill>
            <w14:solidFill>
              <w14:schemeClr w14:val="tx1"/>
            </w14:solidFill>
          </w14:textFill>
        </w:rPr>
        <w:t>5.4历史经验教训总结</w:t>
      </w:r>
      <w:bookmarkEnd w:id="255"/>
      <w:bookmarkEnd w:id="256"/>
      <w:bookmarkEnd w:id="257"/>
      <w:bookmarkEnd w:id="258"/>
      <w:bookmarkEnd w:id="259"/>
      <w:bookmarkEnd w:id="260"/>
      <w:bookmarkEnd w:id="261"/>
    </w:p>
    <w:p w14:paraId="6E7B4523">
      <w:pPr>
        <w:adjustRightInd w:val="0"/>
        <w:snapToGrid w:val="0"/>
        <w:spacing w:line="500" w:lineRule="exact"/>
        <w:ind w:firstLine="480" w:firstLineChars="200"/>
        <w:rPr>
          <w:rFonts w:ascii="宋体" w:hAnsi="宋体" w:eastAsia="宋体" w:cs="宋体"/>
          <w:szCs w:val="28"/>
        </w:rPr>
      </w:pPr>
      <w:r>
        <w:rPr>
          <w:rFonts w:hint="eastAsia" w:ascii="宋体" w:hAnsi="宋体" w:eastAsia="宋体" w:cs="宋体"/>
          <w:color w:val="000000" w:themeColor="text1"/>
          <w:szCs w:val="28"/>
          <w14:textFill>
            <w14:solidFill>
              <w14:schemeClr w14:val="tx1"/>
            </w14:solidFill>
          </w14:textFill>
        </w:rPr>
        <w:t>公司应不断改进技术装</w:t>
      </w:r>
      <w:r>
        <w:rPr>
          <w:rFonts w:hint="eastAsia" w:ascii="宋体" w:hAnsi="宋体" w:eastAsia="宋体" w:cs="宋体"/>
          <w:szCs w:val="28"/>
        </w:rPr>
        <w:t>备，根据应急处置工作的需要，邀请行业专家和专业技术队伍对公司的各应急救援队伍进行培训，</w:t>
      </w:r>
      <w:r>
        <w:rPr>
          <w:rFonts w:hint="eastAsia" w:eastAsiaTheme="minorEastAsia"/>
          <w:color w:val="000000" w:themeColor="text1"/>
          <w14:textFill>
            <w14:solidFill>
              <w14:schemeClr w14:val="tx1"/>
            </w14:solidFill>
          </w14:textFill>
        </w:rPr>
        <w:t>特别是生产一线操作人员的应急防护知识培训，大力提高从业人员的应急救援能力。在异常条件下能采取有效的应急救护措施，避免事故损失扩大。</w:t>
      </w:r>
      <w:r>
        <w:rPr>
          <w:rFonts w:hint="eastAsia" w:ascii="宋体" w:hAnsi="宋体" w:eastAsia="宋体" w:cs="宋体"/>
          <w:szCs w:val="28"/>
        </w:rPr>
        <w:t>加强与周边企业的应急联动，以便发生事故时可及时取得支持；收集同行业的各类突发环境事件案例，建立案例库，从中吸取经验教训。</w:t>
      </w:r>
    </w:p>
    <w:p w14:paraId="2F38411F">
      <w:pPr>
        <w:adjustRightInd w:val="0"/>
        <w:snapToGrid w:val="0"/>
        <w:spacing w:line="500" w:lineRule="exact"/>
        <w:ind w:firstLine="480" w:firstLineChars="200"/>
        <w:rPr>
          <w:rFonts w:ascii="宋体" w:hAnsi="宋体" w:eastAsia="宋体" w:cs="宋体"/>
        </w:rPr>
      </w:pPr>
      <w:r>
        <w:rPr>
          <w:rFonts w:hint="eastAsia" w:ascii="宋体" w:hAnsi="宋体" w:eastAsia="宋体" w:cs="宋体"/>
          <w:szCs w:val="28"/>
        </w:rPr>
        <w:t>公司生产装置、储存场所以及需要提醒人员注意的地点需设置各种安全标志；</w:t>
      </w:r>
      <w:r>
        <w:rPr>
          <w:rFonts w:hint="eastAsia" w:ascii="宋体" w:hAnsi="宋体" w:eastAsia="宋体" w:cs="宋体"/>
        </w:rPr>
        <w:t>定期系统检漏；管道施工按规范要求进行；设置了建构筑物的安全通道；严格控制与消除火源；严格控制设备质量与安装质量；加强管理、严格纪律；委托有运输资质和经验的运输单位承担危险化学物质等运输转移工作。</w:t>
      </w:r>
    </w:p>
    <w:p w14:paraId="7861C63A">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264" w:name="_Toc510092967"/>
      <w:bookmarkStart w:id="265" w:name="_Toc496887139"/>
      <w:bookmarkStart w:id="266" w:name="_Toc2535"/>
      <w:bookmarkStart w:id="267" w:name="_Toc29208"/>
      <w:bookmarkStart w:id="268" w:name="_Toc402776221"/>
      <w:bookmarkStart w:id="269" w:name="_Toc9941"/>
      <w:bookmarkStart w:id="270" w:name="_Toc23361"/>
      <w:r>
        <w:rPr>
          <w:rFonts w:hint="eastAsia" w:eastAsia="宋体"/>
          <w:color w:val="000000" w:themeColor="text1"/>
          <w:sz w:val="24"/>
          <w:szCs w:val="24"/>
          <w14:textFill>
            <w14:solidFill>
              <w14:schemeClr w14:val="tx1"/>
            </w14:solidFill>
          </w14:textFill>
        </w:rPr>
        <w:t>5.5需要整改的短期、中期和长期项目内容</w:t>
      </w:r>
      <w:bookmarkEnd w:id="264"/>
      <w:bookmarkEnd w:id="265"/>
      <w:bookmarkEnd w:id="266"/>
      <w:bookmarkEnd w:id="267"/>
      <w:bookmarkEnd w:id="268"/>
      <w:bookmarkEnd w:id="269"/>
      <w:bookmarkEnd w:id="270"/>
    </w:p>
    <w:p w14:paraId="67182D83">
      <w:pPr>
        <w:adjustRightInd w:val="0"/>
        <w:snapToGrid w:val="0"/>
        <w:spacing w:line="500" w:lineRule="exact"/>
        <w:ind w:firstLine="480" w:firstLineChars="200"/>
        <w:rPr>
          <w:rFonts w:eastAsia="宋体"/>
        </w:rPr>
      </w:pPr>
      <w:r>
        <w:rPr>
          <w:rFonts w:eastAsia="宋体"/>
        </w:rPr>
        <w:t>针对上述排查的每一项差距和隐患，根据其危害性、紧迫性和治理时间的长短，提出需要完成整改的期限，分别按短期（3个月以内）、中期（3-6个月）和长期（6个月以上）列表说明需要整改的项目内容，包括：整改涉及的环境风险单元、环境风险物质、目前存在的问题（环境风险管理制度、环境风险防控与应急措施、应急资源）、可能影响的环境风险受体等。</w:t>
      </w:r>
    </w:p>
    <w:p w14:paraId="1EACD25A">
      <w:pPr>
        <w:adjustRightInd w:val="0"/>
        <w:snapToGrid w:val="0"/>
        <w:spacing w:line="500" w:lineRule="exact"/>
        <w:ind w:firstLine="480" w:firstLineChars="200"/>
        <w:rPr>
          <w:rFonts w:eastAsia="宋体"/>
        </w:rPr>
      </w:pPr>
      <w:r>
        <w:rPr>
          <w:rFonts w:eastAsia="宋体"/>
        </w:rPr>
        <w:t>通过本次对公司的检查，发现公司存在的事故隐患及需要整改的内容见表5-6。</w:t>
      </w:r>
    </w:p>
    <w:p w14:paraId="33A93B91">
      <w:pPr>
        <w:adjustRightInd w:val="0"/>
        <w:snapToGrid w:val="0"/>
        <w:spacing w:line="480" w:lineRule="exact"/>
        <w:jc w:val="center"/>
        <w:rPr>
          <w:rFonts w:eastAsia="宋体"/>
          <w:b/>
        </w:rPr>
      </w:pPr>
      <w:r>
        <w:rPr>
          <w:rFonts w:eastAsia="宋体"/>
          <w:b/>
        </w:rPr>
        <w:t>表5-6存在的事故隐患及需整改内容表</w:t>
      </w:r>
    </w:p>
    <w:tbl>
      <w:tblPr>
        <w:tblStyle w:val="38"/>
        <w:tblW w:w="518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autofit"/>
        <w:tblCellMar>
          <w:top w:w="0" w:type="dxa"/>
          <w:left w:w="0" w:type="dxa"/>
          <w:bottom w:w="0" w:type="dxa"/>
          <w:right w:w="0" w:type="dxa"/>
        </w:tblCellMar>
      </w:tblPr>
      <w:tblGrid>
        <w:gridCol w:w="681"/>
        <w:gridCol w:w="7721"/>
        <w:gridCol w:w="980"/>
      </w:tblGrid>
      <w:tr w14:paraId="2A0C4455">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757" w:hRule="atLeast"/>
          <w:tblHeader/>
          <w:jc w:val="center"/>
        </w:trPr>
        <w:tc>
          <w:tcPr>
            <w:tcW w:w="363" w:type="pct"/>
            <w:tcBorders>
              <w:tl2br w:val="nil"/>
              <w:tr2bl w:val="nil"/>
            </w:tcBorders>
            <w:vAlign w:val="center"/>
          </w:tcPr>
          <w:p w14:paraId="6BF7DFB5">
            <w:pPr>
              <w:tabs>
                <w:tab w:val="left" w:pos="432"/>
              </w:tabs>
              <w:adjustRightInd w:val="0"/>
              <w:snapToGrid w:val="0"/>
              <w:jc w:val="center"/>
              <w:rPr>
                <w:rFonts w:eastAsia="宋体"/>
                <w:sz w:val="21"/>
                <w:szCs w:val="21"/>
              </w:rPr>
            </w:pPr>
            <w:r>
              <w:rPr>
                <w:rFonts w:eastAsia="宋体"/>
                <w:sz w:val="21"/>
                <w:szCs w:val="21"/>
              </w:rPr>
              <w:t>序号</w:t>
            </w:r>
          </w:p>
        </w:tc>
        <w:tc>
          <w:tcPr>
            <w:tcW w:w="4114" w:type="pct"/>
            <w:tcBorders>
              <w:tl2br w:val="nil"/>
              <w:tr2bl w:val="nil"/>
            </w:tcBorders>
            <w:vAlign w:val="center"/>
          </w:tcPr>
          <w:p w14:paraId="6B840C16">
            <w:pPr>
              <w:tabs>
                <w:tab w:val="left" w:pos="432"/>
              </w:tabs>
              <w:adjustRightInd w:val="0"/>
              <w:snapToGrid w:val="0"/>
              <w:jc w:val="center"/>
              <w:rPr>
                <w:rFonts w:eastAsia="宋体"/>
                <w:sz w:val="21"/>
                <w:szCs w:val="21"/>
              </w:rPr>
            </w:pPr>
            <w:r>
              <w:rPr>
                <w:rFonts w:eastAsia="宋体"/>
                <w:sz w:val="21"/>
                <w:szCs w:val="21"/>
              </w:rPr>
              <w:t>存在问题</w:t>
            </w:r>
          </w:p>
        </w:tc>
        <w:tc>
          <w:tcPr>
            <w:tcW w:w="522" w:type="pct"/>
            <w:tcBorders>
              <w:tl2br w:val="nil"/>
              <w:tr2bl w:val="nil"/>
            </w:tcBorders>
            <w:vAlign w:val="center"/>
          </w:tcPr>
          <w:p w14:paraId="32B9D601">
            <w:pPr>
              <w:tabs>
                <w:tab w:val="left" w:pos="432"/>
              </w:tabs>
              <w:adjustRightInd w:val="0"/>
              <w:snapToGrid w:val="0"/>
              <w:jc w:val="center"/>
              <w:rPr>
                <w:rFonts w:eastAsia="宋体"/>
                <w:sz w:val="21"/>
                <w:szCs w:val="21"/>
              </w:rPr>
            </w:pPr>
            <w:r>
              <w:rPr>
                <w:rFonts w:eastAsia="宋体"/>
                <w:sz w:val="21"/>
                <w:szCs w:val="21"/>
              </w:rPr>
              <w:t>整改期限</w:t>
            </w:r>
          </w:p>
        </w:tc>
      </w:tr>
      <w:tr w14:paraId="5DA4E15A">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1A2CD324">
            <w:pPr>
              <w:tabs>
                <w:tab w:val="left" w:pos="432"/>
              </w:tabs>
              <w:adjustRightInd w:val="0"/>
              <w:snapToGrid w:val="0"/>
              <w:jc w:val="center"/>
              <w:rPr>
                <w:rFonts w:eastAsia="宋体"/>
                <w:sz w:val="21"/>
                <w:szCs w:val="21"/>
              </w:rPr>
            </w:pPr>
            <w:r>
              <w:rPr>
                <w:rFonts w:hint="eastAsia" w:eastAsia="宋体"/>
                <w:sz w:val="21"/>
                <w:szCs w:val="21"/>
              </w:rPr>
              <w:t>1</w:t>
            </w:r>
          </w:p>
        </w:tc>
        <w:tc>
          <w:tcPr>
            <w:tcW w:w="4114" w:type="pct"/>
            <w:tcBorders>
              <w:tl2br w:val="nil"/>
              <w:tr2bl w:val="nil"/>
            </w:tcBorders>
            <w:vAlign w:val="center"/>
          </w:tcPr>
          <w:p w14:paraId="09F9B9A8">
            <w:pPr>
              <w:tabs>
                <w:tab w:val="left" w:pos="432"/>
              </w:tabs>
              <w:adjustRightInd w:val="0"/>
              <w:snapToGrid w:val="0"/>
              <w:jc w:val="center"/>
              <w:rPr>
                <w:rFonts w:hint="default" w:eastAsia="宋体"/>
                <w:sz w:val="21"/>
                <w:szCs w:val="21"/>
                <w:lang w:val="en-US" w:eastAsia="zh-CN"/>
              </w:rPr>
            </w:pPr>
            <w:r>
              <w:rPr>
                <w:rFonts w:hint="eastAsia" w:eastAsia="宋体"/>
                <w:sz w:val="21"/>
                <w:szCs w:val="21"/>
                <w:lang w:val="en-US" w:eastAsia="zh-CN"/>
              </w:rPr>
              <w:t>未制定隐患排查年度计划</w:t>
            </w:r>
          </w:p>
        </w:tc>
        <w:tc>
          <w:tcPr>
            <w:tcW w:w="522" w:type="pct"/>
            <w:tcBorders>
              <w:tl2br w:val="nil"/>
              <w:tr2bl w:val="nil"/>
            </w:tcBorders>
            <w:vAlign w:val="center"/>
          </w:tcPr>
          <w:p w14:paraId="44EFD8FB">
            <w:pPr>
              <w:tabs>
                <w:tab w:val="left" w:pos="432"/>
              </w:tabs>
              <w:adjustRightInd w:val="0"/>
              <w:snapToGrid w:val="0"/>
              <w:jc w:val="center"/>
              <w:rPr>
                <w:rFonts w:eastAsia="宋体"/>
                <w:sz w:val="21"/>
                <w:szCs w:val="21"/>
              </w:rPr>
            </w:pPr>
            <w:r>
              <w:rPr>
                <w:rFonts w:hint="eastAsia" w:eastAsia="宋体"/>
                <w:sz w:val="21"/>
                <w:szCs w:val="21"/>
              </w:rPr>
              <w:t>短期</w:t>
            </w:r>
          </w:p>
        </w:tc>
      </w:tr>
      <w:tr w14:paraId="32A6FCD7">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52BB08E9">
            <w:pPr>
              <w:tabs>
                <w:tab w:val="left" w:pos="432"/>
              </w:tabs>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2</w:t>
            </w:r>
          </w:p>
        </w:tc>
        <w:tc>
          <w:tcPr>
            <w:tcW w:w="4114" w:type="pct"/>
            <w:tcBorders>
              <w:tl2br w:val="nil"/>
              <w:tr2bl w:val="nil"/>
            </w:tcBorders>
            <w:vAlign w:val="center"/>
          </w:tcPr>
          <w:p w14:paraId="198D9667">
            <w:pPr>
              <w:tabs>
                <w:tab w:val="left" w:pos="432"/>
              </w:tabs>
              <w:adjustRightInd w:val="0"/>
              <w:snapToGrid w:val="0"/>
              <w:jc w:val="center"/>
              <w:rPr>
                <w:rFonts w:hint="default" w:eastAsia="宋体"/>
                <w:sz w:val="21"/>
                <w:szCs w:val="21"/>
                <w:lang w:val="en-US" w:eastAsia="zh-CN"/>
              </w:rPr>
            </w:pPr>
            <w:r>
              <w:rPr>
                <w:rFonts w:hint="eastAsia" w:eastAsia="宋体"/>
                <w:sz w:val="21"/>
                <w:szCs w:val="21"/>
                <w:lang w:val="en-US" w:eastAsia="zh-CN"/>
              </w:rPr>
              <w:t>环保设施未进行安全风险评价</w:t>
            </w:r>
          </w:p>
        </w:tc>
        <w:tc>
          <w:tcPr>
            <w:tcW w:w="522" w:type="pct"/>
            <w:tcBorders>
              <w:tl2br w:val="nil"/>
              <w:tr2bl w:val="nil"/>
            </w:tcBorders>
            <w:vAlign w:val="center"/>
          </w:tcPr>
          <w:p w14:paraId="610B2AFE">
            <w:pPr>
              <w:tabs>
                <w:tab w:val="left" w:pos="432"/>
              </w:tabs>
              <w:adjustRightInd w:val="0"/>
              <w:snapToGrid w:val="0"/>
              <w:jc w:val="center"/>
              <w:rPr>
                <w:rFonts w:hint="eastAsia" w:eastAsia="宋体"/>
                <w:sz w:val="21"/>
                <w:szCs w:val="21"/>
                <w:lang w:val="en-US" w:eastAsia="zh-CN"/>
              </w:rPr>
            </w:pPr>
            <w:r>
              <w:rPr>
                <w:rFonts w:hint="eastAsia" w:eastAsia="宋体"/>
                <w:sz w:val="21"/>
                <w:szCs w:val="21"/>
                <w:lang w:val="en-US" w:eastAsia="zh-CN"/>
              </w:rPr>
              <w:t>短期</w:t>
            </w:r>
          </w:p>
        </w:tc>
      </w:tr>
      <w:tr w14:paraId="5649AA0C">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22AF5CDB">
            <w:pPr>
              <w:tabs>
                <w:tab w:val="left" w:pos="432"/>
              </w:tabs>
              <w:adjustRightInd w:val="0"/>
              <w:snapToGrid w:val="0"/>
              <w:jc w:val="center"/>
              <w:rPr>
                <w:rFonts w:ascii="Times New Roman" w:hAnsi="Times New Roman" w:eastAsia="宋体" w:cs="Times New Roman"/>
                <w:kern w:val="2"/>
                <w:sz w:val="21"/>
                <w:szCs w:val="21"/>
                <w:lang w:val="en-US" w:eastAsia="zh-CN" w:bidi="ar-SA"/>
              </w:rPr>
            </w:pPr>
            <w:r>
              <w:rPr>
                <w:rFonts w:hint="eastAsia" w:eastAsia="宋体"/>
                <w:sz w:val="21"/>
                <w:szCs w:val="21"/>
              </w:rPr>
              <w:t>3</w:t>
            </w:r>
          </w:p>
        </w:tc>
        <w:tc>
          <w:tcPr>
            <w:tcW w:w="4114" w:type="pct"/>
            <w:tcBorders>
              <w:tl2br w:val="nil"/>
              <w:tr2bl w:val="nil"/>
            </w:tcBorders>
            <w:vAlign w:val="center"/>
          </w:tcPr>
          <w:p w14:paraId="73FDA7B6">
            <w:pPr>
              <w:tabs>
                <w:tab w:val="left" w:pos="432"/>
              </w:tabs>
              <w:adjustRightInd w:val="0"/>
              <w:snapToGrid w:val="0"/>
              <w:jc w:val="center"/>
              <w:rPr>
                <w:rFonts w:eastAsia="宋体"/>
                <w:sz w:val="21"/>
                <w:szCs w:val="21"/>
              </w:rPr>
            </w:pPr>
            <w:r>
              <w:rPr>
                <w:rFonts w:eastAsia="宋体"/>
                <w:sz w:val="21"/>
                <w:szCs w:val="21"/>
              </w:rPr>
              <w:t>风险单元巡查定岗定责，并确定监督检查机制</w:t>
            </w:r>
          </w:p>
        </w:tc>
        <w:tc>
          <w:tcPr>
            <w:tcW w:w="522" w:type="pct"/>
            <w:tcBorders>
              <w:tl2br w:val="nil"/>
              <w:tr2bl w:val="nil"/>
            </w:tcBorders>
            <w:vAlign w:val="center"/>
          </w:tcPr>
          <w:p w14:paraId="0BAB8578">
            <w:pPr>
              <w:tabs>
                <w:tab w:val="left" w:pos="432"/>
              </w:tabs>
              <w:adjustRightInd w:val="0"/>
              <w:snapToGrid w:val="0"/>
              <w:jc w:val="center"/>
              <w:rPr>
                <w:rFonts w:eastAsia="宋体"/>
                <w:sz w:val="21"/>
                <w:szCs w:val="21"/>
              </w:rPr>
            </w:pPr>
            <w:r>
              <w:rPr>
                <w:rFonts w:hint="eastAsia" w:eastAsia="宋体"/>
                <w:sz w:val="21"/>
                <w:szCs w:val="21"/>
              </w:rPr>
              <w:t>短期</w:t>
            </w:r>
          </w:p>
        </w:tc>
      </w:tr>
      <w:tr w14:paraId="68985D07">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10487C76">
            <w:pPr>
              <w:tabs>
                <w:tab w:val="left" w:pos="432"/>
              </w:tabs>
              <w:adjustRightInd w:val="0"/>
              <w:snapToGrid w:val="0"/>
              <w:jc w:val="center"/>
              <w:rPr>
                <w:rFonts w:ascii="Times New Roman" w:hAnsi="Times New Roman" w:eastAsia="宋体" w:cs="Times New Roman"/>
                <w:kern w:val="2"/>
                <w:sz w:val="21"/>
                <w:szCs w:val="21"/>
                <w:lang w:val="en-US" w:eastAsia="zh-CN" w:bidi="ar-SA"/>
              </w:rPr>
            </w:pPr>
            <w:r>
              <w:rPr>
                <w:rFonts w:hint="eastAsia" w:eastAsia="宋体"/>
                <w:sz w:val="21"/>
                <w:szCs w:val="21"/>
              </w:rPr>
              <w:t>4</w:t>
            </w:r>
          </w:p>
        </w:tc>
        <w:tc>
          <w:tcPr>
            <w:tcW w:w="4114" w:type="pct"/>
            <w:tcBorders>
              <w:tl2br w:val="nil"/>
              <w:tr2bl w:val="nil"/>
            </w:tcBorders>
            <w:vAlign w:val="center"/>
          </w:tcPr>
          <w:p w14:paraId="28810C59">
            <w:pPr>
              <w:tabs>
                <w:tab w:val="left" w:pos="432"/>
              </w:tabs>
              <w:adjustRightInd w:val="0"/>
              <w:snapToGrid w:val="0"/>
              <w:jc w:val="center"/>
              <w:rPr>
                <w:rFonts w:eastAsia="宋体"/>
                <w:sz w:val="21"/>
                <w:szCs w:val="21"/>
              </w:rPr>
            </w:pPr>
            <w:r>
              <w:rPr>
                <w:rFonts w:eastAsia="宋体"/>
                <w:sz w:val="21"/>
                <w:szCs w:val="21"/>
              </w:rPr>
              <w:t>公司未开展应急法律法规的宣传工作，也未对职工进行环境风险和环境应急管理方面“一案三制”的培训</w:t>
            </w:r>
          </w:p>
        </w:tc>
        <w:tc>
          <w:tcPr>
            <w:tcW w:w="522" w:type="pct"/>
            <w:tcBorders>
              <w:tl2br w:val="nil"/>
              <w:tr2bl w:val="nil"/>
            </w:tcBorders>
            <w:vAlign w:val="center"/>
          </w:tcPr>
          <w:p w14:paraId="520469BB">
            <w:pPr>
              <w:tabs>
                <w:tab w:val="left" w:pos="432"/>
              </w:tabs>
              <w:adjustRightInd w:val="0"/>
              <w:snapToGrid w:val="0"/>
              <w:jc w:val="center"/>
              <w:rPr>
                <w:rFonts w:eastAsia="宋体"/>
                <w:sz w:val="21"/>
                <w:szCs w:val="21"/>
              </w:rPr>
            </w:pPr>
            <w:r>
              <w:rPr>
                <w:rFonts w:hint="eastAsia" w:eastAsia="宋体"/>
                <w:sz w:val="21"/>
                <w:szCs w:val="21"/>
              </w:rPr>
              <w:t>中</w:t>
            </w:r>
            <w:r>
              <w:rPr>
                <w:rFonts w:eastAsia="宋体"/>
                <w:sz w:val="21"/>
                <w:szCs w:val="21"/>
              </w:rPr>
              <w:t>期</w:t>
            </w:r>
          </w:p>
        </w:tc>
      </w:tr>
      <w:tr w14:paraId="71A2F8E4">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411" w:hRule="atLeast"/>
          <w:jc w:val="center"/>
        </w:trPr>
        <w:tc>
          <w:tcPr>
            <w:tcW w:w="363" w:type="pct"/>
            <w:tcBorders>
              <w:tl2br w:val="nil"/>
              <w:tr2bl w:val="nil"/>
            </w:tcBorders>
            <w:vAlign w:val="center"/>
          </w:tcPr>
          <w:p w14:paraId="62EC82F9">
            <w:pPr>
              <w:tabs>
                <w:tab w:val="left" w:pos="432"/>
              </w:tabs>
              <w:adjustRightInd w:val="0"/>
              <w:snapToGrid w:val="0"/>
              <w:jc w:val="center"/>
              <w:rPr>
                <w:rFonts w:hint="eastAsia" w:eastAsia="宋体"/>
                <w:sz w:val="21"/>
                <w:szCs w:val="21"/>
                <w:lang w:eastAsia="zh-CN"/>
              </w:rPr>
            </w:pPr>
            <w:r>
              <w:rPr>
                <w:rFonts w:hint="eastAsia" w:eastAsia="宋体"/>
                <w:sz w:val="21"/>
                <w:szCs w:val="21"/>
                <w:lang w:val="en-US" w:eastAsia="zh-CN"/>
              </w:rPr>
              <w:t>5</w:t>
            </w:r>
          </w:p>
        </w:tc>
        <w:tc>
          <w:tcPr>
            <w:tcW w:w="4114" w:type="pct"/>
            <w:tcBorders>
              <w:tl2br w:val="nil"/>
              <w:tr2bl w:val="nil"/>
            </w:tcBorders>
            <w:vAlign w:val="center"/>
          </w:tcPr>
          <w:p w14:paraId="24A9C62F">
            <w:pPr>
              <w:tabs>
                <w:tab w:val="left" w:pos="432"/>
              </w:tabs>
              <w:adjustRightInd w:val="0"/>
              <w:snapToGrid w:val="0"/>
              <w:jc w:val="center"/>
              <w:rPr>
                <w:rFonts w:eastAsia="宋体"/>
                <w:sz w:val="21"/>
                <w:szCs w:val="21"/>
              </w:rPr>
            </w:pPr>
            <w:r>
              <w:rPr>
                <w:rFonts w:eastAsia="宋体"/>
                <w:sz w:val="21"/>
                <w:szCs w:val="21"/>
              </w:rPr>
              <w:t>需要进行进一步的宣传工作，确保周边敏感目标对应急疏散的措施和手段有所了解</w:t>
            </w:r>
          </w:p>
        </w:tc>
        <w:tc>
          <w:tcPr>
            <w:tcW w:w="522" w:type="pct"/>
            <w:tcBorders>
              <w:tl2br w:val="nil"/>
              <w:tr2bl w:val="nil"/>
            </w:tcBorders>
            <w:vAlign w:val="center"/>
          </w:tcPr>
          <w:p w14:paraId="7DD8D4DE">
            <w:pPr>
              <w:tabs>
                <w:tab w:val="left" w:pos="432"/>
              </w:tabs>
              <w:adjustRightInd w:val="0"/>
              <w:snapToGrid w:val="0"/>
              <w:jc w:val="center"/>
              <w:rPr>
                <w:rFonts w:eastAsia="宋体"/>
                <w:sz w:val="21"/>
                <w:szCs w:val="21"/>
              </w:rPr>
            </w:pPr>
            <w:r>
              <w:rPr>
                <w:rFonts w:eastAsia="宋体"/>
                <w:sz w:val="21"/>
                <w:szCs w:val="21"/>
              </w:rPr>
              <w:t>长期</w:t>
            </w:r>
          </w:p>
        </w:tc>
      </w:tr>
    </w:tbl>
    <w:p w14:paraId="7E7F541D">
      <w:pPr>
        <w:tabs>
          <w:tab w:val="left" w:pos="296"/>
        </w:tabs>
        <w:adjustRightInd w:val="0"/>
        <w:spacing w:line="360" w:lineRule="auto"/>
        <w:outlineLvl w:val="0"/>
        <w:rPr>
          <w:rFonts w:ascii="宋体" w:hAnsi="宋体" w:eastAsia="宋体" w:cs="宋体"/>
          <w:b/>
        </w:rPr>
        <w:sectPr>
          <w:footerReference r:id="rId10"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bookmarkStart w:id="271" w:name="_Toc402776222"/>
    </w:p>
    <w:p w14:paraId="35CCC3CB">
      <w:pPr>
        <w:pStyle w:val="2"/>
        <w:adjustRightInd w:val="0"/>
        <w:snapToGrid w:val="0"/>
        <w:spacing w:line="500" w:lineRule="exact"/>
        <w:rPr>
          <w:rFonts w:eastAsia="宋体"/>
          <w:color w:val="000000" w:themeColor="text1"/>
          <w:sz w:val="24"/>
          <w:szCs w:val="24"/>
          <w14:textFill>
            <w14:solidFill>
              <w14:schemeClr w14:val="tx1"/>
            </w14:solidFill>
          </w14:textFill>
        </w:rPr>
      </w:pPr>
      <w:bookmarkStart w:id="272" w:name="_Toc496887140"/>
      <w:bookmarkStart w:id="273" w:name="_Toc31696"/>
      <w:bookmarkStart w:id="274" w:name="_Toc594"/>
      <w:bookmarkStart w:id="275" w:name="_Toc21425"/>
      <w:bookmarkStart w:id="276" w:name="_Toc4096"/>
      <w:bookmarkStart w:id="277" w:name="_Toc510092968"/>
      <w:r>
        <w:rPr>
          <w:rFonts w:hint="eastAsia" w:eastAsia="宋体"/>
          <w:color w:val="000000" w:themeColor="text1"/>
          <w:sz w:val="24"/>
          <w:szCs w:val="24"/>
          <w14:textFill>
            <w14:solidFill>
              <w14:schemeClr w14:val="tx1"/>
            </w14:solidFill>
          </w14:textFill>
        </w:rPr>
        <w:t>6完善环境风险防控和应急措施的实施计划</w:t>
      </w:r>
      <w:bookmarkEnd w:id="271"/>
      <w:bookmarkEnd w:id="272"/>
      <w:bookmarkEnd w:id="273"/>
      <w:bookmarkEnd w:id="274"/>
      <w:bookmarkEnd w:id="275"/>
      <w:bookmarkEnd w:id="276"/>
      <w:bookmarkEnd w:id="277"/>
    </w:p>
    <w:p w14:paraId="68635AFC">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278" w:name="_Toc30219"/>
      <w:bookmarkStart w:id="279" w:name="_Toc510092969"/>
      <w:bookmarkStart w:id="280" w:name="_Toc15485"/>
      <w:bookmarkStart w:id="281" w:name="_Toc17059"/>
      <w:bookmarkStart w:id="282" w:name="_Toc8362"/>
      <w:r>
        <w:rPr>
          <w:rFonts w:hint="eastAsia" w:eastAsia="宋体"/>
          <w:color w:val="000000" w:themeColor="text1"/>
          <w:sz w:val="24"/>
          <w:szCs w:val="24"/>
          <w14:textFill>
            <w14:solidFill>
              <w14:schemeClr w14:val="tx1"/>
            </w14:solidFill>
          </w14:textFill>
        </w:rPr>
        <w:t>6.1短期整改内容及实施计划</w:t>
      </w:r>
      <w:bookmarkEnd w:id="278"/>
      <w:bookmarkEnd w:id="279"/>
      <w:bookmarkEnd w:id="280"/>
      <w:bookmarkEnd w:id="281"/>
      <w:bookmarkEnd w:id="282"/>
    </w:p>
    <w:p w14:paraId="5F26080F">
      <w:pPr>
        <w:adjustRightInd w:val="0"/>
        <w:snapToGrid w:val="0"/>
        <w:spacing w:line="500" w:lineRule="exact"/>
        <w:ind w:firstLine="480" w:firstLineChars="200"/>
        <w:jc w:val="left"/>
        <w:rPr>
          <w:rFonts w:eastAsia="宋体"/>
        </w:rPr>
      </w:pPr>
      <w:r>
        <w:rPr>
          <w:rFonts w:eastAsia="宋体"/>
        </w:rPr>
        <w:t>公司列入短期整改内容及实施计划见表6-1。</w:t>
      </w:r>
    </w:p>
    <w:p w14:paraId="3747A78A">
      <w:pPr>
        <w:adjustRightInd w:val="0"/>
        <w:snapToGrid w:val="0"/>
        <w:spacing w:line="500" w:lineRule="exact"/>
        <w:ind w:firstLine="482" w:firstLineChars="200"/>
        <w:jc w:val="center"/>
        <w:rPr>
          <w:rFonts w:eastAsia="宋体"/>
        </w:rPr>
      </w:pPr>
      <w:r>
        <w:rPr>
          <w:rFonts w:eastAsia="宋体"/>
          <w:b/>
          <w:bCs/>
        </w:rPr>
        <w:t>表6-1短期整改内容及实施计划</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569"/>
        <w:gridCol w:w="2910"/>
        <w:gridCol w:w="3350"/>
        <w:gridCol w:w="1424"/>
        <w:gridCol w:w="803"/>
      </w:tblGrid>
      <w:tr w14:paraId="3298C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314" w:type="pct"/>
            <w:tcBorders>
              <w:tl2br w:val="nil"/>
              <w:tr2bl w:val="nil"/>
            </w:tcBorders>
            <w:vAlign w:val="center"/>
          </w:tcPr>
          <w:p w14:paraId="476E3CC3">
            <w:pPr>
              <w:adjustRightInd w:val="0"/>
              <w:snapToGrid w:val="0"/>
              <w:jc w:val="center"/>
              <w:rPr>
                <w:rFonts w:eastAsia="宋体"/>
                <w:sz w:val="21"/>
                <w:szCs w:val="21"/>
              </w:rPr>
            </w:pPr>
            <w:r>
              <w:rPr>
                <w:rFonts w:eastAsia="宋体"/>
                <w:sz w:val="21"/>
                <w:szCs w:val="21"/>
              </w:rPr>
              <w:t>序号</w:t>
            </w:r>
          </w:p>
        </w:tc>
        <w:tc>
          <w:tcPr>
            <w:tcW w:w="1606" w:type="pct"/>
            <w:tcBorders>
              <w:tl2br w:val="nil"/>
              <w:tr2bl w:val="nil"/>
            </w:tcBorders>
            <w:vAlign w:val="center"/>
          </w:tcPr>
          <w:p w14:paraId="1B6F1CAD">
            <w:pPr>
              <w:adjustRightInd w:val="0"/>
              <w:snapToGrid w:val="0"/>
              <w:jc w:val="center"/>
              <w:rPr>
                <w:rFonts w:eastAsia="宋体"/>
                <w:sz w:val="21"/>
                <w:szCs w:val="21"/>
              </w:rPr>
            </w:pPr>
            <w:r>
              <w:rPr>
                <w:rFonts w:eastAsia="宋体"/>
                <w:sz w:val="21"/>
                <w:szCs w:val="21"/>
              </w:rPr>
              <w:t>问题</w:t>
            </w:r>
          </w:p>
        </w:tc>
        <w:tc>
          <w:tcPr>
            <w:tcW w:w="1849" w:type="pct"/>
            <w:tcBorders>
              <w:tl2br w:val="nil"/>
              <w:tr2bl w:val="nil"/>
            </w:tcBorders>
            <w:vAlign w:val="center"/>
          </w:tcPr>
          <w:p w14:paraId="484B6A11">
            <w:pPr>
              <w:adjustRightInd w:val="0"/>
              <w:snapToGrid w:val="0"/>
              <w:jc w:val="center"/>
              <w:rPr>
                <w:rFonts w:eastAsia="宋体"/>
                <w:sz w:val="21"/>
                <w:szCs w:val="21"/>
              </w:rPr>
            </w:pPr>
            <w:r>
              <w:rPr>
                <w:rFonts w:eastAsia="宋体"/>
                <w:sz w:val="21"/>
                <w:szCs w:val="21"/>
              </w:rPr>
              <w:t>整改方案</w:t>
            </w:r>
          </w:p>
        </w:tc>
        <w:tc>
          <w:tcPr>
            <w:tcW w:w="786" w:type="pct"/>
            <w:tcBorders>
              <w:tl2br w:val="nil"/>
              <w:tr2bl w:val="nil"/>
            </w:tcBorders>
            <w:vAlign w:val="center"/>
          </w:tcPr>
          <w:p w14:paraId="021E8C6C">
            <w:pPr>
              <w:adjustRightInd w:val="0"/>
              <w:snapToGrid w:val="0"/>
              <w:jc w:val="center"/>
              <w:rPr>
                <w:rFonts w:eastAsia="宋体"/>
                <w:sz w:val="21"/>
                <w:szCs w:val="21"/>
              </w:rPr>
            </w:pPr>
            <w:r>
              <w:rPr>
                <w:rFonts w:eastAsia="宋体"/>
                <w:sz w:val="21"/>
                <w:szCs w:val="21"/>
              </w:rPr>
              <w:t>完成时间</w:t>
            </w:r>
          </w:p>
        </w:tc>
        <w:tc>
          <w:tcPr>
            <w:tcW w:w="443" w:type="pct"/>
            <w:tcBorders>
              <w:tl2br w:val="nil"/>
              <w:tr2bl w:val="nil"/>
            </w:tcBorders>
            <w:vAlign w:val="center"/>
          </w:tcPr>
          <w:p w14:paraId="6576912E">
            <w:pPr>
              <w:adjustRightInd w:val="0"/>
              <w:snapToGrid w:val="0"/>
              <w:jc w:val="center"/>
              <w:rPr>
                <w:rFonts w:eastAsia="宋体"/>
                <w:sz w:val="21"/>
                <w:szCs w:val="21"/>
              </w:rPr>
            </w:pPr>
            <w:r>
              <w:rPr>
                <w:rFonts w:eastAsia="宋体"/>
                <w:sz w:val="21"/>
                <w:szCs w:val="21"/>
              </w:rPr>
              <w:t>责任人</w:t>
            </w:r>
          </w:p>
        </w:tc>
      </w:tr>
      <w:tr w14:paraId="0541A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069584BB">
            <w:pPr>
              <w:adjustRightInd w:val="0"/>
              <w:snapToGrid w:val="0"/>
              <w:jc w:val="center"/>
              <w:rPr>
                <w:rFonts w:eastAsia="宋体"/>
                <w:sz w:val="21"/>
                <w:szCs w:val="21"/>
              </w:rPr>
            </w:pPr>
            <w:bookmarkStart w:id="283" w:name="_Toc402776224"/>
            <w:bookmarkStart w:id="284" w:name="_Toc510092970"/>
            <w:bookmarkStart w:id="285" w:name="_Toc24534"/>
            <w:r>
              <w:rPr>
                <w:rFonts w:hint="eastAsia" w:eastAsia="宋体"/>
                <w:sz w:val="21"/>
                <w:szCs w:val="21"/>
              </w:rPr>
              <w:t>1</w:t>
            </w:r>
          </w:p>
        </w:tc>
        <w:tc>
          <w:tcPr>
            <w:tcW w:w="1606" w:type="pct"/>
            <w:tcBorders>
              <w:tl2br w:val="nil"/>
              <w:tr2bl w:val="nil"/>
            </w:tcBorders>
            <w:vAlign w:val="center"/>
          </w:tcPr>
          <w:p w14:paraId="5083CBC7">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未制定隐患排查年度计划</w:t>
            </w:r>
          </w:p>
        </w:tc>
        <w:tc>
          <w:tcPr>
            <w:tcW w:w="1849" w:type="pct"/>
            <w:tcBorders>
              <w:tl2br w:val="nil"/>
              <w:tr2bl w:val="nil"/>
            </w:tcBorders>
            <w:vAlign w:val="center"/>
          </w:tcPr>
          <w:p w14:paraId="07C61AF1">
            <w:pPr>
              <w:adjustRightInd w:val="0"/>
              <w:snapToGrid w:val="0"/>
              <w:jc w:val="center"/>
              <w:rPr>
                <w:rFonts w:eastAsia="宋体"/>
                <w:sz w:val="21"/>
                <w:szCs w:val="21"/>
              </w:rPr>
            </w:pPr>
            <w:r>
              <w:rPr>
                <w:rFonts w:hint="eastAsia" w:eastAsia="宋体"/>
                <w:sz w:val="21"/>
                <w:szCs w:val="21"/>
                <w:lang w:val="en-US" w:eastAsia="zh-CN"/>
              </w:rPr>
              <w:t>制定隐患排查年度计划</w:t>
            </w:r>
          </w:p>
        </w:tc>
        <w:tc>
          <w:tcPr>
            <w:tcW w:w="786" w:type="pct"/>
            <w:tcBorders>
              <w:tl2br w:val="nil"/>
              <w:tr2bl w:val="nil"/>
            </w:tcBorders>
            <w:vAlign w:val="center"/>
          </w:tcPr>
          <w:p w14:paraId="077931C3">
            <w:pPr>
              <w:adjustRightInd w:val="0"/>
              <w:snapToGrid w:val="0"/>
              <w:jc w:val="center"/>
              <w:rPr>
                <w:rFonts w:eastAsia="宋体"/>
                <w:sz w:val="21"/>
                <w:szCs w:val="21"/>
              </w:rPr>
            </w:pPr>
            <w:r>
              <w:rPr>
                <w:rFonts w:hint="eastAsia" w:eastAsia="宋体"/>
                <w:sz w:val="21"/>
                <w:szCs w:val="21"/>
                <w:lang w:eastAsia="zh-CN"/>
              </w:rPr>
              <w:t>2025</w:t>
            </w:r>
            <w:r>
              <w:rPr>
                <w:rFonts w:hint="eastAsia" w:eastAsia="宋体"/>
                <w:sz w:val="21"/>
                <w:szCs w:val="21"/>
              </w:rPr>
              <w:t>年</w:t>
            </w:r>
            <w:r>
              <w:rPr>
                <w:rFonts w:hint="eastAsia" w:eastAsia="宋体"/>
                <w:sz w:val="21"/>
                <w:szCs w:val="21"/>
                <w:lang w:val="en-US" w:eastAsia="zh-CN"/>
              </w:rPr>
              <w:t>5</w:t>
            </w:r>
            <w:r>
              <w:rPr>
                <w:rFonts w:hint="eastAsia" w:eastAsia="宋体"/>
                <w:sz w:val="21"/>
                <w:szCs w:val="21"/>
              </w:rPr>
              <w:t>月</w:t>
            </w:r>
          </w:p>
        </w:tc>
        <w:tc>
          <w:tcPr>
            <w:tcW w:w="443" w:type="pct"/>
            <w:tcBorders>
              <w:tl2br w:val="nil"/>
              <w:tr2bl w:val="nil"/>
            </w:tcBorders>
            <w:vAlign w:val="center"/>
          </w:tcPr>
          <w:p w14:paraId="2CF7A3C1">
            <w:pPr>
              <w:adjustRightInd w:val="0"/>
              <w:snapToGrid w:val="0"/>
              <w:jc w:val="center"/>
              <w:rPr>
                <w:rFonts w:hint="eastAsia" w:eastAsia="宋体"/>
                <w:sz w:val="21"/>
                <w:szCs w:val="21"/>
                <w:lang w:eastAsia="zh-CN"/>
              </w:rPr>
            </w:pPr>
            <w:r>
              <w:rPr>
                <w:rFonts w:hint="eastAsia" w:eastAsia="宋体"/>
                <w:color w:val="000000"/>
                <w:sz w:val="21"/>
                <w:szCs w:val="21"/>
                <w:lang w:eastAsia="zh-CN"/>
              </w:rPr>
              <w:t>尹义华</w:t>
            </w:r>
          </w:p>
        </w:tc>
      </w:tr>
      <w:tr w14:paraId="1B9D6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2BF8CC5E">
            <w:pPr>
              <w:adjustRightInd w:val="0"/>
              <w:snapToGrid w:val="0"/>
              <w:jc w:val="center"/>
              <w:rPr>
                <w:rFonts w:hint="eastAsia" w:eastAsia="宋体"/>
                <w:sz w:val="21"/>
                <w:szCs w:val="21"/>
                <w:lang w:val="en-US" w:eastAsia="zh-CN"/>
              </w:rPr>
            </w:pPr>
            <w:r>
              <w:rPr>
                <w:rFonts w:hint="eastAsia" w:eastAsia="宋体"/>
                <w:sz w:val="21"/>
                <w:szCs w:val="21"/>
                <w:lang w:val="en-US" w:eastAsia="zh-CN"/>
              </w:rPr>
              <w:t>2</w:t>
            </w:r>
          </w:p>
        </w:tc>
        <w:tc>
          <w:tcPr>
            <w:tcW w:w="1606" w:type="pct"/>
            <w:tcBorders>
              <w:tl2br w:val="nil"/>
              <w:tr2bl w:val="nil"/>
            </w:tcBorders>
            <w:vAlign w:val="center"/>
          </w:tcPr>
          <w:p w14:paraId="2B87E07A">
            <w:pPr>
              <w:tabs>
                <w:tab w:val="left" w:pos="432"/>
              </w:tabs>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环保设施未进行安全风险评价</w:t>
            </w:r>
          </w:p>
        </w:tc>
        <w:tc>
          <w:tcPr>
            <w:tcW w:w="1849" w:type="pct"/>
            <w:tcBorders>
              <w:tl2br w:val="nil"/>
              <w:tr2bl w:val="nil"/>
            </w:tcBorders>
            <w:vAlign w:val="center"/>
          </w:tcPr>
          <w:p w14:paraId="71A54A50">
            <w:pPr>
              <w:adjustRightInd w:val="0"/>
              <w:snapToGrid w:val="0"/>
              <w:jc w:val="center"/>
              <w:rPr>
                <w:rFonts w:hint="eastAsia" w:eastAsia="宋体"/>
                <w:sz w:val="21"/>
                <w:szCs w:val="21"/>
              </w:rPr>
            </w:pPr>
            <w:r>
              <w:rPr>
                <w:rFonts w:hint="eastAsia" w:eastAsia="宋体"/>
                <w:sz w:val="21"/>
                <w:szCs w:val="21"/>
                <w:lang w:val="en-US" w:eastAsia="zh-CN"/>
              </w:rPr>
              <w:t>环保设施进行安全风险评价</w:t>
            </w:r>
          </w:p>
        </w:tc>
        <w:tc>
          <w:tcPr>
            <w:tcW w:w="786" w:type="pct"/>
            <w:tcBorders>
              <w:tl2br w:val="nil"/>
              <w:tr2bl w:val="nil"/>
            </w:tcBorders>
            <w:vAlign w:val="center"/>
          </w:tcPr>
          <w:p w14:paraId="207C582E">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eastAsia="zh-CN"/>
              </w:rPr>
              <w:t>2025</w:t>
            </w:r>
            <w:r>
              <w:rPr>
                <w:rFonts w:hint="eastAsia" w:eastAsia="宋体"/>
                <w:sz w:val="21"/>
                <w:szCs w:val="21"/>
              </w:rPr>
              <w:t>年</w:t>
            </w:r>
            <w:r>
              <w:rPr>
                <w:rFonts w:hint="eastAsia" w:eastAsia="宋体"/>
                <w:sz w:val="21"/>
                <w:szCs w:val="21"/>
                <w:lang w:val="en-US" w:eastAsia="zh-CN"/>
              </w:rPr>
              <w:t>5</w:t>
            </w:r>
            <w:r>
              <w:rPr>
                <w:rFonts w:hint="eastAsia" w:eastAsia="宋体"/>
                <w:sz w:val="21"/>
                <w:szCs w:val="21"/>
              </w:rPr>
              <w:t>月</w:t>
            </w:r>
          </w:p>
        </w:tc>
        <w:tc>
          <w:tcPr>
            <w:tcW w:w="443" w:type="pct"/>
            <w:tcBorders>
              <w:tl2br w:val="nil"/>
              <w:tr2bl w:val="nil"/>
            </w:tcBorders>
            <w:vAlign w:val="center"/>
          </w:tcPr>
          <w:p w14:paraId="76454F9F">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color w:val="000000"/>
                <w:sz w:val="21"/>
                <w:szCs w:val="21"/>
                <w:lang w:eastAsia="zh-CN"/>
              </w:rPr>
              <w:t>尹义华</w:t>
            </w:r>
          </w:p>
        </w:tc>
      </w:tr>
      <w:tr w14:paraId="3648C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5C5F5B6E">
            <w:pPr>
              <w:adjustRightInd w:val="0"/>
              <w:snapToGrid w:val="0"/>
              <w:jc w:val="center"/>
              <w:rPr>
                <w:rFonts w:hint="eastAsia" w:eastAsia="宋体"/>
                <w:sz w:val="21"/>
                <w:szCs w:val="21"/>
                <w:lang w:eastAsia="zh-CN"/>
              </w:rPr>
            </w:pPr>
            <w:r>
              <w:rPr>
                <w:rFonts w:hint="eastAsia" w:eastAsia="宋体"/>
                <w:sz w:val="21"/>
                <w:szCs w:val="21"/>
                <w:lang w:val="en-US" w:eastAsia="zh-CN"/>
              </w:rPr>
              <w:t>3</w:t>
            </w:r>
          </w:p>
        </w:tc>
        <w:tc>
          <w:tcPr>
            <w:tcW w:w="1606" w:type="pct"/>
            <w:tcBorders>
              <w:tl2br w:val="nil"/>
              <w:tr2bl w:val="nil"/>
            </w:tcBorders>
            <w:vAlign w:val="center"/>
          </w:tcPr>
          <w:p w14:paraId="69C4D96C">
            <w:pPr>
              <w:tabs>
                <w:tab w:val="left" w:pos="432"/>
              </w:tabs>
              <w:adjustRightInd w:val="0"/>
              <w:snapToGrid w:val="0"/>
              <w:jc w:val="center"/>
              <w:rPr>
                <w:rFonts w:eastAsia="宋体"/>
                <w:sz w:val="21"/>
                <w:szCs w:val="21"/>
              </w:rPr>
            </w:pPr>
            <w:r>
              <w:rPr>
                <w:rFonts w:eastAsia="宋体"/>
                <w:sz w:val="21"/>
                <w:szCs w:val="21"/>
              </w:rPr>
              <w:t>风险单元巡查定岗定责，并确定监督检查机制</w:t>
            </w:r>
          </w:p>
        </w:tc>
        <w:tc>
          <w:tcPr>
            <w:tcW w:w="1849" w:type="pct"/>
            <w:tcBorders>
              <w:tl2br w:val="nil"/>
              <w:tr2bl w:val="nil"/>
            </w:tcBorders>
            <w:vAlign w:val="center"/>
          </w:tcPr>
          <w:p w14:paraId="28FEB491">
            <w:pPr>
              <w:adjustRightInd w:val="0"/>
              <w:snapToGrid w:val="0"/>
              <w:jc w:val="center"/>
              <w:rPr>
                <w:rFonts w:eastAsia="宋体"/>
                <w:sz w:val="21"/>
                <w:szCs w:val="21"/>
              </w:rPr>
            </w:pPr>
            <w:r>
              <w:rPr>
                <w:rFonts w:eastAsia="宋体"/>
                <w:sz w:val="21"/>
                <w:szCs w:val="21"/>
              </w:rPr>
              <w:t>编制监督检查制度并落实至责任人</w:t>
            </w:r>
          </w:p>
        </w:tc>
        <w:tc>
          <w:tcPr>
            <w:tcW w:w="786" w:type="pct"/>
            <w:tcBorders>
              <w:tl2br w:val="nil"/>
              <w:tr2bl w:val="nil"/>
            </w:tcBorders>
            <w:vAlign w:val="center"/>
          </w:tcPr>
          <w:p w14:paraId="7884468F">
            <w:pPr>
              <w:adjustRightInd w:val="0"/>
              <w:snapToGrid w:val="0"/>
              <w:jc w:val="center"/>
              <w:rPr>
                <w:rFonts w:eastAsia="宋体"/>
                <w:sz w:val="21"/>
                <w:szCs w:val="21"/>
              </w:rPr>
            </w:pPr>
            <w:r>
              <w:rPr>
                <w:rFonts w:hint="eastAsia" w:eastAsia="宋体"/>
                <w:sz w:val="21"/>
                <w:szCs w:val="21"/>
                <w:lang w:eastAsia="zh-CN"/>
              </w:rPr>
              <w:t>2025</w:t>
            </w:r>
            <w:r>
              <w:rPr>
                <w:rFonts w:hint="eastAsia" w:eastAsia="宋体"/>
                <w:sz w:val="21"/>
                <w:szCs w:val="21"/>
              </w:rPr>
              <w:t>年</w:t>
            </w:r>
            <w:r>
              <w:rPr>
                <w:rFonts w:hint="eastAsia" w:eastAsia="宋体"/>
                <w:sz w:val="21"/>
                <w:szCs w:val="21"/>
                <w:lang w:val="en-US" w:eastAsia="zh-CN"/>
              </w:rPr>
              <w:t>5</w:t>
            </w:r>
            <w:r>
              <w:rPr>
                <w:rFonts w:hint="eastAsia" w:eastAsia="宋体"/>
                <w:sz w:val="21"/>
                <w:szCs w:val="21"/>
              </w:rPr>
              <w:t>月</w:t>
            </w:r>
          </w:p>
        </w:tc>
        <w:tc>
          <w:tcPr>
            <w:tcW w:w="443" w:type="pct"/>
            <w:tcBorders>
              <w:tl2br w:val="nil"/>
              <w:tr2bl w:val="nil"/>
            </w:tcBorders>
            <w:vAlign w:val="center"/>
          </w:tcPr>
          <w:p w14:paraId="252DC6B8">
            <w:pPr>
              <w:adjustRightInd w:val="0"/>
              <w:snapToGrid w:val="0"/>
              <w:jc w:val="center"/>
              <w:rPr>
                <w:rFonts w:hint="eastAsia" w:eastAsia="宋体"/>
                <w:sz w:val="21"/>
                <w:szCs w:val="21"/>
                <w:lang w:eastAsia="zh-CN"/>
              </w:rPr>
            </w:pPr>
            <w:r>
              <w:rPr>
                <w:rFonts w:hint="eastAsia" w:eastAsia="宋体"/>
                <w:color w:val="000000"/>
                <w:sz w:val="21"/>
                <w:szCs w:val="21"/>
                <w:lang w:eastAsia="zh-CN"/>
              </w:rPr>
              <w:t>尹义华</w:t>
            </w:r>
          </w:p>
        </w:tc>
      </w:tr>
      <w:tr w14:paraId="5AF4E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08B285BC">
            <w:pPr>
              <w:adjustRightInd w:val="0"/>
              <w:snapToGrid w:val="0"/>
              <w:jc w:val="center"/>
              <w:rPr>
                <w:rFonts w:hint="default" w:eastAsia="宋体"/>
                <w:sz w:val="21"/>
                <w:szCs w:val="21"/>
                <w:lang w:val="en-US" w:eastAsia="zh-CN"/>
              </w:rPr>
            </w:pPr>
            <w:bookmarkStart w:id="286" w:name="_Toc25535"/>
            <w:bookmarkStart w:id="287" w:name="_Toc1274"/>
            <w:bookmarkStart w:id="288" w:name="_Toc28359"/>
            <w:r>
              <w:rPr>
                <w:rFonts w:hint="eastAsia" w:eastAsia="宋体"/>
                <w:sz w:val="21"/>
                <w:szCs w:val="21"/>
                <w:lang w:val="en-US" w:eastAsia="zh-CN"/>
              </w:rPr>
              <w:t>4</w:t>
            </w:r>
          </w:p>
        </w:tc>
        <w:tc>
          <w:tcPr>
            <w:tcW w:w="1606" w:type="pct"/>
            <w:tcBorders>
              <w:tl2br w:val="nil"/>
              <w:tr2bl w:val="nil"/>
            </w:tcBorders>
            <w:vAlign w:val="center"/>
          </w:tcPr>
          <w:p w14:paraId="720EC919">
            <w:pPr>
              <w:tabs>
                <w:tab w:val="left" w:pos="432"/>
              </w:tabs>
              <w:adjustRightInd w:val="0"/>
              <w:snapToGrid w:val="0"/>
              <w:jc w:val="center"/>
              <w:rPr>
                <w:rFonts w:hint="default" w:eastAsia="宋体"/>
                <w:sz w:val="21"/>
                <w:szCs w:val="21"/>
                <w:lang w:val="en-US"/>
              </w:rPr>
            </w:pPr>
            <w:r>
              <w:rPr>
                <w:rFonts w:hint="eastAsia" w:eastAsia="宋体"/>
                <w:sz w:val="21"/>
                <w:szCs w:val="21"/>
                <w:lang w:val="en-US" w:eastAsia="zh-CN"/>
              </w:rPr>
              <w:t>雨水阀门和应急池阀门未建立</w:t>
            </w:r>
          </w:p>
        </w:tc>
        <w:tc>
          <w:tcPr>
            <w:tcW w:w="1849" w:type="pct"/>
            <w:tcBorders>
              <w:tl2br w:val="nil"/>
              <w:tr2bl w:val="nil"/>
            </w:tcBorders>
            <w:vAlign w:val="center"/>
          </w:tcPr>
          <w:p w14:paraId="498CAD97">
            <w:pPr>
              <w:adjustRightInd w:val="0"/>
              <w:snapToGrid w:val="0"/>
              <w:jc w:val="center"/>
              <w:rPr>
                <w:rFonts w:hint="default" w:eastAsia="宋体"/>
                <w:sz w:val="21"/>
                <w:szCs w:val="21"/>
                <w:lang w:val="en-US" w:eastAsia="zh-CN"/>
              </w:rPr>
            </w:pPr>
            <w:r>
              <w:rPr>
                <w:rFonts w:hint="eastAsia" w:eastAsia="宋体"/>
                <w:sz w:val="21"/>
                <w:szCs w:val="21"/>
                <w:lang w:val="en-US" w:eastAsia="zh-CN"/>
              </w:rPr>
              <w:t>设立雨水阀门、应急池阀门</w:t>
            </w:r>
          </w:p>
        </w:tc>
        <w:tc>
          <w:tcPr>
            <w:tcW w:w="786" w:type="pct"/>
            <w:tcBorders>
              <w:tl2br w:val="nil"/>
              <w:tr2bl w:val="nil"/>
            </w:tcBorders>
            <w:vAlign w:val="center"/>
          </w:tcPr>
          <w:p w14:paraId="28051146">
            <w:pPr>
              <w:adjustRightInd w:val="0"/>
              <w:snapToGrid w:val="0"/>
              <w:jc w:val="center"/>
              <w:rPr>
                <w:rFonts w:hint="default" w:eastAsia="宋体"/>
                <w:sz w:val="21"/>
                <w:szCs w:val="21"/>
                <w:lang w:val="en-US" w:eastAsia="zh-CN"/>
              </w:rPr>
            </w:pPr>
            <w:r>
              <w:rPr>
                <w:rFonts w:hint="eastAsia" w:eastAsia="宋体"/>
                <w:sz w:val="21"/>
                <w:szCs w:val="21"/>
                <w:lang w:val="en-US" w:eastAsia="zh-CN"/>
              </w:rPr>
              <w:t>2025年5月</w:t>
            </w:r>
          </w:p>
        </w:tc>
        <w:tc>
          <w:tcPr>
            <w:tcW w:w="443" w:type="pct"/>
            <w:tcBorders>
              <w:tl2br w:val="nil"/>
              <w:tr2bl w:val="nil"/>
            </w:tcBorders>
            <w:vAlign w:val="center"/>
          </w:tcPr>
          <w:p w14:paraId="1470C3DE">
            <w:pPr>
              <w:adjustRightInd w:val="0"/>
              <w:snapToGrid w:val="0"/>
              <w:jc w:val="center"/>
              <w:rPr>
                <w:rFonts w:hint="eastAsia" w:eastAsia="宋体"/>
                <w:color w:val="000000"/>
                <w:sz w:val="21"/>
                <w:szCs w:val="21"/>
                <w:lang w:eastAsia="zh-CN"/>
              </w:rPr>
            </w:pPr>
            <w:r>
              <w:rPr>
                <w:rFonts w:hint="eastAsia" w:eastAsia="宋体"/>
                <w:color w:val="000000"/>
                <w:sz w:val="21"/>
                <w:szCs w:val="21"/>
                <w:lang w:eastAsia="zh-CN"/>
              </w:rPr>
              <w:t>尹义华</w:t>
            </w:r>
          </w:p>
        </w:tc>
      </w:tr>
    </w:tbl>
    <w:p w14:paraId="2CFEDF88">
      <w:pPr>
        <w:pStyle w:val="3"/>
        <w:adjustRightInd w:val="0"/>
        <w:snapToGrid w:val="0"/>
        <w:spacing w:line="500" w:lineRule="exact"/>
        <w:jc w:val="lef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6.2中、长期整改内容及实施计划</w:t>
      </w:r>
      <w:bookmarkEnd w:id="283"/>
      <w:bookmarkEnd w:id="284"/>
      <w:bookmarkEnd w:id="285"/>
      <w:bookmarkEnd w:id="286"/>
      <w:bookmarkEnd w:id="287"/>
      <w:bookmarkEnd w:id="288"/>
    </w:p>
    <w:p w14:paraId="6955A7BE">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公司列入中、长期整改内容及实施计划见表6-2。</w:t>
      </w:r>
    </w:p>
    <w:p w14:paraId="37930B5E">
      <w:pPr>
        <w:adjustRightInd w:val="0"/>
        <w:snapToGrid w:val="0"/>
        <w:spacing w:line="500" w:lineRule="exact"/>
        <w:jc w:val="center"/>
        <w:rPr>
          <w:rFonts w:eastAsia="宋体"/>
          <w:b/>
          <w:bCs/>
        </w:rPr>
      </w:pPr>
      <w:r>
        <w:rPr>
          <w:rFonts w:eastAsia="宋体"/>
          <w:b/>
          <w:bCs/>
        </w:rPr>
        <w:t>表6-2中、长期整改内容及实施计划</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756"/>
        <w:gridCol w:w="2479"/>
        <w:gridCol w:w="3247"/>
        <w:gridCol w:w="1540"/>
        <w:gridCol w:w="1034"/>
      </w:tblGrid>
      <w:tr w14:paraId="5393E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417" w:type="pct"/>
            <w:tcBorders>
              <w:tl2br w:val="nil"/>
              <w:tr2bl w:val="nil"/>
            </w:tcBorders>
            <w:vAlign w:val="center"/>
          </w:tcPr>
          <w:p w14:paraId="4868BFE9">
            <w:pPr>
              <w:adjustRightInd w:val="0"/>
              <w:snapToGrid w:val="0"/>
              <w:jc w:val="center"/>
              <w:rPr>
                <w:rFonts w:eastAsia="宋体"/>
                <w:sz w:val="21"/>
                <w:szCs w:val="21"/>
              </w:rPr>
            </w:pPr>
            <w:r>
              <w:rPr>
                <w:rFonts w:eastAsia="宋体"/>
                <w:sz w:val="21"/>
                <w:szCs w:val="21"/>
              </w:rPr>
              <w:t>序号</w:t>
            </w:r>
          </w:p>
        </w:tc>
        <w:tc>
          <w:tcPr>
            <w:tcW w:w="1368" w:type="pct"/>
            <w:tcBorders>
              <w:tl2br w:val="nil"/>
              <w:tr2bl w:val="nil"/>
            </w:tcBorders>
            <w:vAlign w:val="center"/>
          </w:tcPr>
          <w:p w14:paraId="145D86BD">
            <w:pPr>
              <w:adjustRightInd w:val="0"/>
              <w:snapToGrid w:val="0"/>
              <w:jc w:val="center"/>
              <w:rPr>
                <w:rFonts w:eastAsia="宋体"/>
                <w:sz w:val="21"/>
                <w:szCs w:val="21"/>
              </w:rPr>
            </w:pPr>
            <w:r>
              <w:rPr>
                <w:rFonts w:eastAsia="宋体"/>
                <w:sz w:val="21"/>
                <w:szCs w:val="21"/>
              </w:rPr>
              <w:t>问题</w:t>
            </w:r>
          </w:p>
        </w:tc>
        <w:tc>
          <w:tcPr>
            <w:tcW w:w="1792" w:type="pct"/>
            <w:tcBorders>
              <w:tl2br w:val="nil"/>
              <w:tr2bl w:val="nil"/>
            </w:tcBorders>
            <w:vAlign w:val="center"/>
          </w:tcPr>
          <w:p w14:paraId="5D1507A3">
            <w:pPr>
              <w:adjustRightInd w:val="0"/>
              <w:snapToGrid w:val="0"/>
              <w:jc w:val="center"/>
              <w:rPr>
                <w:rFonts w:eastAsia="宋体"/>
                <w:sz w:val="21"/>
                <w:szCs w:val="21"/>
              </w:rPr>
            </w:pPr>
            <w:r>
              <w:rPr>
                <w:rFonts w:eastAsia="宋体"/>
                <w:sz w:val="21"/>
                <w:szCs w:val="21"/>
              </w:rPr>
              <w:t>整改方案</w:t>
            </w:r>
          </w:p>
        </w:tc>
        <w:tc>
          <w:tcPr>
            <w:tcW w:w="850" w:type="pct"/>
            <w:tcBorders>
              <w:tl2br w:val="nil"/>
              <w:tr2bl w:val="nil"/>
            </w:tcBorders>
            <w:vAlign w:val="center"/>
          </w:tcPr>
          <w:p w14:paraId="46419508">
            <w:pPr>
              <w:adjustRightInd w:val="0"/>
              <w:snapToGrid w:val="0"/>
              <w:jc w:val="center"/>
              <w:rPr>
                <w:rFonts w:eastAsia="宋体"/>
                <w:sz w:val="21"/>
                <w:szCs w:val="21"/>
              </w:rPr>
            </w:pPr>
            <w:r>
              <w:rPr>
                <w:rFonts w:eastAsia="宋体"/>
                <w:sz w:val="21"/>
                <w:szCs w:val="21"/>
              </w:rPr>
              <w:t>完成时间</w:t>
            </w:r>
          </w:p>
        </w:tc>
        <w:tc>
          <w:tcPr>
            <w:tcW w:w="570" w:type="pct"/>
            <w:tcBorders>
              <w:tl2br w:val="nil"/>
              <w:tr2bl w:val="nil"/>
            </w:tcBorders>
            <w:vAlign w:val="center"/>
          </w:tcPr>
          <w:p w14:paraId="12A0F886">
            <w:pPr>
              <w:adjustRightInd w:val="0"/>
              <w:snapToGrid w:val="0"/>
              <w:jc w:val="center"/>
              <w:rPr>
                <w:rFonts w:eastAsia="宋体"/>
                <w:sz w:val="21"/>
                <w:szCs w:val="21"/>
              </w:rPr>
            </w:pPr>
            <w:r>
              <w:rPr>
                <w:rFonts w:eastAsia="宋体"/>
                <w:sz w:val="21"/>
                <w:szCs w:val="21"/>
              </w:rPr>
              <w:t>责任人</w:t>
            </w:r>
          </w:p>
        </w:tc>
      </w:tr>
      <w:tr w14:paraId="232EA8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17" w:type="pct"/>
            <w:tcBorders>
              <w:tl2br w:val="nil"/>
              <w:tr2bl w:val="nil"/>
            </w:tcBorders>
            <w:vAlign w:val="center"/>
          </w:tcPr>
          <w:p w14:paraId="1DF1DC5F">
            <w:pPr>
              <w:adjustRightInd w:val="0"/>
              <w:snapToGrid w:val="0"/>
              <w:jc w:val="center"/>
              <w:rPr>
                <w:rFonts w:eastAsia="宋体"/>
                <w:sz w:val="21"/>
                <w:szCs w:val="21"/>
              </w:rPr>
            </w:pPr>
            <w:r>
              <w:rPr>
                <w:rFonts w:hint="eastAsia" w:eastAsia="宋体"/>
                <w:sz w:val="21"/>
                <w:szCs w:val="21"/>
              </w:rPr>
              <w:t>1</w:t>
            </w:r>
          </w:p>
        </w:tc>
        <w:tc>
          <w:tcPr>
            <w:tcW w:w="1368" w:type="pct"/>
            <w:tcBorders>
              <w:tl2br w:val="nil"/>
              <w:tr2bl w:val="nil"/>
            </w:tcBorders>
            <w:vAlign w:val="center"/>
          </w:tcPr>
          <w:p w14:paraId="2B6A5B4C">
            <w:pPr>
              <w:tabs>
                <w:tab w:val="left" w:pos="432"/>
              </w:tabs>
              <w:adjustRightInd w:val="0"/>
              <w:snapToGrid w:val="0"/>
              <w:jc w:val="center"/>
              <w:rPr>
                <w:rFonts w:eastAsia="宋体"/>
                <w:sz w:val="21"/>
                <w:szCs w:val="21"/>
              </w:rPr>
            </w:pPr>
            <w:r>
              <w:rPr>
                <w:rFonts w:eastAsia="宋体"/>
                <w:sz w:val="21"/>
                <w:szCs w:val="21"/>
              </w:rPr>
              <w:t>公司未开展应急法律法规的宣传工作，也未对职工进行环境风险和环境应急管理方面“一案三制”的培训</w:t>
            </w:r>
          </w:p>
        </w:tc>
        <w:tc>
          <w:tcPr>
            <w:tcW w:w="1792" w:type="pct"/>
            <w:tcBorders>
              <w:tl2br w:val="nil"/>
              <w:tr2bl w:val="nil"/>
            </w:tcBorders>
            <w:vAlign w:val="center"/>
          </w:tcPr>
          <w:p w14:paraId="7E754E50">
            <w:pPr>
              <w:adjustRightInd w:val="0"/>
              <w:snapToGrid w:val="0"/>
              <w:jc w:val="center"/>
              <w:rPr>
                <w:rFonts w:eastAsia="宋体"/>
                <w:sz w:val="21"/>
                <w:szCs w:val="21"/>
              </w:rPr>
            </w:pPr>
            <w:r>
              <w:rPr>
                <w:rFonts w:eastAsia="宋体"/>
                <w:sz w:val="21"/>
                <w:szCs w:val="21"/>
              </w:rPr>
              <w:t>对员工加强应急预案宣传和培训并组织演练</w:t>
            </w:r>
          </w:p>
        </w:tc>
        <w:tc>
          <w:tcPr>
            <w:tcW w:w="850" w:type="pct"/>
            <w:tcBorders>
              <w:tl2br w:val="nil"/>
              <w:tr2bl w:val="nil"/>
            </w:tcBorders>
            <w:vAlign w:val="center"/>
          </w:tcPr>
          <w:p w14:paraId="6E6B30F6">
            <w:pPr>
              <w:adjustRightInd w:val="0"/>
              <w:snapToGrid w:val="0"/>
              <w:jc w:val="center"/>
              <w:rPr>
                <w:rFonts w:eastAsia="宋体"/>
                <w:sz w:val="21"/>
                <w:szCs w:val="21"/>
              </w:rPr>
            </w:pPr>
            <w:r>
              <w:rPr>
                <w:rFonts w:hint="eastAsia" w:eastAsia="宋体"/>
                <w:sz w:val="21"/>
                <w:szCs w:val="21"/>
                <w:lang w:eastAsia="zh-CN"/>
              </w:rPr>
              <w:t>2025</w:t>
            </w:r>
            <w:r>
              <w:rPr>
                <w:rFonts w:eastAsia="宋体"/>
                <w:sz w:val="21"/>
                <w:szCs w:val="21"/>
              </w:rPr>
              <w:t>年</w:t>
            </w:r>
            <w:r>
              <w:rPr>
                <w:rFonts w:hint="eastAsia" w:eastAsia="宋体"/>
                <w:sz w:val="21"/>
                <w:szCs w:val="21"/>
                <w:lang w:val="en-US" w:eastAsia="zh-CN"/>
              </w:rPr>
              <w:t>5</w:t>
            </w:r>
            <w:r>
              <w:rPr>
                <w:rFonts w:eastAsia="宋体"/>
                <w:sz w:val="21"/>
                <w:szCs w:val="21"/>
              </w:rPr>
              <w:t>月</w:t>
            </w:r>
          </w:p>
        </w:tc>
        <w:tc>
          <w:tcPr>
            <w:tcW w:w="570" w:type="pct"/>
            <w:tcBorders>
              <w:tl2br w:val="nil"/>
              <w:tr2bl w:val="nil"/>
            </w:tcBorders>
            <w:vAlign w:val="center"/>
          </w:tcPr>
          <w:p w14:paraId="4F487302">
            <w:pPr>
              <w:adjustRightInd w:val="0"/>
              <w:snapToGrid w:val="0"/>
              <w:jc w:val="center"/>
              <w:rPr>
                <w:rFonts w:hint="eastAsia" w:eastAsia="宋体"/>
                <w:sz w:val="21"/>
                <w:szCs w:val="21"/>
                <w:lang w:eastAsia="zh-CN"/>
              </w:rPr>
            </w:pPr>
            <w:r>
              <w:rPr>
                <w:rFonts w:hint="eastAsia" w:eastAsia="宋体"/>
                <w:color w:val="000000"/>
                <w:sz w:val="21"/>
                <w:szCs w:val="21"/>
                <w:lang w:eastAsia="zh-CN"/>
              </w:rPr>
              <w:t>尹义华</w:t>
            </w:r>
          </w:p>
        </w:tc>
      </w:tr>
      <w:tr w14:paraId="2EA02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17" w:type="pct"/>
            <w:tcBorders>
              <w:tl2br w:val="nil"/>
              <w:tr2bl w:val="nil"/>
            </w:tcBorders>
            <w:vAlign w:val="center"/>
          </w:tcPr>
          <w:p w14:paraId="4E7CBD0C">
            <w:pPr>
              <w:adjustRightInd w:val="0"/>
              <w:snapToGrid w:val="0"/>
              <w:jc w:val="center"/>
              <w:rPr>
                <w:rFonts w:eastAsia="宋体"/>
                <w:sz w:val="21"/>
                <w:szCs w:val="21"/>
              </w:rPr>
            </w:pPr>
            <w:r>
              <w:rPr>
                <w:rFonts w:hint="eastAsia" w:eastAsia="宋体"/>
                <w:sz w:val="21"/>
                <w:szCs w:val="21"/>
              </w:rPr>
              <w:t>2</w:t>
            </w:r>
          </w:p>
        </w:tc>
        <w:tc>
          <w:tcPr>
            <w:tcW w:w="1368" w:type="pct"/>
            <w:tcBorders>
              <w:tl2br w:val="nil"/>
              <w:tr2bl w:val="nil"/>
            </w:tcBorders>
            <w:vAlign w:val="center"/>
          </w:tcPr>
          <w:p w14:paraId="5F038A25">
            <w:pPr>
              <w:tabs>
                <w:tab w:val="left" w:pos="432"/>
              </w:tabs>
              <w:adjustRightInd w:val="0"/>
              <w:snapToGrid w:val="0"/>
              <w:jc w:val="center"/>
              <w:rPr>
                <w:rFonts w:eastAsia="宋体"/>
                <w:sz w:val="21"/>
                <w:szCs w:val="21"/>
              </w:rPr>
            </w:pPr>
            <w:r>
              <w:rPr>
                <w:rFonts w:eastAsia="宋体"/>
                <w:sz w:val="21"/>
                <w:szCs w:val="21"/>
              </w:rPr>
              <w:t>需要进行进一步的宣传工作，确保周边敏感目标对应急疏散的措施和手段有所了解</w:t>
            </w:r>
          </w:p>
        </w:tc>
        <w:tc>
          <w:tcPr>
            <w:tcW w:w="1792" w:type="pct"/>
            <w:tcBorders>
              <w:tl2br w:val="nil"/>
              <w:tr2bl w:val="nil"/>
            </w:tcBorders>
            <w:vAlign w:val="center"/>
          </w:tcPr>
          <w:p w14:paraId="5D48437A">
            <w:pPr>
              <w:adjustRightInd w:val="0"/>
              <w:snapToGrid w:val="0"/>
              <w:jc w:val="center"/>
              <w:rPr>
                <w:rFonts w:eastAsia="宋体"/>
                <w:sz w:val="21"/>
                <w:szCs w:val="21"/>
              </w:rPr>
            </w:pPr>
            <w:r>
              <w:rPr>
                <w:rFonts w:eastAsia="宋体"/>
                <w:sz w:val="21"/>
                <w:szCs w:val="21"/>
              </w:rPr>
              <w:t>加强宣传工作，可印制宣传手册分发至周边敏感目标</w:t>
            </w:r>
          </w:p>
        </w:tc>
        <w:tc>
          <w:tcPr>
            <w:tcW w:w="850" w:type="pct"/>
            <w:tcBorders>
              <w:tl2br w:val="nil"/>
              <w:tr2bl w:val="nil"/>
            </w:tcBorders>
            <w:vAlign w:val="center"/>
          </w:tcPr>
          <w:p w14:paraId="0FDC6977">
            <w:pPr>
              <w:adjustRightInd w:val="0"/>
              <w:snapToGrid w:val="0"/>
              <w:jc w:val="center"/>
              <w:rPr>
                <w:rFonts w:eastAsia="宋体"/>
                <w:sz w:val="21"/>
                <w:szCs w:val="21"/>
              </w:rPr>
            </w:pPr>
            <w:r>
              <w:rPr>
                <w:rFonts w:hint="eastAsia" w:eastAsia="宋体"/>
                <w:sz w:val="21"/>
                <w:szCs w:val="21"/>
                <w:lang w:eastAsia="zh-CN"/>
              </w:rPr>
              <w:t>2025</w:t>
            </w:r>
            <w:r>
              <w:rPr>
                <w:rFonts w:eastAsia="宋体"/>
                <w:sz w:val="21"/>
                <w:szCs w:val="21"/>
              </w:rPr>
              <w:t>年</w:t>
            </w:r>
            <w:r>
              <w:rPr>
                <w:rFonts w:hint="eastAsia" w:eastAsia="宋体"/>
                <w:sz w:val="21"/>
                <w:szCs w:val="21"/>
                <w:lang w:val="en-US" w:eastAsia="zh-CN"/>
              </w:rPr>
              <w:t>5</w:t>
            </w:r>
            <w:r>
              <w:rPr>
                <w:rFonts w:eastAsia="宋体"/>
                <w:sz w:val="21"/>
                <w:szCs w:val="21"/>
              </w:rPr>
              <w:t>月</w:t>
            </w:r>
          </w:p>
        </w:tc>
        <w:tc>
          <w:tcPr>
            <w:tcW w:w="570" w:type="pct"/>
            <w:tcBorders>
              <w:tl2br w:val="nil"/>
              <w:tr2bl w:val="nil"/>
            </w:tcBorders>
            <w:vAlign w:val="center"/>
          </w:tcPr>
          <w:p w14:paraId="0C91E49C">
            <w:pPr>
              <w:adjustRightInd w:val="0"/>
              <w:snapToGrid w:val="0"/>
              <w:jc w:val="center"/>
              <w:rPr>
                <w:rFonts w:hint="eastAsia" w:eastAsia="宋体"/>
                <w:sz w:val="21"/>
                <w:szCs w:val="21"/>
                <w:lang w:eastAsia="zh-CN"/>
              </w:rPr>
            </w:pPr>
            <w:r>
              <w:rPr>
                <w:rFonts w:hint="eastAsia" w:eastAsia="宋体"/>
                <w:color w:val="000000"/>
                <w:sz w:val="21"/>
                <w:szCs w:val="21"/>
                <w:lang w:eastAsia="zh-CN"/>
              </w:rPr>
              <w:t>尹义华</w:t>
            </w:r>
          </w:p>
        </w:tc>
      </w:tr>
    </w:tbl>
    <w:p w14:paraId="196A2208">
      <w:pPr>
        <w:adjustRightInd w:val="0"/>
        <w:snapToGrid w:val="0"/>
        <w:spacing w:line="500" w:lineRule="exact"/>
        <w:ind w:firstLine="480" w:firstLineChars="200"/>
        <w:jc w:val="left"/>
        <w:rPr>
          <w:rFonts w:ascii="宋体" w:hAnsi="宋体" w:eastAsia="宋体" w:cs="宋体"/>
        </w:rPr>
      </w:pPr>
    </w:p>
    <w:p w14:paraId="2A8DACB9">
      <w:pPr>
        <w:tabs>
          <w:tab w:val="left" w:pos="296"/>
        </w:tabs>
        <w:adjustRightInd w:val="0"/>
        <w:spacing w:line="360" w:lineRule="auto"/>
        <w:outlineLvl w:val="0"/>
        <w:rPr>
          <w:rFonts w:ascii="宋体" w:hAnsi="宋体" w:eastAsia="宋体" w:cs="宋体"/>
          <w:b/>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p>
    <w:bookmarkEnd w:id="262"/>
    <w:bookmarkEnd w:id="263"/>
    <w:p w14:paraId="4267C364">
      <w:pPr>
        <w:pStyle w:val="2"/>
        <w:adjustRightInd w:val="0"/>
        <w:snapToGrid w:val="0"/>
        <w:spacing w:line="500" w:lineRule="exact"/>
        <w:rPr>
          <w:rFonts w:eastAsia="宋体"/>
          <w:sz w:val="24"/>
          <w:szCs w:val="24"/>
        </w:rPr>
      </w:pPr>
      <w:bookmarkStart w:id="289" w:name="_Toc12711"/>
      <w:bookmarkStart w:id="290" w:name="_Toc22418"/>
      <w:bookmarkStart w:id="291" w:name="_Toc8571"/>
      <w:bookmarkStart w:id="292" w:name="_Toc535516085"/>
      <w:bookmarkStart w:id="293" w:name="_Toc24013"/>
      <w:bookmarkStart w:id="294" w:name="_Toc353379552"/>
      <w:r>
        <w:rPr>
          <w:rFonts w:hint="eastAsia" w:eastAsia="宋体"/>
          <w:sz w:val="24"/>
          <w:szCs w:val="24"/>
        </w:rPr>
        <w:t>7企业突发环境事件风险等级</w:t>
      </w:r>
      <w:bookmarkEnd w:id="289"/>
      <w:bookmarkEnd w:id="290"/>
      <w:bookmarkEnd w:id="291"/>
      <w:bookmarkEnd w:id="292"/>
      <w:bookmarkEnd w:id="293"/>
    </w:p>
    <w:p w14:paraId="0601BFD4">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295" w:name="_Toc535516086"/>
      <w:bookmarkStart w:id="296" w:name="_Toc534722043"/>
      <w:bookmarkStart w:id="297" w:name="_Toc31961"/>
      <w:bookmarkStart w:id="298" w:name="_Toc510102127"/>
      <w:bookmarkStart w:id="299" w:name="_Toc1190"/>
      <w:bookmarkStart w:id="300" w:name="_Toc23014"/>
      <w:bookmarkStart w:id="301" w:name="_Toc10459"/>
      <w:bookmarkStart w:id="302" w:name="_Toc8659"/>
      <w:r>
        <w:rPr>
          <w:rFonts w:hint="eastAsia" w:eastAsia="宋体"/>
          <w:color w:val="000000" w:themeColor="text1"/>
          <w:sz w:val="24"/>
          <w:szCs w:val="24"/>
          <w14:textFill>
            <w14:solidFill>
              <w14:schemeClr w14:val="tx1"/>
            </w14:solidFill>
          </w14:textFill>
        </w:rPr>
        <w:t>7.1</w:t>
      </w:r>
      <w:bookmarkEnd w:id="295"/>
      <w:bookmarkEnd w:id="296"/>
      <w:bookmarkEnd w:id="297"/>
      <w:bookmarkEnd w:id="298"/>
      <w:bookmarkEnd w:id="299"/>
      <w:r>
        <w:rPr>
          <w:rFonts w:hint="eastAsia" w:eastAsia="宋体"/>
          <w:color w:val="000000" w:themeColor="text1"/>
          <w:sz w:val="24"/>
          <w:szCs w:val="24"/>
          <w14:textFill>
            <w14:solidFill>
              <w14:schemeClr w14:val="tx1"/>
            </w14:solidFill>
          </w14:textFill>
        </w:rPr>
        <w:t>企业突发大气环境事件风险等级</w:t>
      </w:r>
      <w:bookmarkEnd w:id="300"/>
      <w:bookmarkEnd w:id="301"/>
      <w:bookmarkEnd w:id="302"/>
    </w:p>
    <w:p w14:paraId="7B6A7A36">
      <w:pPr>
        <w:pStyle w:val="4"/>
        <w:adjustRightInd w:val="0"/>
        <w:snapToGrid w:val="0"/>
        <w:spacing w:line="500" w:lineRule="exact"/>
        <w:jc w:val="left"/>
        <w:rPr>
          <w:rFonts w:eastAsia="宋体"/>
          <w:color w:val="000000" w:themeColor="text1"/>
          <w14:textFill>
            <w14:solidFill>
              <w14:schemeClr w14:val="tx1"/>
            </w14:solidFill>
          </w14:textFill>
        </w:rPr>
      </w:pPr>
      <w:bookmarkStart w:id="303" w:name="_Toc32695"/>
      <w:bookmarkStart w:id="304" w:name="_Toc14978"/>
      <w:bookmarkStart w:id="305" w:name="_Toc3108"/>
      <w:r>
        <w:rPr>
          <w:rFonts w:hint="eastAsia" w:eastAsia="宋体"/>
          <w:color w:val="000000" w:themeColor="text1"/>
          <w14:textFill>
            <w14:solidFill>
              <w14:schemeClr w14:val="tx1"/>
            </w14:solidFill>
          </w14:textFill>
        </w:rPr>
        <w:t>7.1.1涉气风险物质数量与临界值比值（Q）</w:t>
      </w:r>
      <w:bookmarkEnd w:id="303"/>
      <w:bookmarkEnd w:id="304"/>
      <w:bookmarkEnd w:id="305"/>
    </w:p>
    <w:p w14:paraId="7F540F07">
      <w:pPr>
        <w:pStyle w:val="13"/>
        <w:spacing w:after="0" w:line="500" w:lineRule="exact"/>
        <w:ind w:firstLine="480" w:firstLineChars="200"/>
        <w:rPr>
          <w:rFonts w:eastAsia="宋体"/>
        </w:rPr>
      </w:pPr>
      <w:r>
        <w:rPr>
          <w:rFonts w:eastAsia="宋体"/>
        </w:rPr>
        <w:t>企业生产原料、成品、辅助生产物料、燃料、“三废”污染物等是否涉及大气</w:t>
      </w:r>
      <w:r>
        <w:rPr>
          <w:rFonts w:eastAsia="宋体"/>
          <w:spacing w:val="-5"/>
        </w:rPr>
        <w:t>环境风险物质</w:t>
      </w:r>
      <w:r>
        <w:rPr>
          <w:rFonts w:eastAsia="宋体"/>
        </w:rPr>
        <w:t>（</w:t>
      </w:r>
      <w:r>
        <w:rPr>
          <w:rFonts w:eastAsia="宋体"/>
          <w:spacing w:val="-1"/>
        </w:rPr>
        <w:t>混合或稀释的风险物质按其组分比例折算成纯物质</w:t>
      </w:r>
      <w:r>
        <w:rPr>
          <w:rFonts w:eastAsia="宋体"/>
          <w:spacing w:val="-31"/>
        </w:rPr>
        <w:t>）</w:t>
      </w:r>
      <w:r>
        <w:rPr>
          <w:rFonts w:eastAsia="宋体"/>
          <w:spacing w:val="-8"/>
        </w:rPr>
        <w:t>，计算涉气</w:t>
      </w:r>
      <w:r>
        <w:rPr>
          <w:rFonts w:eastAsia="宋体"/>
          <w:spacing w:val="-17"/>
        </w:rPr>
        <w:t>风险物质在厂界内的存在量</w:t>
      </w:r>
      <w:r>
        <w:rPr>
          <w:rFonts w:eastAsia="宋体"/>
        </w:rPr>
        <w:t>（</w:t>
      </w:r>
      <w:r>
        <w:rPr>
          <w:rFonts w:eastAsia="宋体"/>
          <w:spacing w:val="-10"/>
        </w:rPr>
        <w:t>如存在量呈动态变化，则按年度内最大存在量计算</w:t>
      </w:r>
      <w:r>
        <w:rPr>
          <w:rFonts w:eastAsia="宋体"/>
          <w:spacing w:val="-16"/>
        </w:rPr>
        <w:t>）</w:t>
      </w:r>
      <w:r>
        <w:rPr>
          <w:rFonts w:eastAsia="宋体"/>
          <w:spacing w:val="-3"/>
        </w:rPr>
        <w:t>与其在附录</w:t>
      </w:r>
      <w:r>
        <w:rPr>
          <w:rFonts w:eastAsia="宋体"/>
        </w:rPr>
        <w:t>A中临界量的比值Q：</w:t>
      </w:r>
    </w:p>
    <w:p w14:paraId="3C296223">
      <w:pPr>
        <w:pStyle w:val="13"/>
        <w:spacing w:after="0" w:line="500" w:lineRule="exact"/>
        <w:ind w:firstLine="480" w:firstLineChars="200"/>
        <w:rPr>
          <w:rFonts w:eastAsia="宋体"/>
        </w:rPr>
      </w:pPr>
      <w:r>
        <w:rPr>
          <w:rFonts w:eastAsia="宋体"/>
        </w:rPr>
        <w:t>1、当企业只涉及一种化学物质时，该物质的总数量与其临界量比值，即为Q。</w:t>
      </w:r>
    </w:p>
    <w:p w14:paraId="52AC2D5A">
      <w:pPr>
        <w:pStyle w:val="13"/>
        <w:spacing w:after="0" w:line="500" w:lineRule="exact"/>
        <w:ind w:firstLine="480" w:firstLineChars="200"/>
        <w:rPr>
          <w:rFonts w:eastAsia="宋体"/>
        </w:rPr>
      </w:pPr>
      <w:r>
        <w:rPr>
          <w:rFonts w:eastAsia="宋体"/>
        </w:rPr>
        <w:t>2、当企业存在多种化学物质时，则按式（1）计算物质数量与其临界量比值（Q）：</w:t>
      </w:r>
    </w:p>
    <w:p w14:paraId="1E56532F">
      <w:pPr>
        <w:pStyle w:val="13"/>
        <w:spacing w:after="0" w:line="500" w:lineRule="exact"/>
        <w:ind w:firstLine="480" w:firstLineChars="200"/>
        <w:rPr>
          <w:rFonts w:eastAsia="宋体"/>
        </w:rPr>
      </w:pPr>
      <w:r>
        <w:rPr>
          <w:rFonts w:hint="eastAsia" w:ascii="宋体" w:hAnsi="宋体" w:eastAsia="宋体" w:cs="宋体"/>
        </w:rPr>
        <w:drawing>
          <wp:anchor distT="0" distB="0" distL="0" distR="0" simplePos="0" relativeHeight="251663360" behindDoc="0" locked="0" layoutInCell="1" allowOverlap="1">
            <wp:simplePos x="0" y="0"/>
            <wp:positionH relativeFrom="column">
              <wp:posOffset>1818640</wp:posOffset>
            </wp:positionH>
            <wp:positionV relativeFrom="paragraph">
              <wp:posOffset>165735</wp:posOffset>
            </wp:positionV>
            <wp:extent cx="2181225" cy="523875"/>
            <wp:effectExtent l="0" t="0" r="9525" b="9525"/>
            <wp:wrapTopAndBottom/>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noChangeArrowheads="1"/>
                    </pic:cNvPicPr>
                  </pic:nvPicPr>
                  <pic:blipFill>
                    <a:blip r:embed="rId23" cstate="print"/>
                    <a:srcRect/>
                    <a:stretch>
                      <a:fillRect/>
                    </a:stretch>
                  </pic:blipFill>
                  <pic:spPr>
                    <a:xfrm>
                      <a:off x="0" y="0"/>
                      <a:ext cx="2181225" cy="523875"/>
                    </a:xfrm>
                    <a:prstGeom prst="rect">
                      <a:avLst/>
                    </a:prstGeom>
                    <a:noFill/>
                    <a:ln w="9525">
                      <a:noFill/>
                      <a:miter lim="800000"/>
                      <a:headEnd/>
                      <a:tailEnd/>
                    </a:ln>
                  </pic:spPr>
                </pic:pic>
              </a:graphicData>
            </a:graphic>
          </wp:anchor>
        </w:drawing>
      </w:r>
      <w:r>
        <w:rPr>
          <w:rFonts w:eastAsia="宋体"/>
        </w:rPr>
        <w:t>式中：w1，w2，……，wn—每种危险物质实际存在量（</w:t>
      </w:r>
      <w:r>
        <w:rPr>
          <w:rFonts w:hint="eastAsia" w:eastAsia="宋体"/>
        </w:rPr>
        <w:t>t</w:t>
      </w:r>
      <w:r>
        <w:rPr>
          <w:rFonts w:eastAsia="宋体"/>
        </w:rPr>
        <w:t>）；</w:t>
      </w:r>
    </w:p>
    <w:p w14:paraId="7CF0DC9B">
      <w:pPr>
        <w:pStyle w:val="13"/>
        <w:spacing w:after="0" w:line="500" w:lineRule="exact"/>
        <w:ind w:firstLine="480" w:firstLineChars="200"/>
        <w:rPr>
          <w:rFonts w:eastAsia="宋体"/>
        </w:rPr>
      </w:pPr>
      <w:r>
        <w:rPr>
          <w:rFonts w:eastAsia="宋体"/>
        </w:rPr>
        <w:t>W1，W</w:t>
      </w:r>
      <w:r>
        <w:rPr>
          <w:rFonts w:hint="eastAsia" w:eastAsia="宋体"/>
        </w:rPr>
        <w:t>2</w:t>
      </w:r>
      <w:r>
        <w:rPr>
          <w:rFonts w:eastAsia="宋体"/>
        </w:rPr>
        <w:t>，……，Wn—与各危险物质相对应的临界量（</w:t>
      </w:r>
      <w:r>
        <w:rPr>
          <w:rFonts w:hint="eastAsia" w:eastAsia="宋体"/>
        </w:rPr>
        <w:t>t</w:t>
      </w:r>
      <w:r>
        <w:rPr>
          <w:rFonts w:eastAsia="宋体"/>
        </w:rPr>
        <w:t>）</w:t>
      </w:r>
      <w:r>
        <w:rPr>
          <w:rFonts w:eastAsia="宋体"/>
          <w:spacing w:val="-16"/>
        </w:rPr>
        <w:t>。</w:t>
      </w:r>
      <w:r>
        <w:rPr>
          <w:rFonts w:eastAsia="宋体"/>
        </w:rPr>
        <w:t>按照数值大小，将Q划分为4个水平：</w:t>
      </w:r>
    </w:p>
    <w:p w14:paraId="19B980C8">
      <w:pPr>
        <w:pStyle w:val="13"/>
        <w:spacing w:after="0" w:line="500" w:lineRule="exact"/>
        <w:ind w:firstLine="480" w:firstLineChars="200"/>
        <w:rPr>
          <w:rFonts w:eastAsia="宋体"/>
        </w:rPr>
      </w:pPr>
      <w:r>
        <w:rPr>
          <w:rFonts w:eastAsia="宋体"/>
        </w:rPr>
        <w:t>（1）Q＜1</w:t>
      </w:r>
      <w:r>
        <w:rPr>
          <w:rFonts w:eastAsia="宋体"/>
          <w:spacing w:val="-1"/>
        </w:rPr>
        <w:t>，以</w:t>
      </w:r>
      <w:r>
        <w:rPr>
          <w:rFonts w:eastAsia="宋体"/>
        </w:rPr>
        <w:t>Q0表示，企业直接评为一般环境风险等级；</w:t>
      </w:r>
    </w:p>
    <w:p w14:paraId="30BE5B69">
      <w:pPr>
        <w:pStyle w:val="13"/>
        <w:spacing w:after="0" w:line="500" w:lineRule="exact"/>
        <w:ind w:firstLine="480" w:firstLineChars="200"/>
        <w:rPr>
          <w:rFonts w:eastAsia="宋体"/>
        </w:rPr>
      </w:pPr>
      <w:r>
        <w:rPr>
          <w:rFonts w:eastAsia="宋体"/>
        </w:rPr>
        <w:t>（2）1≤Q＜10</w:t>
      </w:r>
      <w:r>
        <w:rPr>
          <w:rFonts w:eastAsia="宋体"/>
          <w:spacing w:val="-1"/>
        </w:rPr>
        <w:t>，以</w:t>
      </w:r>
      <w:r>
        <w:rPr>
          <w:rFonts w:eastAsia="宋体"/>
        </w:rPr>
        <w:t>Q1表示；</w:t>
      </w:r>
    </w:p>
    <w:p w14:paraId="49D22FF0">
      <w:pPr>
        <w:pStyle w:val="13"/>
        <w:spacing w:after="0" w:line="500" w:lineRule="exact"/>
        <w:ind w:firstLine="480" w:firstLineChars="200"/>
        <w:rPr>
          <w:rFonts w:eastAsia="宋体"/>
        </w:rPr>
      </w:pPr>
      <w:r>
        <w:rPr>
          <w:rFonts w:eastAsia="宋体"/>
        </w:rPr>
        <w:t>（3）10≤Q＜100</w:t>
      </w:r>
      <w:r>
        <w:rPr>
          <w:rFonts w:eastAsia="宋体"/>
          <w:spacing w:val="-1"/>
        </w:rPr>
        <w:t>，以</w:t>
      </w:r>
      <w:r>
        <w:rPr>
          <w:rFonts w:eastAsia="宋体"/>
        </w:rPr>
        <w:t>Q2表示；</w:t>
      </w:r>
    </w:p>
    <w:p w14:paraId="6C9111EC">
      <w:pPr>
        <w:pStyle w:val="13"/>
        <w:spacing w:after="0" w:line="500" w:lineRule="exact"/>
        <w:ind w:firstLine="480" w:firstLineChars="200"/>
        <w:rPr>
          <w:rFonts w:eastAsia="宋体"/>
        </w:rPr>
      </w:pPr>
      <w:r>
        <w:rPr>
          <w:rFonts w:eastAsia="宋体"/>
        </w:rPr>
        <w:t>（4）Q≥100</w:t>
      </w:r>
      <w:r>
        <w:rPr>
          <w:rFonts w:eastAsia="宋体"/>
          <w:spacing w:val="-1"/>
        </w:rPr>
        <w:t>，以</w:t>
      </w:r>
      <w:r>
        <w:rPr>
          <w:rFonts w:eastAsia="宋体"/>
        </w:rPr>
        <w:t>Q3表示。</w:t>
      </w:r>
    </w:p>
    <w:p w14:paraId="57408E58">
      <w:pPr>
        <w:pStyle w:val="7"/>
        <w:spacing w:line="500" w:lineRule="exact"/>
        <w:ind w:firstLine="480"/>
      </w:pPr>
      <w:r>
        <w:rPr>
          <w:rFonts w:eastAsia="宋体"/>
        </w:rPr>
        <w:t>公司涉气环境风险物质有</w:t>
      </w:r>
      <w:r>
        <w:rPr>
          <w:rFonts w:hint="eastAsia" w:eastAsia="宋体"/>
        </w:rPr>
        <w:t>水性漆、危废等</w:t>
      </w:r>
      <w:r>
        <w:rPr>
          <w:rFonts w:eastAsia="宋体"/>
        </w:rPr>
        <w:t>，计算情况见表7-1。</w:t>
      </w:r>
    </w:p>
    <w:p w14:paraId="4157ABAC">
      <w:pPr>
        <w:adjustRightInd w:val="0"/>
        <w:snapToGrid w:val="0"/>
        <w:spacing w:line="500" w:lineRule="exact"/>
        <w:jc w:val="center"/>
        <w:rPr>
          <w:rFonts w:eastAsia="宋体"/>
          <w:b/>
          <w:bCs/>
        </w:rPr>
      </w:pPr>
      <w:r>
        <w:rPr>
          <w:rFonts w:eastAsia="宋体"/>
          <w:b/>
          <w:bCs/>
        </w:rPr>
        <w:t>表</w:t>
      </w:r>
      <w:r>
        <w:rPr>
          <w:rFonts w:hint="eastAsia" w:eastAsia="宋体"/>
          <w:b/>
          <w:bCs/>
        </w:rPr>
        <w:t>7-1</w:t>
      </w:r>
      <w:r>
        <w:rPr>
          <w:rFonts w:eastAsia="宋体"/>
          <w:b/>
          <w:bCs/>
        </w:rPr>
        <w:t>涉气环境风险物质Q值计算表</w:t>
      </w:r>
    </w:p>
    <w:p w14:paraId="776144D4">
      <w:pPr>
        <w:pStyle w:val="7"/>
        <w:ind w:firstLine="0" w:firstLineChars="0"/>
        <w:rPr>
          <w:rFonts w:eastAsia="宋体"/>
          <w:b/>
          <w:bCs/>
        </w:rPr>
      </w:pPr>
    </w:p>
    <w:tbl>
      <w:tblPr>
        <w:tblStyle w:val="38"/>
        <w:tblW w:w="9314" w:type="dxa"/>
        <w:tblInd w:w="28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2117"/>
        <w:gridCol w:w="1534"/>
        <w:gridCol w:w="1396"/>
        <w:gridCol w:w="1314"/>
        <w:gridCol w:w="1677"/>
      </w:tblGrid>
      <w:tr w14:paraId="3C555A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276" w:type="dxa"/>
            <w:tcBorders>
              <w:tl2br w:val="nil"/>
              <w:tr2bl w:val="nil"/>
            </w:tcBorders>
            <w:vAlign w:val="center"/>
          </w:tcPr>
          <w:p w14:paraId="4804695F">
            <w:pPr>
              <w:pStyle w:val="143"/>
              <w:spacing w:before="0"/>
              <w:ind w:left="0" w:right="0"/>
              <w:rPr>
                <w:b/>
                <w:sz w:val="21"/>
              </w:rPr>
            </w:pPr>
            <w:r>
              <w:rPr>
                <w:b/>
                <w:sz w:val="21"/>
              </w:rPr>
              <w:t>环境风险</w:t>
            </w:r>
          </w:p>
          <w:p w14:paraId="085777CE">
            <w:pPr>
              <w:pStyle w:val="143"/>
              <w:spacing w:before="0" w:line="240" w:lineRule="auto"/>
              <w:ind w:left="0" w:right="0"/>
              <w:rPr>
                <w:b/>
                <w:sz w:val="21"/>
              </w:rPr>
            </w:pPr>
            <w:r>
              <w:rPr>
                <w:b/>
                <w:sz w:val="21"/>
              </w:rPr>
              <w:t>单元</w:t>
            </w:r>
          </w:p>
        </w:tc>
        <w:tc>
          <w:tcPr>
            <w:tcW w:w="2117" w:type="dxa"/>
            <w:tcBorders>
              <w:tl2br w:val="nil"/>
              <w:tr2bl w:val="nil"/>
            </w:tcBorders>
            <w:vAlign w:val="center"/>
          </w:tcPr>
          <w:p w14:paraId="46B19120">
            <w:pPr>
              <w:pStyle w:val="143"/>
              <w:spacing w:before="0"/>
              <w:ind w:left="0" w:right="0"/>
              <w:rPr>
                <w:b/>
                <w:sz w:val="21"/>
              </w:rPr>
            </w:pPr>
            <w:r>
              <w:rPr>
                <w:b/>
                <w:sz w:val="21"/>
              </w:rPr>
              <w:t>风险物质名称</w:t>
            </w:r>
          </w:p>
        </w:tc>
        <w:tc>
          <w:tcPr>
            <w:tcW w:w="1534" w:type="dxa"/>
            <w:tcBorders>
              <w:tl2br w:val="nil"/>
              <w:tr2bl w:val="nil"/>
            </w:tcBorders>
            <w:vAlign w:val="center"/>
          </w:tcPr>
          <w:p w14:paraId="0DF54E56">
            <w:pPr>
              <w:pStyle w:val="143"/>
              <w:spacing w:before="0"/>
              <w:ind w:left="0"/>
              <w:jc w:val="center"/>
              <w:rPr>
                <w:b/>
                <w:sz w:val="21"/>
              </w:rPr>
            </w:pPr>
            <w:r>
              <w:rPr>
                <w:b/>
                <w:sz w:val="21"/>
              </w:rPr>
              <w:t>最大存在总</w:t>
            </w:r>
          </w:p>
          <w:p w14:paraId="4CD09C70">
            <w:pPr>
              <w:pStyle w:val="143"/>
              <w:spacing w:before="0" w:line="240" w:lineRule="auto"/>
              <w:ind w:left="0"/>
              <w:jc w:val="center"/>
              <w:rPr>
                <w:b/>
                <w:sz w:val="21"/>
              </w:rPr>
            </w:pPr>
            <w:r>
              <w:rPr>
                <w:b/>
                <w:sz w:val="21"/>
              </w:rPr>
              <w:t>量</w:t>
            </w:r>
            <w:r>
              <w:rPr>
                <w:rFonts w:ascii="Times New Roman" w:eastAsia="Times New Roman"/>
                <w:b/>
                <w:sz w:val="21"/>
              </w:rPr>
              <w:t>qi</w:t>
            </w:r>
            <w:r>
              <w:rPr>
                <w:b/>
                <w:sz w:val="21"/>
              </w:rPr>
              <w:t>（</w:t>
            </w:r>
            <w:r>
              <w:rPr>
                <w:rFonts w:ascii="Times New Roman" w:eastAsia="Times New Roman"/>
                <w:b/>
                <w:sz w:val="21"/>
              </w:rPr>
              <w:t>t</w:t>
            </w:r>
            <w:r>
              <w:rPr>
                <w:b/>
                <w:sz w:val="21"/>
              </w:rPr>
              <w:t>）</w:t>
            </w:r>
          </w:p>
        </w:tc>
        <w:tc>
          <w:tcPr>
            <w:tcW w:w="1396" w:type="dxa"/>
            <w:tcBorders>
              <w:tl2br w:val="nil"/>
              <w:tr2bl w:val="nil"/>
            </w:tcBorders>
            <w:vAlign w:val="center"/>
          </w:tcPr>
          <w:p w14:paraId="14A44EE7">
            <w:pPr>
              <w:pStyle w:val="143"/>
              <w:spacing w:before="0"/>
              <w:ind w:left="0" w:right="0"/>
              <w:rPr>
                <w:rFonts w:ascii="Times New Roman" w:eastAsia="Times New Roman"/>
                <w:b/>
                <w:sz w:val="21"/>
              </w:rPr>
            </w:pPr>
            <w:r>
              <w:rPr>
                <w:b/>
                <w:sz w:val="21"/>
              </w:rPr>
              <w:t>临界量</w:t>
            </w:r>
            <w:r>
              <w:rPr>
                <w:rFonts w:ascii="Times New Roman" w:eastAsia="Times New Roman"/>
                <w:b/>
                <w:sz w:val="21"/>
              </w:rPr>
              <w:t>Qi</w:t>
            </w:r>
          </w:p>
          <w:p w14:paraId="27A69086">
            <w:pPr>
              <w:pStyle w:val="143"/>
              <w:spacing w:before="0" w:line="240" w:lineRule="auto"/>
              <w:ind w:left="0" w:right="0"/>
              <w:rPr>
                <w:b/>
                <w:sz w:val="21"/>
              </w:rPr>
            </w:pPr>
            <w:r>
              <w:rPr>
                <w:b/>
                <w:sz w:val="21"/>
              </w:rPr>
              <w:t>（</w:t>
            </w:r>
            <w:r>
              <w:rPr>
                <w:rFonts w:ascii="Times New Roman" w:eastAsia="Times New Roman"/>
                <w:b/>
                <w:sz w:val="21"/>
              </w:rPr>
              <w:t>t</w:t>
            </w:r>
            <w:r>
              <w:rPr>
                <w:b/>
                <w:sz w:val="21"/>
              </w:rPr>
              <w:t>）</w:t>
            </w:r>
          </w:p>
        </w:tc>
        <w:tc>
          <w:tcPr>
            <w:tcW w:w="1314" w:type="dxa"/>
            <w:tcBorders>
              <w:tl2br w:val="nil"/>
              <w:tr2bl w:val="nil"/>
            </w:tcBorders>
            <w:vAlign w:val="center"/>
          </w:tcPr>
          <w:p w14:paraId="6E2A2B72">
            <w:pPr>
              <w:pStyle w:val="143"/>
              <w:spacing w:before="0"/>
              <w:ind w:left="0"/>
              <w:jc w:val="center"/>
              <w:rPr>
                <w:rFonts w:ascii="Times New Roman"/>
                <w:b/>
                <w:sz w:val="21"/>
              </w:rPr>
            </w:pPr>
            <w:r>
              <w:rPr>
                <w:rFonts w:ascii="Times New Roman"/>
                <w:b/>
                <w:sz w:val="21"/>
              </w:rPr>
              <w:t>qi/Qi</w:t>
            </w:r>
          </w:p>
        </w:tc>
        <w:tc>
          <w:tcPr>
            <w:tcW w:w="1677" w:type="dxa"/>
            <w:tcBorders>
              <w:tl2br w:val="nil"/>
              <w:tr2bl w:val="nil"/>
            </w:tcBorders>
            <w:vAlign w:val="center"/>
          </w:tcPr>
          <w:p w14:paraId="7870E8D2">
            <w:pPr>
              <w:pStyle w:val="143"/>
              <w:spacing w:before="0"/>
              <w:ind w:left="0" w:right="0"/>
              <w:rPr>
                <w:b/>
                <w:sz w:val="21"/>
              </w:rPr>
            </w:pPr>
            <w:r>
              <w:rPr>
                <w:b/>
                <w:sz w:val="21"/>
              </w:rPr>
              <w:t>是否重要环境</w:t>
            </w:r>
          </w:p>
          <w:p w14:paraId="0EBCAA2C">
            <w:pPr>
              <w:pStyle w:val="143"/>
              <w:spacing w:before="0" w:line="240" w:lineRule="auto"/>
              <w:ind w:left="0" w:right="0"/>
              <w:rPr>
                <w:b/>
                <w:sz w:val="21"/>
              </w:rPr>
            </w:pPr>
            <w:r>
              <w:rPr>
                <w:b/>
                <w:sz w:val="21"/>
              </w:rPr>
              <w:t>风险单元</w:t>
            </w:r>
          </w:p>
        </w:tc>
      </w:tr>
      <w:tr w14:paraId="69BE98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76" w:type="dxa"/>
            <w:vMerge w:val="restart"/>
            <w:tcBorders>
              <w:tl2br w:val="nil"/>
              <w:tr2bl w:val="nil"/>
            </w:tcBorders>
            <w:vAlign w:val="center"/>
          </w:tcPr>
          <w:p w14:paraId="71921478">
            <w:pPr>
              <w:pStyle w:val="143"/>
              <w:spacing w:before="0"/>
              <w:ind w:left="0" w:right="0"/>
              <w:rPr>
                <w:rFonts w:hint="eastAsia"/>
                <w:sz w:val="21"/>
                <w:lang w:val="en-US" w:eastAsia="zh-CN"/>
              </w:rPr>
            </w:pPr>
            <w:r>
              <w:rPr>
                <w:rFonts w:hint="eastAsia" w:ascii="Times New Roman" w:hAnsi="Times New Roman" w:eastAsia="宋体" w:cs="Times New Roman"/>
                <w:sz w:val="21"/>
                <w:szCs w:val="21"/>
                <w:lang w:val="en-US" w:eastAsia="zh-CN"/>
              </w:rPr>
              <w:t>油漆仓库</w:t>
            </w:r>
          </w:p>
        </w:tc>
        <w:tc>
          <w:tcPr>
            <w:tcW w:w="2117" w:type="dxa"/>
            <w:tcBorders>
              <w:tl2br w:val="nil"/>
              <w:tr2bl w:val="nil"/>
            </w:tcBorders>
            <w:vAlign w:val="center"/>
          </w:tcPr>
          <w:p w14:paraId="0BF735F9">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水性底漆</w:t>
            </w:r>
          </w:p>
        </w:tc>
        <w:tc>
          <w:tcPr>
            <w:tcW w:w="1534" w:type="dxa"/>
            <w:tcBorders>
              <w:tl2br w:val="nil"/>
              <w:tr2bl w:val="nil"/>
            </w:tcBorders>
            <w:vAlign w:val="center"/>
          </w:tcPr>
          <w:p w14:paraId="765514D2">
            <w:pPr>
              <w:pStyle w:val="143"/>
              <w:spacing w:before="0"/>
              <w:ind w:left="0" w:leftChars="0" w:right="0" w:rightChars="0"/>
              <w:rPr>
                <w:rFonts w:hint="default" w:ascii="Times New Roman"/>
                <w:sz w:val="21"/>
                <w:lang w:val="en-US" w:eastAsia="zh-CN"/>
              </w:rPr>
            </w:pPr>
            <w:r>
              <w:rPr>
                <w:rFonts w:hint="eastAsia" w:ascii="Times New Roman" w:hAnsi="Times New Roman" w:cs="Times New Roman"/>
                <w:sz w:val="21"/>
                <w:szCs w:val="21"/>
                <w:lang w:val="en-US" w:eastAsia="zh-CN"/>
              </w:rPr>
              <w:t>0.3</w:t>
            </w:r>
          </w:p>
        </w:tc>
        <w:tc>
          <w:tcPr>
            <w:tcW w:w="1396" w:type="dxa"/>
            <w:tcBorders>
              <w:tl2br w:val="nil"/>
              <w:tr2bl w:val="nil"/>
            </w:tcBorders>
            <w:vAlign w:val="center"/>
          </w:tcPr>
          <w:p w14:paraId="0ECC2FFF">
            <w:pPr>
              <w:pStyle w:val="143"/>
              <w:rPr>
                <w:rFonts w:hint="default" w:ascii="Times New Roman"/>
                <w:sz w:val="21"/>
                <w:lang w:val="en-US" w:eastAsia="zh-CN"/>
              </w:rPr>
            </w:pPr>
            <w:r>
              <w:rPr>
                <w:rFonts w:hint="eastAsia" w:ascii="Times New Roman"/>
                <w:sz w:val="21"/>
              </w:rPr>
              <w:t>100</w:t>
            </w:r>
          </w:p>
        </w:tc>
        <w:tc>
          <w:tcPr>
            <w:tcW w:w="1314" w:type="dxa"/>
            <w:tcBorders>
              <w:tl2br w:val="nil"/>
              <w:tr2bl w:val="nil"/>
            </w:tcBorders>
            <w:vAlign w:val="center"/>
          </w:tcPr>
          <w:p w14:paraId="30A16374">
            <w:pPr>
              <w:pStyle w:val="143"/>
              <w:rPr>
                <w:rFonts w:hint="default" w:ascii="Times New Roman" w:eastAsia="宋体"/>
                <w:w w:val="100"/>
                <w:sz w:val="21"/>
                <w:lang w:val="en-US" w:eastAsia="zh-CN"/>
              </w:rPr>
            </w:pPr>
            <w:r>
              <w:rPr>
                <w:rFonts w:hint="eastAsia" w:ascii="Times New Roman"/>
                <w:sz w:val="18"/>
                <w:szCs w:val="18"/>
                <w:lang w:val="en-US" w:eastAsia="zh-CN"/>
              </w:rPr>
              <w:t>0.003</w:t>
            </w:r>
          </w:p>
        </w:tc>
        <w:tc>
          <w:tcPr>
            <w:tcW w:w="1677" w:type="dxa"/>
            <w:vMerge w:val="restart"/>
            <w:tcBorders>
              <w:tl2br w:val="nil"/>
              <w:tr2bl w:val="nil"/>
            </w:tcBorders>
            <w:vAlign w:val="center"/>
          </w:tcPr>
          <w:p w14:paraId="46377C25">
            <w:pPr>
              <w:pStyle w:val="143"/>
              <w:ind w:left="0"/>
              <w:rPr>
                <w:rFonts w:hint="eastAsia" w:eastAsia="宋体"/>
                <w:w w:val="100"/>
                <w:sz w:val="21"/>
                <w:lang w:val="en-US" w:eastAsia="zh-CN"/>
              </w:rPr>
            </w:pPr>
            <w:r>
              <w:rPr>
                <w:rFonts w:hint="eastAsia"/>
                <w:w w:val="100"/>
                <w:sz w:val="21"/>
                <w:lang w:val="en-US" w:eastAsia="zh-CN"/>
              </w:rPr>
              <w:t>否</w:t>
            </w:r>
          </w:p>
        </w:tc>
      </w:tr>
      <w:tr w14:paraId="71F13C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76" w:type="dxa"/>
            <w:vMerge w:val="continue"/>
            <w:tcBorders>
              <w:tl2br w:val="nil"/>
              <w:tr2bl w:val="nil"/>
            </w:tcBorders>
            <w:vAlign w:val="center"/>
          </w:tcPr>
          <w:p w14:paraId="13160B54">
            <w:pPr>
              <w:pStyle w:val="143"/>
              <w:spacing w:before="0"/>
              <w:ind w:left="0" w:right="0"/>
              <w:rPr>
                <w:rFonts w:hint="eastAsia"/>
                <w:sz w:val="21"/>
                <w:lang w:val="en-US" w:eastAsia="zh-CN"/>
              </w:rPr>
            </w:pPr>
          </w:p>
        </w:tc>
        <w:tc>
          <w:tcPr>
            <w:tcW w:w="2117" w:type="dxa"/>
            <w:tcBorders>
              <w:tl2br w:val="nil"/>
              <w:tr2bl w:val="nil"/>
            </w:tcBorders>
            <w:vAlign w:val="center"/>
          </w:tcPr>
          <w:p w14:paraId="39ED3C5E">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水性面漆</w:t>
            </w:r>
          </w:p>
        </w:tc>
        <w:tc>
          <w:tcPr>
            <w:tcW w:w="1534" w:type="dxa"/>
            <w:tcBorders>
              <w:tl2br w:val="nil"/>
              <w:tr2bl w:val="nil"/>
            </w:tcBorders>
            <w:vAlign w:val="center"/>
          </w:tcPr>
          <w:p w14:paraId="4235D05D">
            <w:pPr>
              <w:pStyle w:val="143"/>
              <w:spacing w:before="0"/>
              <w:ind w:left="0" w:leftChars="0" w:right="0" w:rightChars="0"/>
              <w:rPr>
                <w:rFonts w:hint="default" w:ascii="Times New Roman"/>
                <w:sz w:val="21"/>
                <w:lang w:val="en-US" w:eastAsia="zh-CN"/>
              </w:rPr>
            </w:pPr>
            <w:r>
              <w:rPr>
                <w:rFonts w:hint="eastAsia" w:ascii="Times New Roman" w:hAnsi="Times New Roman" w:cs="Times New Roman"/>
                <w:sz w:val="21"/>
                <w:szCs w:val="21"/>
                <w:lang w:val="en-US" w:eastAsia="zh-CN"/>
              </w:rPr>
              <w:t>0.35</w:t>
            </w:r>
          </w:p>
        </w:tc>
        <w:tc>
          <w:tcPr>
            <w:tcW w:w="1396" w:type="dxa"/>
            <w:tcBorders>
              <w:tl2br w:val="nil"/>
              <w:tr2bl w:val="nil"/>
            </w:tcBorders>
            <w:vAlign w:val="center"/>
          </w:tcPr>
          <w:p w14:paraId="06112634">
            <w:pPr>
              <w:pStyle w:val="143"/>
              <w:rPr>
                <w:rFonts w:hint="default" w:ascii="Times New Roman"/>
                <w:sz w:val="21"/>
                <w:lang w:val="en-US" w:eastAsia="zh-CN"/>
              </w:rPr>
            </w:pPr>
            <w:r>
              <w:rPr>
                <w:rFonts w:hint="eastAsia" w:ascii="Times New Roman"/>
                <w:sz w:val="21"/>
              </w:rPr>
              <w:t>100</w:t>
            </w:r>
          </w:p>
        </w:tc>
        <w:tc>
          <w:tcPr>
            <w:tcW w:w="1314" w:type="dxa"/>
            <w:tcBorders>
              <w:tl2br w:val="nil"/>
              <w:tr2bl w:val="nil"/>
            </w:tcBorders>
            <w:vAlign w:val="center"/>
          </w:tcPr>
          <w:p w14:paraId="1E334255">
            <w:pPr>
              <w:pStyle w:val="143"/>
              <w:rPr>
                <w:rFonts w:hint="default" w:ascii="Times New Roman" w:eastAsia="宋体"/>
                <w:w w:val="100"/>
                <w:sz w:val="21"/>
                <w:lang w:val="en-US" w:eastAsia="zh-CN"/>
              </w:rPr>
            </w:pPr>
            <w:r>
              <w:rPr>
                <w:rFonts w:hint="eastAsia" w:ascii="Times New Roman"/>
                <w:sz w:val="18"/>
                <w:szCs w:val="18"/>
                <w:lang w:val="en-US" w:eastAsia="zh-CN"/>
              </w:rPr>
              <w:t>0.0035</w:t>
            </w:r>
          </w:p>
        </w:tc>
        <w:tc>
          <w:tcPr>
            <w:tcW w:w="1677" w:type="dxa"/>
            <w:vMerge w:val="continue"/>
            <w:tcBorders>
              <w:tl2br w:val="nil"/>
              <w:tr2bl w:val="nil"/>
            </w:tcBorders>
            <w:vAlign w:val="center"/>
          </w:tcPr>
          <w:p w14:paraId="12A92840">
            <w:pPr>
              <w:pStyle w:val="143"/>
              <w:ind w:left="0"/>
              <w:rPr>
                <w:rFonts w:hint="eastAsia"/>
                <w:w w:val="100"/>
                <w:sz w:val="21"/>
              </w:rPr>
            </w:pPr>
          </w:p>
        </w:tc>
      </w:tr>
      <w:tr w14:paraId="2D9016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323" w:type="dxa"/>
            <w:gridSpan w:val="4"/>
            <w:tcBorders>
              <w:tl2br w:val="nil"/>
              <w:tr2bl w:val="nil"/>
            </w:tcBorders>
            <w:vAlign w:val="center"/>
          </w:tcPr>
          <w:p w14:paraId="2230397D">
            <w:pPr>
              <w:pStyle w:val="143"/>
              <w:spacing w:before="0"/>
              <w:ind w:left="0" w:right="0"/>
              <w:rPr>
                <w:rFonts w:ascii="Times New Roman" w:hAnsi="Times New Roman"/>
                <w:b/>
                <w:sz w:val="21"/>
              </w:rPr>
            </w:pPr>
            <w:r>
              <w:rPr>
                <w:rFonts w:ascii="Times New Roman" w:hAnsi="Times New Roman"/>
                <w:b/>
                <w:sz w:val="21"/>
              </w:rPr>
              <w:t>ΣQi/qi</w:t>
            </w:r>
          </w:p>
        </w:tc>
        <w:tc>
          <w:tcPr>
            <w:tcW w:w="1314" w:type="dxa"/>
            <w:tcBorders>
              <w:tl2br w:val="nil"/>
              <w:tr2bl w:val="nil"/>
            </w:tcBorders>
            <w:vAlign w:val="center"/>
          </w:tcPr>
          <w:p w14:paraId="78164E35">
            <w:pPr>
              <w:jc w:val="center"/>
              <w:rPr>
                <w:rFonts w:hint="default" w:ascii="Times New Roman" w:eastAsia="宋体"/>
                <w:sz w:val="21"/>
                <w:lang w:val="en-US" w:eastAsia="zh-CN"/>
              </w:rPr>
            </w:pPr>
            <w:r>
              <w:rPr>
                <w:rFonts w:hint="eastAsia" w:eastAsia="宋体"/>
                <w:sz w:val="21"/>
                <w:szCs w:val="21"/>
                <w:lang w:val="en-US" w:eastAsia="zh-CN"/>
              </w:rPr>
              <w:t>0.0065</w:t>
            </w:r>
          </w:p>
        </w:tc>
        <w:tc>
          <w:tcPr>
            <w:tcW w:w="1677" w:type="dxa"/>
            <w:vMerge w:val="continue"/>
            <w:tcBorders>
              <w:tl2br w:val="nil"/>
              <w:tr2bl w:val="nil"/>
            </w:tcBorders>
            <w:vAlign w:val="center"/>
          </w:tcPr>
          <w:p w14:paraId="1224AA54">
            <w:pPr>
              <w:jc w:val="center"/>
              <w:rPr>
                <w:rFonts w:hint="eastAsia" w:ascii="宋体" w:hAnsi="宋体" w:eastAsia="宋体" w:cs="宋体"/>
                <w:sz w:val="21"/>
                <w:szCs w:val="24"/>
              </w:rPr>
            </w:pPr>
          </w:p>
        </w:tc>
      </w:tr>
      <w:tr w14:paraId="7438E4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76" w:type="dxa"/>
            <w:vMerge w:val="restart"/>
            <w:tcBorders>
              <w:tl2br w:val="nil"/>
              <w:tr2bl w:val="nil"/>
            </w:tcBorders>
            <w:vAlign w:val="center"/>
          </w:tcPr>
          <w:p w14:paraId="4B13ADDA">
            <w:pPr>
              <w:pStyle w:val="143"/>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生产车间</w:t>
            </w:r>
          </w:p>
        </w:tc>
        <w:tc>
          <w:tcPr>
            <w:tcW w:w="2117" w:type="dxa"/>
            <w:tcBorders>
              <w:tl2br w:val="nil"/>
              <w:tr2bl w:val="nil"/>
            </w:tcBorders>
            <w:vAlign w:val="center"/>
          </w:tcPr>
          <w:p w14:paraId="2D160302">
            <w:pPr>
              <w:pStyle w:val="143"/>
              <w:spacing w:before="0"/>
              <w:ind w:left="0" w:leftChars="0" w:right="0" w:rightChars="0"/>
              <w:rPr>
                <w:rFonts w:hint="eastAsia" w:ascii="宋体" w:hAnsi="宋体" w:eastAsia="宋体" w:cs="宋体"/>
                <w:kern w:val="2"/>
                <w:sz w:val="21"/>
                <w:szCs w:val="24"/>
                <w:lang w:val="en-US" w:eastAsia="zh-CN" w:bidi="ar-SA"/>
              </w:rPr>
            </w:pPr>
            <w:r>
              <w:rPr>
                <w:rFonts w:hint="eastAsia" w:ascii="Times New Roman" w:hAnsi="Times New Roman" w:cs="Times New Roman"/>
                <w:sz w:val="21"/>
                <w:szCs w:val="21"/>
                <w:lang w:val="en-US" w:eastAsia="zh-CN"/>
              </w:rPr>
              <w:t>水性底漆</w:t>
            </w:r>
          </w:p>
        </w:tc>
        <w:tc>
          <w:tcPr>
            <w:tcW w:w="1534" w:type="dxa"/>
            <w:tcBorders>
              <w:tl2br w:val="nil"/>
              <w:tr2bl w:val="nil"/>
            </w:tcBorders>
            <w:vAlign w:val="center"/>
          </w:tcPr>
          <w:p w14:paraId="15FA9BC6">
            <w:pPr>
              <w:pStyle w:val="143"/>
              <w:rPr>
                <w:rFonts w:hint="default" w:ascii="Times New Roman" w:hAnsi="Times New Roman"/>
                <w:b w:val="0"/>
                <w:bCs/>
                <w:sz w:val="21"/>
                <w:lang w:val="en-US" w:eastAsia="zh-CN"/>
              </w:rPr>
            </w:pPr>
            <w:r>
              <w:rPr>
                <w:rFonts w:hint="eastAsia" w:ascii="Times New Roman" w:hAnsi="Times New Roman"/>
                <w:bCs/>
                <w:sz w:val="21"/>
                <w:lang w:val="en-US" w:eastAsia="zh-CN"/>
              </w:rPr>
              <w:t>0.3</w:t>
            </w:r>
          </w:p>
        </w:tc>
        <w:tc>
          <w:tcPr>
            <w:tcW w:w="1396" w:type="dxa"/>
            <w:tcBorders>
              <w:tl2br w:val="nil"/>
              <w:tr2bl w:val="nil"/>
            </w:tcBorders>
            <w:vAlign w:val="center"/>
          </w:tcPr>
          <w:p w14:paraId="41414CD2">
            <w:pPr>
              <w:pStyle w:val="143"/>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100</w:t>
            </w:r>
          </w:p>
        </w:tc>
        <w:tc>
          <w:tcPr>
            <w:tcW w:w="1314" w:type="dxa"/>
            <w:tcBorders>
              <w:tl2br w:val="nil"/>
              <w:tr2bl w:val="nil"/>
            </w:tcBorders>
            <w:vAlign w:val="center"/>
          </w:tcPr>
          <w:p w14:paraId="60289E57">
            <w:pPr>
              <w:pStyle w:val="143"/>
              <w:rPr>
                <w:rFonts w:hint="default" w:ascii="Times New Roman"/>
                <w:w w:val="100"/>
                <w:sz w:val="21"/>
                <w:lang w:val="en-US" w:eastAsia="zh-CN"/>
              </w:rPr>
            </w:pPr>
            <w:r>
              <w:rPr>
                <w:rFonts w:hint="eastAsia" w:ascii="Times New Roman"/>
                <w:sz w:val="21"/>
                <w:lang w:val="en-US" w:eastAsia="zh-CN"/>
              </w:rPr>
              <w:t>0.003</w:t>
            </w:r>
          </w:p>
        </w:tc>
        <w:tc>
          <w:tcPr>
            <w:tcW w:w="1677" w:type="dxa"/>
            <w:vMerge w:val="restart"/>
            <w:tcBorders>
              <w:tl2br w:val="nil"/>
              <w:tr2bl w:val="nil"/>
            </w:tcBorders>
            <w:vAlign w:val="center"/>
          </w:tcPr>
          <w:p w14:paraId="1D27E1A3">
            <w:pPr>
              <w:jc w:val="center"/>
              <w:rPr>
                <w:rFonts w:hint="default"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5B9871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76" w:type="dxa"/>
            <w:vMerge w:val="continue"/>
            <w:tcBorders>
              <w:tl2br w:val="nil"/>
              <w:tr2bl w:val="nil"/>
            </w:tcBorders>
            <w:vAlign w:val="center"/>
          </w:tcPr>
          <w:p w14:paraId="429EB195">
            <w:pPr>
              <w:pStyle w:val="143"/>
              <w:spacing w:before="0"/>
              <w:ind w:left="0" w:right="0"/>
              <w:rPr>
                <w:rFonts w:hint="eastAsia" w:ascii="Times New Roman" w:hAnsi="Times New Roman"/>
                <w:b w:val="0"/>
                <w:bCs/>
                <w:sz w:val="21"/>
                <w:lang w:val="en-US" w:eastAsia="zh-CN"/>
              </w:rPr>
            </w:pPr>
          </w:p>
        </w:tc>
        <w:tc>
          <w:tcPr>
            <w:tcW w:w="2117" w:type="dxa"/>
            <w:tcBorders>
              <w:tl2br w:val="nil"/>
              <w:tr2bl w:val="nil"/>
            </w:tcBorders>
            <w:vAlign w:val="center"/>
          </w:tcPr>
          <w:p w14:paraId="2B59BFFB">
            <w:pPr>
              <w:pStyle w:val="143"/>
              <w:spacing w:before="0"/>
              <w:ind w:left="0" w:leftChars="0" w:right="0" w:rightChars="0"/>
              <w:rPr>
                <w:rFonts w:hint="eastAsia" w:ascii="宋体" w:hAnsi="宋体" w:eastAsia="宋体" w:cs="宋体"/>
                <w:kern w:val="2"/>
                <w:sz w:val="21"/>
                <w:szCs w:val="24"/>
                <w:lang w:val="en-US" w:eastAsia="zh-CN" w:bidi="ar-SA"/>
              </w:rPr>
            </w:pPr>
            <w:r>
              <w:rPr>
                <w:rFonts w:hint="eastAsia" w:ascii="Times New Roman" w:hAnsi="Times New Roman" w:cs="Times New Roman"/>
                <w:sz w:val="21"/>
                <w:szCs w:val="21"/>
                <w:lang w:val="en-US" w:eastAsia="zh-CN"/>
              </w:rPr>
              <w:t>水性面漆</w:t>
            </w:r>
          </w:p>
        </w:tc>
        <w:tc>
          <w:tcPr>
            <w:tcW w:w="1534" w:type="dxa"/>
            <w:tcBorders>
              <w:tl2br w:val="nil"/>
              <w:tr2bl w:val="nil"/>
            </w:tcBorders>
            <w:vAlign w:val="center"/>
          </w:tcPr>
          <w:p w14:paraId="5CD97626">
            <w:pPr>
              <w:pStyle w:val="143"/>
              <w:rPr>
                <w:rFonts w:hint="default" w:ascii="Times New Roman" w:hAnsi="Times New Roman"/>
                <w:b w:val="0"/>
                <w:bCs/>
                <w:sz w:val="21"/>
                <w:lang w:val="en-US" w:eastAsia="zh-CN"/>
              </w:rPr>
            </w:pPr>
            <w:r>
              <w:rPr>
                <w:rFonts w:hint="eastAsia" w:ascii="Times New Roman" w:hAnsi="Times New Roman"/>
                <w:bCs/>
                <w:sz w:val="21"/>
                <w:lang w:val="en-US" w:eastAsia="zh-CN"/>
              </w:rPr>
              <w:t>0.35</w:t>
            </w:r>
          </w:p>
        </w:tc>
        <w:tc>
          <w:tcPr>
            <w:tcW w:w="1396" w:type="dxa"/>
            <w:tcBorders>
              <w:tl2br w:val="nil"/>
              <w:tr2bl w:val="nil"/>
            </w:tcBorders>
            <w:vAlign w:val="center"/>
          </w:tcPr>
          <w:p w14:paraId="579F2CFA">
            <w:pPr>
              <w:pStyle w:val="143"/>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100</w:t>
            </w:r>
          </w:p>
        </w:tc>
        <w:tc>
          <w:tcPr>
            <w:tcW w:w="1314" w:type="dxa"/>
            <w:tcBorders>
              <w:tl2br w:val="nil"/>
              <w:tr2bl w:val="nil"/>
            </w:tcBorders>
            <w:vAlign w:val="center"/>
          </w:tcPr>
          <w:p w14:paraId="47ACC0A7">
            <w:pPr>
              <w:pStyle w:val="143"/>
              <w:rPr>
                <w:rFonts w:hint="default" w:ascii="Times New Roman"/>
                <w:w w:val="100"/>
                <w:sz w:val="21"/>
                <w:lang w:val="en-US" w:eastAsia="zh-CN"/>
              </w:rPr>
            </w:pPr>
            <w:r>
              <w:rPr>
                <w:rFonts w:hint="eastAsia" w:ascii="Times New Roman"/>
                <w:sz w:val="21"/>
                <w:lang w:val="en-US" w:eastAsia="zh-CN"/>
              </w:rPr>
              <w:t>0.0035</w:t>
            </w:r>
          </w:p>
        </w:tc>
        <w:tc>
          <w:tcPr>
            <w:tcW w:w="1677" w:type="dxa"/>
            <w:vMerge w:val="continue"/>
            <w:tcBorders>
              <w:tl2br w:val="nil"/>
              <w:tr2bl w:val="nil"/>
            </w:tcBorders>
            <w:vAlign w:val="center"/>
          </w:tcPr>
          <w:p w14:paraId="322DF763">
            <w:pPr>
              <w:jc w:val="center"/>
              <w:rPr>
                <w:rFonts w:hint="eastAsia" w:ascii="宋体" w:hAnsi="宋体" w:eastAsia="宋体" w:cs="宋体"/>
                <w:sz w:val="21"/>
                <w:szCs w:val="24"/>
                <w:lang w:val="en-US" w:eastAsia="zh-CN"/>
              </w:rPr>
            </w:pPr>
          </w:p>
        </w:tc>
      </w:tr>
      <w:tr w14:paraId="489AAD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323" w:type="dxa"/>
            <w:gridSpan w:val="4"/>
            <w:tcBorders>
              <w:tl2br w:val="nil"/>
              <w:tr2bl w:val="nil"/>
            </w:tcBorders>
            <w:vAlign w:val="center"/>
          </w:tcPr>
          <w:p w14:paraId="04343285">
            <w:pPr>
              <w:pStyle w:val="143"/>
              <w:spacing w:before="0"/>
              <w:ind w:left="0" w:right="0"/>
              <w:rPr>
                <w:rFonts w:hint="eastAsia" w:ascii="Times New Roman" w:hAnsi="Times New Roman"/>
                <w:b w:val="0"/>
                <w:bCs/>
                <w:sz w:val="21"/>
                <w:lang w:val="en-US" w:eastAsia="zh-CN"/>
              </w:rPr>
            </w:pPr>
            <w:r>
              <w:rPr>
                <w:rFonts w:ascii="Times New Roman" w:hAnsi="Times New Roman"/>
                <w:b/>
                <w:sz w:val="21"/>
              </w:rPr>
              <w:t>ΣQi/qi</w:t>
            </w:r>
          </w:p>
        </w:tc>
        <w:tc>
          <w:tcPr>
            <w:tcW w:w="1314" w:type="dxa"/>
            <w:tcBorders>
              <w:tl2br w:val="nil"/>
              <w:tr2bl w:val="nil"/>
            </w:tcBorders>
            <w:vAlign w:val="center"/>
          </w:tcPr>
          <w:p w14:paraId="2639245F">
            <w:pPr>
              <w:jc w:val="center"/>
              <w:rPr>
                <w:rFonts w:hint="default" w:ascii="Times New Roman"/>
                <w:w w:val="100"/>
                <w:sz w:val="21"/>
                <w:lang w:val="en-US" w:eastAsia="zh-CN"/>
              </w:rPr>
            </w:pPr>
            <w:r>
              <w:rPr>
                <w:rFonts w:hint="eastAsia" w:eastAsia="宋体"/>
                <w:sz w:val="21"/>
                <w:szCs w:val="21"/>
                <w:lang w:val="en-US" w:eastAsia="zh-CN"/>
              </w:rPr>
              <w:t>0.0065</w:t>
            </w:r>
          </w:p>
        </w:tc>
        <w:tc>
          <w:tcPr>
            <w:tcW w:w="1677" w:type="dxa"/>
            <w:vMerge w:val="continue"/>
            <w:tcBorders>
              <w:tl2br w:val="nil"/>
              <w:tr2bl w:val="nil"/>
            </w:tcBorders>
            <w:vAlign w:val="center"/>
          </w:tcPr>
          <w:p w14:paraId="43AA563F">
            <w:pPr>
              <w:jc w:val="center"/>
              <w:rPr>
                <w:rFonts w:hint="eastAsia" w:ascii="宋体" w:hAnsi="宋体" w:eastAsia="宋体" w:cs="宋体"/>
                <w:sz w:val="21"/>
                <w:szCs w:val="24"/>
                <w:lang w:val="en-US" w:eastAsia="zh-CN"/>
              </w:rPr>
            </w:pPr>
          </w:p>
        </w:tc>
      </w:tr>
      <w:tr w14:paraId="60A84E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76" w:type="dxa"/>
            <w:vMerge w:val="restart"/>
            <w:tcBorders>
              <w:tl2br w:val="nil"/>
              <w:tr2bl w:val="nil"/>
            </w:tcBorders>
            <w:vAlign w:val="center"/>
          </w:tcPr>
          <w:p w14:paraId="3298C443">
            <w:pPr>
              <w:jc w:val="center"/>
              <w:rPr>
                <w:sz w:val="2"/>
                <w:szCs w:val="2"/>
              </w:rPr>
            </w:pPr>
            <w:r>
              <w:rPr>
                <w:rFonts w:hint="eastAsia" w:ascii="Times New Roman" w:eastAsia="宋体"/>
                <w:sz w:val="21"/>
                <w:lang w:val="en-US" w:eastAsia="zh-CN"/>
              </w:rPr>
              <w:t>危废仓库</w:t>
            </w:r>
          </w:p>
        </w:tc>
        <w:tc>
          <w:tcPr>
            <w:tcW w:w="2117" w:type="dxa"/>
            <w:tcBorders>
              <w:tl2br w:val="nil"/>
              <w:tr2bl w:val="nil"/>
            </w:tcBorders>
            <w:vAlign w:val="center"/>
          </w:tcPr>
          <w:p w14:paraId="433B23CA">
            <w:pPr>
              <w:pStyle w:val="34"/>
              <w:spacing w:line="240" w:lineRule="auto"/>
              <w:ind w:firstLine="0" w:firstLineChars="0"/>
              <w:jc w:val="center"/>
              <w:rPr>
                <w:rFonts w:hint="eastAsia"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rPr>
              <w:t>漆渣</w:t>
            </w:r>
          </w:p>
        </w:tc>
        <w:tc>
          <w:tcPr>
            <w:tcW w:w="1534" w:type="dxa"/>
            <w:tcBorders>
              <w:tl2br w:val="nil"/>
              <w:tr2bl w:val="nil"/>
            </w:tcBorders>
            <w:vAlign w:val="center"/>
          </w:tcPr>
          <w:p w14:paraId="779006A0">
            <w:pPr>
              <w:pStyle w:val="143"/>
              <w:spacing w:before="0"/>
              <w:ind w:left="0" w:leftChars="0" w:right="0" w:rightChars="0"/>
              <w:jc w:val="center"/>
              <w:rPr>
                <w:rFonts w:hint="default" w:ascii="Times New Roman"/>
                <w:sz w:val="21"/>
                <w:lang w:val="en-US" w:eastAsia="zh-CN"/>
              </w:rPr>
            </w:pPr>
            <w:r>
              <w:rPr>
                <w:rFonts w:hint="eastAsia" w:ascii="Times New Roman" w:hAnsi="Times New Roman" w:cs="Times New Roman"/>
                <w:bCs w:val="0"/>
                <w:sz w:val="21"/>
                <w:szCs w:val="21"/>
                <w:lang w:val="en-US" w:eastAsia="zh-CN"/>
              </w:rPr>
              <w:t>8</w:t>
            </w:r>
          </w:p>
        </w:tc>
        <w:tc>
          <w:tcPr>
            <w:tcW w:w="1396" w:type="dxa"/>
            <w:tcBorders>
              <w:tl2br w:val="nil"/>
              <w:tr2bl w:val="nil"/>
            </w:tcBorders>
            <w:vAlign w:val="center"/>
          </w:tcPr>
          <w:p w14:paraId="716AB8A4">
            <w:pPr>
              <w:pStyle w:val="143"/>
              <w:rPr>
                <w:rFonts w:hint="default" w:ascii="Times New Roman" w:eastAsia="宋体"/>
                <w:sz w:val="21"/>
                <w:lang w:val="en-US" w:eastAsia="zh-CN"/>
              </w:rPr>
            </w:pPr>
            <w:r>
              <w:rPr>
                <w:rFonts w:hint="eastAsia" w:ascii="Times New Roman"/>
                <w:sz w:val="21"/>
              </w:rPr>
              <w:t>50</w:t>
            </w:r>
          </w:p>
        </w:tc>
        <w:tc>
          <w:tcPr>
            <w:tcW w:w="1314" w:type="dxa"/>
            <w:tcBorders>
              <w:tl2br w:val="nil"/>
              <w:tr2bl w:val="nil"/>
            </w:tcBorders>
            <w:vAlign w:val="center"/>
          </w:tcPr>
          <w:p w14:paraId="294308DF">
            <w:pPr>
              <w:pStyle w:val="143"/>
              <w:rPr>
                <w:rFonts w:hint="default" w:ascii="Times New Roman" w:eastAsia="宋体"/>
                <w:sz w:val="21"/>
                <w:lang w:val="en-US" w:eastAsia="zh-CN"/>
              </w:rPr>
            </w:pPr>
            <w:r>
              <w:rPr>
                <w:rFonts w:hint="eastAsia" w:ascii="Times New Roman"/>
                <w:sz w:val="21"/>
                <w:lang w:val="en-US" w:eastAsia="zh-CN"/>
              </w:rPr>
              <w:t>0.16</w:t>
            </w:r>
          </w:p>
        </w:tc>
        <w:tc>
          <w:tcPr>
            <w:tcW w:w="1677" w:type="dxa"/>
            <w:vMerge w:val="continue"/>
            <w:tcBorders>
              <w:tl2br w:val="nil"/>
              <w:tr2bl w:val="nil"/>
            </w:tcBorders>
            <w:vAlign w:val="center"/>
          </w:tcPr>
          <w:p w14:paraId="16E6075B">
            <w:pPr>
              <w:jc w:val="center"/>
              <w:rPr>
                <w:sz w:val="2"/>
                <w:szCs w:val="2"/>
              </w:rPr>
            </w:pPr>
          </w:p>
        </w:tc>
      </w:tr>
      <w:tr w14:paraId="0A2D91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76" w:type="dxa"/>
            <w:vMerge w:val="continue"/>
            <w:tcBorders>
              <w:tl2br w:val="nil"/>
              <w:tr2bl w:val="nil"/>
            </w:tcBorders>
            <w:vAlign w:val="center"/>
          </w:tcPr>
          <w:p w14:paraId="106FB25D">
            <w:pPr>
              <w:jc w:val="center"/>
              <w:rPr>
                <w:sz w:val="2"/>
                <w:szCs w:val="2"/>
              </w:rPr>
            </w:pPr>
          </w:p>
        </w:tc>
        <w:tc>
          <w:tcPr>
            <w:tcW w:w="2117" w:type="dxa"/>
            <w:tcBorders>
              <w:tl2br w:val="nil"/>
              <w:tr2bl w:val="nil"/>
            </w:tcBorders>
            <w:vAlign w:val="center"/>
          </w:tcPr>
          <w:p w14:paraId="624125A7">
            <w:pPr>
              <w:pStyle w:val="34"/>
              <w:spacing w:line="240" w:lineRule="auto"/>
              <w:ind w:firstLine="0" w:firstLineChars="0"/>
              <w:jc w:val="center"/>
              <w:rPr>
                <w:rFonts w:hint="eastAsia" w:ascii="Times New Roman" w:hAnsi="Times New Roman" w:eastAsia="宋体" w:cs="Times New Roman"/>
                <w:kern w:val="0"/>
                <w:sz w:val="21"/>
                <w:szCs w:val="21"/>
                <w:lang w:val="en-US" w:eastAsia="zh-CN" w:bidi="zh-CN"/>
              </w:rPr>
            </w:pPr>
            <w:r>
              <w:rPr>
                <w:rFonts w:hint="eastAsia" w:ascii="Times New Roman" w:hAnsi="Times New Roman" w:eastAsia="宋体" w:cs="Times New Roman"/>
                <w:sz w:val="21"/>
                <w:szCs w:val="21"/>
                <w:lang w:val="en-US" w:eastAsia="zh-CN"/>
              </w:rPr>
              <w:t>废包装桶</w:t>
            </w:r>
          </w:p>
        </w:tc>
        <w:tc>
          <w:tcPr>
            <w:tcW w:w="1534" w:type="dxa"/>
            <w:tcBorders>
              <w:tl2br w:val="nil"/>
              <w:tr2bl w:val="nil"/>
            </w:tcBorders>
            <w:vAlign w:val="center"/>
          </w:tcPr>
          <w:p w14:paraId="4F4225EC">
            <w:pPr>
              <w:pStyle w:val="143"/>
              <w:spacing w:before="0"/>
              <w:ind w:left="0" w:leftChars="0" w:right="0" w:rightChars="0"/>
              <w:jc w:val="center"/>
              <w:rPr>
                <w:rFonts w:hint="default" w:ascii="Times New Roman"/>
                <w:sz w:val="21"/>
                <w:lang w:val="en-US" w:eastAsia="zh-CN"/>
              </w:rPr>
            </w:pPr>
            <w:r>
              <w:rPr>
                <w:rFonts w:hint="eastAsia" w:ascii="Times New Roman" w:hAnsi="Times New Roman" w:cs="Times New Roman"/>
                <w:bCs w:val="0"/>
                <w:sz w:val="21"/>
                <w:szCs w:val="21"/>
                <w:lang w:val="en-US" w:eastAsia="zh-CN"/>
              </w:rPr>
              <w:t>2</w:t>
            </w:r>
          </w:p>
        </w:tc>
        <w:tc>
          <w:tcPr>
            <w:tcW w:w="1396" w:type="dxa"/>
            <w:tcBorders>
              <w:tl2br w:val="nil"/>
              <w:tr2bl w:val="nil"/>
            </w:tcBorders>
            <w:vAlign w:val="center"/>
          </w:tcPr>
          <w:p w14:paraId="7F244FC0">
            <w:pPr>
              <w:pStyle w:val="143"/>
              <w:rPr>
                <w:rFonts w:hint="default" w:ascii="Times New Roman"/>
                <w:sz w:val="21"/>
                <w:lang w:val="en-US" w:eastAsia="zh-CN"/>
              </w:rPr>
            </w:pPr>
            <w:r>
              <w:rPr>
                <w:rFonts w:hint="eastAsia" w:ascii="Times New Roman"/>
                <w:sz w:val="21"/>
                <w:lang w:val="en-US" w:eastAsia="zh-CN"/>
              </w:rPr>
              <w:t>50</w:t>
            </w:r>
          </w:p>
        </w:tc>
        <w:tc>
          <w:tcPr>
            <w:tcW w:w="1314" w:type="dxa"/>
            <w:tcBorders>
              <w:tl2br w:val="nil"/>
              <w:tr2bl w:val="nil"/>
            </w:tcBorders>
            <w:vAlign w:val="center"/>
          </w:tcPr>
          <w:p w14:paraId="0AA4D47F">
            <w:pPr>
              <w:pStyle w:val="143"/>
              <w:rPr>
                <w:rFonts w:hint="default" w:ascii="Times New Roman" w:eastAsia="宋体"/>
                <w:w w:val="100"/>
                <w:sz w:val="21"/>
                <w:lang w:val="en-US" w:eastAsia="zh-CN"/>
              </w:rPr>
            </w:pPr>
            <w:r>
              <w:rPr>
                <w:rFonts w:hint="eastAsia" w:ascii="Times New Roman"/>
                <w:sz w:val="21"/>
                <w:lang w:val="en-US" w:eastAsia="zh-CN"/>
              </w:rPr>
              <w:t>0.04</w:t>
            </w:r>
          </w:p>
        </w:tc>
        <w:tc>
          <w:tcPr>
            <w:tcW w:w="1677" w:type="dxa"/>
            <w:vMerge w:val="continue"/>
            <w:tcBorders>
              <w:tl2br w:val="nil"/>
              <w:tr2bl w:val="nil"/>
            </w:tcBorders>
            <w:vAlign w:val="center"/>
          </w:tcPr>
          <w:p w14:paraId="727F6A44">
            <w:pPr>
              <w:jc w:val="center"/>
              <w:rPr>
                <w:sz w:val="2"/>
                <w:szCs w:val="2"/>
              </w:rPr>
            </w:pPr>
          </w:p>
        </w:tc>
      </w:tr>
      <w:tr w14:paraId="3778C2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76" w:type="dxa"/>
            <w:vMerge w:val="continue"/>
            <w:tcBorders>
              <w:tl2br w:val="nil"/>
              <w:tr2bl w:val="nil"/>
            </w:tcBorders>
            <w:vAlign w:val="center"/>
          </w:tcPr>
          <w:p w14:paraId="3D3C99BC">
            <w:pPr>
              <w:jc w:val="center"/>
              <w:rPr>
                <w:sz w:val="2"/>
                <w:szCs w:val="2"/>
              </w:rPr>
            </w:pPr>
          </w:p>
        </w:tc>
        <w:tc>
          <w:tcPr>
            <w:tcW w:w="2117" w:type="dxa"/>
            <w:tcBorders>
              <w:tl2br w:val="nil"/>
              <w:tr2bl w:val="nil"/>
            </w:tcBorders>
            <w:vAlign w:val="center"/>
          </w:tcPr>
          <w:p w14:paraId="4434118D">
            <w:pPr>
              <w:pStyle w:val="34"/>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废活性炭</w:t>
            </w:r>
          </w:p>
        </w:tc>
        <w:tc>
          <w:tcPr>
            <w:tcW w:w="1534" w:type="dxa"/>
            <w:tcBorders>
              <w:tl2br w:val="nil"/>
              <w:tr2bl w:val="nil"/>
            </w:tcBorders>
            <w:vAlign w:val="center"/>
          </w:tcPr>
          <w:p w14:paraId="6505A274">
            <w:pPr>
              <w:pStyle w:val="143"/>
              <w:spacing w:before="0"/>
              <w:ind w:left="0" w:leftChars="0" w:right="0" w:rightChars="0"/>
              <w:jc w:val="center"/>
              <w:rPr>
                <w:rFonts w:hint="default" w:ascii="Times New Roman" w:hAnsi="Times New Roman" w:cs="Times New Roman"/>
                <w:bCs w:val="0"/>
                <w:sz w:val="21"/>
                <w:szCs w:val="21"/>
                <w:lang w:val="en-US" w:eastAsia="zh-CN"/>
              </w:rPr>
            </w:pPr>
            <w:r>
              <w:rPr>
                <w:rFonts w:hint="eastAsia" w:ascii="Times New Roman" w:hAnsi="Times New Roman" w:cs="Times New Roman"/>
                <w:bCs w:val="0"/>
                <w:sz w:val="21"/>
                <w:szCs w:val="21"/>
                <w:lang w:val="en-US" w:eastAsia="zh-CN"/>
              </w:rPr>
              <w:t>2</w:t>
            </w:r>
          </w:p>
        </w:tc>
        <w:tc>
          <w:tcPr>
            <w:tcW w:w="1396" w:type="dxa"/>
            <w:tcBorders>
              <w:tl2br w:val="nil"/>
              <w:tr2bl w:val="nil"/>
            </w:tcBorders>
            <w:vAlign w:val="center"/>
          </w:tcPr>
          <w:p w14:paraId="24125CD1">
            <w:pPr>
              <w:pStyle w:val="143"/>
              <w:rPr>
                <w:rFonts w:hint="default" w:ascii="Times New Roman"/>
                <w:sz w:val="21"/>
                <w:lang w:val="en-US" w:eastAsia="zh-CN"/>
              </w:rPr>
            </w:pPr>
            <w:r>
              <w:rPr>
                <w:rFonts w:hint="eastAsia" w:ascii="Times New Roman"/>
                <w:sz w:val="21"/>
                <w:lang w:val="en-US" w:eastAsia="zh-CN"/>
              </w:rPr>
              <w:t>50</w:t>
            </w:r>
          </w:p>
        </w:tc>
        <w:tc>
          <w:tcPr>
            <w:tcW w:w="1314" w:type="dxa"/>
            <w:tcBorders>
              <w:tl2br w:val="nil"/>
              <w:tr2bl w:val="nil"/>
            </w:tcBorders>
            <w:vAlign w:val="center"/>
          </w:tcPr>
          <w:p w14:paraId="4B032A75">
            <w:pPr>
              <w:pStyle w:val="143"/>
              <w:rPr>
                <w:rFonts w:hint="default" w:ascii="Times New Roman"/>
                <w:sz w:val="21"/>
                <w:lang w:val="en-US" w:eastAsia="zh-CN"/>
              </w:rPr>
            </w:pPr>
            <w:r>
              <w:rPr>
                <w:rFonts w:hint="eastAsia" w:ascii="Times New Roman"/>
                <w:sz w:val="21"/>
                <w:lang w:val="en-US" w:eastAsia="zh-CN"/>
              </w:rPr>
              <w:t>0.04</w:t>
            </w:r>
          </w:p>
        </w:tc>
        <w:tc>
          <w:tcPr>
            <w:tcW w:w="1677" w:type="dxa"/>
            <w:vMerge w:val="continue"/>
            <w:tcBorders>
              <w:tl2br w:val="nil"/>
              <w:tr2bl w:val="nil"/>
            </w:tcBorders>
            <w:vAlign w:val="center"/>
          </w:tcPr>
          <w:p w14:paraId="108C8414">
            <w:pPr>
              <w:jc w:val="center"/>
              <w:rPr>
                <w:sz w:val="2"/>
                <w:szCs w:val="2"/>
              </w:rPr>
            </w:pPr>
          </w:p>
        </w:tc>
      </w:tr>
      <w:tr w14:paraId="2CEA5B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76" w:type="dxa"/>
            <w:vMerge w:val="continue"/>
            <w:tcBorders>
              <w:tl2br w:val="nil"/>
              <w:tr2bl w:val="nil"/>
            </w:tcBorders>
            <w:vAlign w:val="center"/>
          </w:tcPr>
          <w:p w14:paraId="5C2B0BFA">
            <w:pPr>
              <w:jc w:val="center"/>
              <w:rPr>
                <w:sz w:val="2"/>
                <w:szCs w:val="2"/>
              </w:rPr>
            </w:pPr>
          </w:p>
        </w:tc>
        <w:tc>
          <w:tcPr>
            <w:tcW w:w="2117" w:type="dxa"/>
            <w:tcBorders>
              <w:tl2br w:val="nil"/>
              <w:tr2bl w:val="nil"/>
            </w:tcBorders>
            <w:vAlign w:val="center"/>
          </w:tcPr>
          <w:p w14:paraId="06C843BC">
            <w:pPr>
              <w:pStyle w:val="34"/>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废过滤棉</w:t>
            </w:r>
          </w:p>
        </w:tc>
        <w:tc>
          <w:tcPr>
            <w:tcW w:w="1534" w:type="dxa"/>
            <w:tcBorders>
              <w:tl2br w:val="nil"/>
              <w:tr2bl w:val="nil"/>
            </w:tcBorders>
            <w:vAlign w:val="center"/>
          </w:tcPr>
          <w:p w14:paraId="0DFF6E8B">
            <w:pPr>
              <w:pStyle w:val="143"/>
              <w:spacing w:before="0"/>
              <w:ind w:left="0" w:leftChars="0" w:right="0" w:rightChars="0"/>
              <w:jc w:val="center"/>
              <w:rPr>
                <w:rFonts w:hint="default" w:ascii="Times New Roman" w:hAnsi="Times New Roman" w:cs="Times New Roman"/>
                <w:bCs w:val="0"/>
                <w:sz w:val="21"/>
                <w:szCs w:val="21"/>
                <w:lang w:val="en-US" w:eastAsia="zh-CN"/>
              </w:rPr>
            </w:pPr>
            <w:r>
              <w:rPr>
                <w:rFonts w:hint="eastAsia" w:ascii="Times New Roman" w:hAnsi="Times New Roman" w:cs="Times New Roman"/>
                <w:bCs w:val="0"/>
                <w:sz w:val="21"/>
                <w:szCs w:val="21"/>
                <w:lang w:val="en-US" w:eastAsia="zh-CN"/>
              </w:rPr>
              <w:t>2</w:t>
            </w:r>
          </w:p>
        </w:tc>
        <w:tc>
          <w:tcPr>
            <w:tcW w:w="1396" w:type="dxa"/>
            <w:tcBorders>
              <w:tl2br w:val="nil"/>
              <w:tr2bl w:val="nil"/>
            </w:tcBorders>
            <w:vAlign w:val="center"/>
          </w:tcPr>
          <w:p w14:paraId="11DCFAB8">
            <w:pPr>
              <w:pStyle w:val="143"/>
              <w:rPr>
                <w:rFonts w:hint="default" w:ascii="Times New Roman"/>
                <w:sz w:val="21"/>
                <w:lang w:val="en-US" w:eastAsia="zh-CN"/>
              </w:rPr>
            </w:pPr>
            <w:r>
              <w:rPr>
                <w:rFonts w:hint="eastAsia" w:ascii="Times New Roman"/>
                <w:sz w:val="21"/>
                <w:lang w:val="en-US" w:eastAsia="zh-CN"/>
              </w:rPr>
              <w:t>50</w:t>
            </w:r>
          </w:p>
        </w:tc>
        <w:tc>
          <w:tcPr>
            <w:tcW w:w="1314" w:type="dxa"/>
            <w:tcBorders>
              <w:tl2br w:val="nil"/>
              <w:tr2bl w:val="nil"/>
            </w:tcBorders>
            <w:vAlign w:val="center"/>
          </w:tcPr>
          <w:p w14:paraId="6E8BFDDD">
            <w:pPr>
              <w:pStyle w:val="143"/>
              <w:rPr>
                <w:rFonts w:hint="default" w:ascii="Times New Roman"/>
                <w:sz w:val="21"/>
                <w:lang w:val="en-US" w:eastAsia="zh-CN"/>
              </w:rPr>
            </w:pPr>
            <w:r>
              <w:rPr>
                <w:rFonts w:hint="eastAsia" w:ascii="Times New Roman"/>
                <w:sz w:val="21"/>
                <w:lang w:val="en-US" w:eastAsia="zh-CN"/>
              </w:rPr>
              <w:t>0.04</w:t>
            </w:r>
          </w:p>
        </w:tc>
        <w:tc>
          <w:tcPr>
            <w:tcW w:w="1677" w:type="dxa"/>
            <w:vMerge w:val="continue"/>
            <w:tcBorders>
              <w:tl2br w:val="nil"/>
              <w:tr2bl w:val="nil"/>
            </w:tcBorders>
            <w:vAlign w:val="center"/>
          </w:tcPr>
          <w:p w14:paraId="0E6C2ADC">
            <w:pPr>
              <w:jc w:val="center"/>
              <w:rPr>
                <w:sz w:val="2"/>
                <w:szCs w:val="2"/>
              </w:rPr>
            </w:pPr>
          </w:p>
        </w:tc>
      </w:tr>
      <w:tr w14:paraId="2B4BE9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323" w:type="dxa"/>
            <w:gridSpan w:val="4"/>
            <w:tcBorders>
              <w:tl2br w:val="nil"/>
              <w:tr2bl w:val="nil"/>
            </w:tcBorders>
            <w:vAlign w:val="center"/>
          </w:tcPr>
          <w:p w14:paraId="673996ED">
            <w:pPr>
              <w:pStyle w:val="143"/>
              <w:spacing w:before="0"/>
              <w:ind w:left="0" w:right="0"/>
              <w:rPr>
                <w:rFonts w:ascii="Times New Roman" w:hAnsi="Times New Roman"/>
                <w:b/>
                <w:sz w:val="21"/>
              </w:rPr>
            </w:pPr>
            <w:r>
              <w:rPr>
                <w:rFonts w:ascii="Times New Roman" w:hAnsi="Times New Roman"/>
                <w:b/>
                <w:sz w:val="21"/>
              </w:rPr>
              <w:t>ΣQi/qi</w:t>
            </w:r>
          </w:p>
        </w:tc>
        <w:tc>
          <w:tcPr>
            <w:tcW w:w="1314" w:type="dxa"/>
            <w:tcBorders>
              <w:tl2br w:val="nil"/>
              <w:tr2bl w:val="nil"/>
            </w:tcBorders>
            <w:vAlign w:val="center"/>
          </w:tcPr>
          <w:p w14:paraId="4F3D4B6F">
            <w:pPr>
              <w:pStyle w:val="143"/>
              <w:spacing w:before="0"/>
              <w:ind w:right="0" w:rightChars="0"/>
              <w:jc w:val="center"/>
              <w:rPr>
                <w:rFonts w:hint="default" w:ascii="Times New Roman" w:eastAsia="宋体"/>
                <w:sz w:val="21"/>
                <w:lang w:val="en-US" w:eastAsia="zh-CN"/>
              </w:rPr>
            </w:pPr>
            <w:r>
              <w:rPr>
                <w:rFonts w:hint="eastAsia" w:ascii="Times New Roman" w:hAnsi="Times New Roman" w:cs="Times New Roman"/>
                <w:kern w:val="2"/>
                <w:sz w:val="21"/>
                <w:szCs w:val="21"/>
                <w:lang w:val="en-US" w:eastAsia="zh-CN" w:bidi="ar-SA"/>
              </w:rPr>
              <w:t>0.293</w:t>
            </w:r>
          </w:p>
        </w:tc>
        <w:tc>
          <w:tcPr>
            <w:tcW w:w="1677" w:type="dxa"/>
            <w:vMerge w:val="continue"/>
            <w:tcBorders>
              <w:tl2br w:val="nil"/>
              <w:tr2bl w:val="nil"/>
            </w:tcBorders>
            <w:vAlign w:val="center"/>
          </w:tcPr>
          <w:p w14:paraId="57D2D349">
            <w:pPr>
              <w:jc w:val="center"/>
              <w:rPr>
                <w:sz w:val="2"/>
                <w:szCs w:val="2"/>
              </w:rPr>
            </w:pPr>
          </w:p>
        </w:tc>
      </w:tr>
    </w:tbl>
    <w:p w14:paraId="7B1D3C7E">
      <w:pPr>
        <w:adjustRightInd w:val="0"/>
        <w:snapToGrid w:val="0"/>
        <w:spacing w:line="500" w:lineRule="exact"/>
        <w:ind w:firstLine="480" w:firstLineChars="200"/>
        <w:rPr>
          <w:rFonts w:eastAsia="宋体"/>
        </w:rPr>
      </w:pPr>
      <w:r>
        <w:rPr>
          <w:rFonts w:eastAsia="宋体"/>
        </w:rPr>
        <w:t>根据上述计算，公司涉气风险物质数量与临界量比值为</w:t>
      </w:r>
      <w:r>
        <w:rPr>
          <w:rFonts w:hint="eastAsia" w:eastAsia="宋体"/>
        </w:rPr>
        <w:t>Q=</w:t>
      </w:r>
      <w:r>
        <w:rPr>
          <w:rFonts w:hint="eastAsia" w:eastAsia="宋体"/>
          <w:lang w:val="en-US" w:eastAsia="zh-CN"/>
        </w:rPr>
        <w:t>0.293</w:t>
      </w:r>
      <w:r>
        <w:rPr>
          <w:rFonts w:eastAsia="宋体"/>
          <w:color w:val="000000" w:themeColor="text1"/>
          <w14:textFill>
            <w14:solidFill>
              <w14:schemeClr w14:val="tx1"/>
            </w14:solidFill>
          </w14:textFill>
        </w:rPr>
        <w:t>，Q＜1，</w:t>
      </w:r>
      <w:r>
        <w:rPr>
          <w:rFonts w:eastAsia="宋体"/>
        </w:rPr>
        <w:t>直接评为一般环境风险等级Q0。</w:t>
      </w:r>
    </w:p>
    <w:p w14:paraId="267F83EA">
      <w:pPr>
        <w:pStyle w:val="4"/>
        <w:adjustRightInd w:val="0"/>
        <w:snapToGrid w:val="0"/>
        <w:spacing w:line="500" w:lineRule="exact"/>
        <w:jc w:val="left"/>
        <w:rPr>
          <w:rFonts w:eastAsia="宋体"/>
          <w:color w:val="000000" w:themeColor="text1"/>
          <w14:textFill>
            <w14:solidFill>
              <w14:schemeClr w14:val="tx1"/>
            </w14:solidFill>
          </w14:textFill>
        </w:rPr>
      </w:pPr>
      <w:bookmarkStart w:id="306" w:name="_Toc4575"/>
      <w:bookmarkStart w:id="307" w:name="_Toc8209"/>
      <w:bookmarkStart w:id="308" w:name="_Toc818"/>
      <w:bookmarkStart w:id="309" w:name="_TOC_250020"/>
      <w:r>
        <w:rPr>
          <w:rFonts w:hint="eastAsia" w:eastAsia="宋体"/>
          <w:color w:val="000000" w:themeColor="text1"/>
          <w14:textFill>
            <w14:solidFill>
              <w14:schemeClr w14:val="tx1"/>
            </w14:solidFill>
          </w14:textFill>
        </w:rPr>
        <w:t>7.1.2生产工艺过程与大气环境风险控制水平（M）评估</w:t>
      </w:r>
      <w:bookmarkEnd w:id="306"/>
      <w:bookmarkEnd w:id="307"/>
      <w:bookmarkEnd w:id="308"/>
    </w:p>
    <w:bookmarkEnd w:id="309"/>
    <w:p w14:paraId="63FD60DD">
      <w:pPr>
        <w:pStyle w:val="13"/>
        <w:spacing w:after="0" w:line="500" w:lineRule="exact"/>
        <w:ind w:firstLine="480" w:firstLineChars="200"/>
        <w:rPr>
          <w:rFonts w:eastAsia="宋体"/>
        </w:rPr>
      </w:pPr>
      <w:r>
        <w:rPr>
          <w:rFonts w:eastAsia="宋体"/>
        </w:rPr>
        <w:t>采用评分法对企业生产工艺过程、大气环境风险防控措施及突发大气环境事</w:t>
      </w:r>
      <w:r>
        <w:rPr>
          <w:rFonts w:eastAsia="宋体"/>
          <w:spacing w:val="-8"/>
        </w:rPr>
        <w:t>件发生情况进行评估，将各项指标分值累加，确定企业生产工艺过程与大气环境</w:t>
      </w:r>
      <w:r>
        <w:rPr>
          <w:rFonts w:eastAsia="宋体"/>
        </w:rPr>
        <w:t>风险控制水平（M）。</w:t>
      </w:r>
    </w:p>
    <w:p w14:paraId="7E6773AD">
      <w:pPr>
        <w:pStyle w:val="156"/>
        <w:numPr>
          <w:ilvl w:val="255"/>
          <w:numId w:val="0"/>
        </w:numPr>
        <w:tabs>
          <w:tab w:val="left" w:pos="1379"/>
        </w:tabs>
        <w:spacing w:line="500" w:lineRule="exact"/>
        <w:ind w:left="480" w:leftChars="200"/>
        <w:rPr>
          <w:rFonts w:eastAsia="宋体"/>
        </w:rPr>
      </w:pPr>
      <w:r>
        <w:rPr>
          <w:rFonts w:hint="eastAsia" w:eastAsia="宋体"/>
        </w:rPr>
        <w:t>（1）</w:t>
      </w:r>
      <w:r>
        <w:rPr>
          <w:rFonts w:eastAsia="宋体"/>
        </w:rPr>
        <w:t>生产工艺过程含有风险工艺和设备情况</w:t>
      </w:r>
    </w:p>
    <w:p w14:paraId="6C3CDDF4">
      <w:pPr>
        <w:pStyle w:val="13"/>
        <w:spacing w:after="0" w:line="500" w:lineRule="exact"/>
        <w:ind w:firstLine="480" w:firstLineChars="200"/>
        <w:rPr>
          <w:rFonts w:eastAsia="宋体"/>
        </w:rPr>
      </w:pPr>
      <w:r>
        <w:rPr>
          <w:rFonts w:eastAsia="宋体"/>
        </w:rPr>
        <w:t>从上文章节3.5.</w:t>
      </w:r>
      <w:r>
        <w:rPr>
          <w:rFonts w:hint="eastAsia" w:eastAsia="宋体"/>
        </w:rPr>
        <w:t>3</w:t>
      </w:r>
      <w:r>
        <w:rPr>
          <w:rFonts w:eastAsia="宋体"/>
        </w:rPr>
        <w:t>可知，企业生产工艺过程评分为</w:t>
      </w:r>
      <w:r>
        <w:rPr>
          <w:rFonts w:hint="eastAsia" w:eastAsia="宋体"/>
        </w:rPr>
        <w:t>5</w:t>
      </w:r>
      <w:r>
        <w:rPr>
          <w:rFonts w:eastAsia="宋体"/>
        </w:rPr>
        <w:t>分。</w:t>
      </w:r>
    </w:p>
    <w:p w14:paraId="5D8D4E33">
      <w:pPr>
        <w:pStyle w:val="156"/>
        <w:numPr>
          <w:ilvl w:val="255"/>
          <w:numId w:val="0"/>
        </w:numPr>
        <w:tabs>
          <w:tab w:val="left" w:pos="1379"/>
        </w:tabs>
        <w:spacing w:line="500" w:lineRule="exact"/>
        <w:ind w:left="480" w:leftChars="200"/>
        <w:rPr>
          <w:rFonts w:eastAsia="宋体"/>
        </w:rPr>
      </w:pPr>
      <w:r>
        <w:rPr>
          <w:rFonts w:hint="eastAsia" w:eastAsia="宋体"/>
        </w:rPr>
        <w:t>（2）</w:t>
      </w:r>
      <w:r>
        <w:rPr>
          <w:rFonts w:eastAsia="宋体"/>
        </w:rPr>
        <w:t>大气环境风险防控措施及突发大气环境事件发生情况</w:t>
      </w:r>
    </w:p>
    <w:p w14:paraId="6C441D78">
      <w:pPr>
        <w:snapToGrid w:val="0"/>
        <w:spacing w:line="500" w:lineRule="exact"/>
        <w:rPr>
          <w:rFonts w:eastAsia="宋体"/>
        </w:rPr>
      </w:pPr>
      <w:r>
        <w:rPr>
          <w:rFonts w:eastAsia="宋体"/>
        </w:rPr>
        <w:t>公司大气环境风险防控措施与突发大气环境事件发生情况评估评估指标见7-2。对各项评估指标分别评分、计算总和，各项指标分值合计最高为70分。</w:t>
      </w:r>
    </w:p>
    <w:p w14:paraId="42D03553">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7-2大气</w:t>
      </w:r>
      <w:r>
        <w:rPr>
          <w:rFonts w:eastAsiaTheme="minorEastAsia"/>
          <w:b/>
          <w:color w:val="000000" w:themeColor="text1"/>
          <w14:textFill>
            <w14:solidFill>
              <w14:schemeClr w14:val="tx1"/>
            </w14:solidFill>
          </w14:textFill>
        </w:rPr>
        <w:t>环境风险防控措施与突发环境事件发生情况评估</w:t>
      </w:r>
    </w:p>
    <w:tbl>
      <w:tblPr>
        <w:tblStyle w:val="38"/>
        <w:tblW w:w="505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33"/>
        <w:gridCol w:w="5337"/>
        <w:gridCol w:w="509"/>
        <w:gridCol w:w="1865"/>
        <w:gridCol w:w="569"/>
      </w:tblGrid>
      <w:tr w14:paraId="69F6D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3" w:hRule="atLeast"/>
          <w:tblHeader/>
        </w:trPr>
        <w:tc>
          <w:tcPr>
            <w:tcW w:w="3678" w:type="pct"/>
            <w:gridSpan w:val="3"/>
            <w:vAlign w:val="center"/>
          </w:tcPr>
          <w:p w14:paraId="2803BF92">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企业突发环境事件风险分级方法</w:t>
            </w:r>
          </w:p>
        </w:tc>
        <w:tc>
          <w:tcPr>
            <w:tcW w:w="1321" w:type="pct"/>
            <w:gridSpan w:val="2"/>
            <w:vAlign w:val="center"/>
          </w:tcPr>
          <w:p w14:paraId="01496DAB">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企业现状</w:t>
            </w:r>
          </w:p>
        </w:tc>
      </w:tr>
      <w:tr w14:paraId="429AC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blHeader/>
        </w:trPr>
        <w:tc>
          <w:tcPr>
            <w:tcW w:w="506" w:type="pct"/>
            <w:vAlign w:val="center"/>
          </w:tcPr>
          <w:p w14:paraId="1D7FA023">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评估指标</w:t>
            </w:r>
          </w:p>
        </w:tc>
        <w:tc>
          <w:tcPr>
            <w:tcW w:w="2896" w:type="pct"/>
            <w:vAlign w:val="center"/>
          </w:tcPr>
          <w:p w14:paraId="593E5397">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评估依据</w:t>
            </w:r>
          </w:p>
        </w:tc>
        <w:tc>
          <w:tcPr>
            <w:tcW w:w="275" w:type="pct"/>
            <w:vAlign w:val="center"/>
          </w:tcPr>
          <w:p w14:paraId="3B49BE8D">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c>
          <w:tcPr>
            <w:tcW w:w="1012" w:type="pct"/>
            <w:vAlign w:val="center"/>
          </w:tcPr>
          <w:p w14:paraId="31A36425">
            <w:pPr>
              <w:autoSpaceDE w:val="0"/>
              <w:autoSpaceDN w:val="0"/>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企业目前情况</w:t>
            </w:r>
          </w:p>
        </w:tc>
        <w:tc>
          <w:tcPr>
            <w:tcW w:w="309" w:type="pct"/>
            <w:vAlign w:val="center"/>
          </w:tcPr>
          <w:p w14:paraId="28395738">
            <w:pPr>
              <w:autoSpaceDE w:val="0"/>
              <w:autoSpaceDN w:val="0"/>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得分</w:t>
            </w:r>
          </w:p>
        </w:tc>
      </w:tr>
      <w:tr w14:paraId="2B540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88" w:hRule="atLeast"/>
        </w:trPr>
        <w:tc>
          <w:tcPr>
            <w:tcW w:w="506" w:type="pct"/>
            <w:vMerge w:val="restart"/>
            <w:vAlign w:val="center"/>
          </w:tcPr>
          <w:p w14:paraId="73F96481">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毒性气体泄漏监控预警措施</w:t>
            </w:r>
          </w:p>
        </w:tc>
        <w:tc>
          <w:tcPr>
            <w:tcW w:w="2896" w:type="pct"/>
            <w:vAlign w:val="center"/>
          </w:tcPr>
          <w:p w14:paraId="6180E43E">
            <w:pPr>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（1）不涉及附录A中有毒有害气体的；或</w:t>
            </w:r>
          </w:p>
          <w:p w14:paraId="2F6397F7">
            <w:pPr>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（2）根据实际情况，具备有毒有害气体（如硫化氢、氰化氢、氯化氢、光气、氯气、氨气、苯等）厂界泄漏监控预警系统的</w:t>
            </w:r>
          </w:p>
        </w:tc>
        <w:tc>
          <w:tcPr>
            <w:tcW w:w="275" w:type="pct"/>
            <w:vAlign w:val="center"/>
          </w:tcPr>
          <w:p w14:paraId="387ADEBC">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1012" w:type="pct"/>
            <w:vMerge w:val="restart"/>
            <w:vAlign w:val="center"/>
          </w:tcPr>
          <w:p w14:paraId="734B21B4">
            <w:pP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公司不涉及附录A中有毒有害气体的</w:t>
            </w:r>
          </w:p>
        </w:tc>
        <w:tc>
          <w:tcPr>
            <w:tcW w:w="309" w:type="pct"/>
            <w:vMerge w:val="restart"/>
            <w:vAlign w:val="center"/>
          </w:tcPr>
          <w:p w14:paraId="48EF26DA">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02952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1C3751B7">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1EFEF07F">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不具备厂界泄漏监控预警系统的</w:t>
            </w:r>
          </w:p>
        </w:tc>
        <w:tc>
          <w:tcPr>
            <w:tcW w:w="275" w:type="pct"/>
            <w:vAlign w:val="center"/>
          </w:tcPr>
          <w:p w14:paraId="13F62D2E">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25</w:t>
            </w:r>
          </w:p>
        </w:tc>
        <w:tc>
          <w:tcPr>
            <w:tcW w:w="1012" w:type="pct"/>
            <w:vMerge w:val="continue"/>
            <w:vAlign w:val="center"/>
          </w:tcPr>
          <w:p w14:paraId="0D66F0AA">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20CF9654">
            <w:pPr>
              <w:snapToGrid w:val="0"/>
              <w:jc w:val="center"/>
              <w:rPr>
                <w:rFonts w:eastAsiaTheme="minorEastAsia"/>
                <w:color w:val="000000" w:themeColor="text1"/>
                <w:sz w:val="21"/>
                <w:szCs w:val="21"/>
                <w14:textFill>
                  <w14:solidFill>
                    <w14:schemeClr w14:val="tx1"/>
                  </w14:solidFill>
                </w14:textFill>
              </w:rPr>
            </w:pPr>
          </w:p>
        </w:tc>
      </w:tr>
      <w:tr w14:paraId="0CB925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restart"/>
            <w:vAlign w:val="center"/>
          </w:tcPr>
          <w:p w14:paraId="7544CCDB">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符合防护距离情况</w:t>
            </w:r>
          </w:p>
        </w:tc>
        <w:tc>
          <w:tcPr>
            <w:tcW w:w="2896" w:type="pct"/>
            <w:vAlign w:val="center"/>
          </w:tcPr>
          <w:p w14:paraId="1A431DA4">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符合环评及批复文件防护距离要求的</w:t>
            </w:r>
          </w:p>
        </w:tc>
        <w:tc>
          <w:tcPr>
            <w:tcW w:w="275" w:type="pct"/>
            <w:vAlign w:val="center"/>
          </w:tcPr>
          <w:p w14:paraId="75B53EB3">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1012" w:type="pct"/>
            <w:vMerge w:val="restart"/>
            <w:vAlign w:val="center"/>
          </w:tcPr>
          <w:p w14:paraId="6DA73BAA">
            <w:pPr>
              <w:widowControl/>
              <w:rPr>
                <w:rFonts w:eastAsiaTheme="minorEastAsia"/>
                <w:color w:val="000000" w:themeColor="text1"/>
                <w:sz w:val="21"/>
                <w:szCs w:val="21"/>
                <w14:textFill>
                  <w14:solidFill>
                    <w14:schemeClr w14:val="tx1"/>
                  </w14:solidFill>
                </w14:textFill>
              </w:rPr>
            </w:pPr>
            <w:r>
              <w:rPr>
                <w:rFonts w:hint="eastAsia" w:eastAsia="宋体"/>
                <w:kern w:val="0"/>
                <w:sz w:val="21"/>
                <w:szCs w:val="21"/>
              </w:rPr>
              <w:t>防护距离内无敏感目标</w:t>
            </w:r>
          </w:p>
        </w:tc>
        <w:tc>
          <w:tcPr>
            <w:tcW w:w="309" w:type="pct"/>
            <w:vMerge w:val="restart"/>
            <w:vAlign w:val="center"/>
          </w:tcPr>
          <w:p w14:paraId="1848BC01">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0</w:t>
            </w:r>
          </w:p>
        </w:tc>
      </w:tr>
      <w:tr w14:paraId="5D9E8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6FB67197">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2B3A9200">
            <w:pPr>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不符合环评及批复文件防护距离要求的</w:t>
            </w:r>
          </w:p>
        </w:tc>
        <w:tc>
          <w:tcPr>
            <w:tcW w:w="275" w:type="pct"/>
            <w:vAlign w:val="center"/>
          </w:tcPr>
          <w:p w14:paraId="77856C37">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25</w:t>
            </w:r>
          </w:p>
        </w:tc>
        <w:tc>
          <w:tcPr>
            <w:tcW w:w="1012" w:type="pct"/>
            <w:vMerge w:val="continue"/>
            <w:vAlign w:val="center"/>
          </w:tcPr>
          <w:p w14:paraId="6A58E61F">
            <w:pPr>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5FBCE537">
            <w:pPr>
              <w:snapToGrid w:val="0"/>
              <w:jc w:val="center"/>
              <w:rPr>
                <w:rFonts w:eastAsiaTheme="minorEastAsia"/>
                <w:color w:val="000000" w:themeColor="text1"/>
                <w:sz w:val="21"/>
                <w:szCs w:val="21"/>
                <w14:textFill>
                  <w14:solidFill>
                    <w14:schemeClr w14:val="tx1"/>
                  </w14:solidFill>
                </w14:textFill>
              </w:rPr>
            </w:pPr>
          </w:p>
        </w:tc>
      </w:tr>
      <w:tr w14:paraId="613F0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restart"/>
            <w:vAlign w:val="center"/>
          </w:tcPr>
          <w:p w14:paraId="6920ED80">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近3年内突发大气环境事件发生情况</w:t>
            </w:r>
          </w:p>
        </w:tc>
        <w:tc>
          <w:tcPr>
            <w:tcW w:w="2896" w:type="pct"/>
            <w:vAlign w:val="center"/>
          </w:tcPr>
          <w:p w14:paraId="7D7D25AE">
            <w:pPr>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发生过特别重大或重大等级突发大气环境事件的</w:t>
            </w:r>
          </w:p>
        </w:tc>
        <w:tc>
          <w:tcPr>
            <w:tcW w:w="275" w:type="pct"/>
            <w:vAlign w:val="center"/>
          </w:tcPr>
          <w:p w14:paraId="0E2A64F3">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20</w:t>
            </w:r>
          </w:p>
        </w:tc>
        <w:tc>
          <w:tcPr>
            <w:tcW w:w="1012" w:type="pct"/>
            <w:vMerge w:val="restart"/>
            <w:vAlign w:val="center"/>
          </w:tcPr>
          <w:p w14:paraId="03C9A12A">
            <w:pPr>
              <w:widowControl/>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未发生过突发大气环境事件。</w:t>
            </w:r>
          </w:p>
        </w:tc>
        <w:tc>
          <w:tcPr>
            <w:tcW w:w="309" w:type="pct"/>
            <w:vMerge w:val="restart"/>
            <w:vAlign w:val="center"/>
          </w:tcPr>
          <w:p w14:paraId="2A6FA084">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0B46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18EF499F">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250E1B14">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发生过较大等级突发大气环境事件的</w:t>
            </w:r>
          </w:p>
        </w:tc>
        <w:tc>
          <w:tcPr>
            <w:tcW w:w="275" w:type="pct"/>
            <w:vAlign w:val="center"/>
          </w:tcPr>
          <w:p w14:paraId="4544FF27">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15</w:t>
            </w:r>
          </w:p>
        </w:tc>
        <w:tc>
          <w:tcPr>
            <w:tcW w:w="1012" w:type="pct"/>
            <w:vMerge w:val="continue"/>
            <w:vAlign w:val="center"/>
          </w:tcPr>
          <w:p w14:paraId="699C2D66">
            <w:pPr>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7A88A1D9">
            <w:pPr>
              <w:snapToGrid w:val="0"/>
              <w:jc w:val="center"/>
              <w:rPr>
                <w:rFonts w:eastAsiaTheme="minorEastAsia"/>
                <w:color w:val="000000" w:themeColor="text1"/>
                <w:sz w:val="21"/>
                <w:szCs w:val="21"/>
                <w14:textFill>
                  <w14:solidFill>
                    <w14:schemeClr w14:val="tx1"/>
                  </w14:solidFill>
                </w14:textFill>
              </w:rPr>
            </w:pPr>
          </w:p>
        </w:tc>
      </w:tr>
      <w:tr w14:paraId="2DC09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4029EFAD">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36B8767E">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发生过一般等级突发大气环境事件的</w:t>
            </w:r>
          </w:p>
        </w:tc>
        <w:tc>
          <w:tcPr>
            <w:tcW w:w="275" w:type="pct"/>
            <w:vAlign w:val="center"/>
          </w:tcPr>
          <w:p w14:paraId="6B98B332">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w:t>
            </w:r>
          </w:p>
        </w:tc>
        <w:tc>
          <w:tcPr>
            <w:tcW w:w="1012" w:type="pct"/>
            <w:vMerge w:val="continue"/>
            <w:vAlign w:val="center"/>
          </w:tcPr>
          <w:p w14:paraId="65F11DD5">
            <w:pPr>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1E333790">
            <w:pPr>
              <w:snapToGrid w:val="0"/>
              <w:jc w:val="center"/>
              <w:rPr>
                <w:rFonts w:eastAsiaTheme="minorEastAsia"/>
                <w:color w:val="000000" w:themeColor="text1"/>
                <w:sz w:val="21"/>
                <w:szCs w:val="21"/>
                <w14:textFill>
                  <w14:solidFill>
                    <w14:schemeClr w14:val="tx1"/>
                  </w14:solidFill>
                </w14:textFill>
              </w:rPr>
            </w:pPr>
          </w:p>
        </w:tc>
      </w:tr>
      <w:tr w14:paraId="55BA7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506" w:type="pct"/>
            <w:vMerge w:val="continue"/>
            <w:vAlign w:val="center"/>
          </w:tcPr>
          <w:p w14:paraId="242035CD">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4EB82C7E">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未发生突发大气环境事件的</w:t>
            </w:r>
          </w:p>
        </w:tc>
        <w:tc>
          <w:tcPr>
            <w:tcW w:w="275" w:type="pct"/>
            <w:vAlign w:val="center"/>
          </w:tcPr>
          <w:p w14:paraId="6F8B668D">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1012" w:type="pct"/>
            <w:vMerge w:val="continue"/>
            <w:vAlign w:val="center"/>
          </w:tcPr>
          <w:p w14:paraId="40E08D34">
            <w:pPr>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4F151F43">
            <w:pPr>
              <w:snapToGrid w:val="0"/>
              <w:jc w:val="center"/>
              <w:rPr>
                <w:rFonts w:eastAsiaTheme="minorEastAsia"/>
                <w:color w:val="000000" w:themeColor="text1"/>
                <w:sz w:val="21"/>
                <w:szCs w:val="21"/>
                <w14:textFill>
                  <w14:solidFill>
                    <w14:schemeClr w14:val="tx1"/>
                  </w14:solidFill>
                </w14:textFill>
              </w:rPr>
            </w:pPr>
          </w:p>
        </w:tc>
      </w:tr>
    </w:tbl>
    <w:p w14:paraId="4F1D8AA9">
      <w:pPr>
        <w:pStyle w:val="13"/>
        <w:spacing w:after="0" w:line="500" w:lineRule="exact"/>
        <w:ind w:firstLine="480" w:firstLineChars="200"/>
        <w:rPr>
          <w:rFonts w:eastAsia="宋体"/>
        </w:rPr>
      </w:pPr>
      <w:r>
        <w:rPr>
          <w:rFonts w:eastAsia="宋体"/>
        </w:rPr>
        <w:t>从上表可知，得分为0分。</w:t>
      </w:r>
    </w:p>
    <w:p w14:paraId="2C6FA793">
      <w:pPr>
        <w:pStyle w:val="156"/>
        <w:numPr>
          <w:ilvl w:val="255"/>
          <w:numId w:val="0"/>
        </w:numPr>
        <w:tabs>
          <w:tab w:val="left" w:pos="1379"/>
        </w:tabs>
        <w:spacing w:line="500" w:lineRule="exact"/>
        <w:ind w:firstLine="480"/>
        <w:rPr>
          <w:rFonts w:eastAsia="宋体"/>
        </w:rPr>
      </w:pPr>
      <w:r>
        <w:rPr>
          <w:rFonts w:eastAsia="宋体"/>
        </w:rPr>
        <w:t>（3）企业生产工艺过程与大气环境风险控制水平</w:t>
      </w:r>
    </w:p>
    <w:p w14:paraId="68FDAD3B">
      <w:pPr>
        <w:spacing w:line="500" w:lineRule="exact"/>
        <w:ind w:firstLine="440" w:firstLineChars="200"/>
        <w:rPr>
          <w:rFonts w:eastAsia="宋体"/>
        </w:rPr>
      </w:pPr>
      <w:r>
        <w:rPr>
          <w:rFonts w:eastAsia="宋体"/>
          <w:spacing w:val="-10"/>
        </w:rPr>
        <w:t>将企业生产工艺过程、大气环境风险防控措施及突发大气环境事件发生情况</w:t>
      </w:r>
      <w:r>
        <w:rPr>
          <w:rFonts w:eastAsia="宋体"/>
          <w:spacing w:val="-8"/>
        </w:rPr>
        <w:t>各项指标评估分值累加，得出生产工艺过程与大气环境风险控制水平值，按照表</w:t>
      </w:r>
      <w:r>
        <w:rPr>
          <w:rFonts w:eastAsia="宋体"/>
        </w:rPr>
        <w:t>7-3</w:t>
      </w:r>
      <w:r>
        <w:rPr>
          <w:rFonts w:eastAsia="宋体"/>
          <w:spacing w:val="-16"/>
        </w:rPr>
        <w:t>划分为</w:t>
      </w:r>
      <w:r>
        <w:rPr>
          <w:rFonts w:eastAsia="宋体"/>
        </w:rPr>
        <w:t>4个类型。</w:t>
      </w:r>
    </w:p>
    <w:p w14:paraId="0A822B6D">
      <w:pPr>
        <w:adjustRightInd w:val="0"/>
        <w:snapToGrid w:val="0"/>
        <w:spacing w:line="500" w:lineRule="exact"/>
        <w:jc w:val="center"/>
        <w:rPr>
          <w:rFonts w:eastAsia="宋体"/>
          <w:snapToGrid w:val="0"/>
          <w:kern w:val="0"/>
        </w:rPr>
      </w:pPr>
      <w:r>
        <w:rPr>
          <w:rFonts w:eastAsia="宋体"/>
          <w:b/>
          <w:bCs/>
          <w:snapToGrid w:val="0"/>
          <w:kern w:val="0"/>
        </w:rPr>
        <w:t>表</w:t>
      </w:r>
      <w:r>
        <w:rPr>
          <w:rFonts w:hint="eastAsia" w:eastAsia="宋体"/>
          <w:b/>
          <w:bCs/>
          <w:snapToGrid w:val="0"/>
          <w:kern w:val="0"/>
        </w:rPr>
        <w:t>7-3</w:t>
      </w:r>
      <w:r>
        <w:rPr>
          <w:rFonts w:eastAsia="宋体"/>
          <w:b/>
          <w:bCs/>
          <w:snapToGrid w:val="0"/>
          <w:kern w:val="0"/>
        </w:rPr>
        <w:t>企业生产工艺过程与环境风险控制水平对照表</w:t>
      </w:r>
    </w:p>
    <w:tbl>
      <w:tblPr>
        <w:tblStyle w:val="38"/>
        <w:tblW w:w="501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51"/>
        <w:gridCol w:w="4502"/>
      </w:tblGrid>
      <w:tr w14:paraId="51BC01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0" w:type="pct"/>
            <w:tcBorders>
              <w:tl2br w:val="nil"/>
              <w:tr2bl w:val="nil"/>
            </w:tcBorders>
            <w:vAlign w:val="center"/>
          </w:tcPr>
          <w:p w14:paraId="60442D9E">
            <w:pPr>
              <w:adjustRightInd w:val="0"/>
              <w:snapToGrid w:val="0"/>
              <w:jc w:val="center"/>
              <w:rPr>
                <w:rFonts w:eastAsia="宋体"/>
                <w:bCs/>
                <w:snapToGrid w:val="0"/>
                <w:kern w:val="0"/>
                <w:sz w:val="21"/>
                <w:szCs w:val="21"/>
              </w:rPr>
            </w:pPr>
            <w:r>
              <w:rPr>
                <w:rFonts w:eastAsia="宋体"/>
                <w:bCs/>
                <w:snapToGrid w:val="0"/>
                <w:kern w:val="0"/>
                <w:sz w:val="21"/>
                <w:szCs w:val="21"/>
              </w:rPr>
              <w:t>生产工艺过程与环境风险控制水平值(M)</w:t>
            </w:r>
          </w:p>
        </w:tc>
        <w:tc>
          <w:tcPr>
            <w:tcW w:w="2459" w:type="pct"/>
            <w:tcBorders>
              <w:tl2br w:val="nil"/>
              <w:tr2bl w:val="nil"/>
            </w:tcBorders>
            <w:vAlign w:val="center"/>
          </w:tcPr>
          <w:p w14:paraId="4E1DD0DF">
            <w:pPr>
              <w:adjustRightInd w:val="0"/>
              <w:snapToGrid w:val="0"/>
              <w:jc w:val="center"/>
              <w:rPr>
                <w:rFonts w:eastAsia="宋体"/>
                <w:bCs/>
                <w:snapToGrid w:val="0"/>
                <w:kern w:val="0"/>
                <w:sz w:val="21"/>
                <w:szCs w:val="21"/>
              </w:rPr>
            </w:pPr>
            <w:r>
              <w:rPr>
                <w:rFonts w:eastAsia="宋体"/>
                <w:bCs/>
                <w:snapToGrid w:val="0"/>
                <w:kern w:val="0"/>
                <w:sz w:val="21"/>
                <w:szCs w:val="21"/>
              </w:rPr>
              <w:t>生产工艺过程与环境风险及其控制水平</w:t>
            </w:r>
          </w:p>
        </w:tc>
      </w:tr>
      <w:tr w14:paraId="261F7D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FFFFFF" w:themeFill="background1"/>
            <w:vAlign w:val="center"/>
          </w:tcPr>
          <w:p w14:paraId="2FE9A810">
            <w:pPr>
              <w:adjustRightInd w:val="0"/>
              <w:snapToGrid w:val="0"/>
              <w:jc w:val="center"/>
              <w:rPr>
                <w:rFonts w:eastAsia="宋体"/>
                <w:snapToGrid w:val="0"/>
                <w:kern w:val="0"/>
                <w:sz w:val="21"/>
                <w:szCs w:val="21"/>
              </w:rPr>
            </w:pPr>
            <w:r>
              <w:rPr>
                <w:rFonts w:eastAsia="宋体"/>
                <w:snapToGrid w:val="0"/>
                <w:kern w:val="0"/>
                <w:sz w:val="21"/>
                <w:szCs w:val="21"/>
              </w:rPr>
              <w:t>M＜25</w:t>
            </w:r>
          </w:p>
        </w:tc>
        <w:tc>
          <w:tcPr>
            <w:tcW w:w="2459" w:type="pct"/>
            <w:tcBorders>
              <w:tl2br w:val="nil"/>
              <w:tr2bl w:val="nil"/>
            </w:tcBorders>
            <w:shd w:val="clear" w:color="auto" w:fill="FFFFFF" w:themeFill="background1"/>
            <w:vAlign w:val="center"/>
          </w:tcPr>
          <w:p w14:paraId="349B52E8">
            <w:pPr>
              <w:adjustRightInd w:val="0"/>
              <w:snapToGrid w:val="0"/>
              <w:jc w:val="center"/>
              <w:rPr>
                <w:rFonts w:eastAsia="宋体"/>
                <w:snapToGrid w:val="0"/>
                <w:kern w:val="0"/>
                <w:sz w:val="21"/>
                <w:szCs w:val="21"/>
              </w:rPr>
            </w:pPr>
            <w:r>
              <w:rPr>
                <w:rFonts w:eastAsia="宋体"/>
                <w:snapToGrid w:val="0"/>
                <w:kern w:val="0"/>
                <w:sz w:val="21"/>
                <w:szCs w:val="21"/>
              </w:rPr>
              <w:t>M1</w:t>
            </w:r>
          </w:p>
        </w:tc>
      </w:tr>
      <w:tr w14:paraId="6CC947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auto"/>
            <w:vAlign w:val="center"/>
          </w:tcPr>
          <w:p w14:paraId="16BEF3B7">
            <w:pPr>
              <w:adjustRightInd w:val="0"/>
              <w:snapToGrid w:val="0"/>
              <w:jc w:val="center"/>
              <w:rPr>
                <w:rFonts w:eastAsia="宋体"/>
                <w:snapToGrid w:val="0"/>
                <w:kern w:val="0"/>
                <w:sz w:val="21"/>
                <w:szCs w:val="21"/>
              </w:rPr>
            </w:pPr>
            <w:r>
              <w:rPr>
                <w:rFonts w:eastAsia="宋体"/>
                <w:snapToGrid w:val="0"/>
                <w:kern w:val="0"/>
                <w:sz w:val="21"/>
                <w:szCs w:val="21"/>
              </w:rPr>
              <w:t>25≤M＜45</w:t>
            </w:r>
          </w:p>
        </w:tc>
        <w:tc>
          <w:tcPr>
            <w:tcW w:w="2459" w:type="pct"/>
            <w:tcBorders>
              <w:tl2br w:val="nil"/>
              <w:tr2bl w:val="nil"/>
            </w:tcBorders>
            <w:shd w:val="clear" w:color="auto" w:fill="auto"/>
            <w:vAlign w:val="center"/>
          </w:tcPr>
          <w:p w14:paraId="05F6603C">
            <w:pPr>
              <w:adjustRightInd w:val="0"/>
              <w:snapToGrid w:val="0"/>
              <w:jc w:val="center"/>
              <w:rPr>
                <w:rFonts w:eastAsia="宋体"/>
                <w:snapToGrid w:val="0"/>
                <w:kern w:val="0"/>
                <w:sz w:val="21"/>
                <w:szCs w:val="21"/>
              </w:rPr>
            </w:pPr>
            <w:r>
              <w:rPr>
                <w:rFonts w:eastAsia="宋体"/>
                <w:snapToGrid w:val="0"/>
                <w:kern w:val="0"/>
                <w:sz w:val="21"/>
                <w:szCs w:val="21"/>
              </w:rPr>
              <w:t>M2</w:t>
            </w:r>
          </w:p>
        </w:tc>
      </w:tr>
      <w:tr w14:paraId="20A5BE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vAlign w:val="center"/>
          </w:tcPr>
          <w:p w14:paraId="61E43583">
            <w:pPr>
              <w:adjustRightInd w:val="0"/>
              <w:snapToGrid w:val="0"/>
              <w:jc w:val="center"/>
              <w:rPr>
                <w:rFonts w:eastAsia="宋体"/>
                <w:snapToGrid w:val="0"/>
                <w:kern w:val="0"/>
                <w:sz w:val="21"/>
                <w:szCs w:val="21"/>
              </w:rPr>
            </w:pPr>
            <w:r>
              <w:rPr>
                <w:rFonts w:eastAsia="宋体"/>
                <w:snapToGrid w:val="0"/>
                <w:kern w:val="0"/>
                <w:sz w:val="21"/>
                <w:szCs w:val="21"/>
              </w:rPr>
              <w:t>45≤M＜60</w:t>
            </w:r>
          </w:p>
        </w:tc>
        <w:tc>
          <w:tcPr>
            <w:tcW w:w="2459" w:type="pct"/>
            <w:tcBorders>
              <w:tl2br w:val="nil"/>
              <w:tr2bl w:val="nil"/>
            </w:tcBorders>
            <w:vAlign w:val="center"/>
          </w:tcPr>
          <w:p w14:paraId="14B6A750">
            <w:pPr>
              <w:adjustRightInd w:val="0"/>
              <w:snapToGrid w:val="0"/>
              <w:jc w:val="center"/>
              <w:rPr>
                <w:rFonts w:eastAsia="宋体"/>
                <w:snapToGrid w:val="0"/>
                <w:kern w:val="0"/>
                <w:sz w:val="21"/>
                <w:szCs w:val="21"/>
              </w:rPr>
            </w:pPr>
            <w:r>
              <w:rPr>
                <w:rFonts w:eastAsia="宋体"/>
                <w:snapToGrid w:val="0"/>
                <w:kern w:val="0"/>
                <w:sz w:val="21"/>
                <w:szCs w:val="21"/>
              </w:rPr>
              <w:t>M3</w:t>
            </w:r>
          </w:p>
        </w:tc>
      </w:tr>
      <w:tr w14:paraId="65B7BF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40" w:type="pct"/>
            <w:tcBorders>
              <w:tl2br w:val="nil"/>
              <w:tr2bl w:val="nil"/>
            </w:tcBorders>
            <w:vAlign w:val="center"/>
          </w:tcPr>
          <w:p w14:paraId="480F896C">
            <w:pPr>
              <w:adjustRightInd w:val="0"/>
              <w:snapToGrid w:val="0"/>
              <w:jc w:val="center"/>
              <w:rPr>
                <w:rFonts w:eastAsia="宋体"/>
                <w:snapToGrid w:val="0"/>
                <w:kern w:val="0"/>
                <w:sz w:val="21"/>
                <w:szCs w:val="21"/>
              </w:rPr>
            </w:pPr>
            <w:r>
              <w:rPr>
                <w:rFonts w:eastAsia="宋体"/>
                <w:snapToGrid w:val="0"/>
                <w:kern w:val="0"/>
                <w:sz w:val="21"/>
                <w:szCs w:val="21"/>
              </w:rPr>
              <w:t>M≥60</w:t>
            </w:r>
          </w:p>
        </w:tc>
        <w:tc>
          <w:tcPr>
            <w:tcW w:w="2459" w:type="pct"/>
            <w:tcBorders>
              <w:tl2br w:val="nil"/>
              <w:tr2bl w:val="nil"/>
            </w:tcBorders>
            <w:vAlign w:val="center"/>
          </w:tcPr>
          <w:p w14:paraId="1A485C74">
            <w:pPr>
              <w:adjustRightInd w:val="0"/>
              <w:snapToGrid w:val="0"/>
              <w:jc w:val="center"/>
              <w:rPr>
                <w:rFonts w:eastAsia="宋体"/>
                <w:snapToGrid w:val="0"/>
                <w:kern w:val="0"/>
                <w:sz w:val="21"/>
                <w:szCs w:val="21"/>
              </w:rPr>
            </w:pPr>
            <w:r>
              <w:rPr>
                <w:rFonts w:eastAsia="宋体"/>
                <w:snapToGrid w:val="0"/>
                <w:kern w:val="0"/>
                <w:sz w:val="21"/>
                <w:szCs w:val="21"/>
              </w:rPr>
              <w:t>M4</w:t>
            </w:r>
          </w:p>
        </w:tc>
      </w:tr>
    </w:tbl>
    <w:p w14:paraId="29B3CE3A">
      <w:pPr>
        <w:pStyle w:val="13"/>
        <w:spacing w:after="0" w:line="365" w:lineRule="auto"/>
        <w:ind w:firstLine="440" w:firstLineChars="200"/>
        <w:rPr>
          <w:rFonts w:eastAsia="宋体"/>
          <w:spacing w:val="-10"/>
        </w:rPr>
      </w:pPr>
      <w:r>
        <w:rPr>
          <w:rFonts w:eastAsia="宋体"/>
          <w:spacing w:val="-10"/>
        </w:rPr>
        <w:t>由上文可知，公司环境风险及其控制水平（M）现状得分为</w:t>
      </w:r>
      <w:r>
        <w:rPr>
          <w:rFonts w:hint="eastAsia" w:eastAsia="宋体"/>
          <w:spacing w:val="-10"/>
        </w:rPr>
        <w:t>5</w:t>
      </w:r>
      <w:r>
        <w:rPr>
          <w:rFonts w:eastAsia="宋体"/>
          <w:spacing w:val="-10"/>
        </w:rPr>
        <w:t>分，企业大气环境风险及其控制水平为M1类水平。</w:t>
      </w:r>
    </w:p>
    <w:p w14:paraId="5A0C2192">
      <w:pPr>
        <w:pStyle w:val="4"/>
        <w:adjustRightInd w:val="0"/>
        <w:snapToGrid w:val="0"/>
        <w:spacing w:line="500" w:lineRule="exact"/>
        <w:jc w:val="left"/>
        <w:rPr>
          <w:rFonts w:eastAsia="宋体"/>
          <w:color w:val="000000" w:themeColor="text1"/>
          <w14:textFill>
            <w14:solidFill>
              <w14:schemeClr w14:val="tx1"/>
            </w14:solidFill>
          </w14:textFill>
        </w:rPr>
      </w:pPr>
      <w:bookmarkStart w:id="310" w:name="7.1.3大气环境风险受体敏感程度（E）评估"/>
      <w:bookmarkEnd w:id="310"/>
      <w:bookmarkStart w:id="311" w:name="_Toc12402"/>
      <w:bookmarkStart w:id="312" w:name="_Toc15903"/>
      <w:bookmarkStart w:id="313" w:name="_Toc24236"/>
      <w:bookmarkStart w:id="314" w:name="_TOC_250019"/>
      <w:r>
        <w:rPr>
          <w:rFonts w:hint="eastAsia" w:eastAsia="宋体"/>
          <w:color w:val="000000" w:themeColor="text1"/>
          <w14:textFill>
            <w14:solidFill>
              <w14:schemeClr w14:val="tx1"/>
            </w14:solidFill>
          </w14:textFill>
        </w:rPr>
        <w:t>7.1.3大气环境风险受体敏感程度（E）评估</w:t>
      </w:r>
      <w:bookmarkEnd w:id="311"/>
      <w:bookmarkEnd w:id="312"/>
      <w:bookmarkEnd w:id="313"/>
    </w:p>
    <w:bookmarkEnd w:id="314"/>
    <w:p w14:paraId="41F34E26">
      <w:pPr>
        <w:pStyle w:val="13"/>
        <w:spacing w:after="0" w:line="500" w:lineRule="exact"/>
        <w:ind w:firstLine="440" w:firstLineChars="200"/>
        <w:rPr>
          <w:rFonts w:eastAsia="宋体"/>
          <w:spacing w:val="-10"/>
        </w:rPr>
      </w:pPr>
      <w:r>
        <w:rPr>
          <w:rFonts w:eastAsia="宋体"/>
          <w:spacing w:val="-10"/>
        </w:rPr>
        <w:t>大气环境风险受体敏感程度类型按照企业周边人口数进行划分。按照企业周边5公里或500米范围内人口数将大气环境风险受体敏感程度划分为类型1、类型2和类型3三种类型，分别以E1、E2和E3表示，见表7-4。</w:t>
      </w:r>
    </w:p>
    <w:p w14:paraId="12749526">
      <w:pPr>
        <w:pStyle w:val="13"/>
        <w:spacing w:after="0" w:line="500" w:lineRule="exact"/>
        <w:ind w:firstLine="440" w:firstLineChars="200"/>
        <w:rPr>
          <w:rFonts w:eastAsia="宋体"/>
          <w:spacing w:val="-10"/>
        </w:rPr>
      </w:pPr>
      <w:r>
        <w:rPr>
          <w:rFonts w:eastAsia="宋体"/>
          <w:spacing w:val="-10"/>
        </w:rPr>
        <w:t>大气环境风险受体敏感程度按类型1、类型2和类型3顺序依次降低。若企业周边存在多种敏感程度类型的大气环境风险受体，则按敏感程度高者确定企业大气环境风险受体敏感程度类型。</w:t>
      </w:r>
    </w:p>
    <w:p w14:paraId="0F186890">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7-4</w:t>
      </w:r>
      <w:r>
        <w:rPr>
          <w:rFonts w:eastAsiaTheme="minorEastAsia"/>
          <w:b/>
          <w:color w:val="000000" w:themeColor="text1"/>
          <w14:textFill>
            <w14:solidFill>
              <w14:schemeClr w14:val="tx1"/>
            </w14:solidFill>
          </w14:textFill>
        </w:rPr>
        <w:t>大气环境风险受体敏感程度划分</w:t>
      </w:r>
    </w:p>
    <w:tbl>
      <w:tblPr>
        <w:tblStyle w:val="3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7639"/>
      </w:tblGrid>
      <w:tr w14:paraId="50B96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94" w:type="pct"/>
            <w:shd w:val="clear" w:color="auto" w:fill="auto"/>
            <w:vAlign w:val="center"/>
          </w:tcPr>
          <w:p w14:paraId="2E17C941">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敏感程度类型</w:t>
            </w:r>
          </w:p>
        </w:tc>
        <w:tc>
          <w:tcPr>
            <w:tcW w:w="4105" w:type="pct"/>
            <w:shd w:val="clear" w:color="auto" w:fill="auto"/>
            <w:vAlign w:val="center"/>
          </w:tcPr>
          <w:p w14:paraId="0D7B518C">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大气环境风险受体</w:t>
            </w:r>
          </w:p>
        </w:tc>
      </w:tr>
      <w:tr w14:paraId="3D98EA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4" w:type="pct"/>
            <w:shd w:val="clear" w:color="auto" w:fill="auto"/>
            <w:vAlign w:val="center"/>
          </w:tcPr>
          <w:p w14:paraId="16B1D1F3">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类型1</w:t>
            </w:r>
          </w:p>
          <w:p w14:paraId="3D7128E8">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（E1）</w:t>
            </w:r>
          </w:p>
        </w:tc>
        <w:tc>
          <w:tcPr>
            <w:tcW w:w="4105" w:type="pct"/>
            <w:shd w:val="clear" w:color="auto" w:fill="auto"/>
            <w:vAlign w:val="center"/>
          </w:tcPr>
          <w:p w14:paraId="5B6093C3">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5万人以上，或企业周边500米范围内人口总数1000人以上，或企业周边5公里涉及军事管理区、国家相关保密区域</w:t>
            </w:r>
          </w:p>
        </w:tc>
      </w:tr>
      <w:tr w14:paraId="631E12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4" w:type="pct"/>
            <w:shd w:val="clear" w:color="auto" w:fill="auto"/>
            <w:vAlign w:val="center"/>
          </w:tcPr>
          <w:p w14:paraId="7E8527C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类型2</w:t>
            </w:r>
          </w:p>
          <w:p w14:paraId="414832E7">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（E2）</w:t>
            </w:r>
          </w:p>
        </w:tc>
        <w:tc>
          <w:tcPr>
            <w:tcW w:w="4105" w:type="pct"/>
            <w:shd w:val="clear" w:color="auto" w:fill="auto"/>
            <w:vAlign w:val="center"/>
          </w:tcPr>
          <w:p w14:paraId="4F997E49">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企业周边5公里范围内居民、医疗卫生机构、文化教育机构、科研单位、行政机关、企业事业单位、商场、公园等人口总数1万人以上、5万人以下，或企业周边500米范围内人口总数500人以上、1000人以下</w:t>
            </w:r>
          </w:p>
        </w:tc>
      </w:tr>
      <w:tr w14:paraId="56C8F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94" w:type="pct"/>
            <w:shd w:val="clear" w:color="auto" w:fill="auto"/>
            <w:vAlign w:val="center"/>
          </w:tcPr>
          <w:p w14:paraId="1D707B78">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类型3</w:t>
            </w:r>
          </w:p>
          <w:p w14:paraId="4339329C">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（E3）</w:t>
            </w:r>
          </w:p>
        </w:tc>
        <w:tc>
          <w:tcPr>
            <w:tcW w:w="4105" w:type="pct"/>
            <w:shd w:val="clear" w:color="auto" w:fill="auto"/>
            <w:vAlign w:val="center"/>
          </w:tcPr>
          <w:p w14:paraId="32A48D26">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企业周边5公里范围内居民、医疗卫生机构、文化教育机构、科研单位、行政机关、企业事业单位、商场、公园等人口总数1万人以下，且企业周边500米范围内人口总数500人以下</w:t>
            </w:r>
          </w:p>
        </w:tc>
      </w:tr>
    </w:tbl>
    <w:p w14:paraId="0B8F8111">
      <w:pPr>
        <w:pStyle w:val="13"/>
        <w:spacing w:after="0" w:line="500" w:lineRule="exact"/>
        <w:ind w:firstLine="440" w:firstLineChars="200"/>
        <w:rPr>
          <w:rFonts w:eastAsia="宋体"/>
          <w:spacing w:val="-10"/>
        </w:rPr>
      </w:pPr>
      <w:r>
        <w:rPr>
          <w:rFonts w:eastAsia="宋体"/>
          <w:spacing w:val="-10"/>
        </w:rPr>
        <w:t>由章节3.2.1可知，</w:t>
      </w:r>
      <w:r>
        <w:rPr>
          <w:rFonts w:hint="eastAsia" w:eastAsia="宋体"/>
          <w:spacing w:val="-10"/>
        </w:rPr>
        <w:t>企业周边5公里内人口总数</w:t>
      </w:r>
      <w:r>
        <w:rPr>
          <w:rFonts w:eastAsia="宋体"/>
          <w:spacing w:val="-10"/>
        </w:rPr>
        <w:t>公司1万人以</w:t>
      </w:r>
      <w:r>
        <w:rPr>
          <w:rFonts w:hint="eastAsia" w:eastAsia="宋体"/>
          <w:spacing w:val="-10"/>
          <w:lang w:val="en-US" w:eastAsia="zh-CN"/>
        </w:rPr>
        <w:t>下</w:t>
      </w:r>
      <w:r>
        <w:rPr>
          <w:rFonts w:hint="eastAsia" w:eastAsia="宋体"/>
          <w:spacing w:val="-10"/>
        </w:rPr>
        <w:t>，</w:t>
      </w:r>
      <w:r>
        <w:rPr>
          <w:rFonts w:hint="eastAsia" w:eastAsia="宋体"/>
          <w:spacing w:val="-10"/>
          <w:lang w:val="en-US" w:eastAsia="zh-CN"/>
        </w:rPr>
        <w:t>但</w:t>
      </w:r>
      <w:r>
        <w:rPr>
          <w:rFonts w:hint="eastAsia" w:eastAsia="宋体"/>
          <w:spacing w:val="-10"/>
        </w:rPr>
        <w:t>企业周边</w:t>
      </w:r>
      <w:r>
        <w:rPr>
          <w:rFonts w:eastAsia="宋体"/>
          <w:spacing w:val="-10"/>
        </w:rPr>
        <w:t>500m范围内</w:t>
      </w:r>
      <w:r>
        <w:rPr>
          <w:rFonts w:hint="eastAsia" w:eastAsia="宋体"/>
          <w:spacing w:val="-10"/>
        </w:rPr>
        <w:t>总人数1000人以上</w:t>
      </w:r>
      <w:r>
        <w:rPr>
          <w:rFonts w:eastAsia="宋体"/>
          <w:spacing w:val="-10"/>
        </w:rPr>
        <w:t>，因此公司大气环境风险受体为类型</w:t>
      </w:r>
      <w:r>
        <w:rPr>
          <w:rFonts w:hint="eastAsia" w:eastAsia="宋体"/>
          <w:spacing w:val="-10"/>
        </w:rPr>
        <w:t>1</w:t>
      </w:r>
      <w:r>
        <w:rPr>
          <w:rFonts w:eastAsia="宋体"/>
          <w:spacing w:val="-10"/>
        </w:rPr>
        <w:t>（E</w:t>
      </w:r>
      <w:r>
        <w:rPr>
          <w:rFonts w:hint="eastAsia" w:eastAsia="宋体"/>
          <w:spacing w:val="-10"/>
        </w:rPr>
        <w:t>1</w:t>
      </w:r>
      <w:r>
        <w:rPr>
          <w:rFonts w:eastAsia="宋体"/>
          <w:spacing w:val="-10"/>
        </w:rPr>
        <w:t>）。</w:t>
      </w:r>
    </w:p>
    <w:p w14:paraId="6AD4D992">
      <w:pPr>
        <w:pStyle w:val="4"/>
        <w:adjustRightInd w:val="0"/>
        <w:snapToGrid w:val="0"/>
        <w:spacing w:line="500" w:lineRule="exact"/>
        <w:jc w:val="left"/>
        <w:rPr>
          <w:rFonts w:eastAsia="宋体"/>
          <w:color w:val="000000" w:themeColor="text1"/>
          <w14:textFill>
            <w14:solidFill>
              <w14:schemeClr w14:val="tx1"/>
            </w14:solidFill>
          </w14:textFill>
        </w:rPr>
      </w:pPr>
      <w:bookmarkStart w:id="315" w:name="7.1.4突发大气环境事件风险等级确定"/>
      <w:bookmarkEnd w:id="315"/>
      <w:bookmarkStart w:id="316" w:name="_TOC_250018"/>
      <w:bookmarkEnd w:id="316"/>
      <w:bookmarkStart w:id="317" w:name="_Toc5160"/>
      <w:bookmarkStart w:id="318" w:name="_Toc23652"/>
      <w:bookmarkStart w:id="319" w:name="_Toc1202"/>
      <w:r>
        <w:rPr>
          <w:rFonts w:hint="eastAsia" w:eastAsia="宋体"/>
          <w:color w:val="000000" w:themeColor="text1"/>
          <w14:textFill>
            <w14:solidFill>
              <w14:schemeClr w14:val="tx1"/>
            </w14:solidFill>
          </w14:textFill>
        </w:rPr>
        <w:t>7.1.4突发大气环境事件风险等级确定</w:t>
      </w:r>
      <w:bookmarkEnd w:id="317"/>
      <w:bookmarkEnd w:id="318"/>
      <w:bookmarkEnd w:id="319"/>
    </w:p>
    <w:p w14:paraId="4AC3F848">
      <w:pPr>
        <w:pStyle w:val="13"/>
        <w:spacing w:after="0" w:line="500" w:lineRule="exact"/>
        <w:ind w:firstLine="440" w:firstLineChars="200"/>
        <w:rPr>
          <w:rFonts w:eastAsia="宋体"/>
          <w:spacing w:val="-10"/>
        </w:rPr>
      </w:pPr>
      <w:r>
        <w:rPr>
          <w:rFonts w:eastAsia="宋体"/>
          <w:spacing w:val="-10"/>
        </w:rPr>
        <w:t>根据企业周边大气环境风险受体敏感程度（E）、涉气风险物质数量与临界量比值（Q）和生产工艺过程与大气环境风险控制水平（M），按照表7-5确定企业突发大气环境事件风险等级。</w:t>
      </w:r>
    </w:p>
    <w:p w14:paraId="5403C6DC">
      <w:pPr>
        <w:pStyle w:val="13"/>
        <w:spacing w:after="0" w:line="500" w:lineRule="exact"/>
        <w:jc w:val="center"/>
        <w:rPr>
          <w:rFonts w:eastAsiaTheme="minorEastAsia"/>
          <w:spacing w:val="-10"/>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7-5企业突发环境事件风险分级矩阵表</w:t>
      </w:r>
    </w:p>
    <w:tbl>
      <w:tblPr>
        <w:tblStyle w:val="38"/>
        <w:tblW w:w="0" w:type="auto"/>
        <w:tblInd w:w="51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843"/>
        <w:gridCol w:w="1259"/>
        <w:gridCol w:w="1260"/>
        <w:gridCol w:w="1259"/>
        <w:gridCol w:w="1260"/>
      </w:tblGrid>
      <w:tr w14:paraId="52D081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restart"/>
            <w:tcBorders>
              <w:tl2br w:val="nil"/>
              <w:tr2bl w:val="nil"/>
            </w:tcBorders>
            <w:vAlign w:val="center"/>
          </w:tcPr>
          <w:p w14:paraId="78E0EC27">
            <w:pPr>
              <w:pStyle w:val="143"/>
              <w:rPr>
                <w:b/>
                <w:sz w:val="21"/>
              </w:rPr>
            </w:pPr>
            <w:r>
              <w:rPr>
                <w:b/>
                <w:sz w:val="21"/>
              </w:rPr>
              <w:t>环境风险受体敏感程度</w:t>
            </w:r>
            <w:r>
              <w:rPr>
                <w:b/>
                <w:spacing w:val="-4"/>
                <w:sz w:val="21"/>
              </w:rPr>
              <w:t>（</w:t>
            </w:r>
            <w:r>
              <w:rPr>
                <w:rFonts w:ascii="Times New Roman" w:eastAsia="Times New Roman"/>
                <w:b/>
                <w:spacing w:val="-4"/>
                <w:sz w:val="21"/>
              </w:rPr>
              <w:t>E</w:t>
            </w:r>
            <w:r>
              <w:rPr>
                <w:b/>
                <w:spacing w:val="-4"/>
                <w:sz w:val="21"/>
              </w:rPr>
              <w:t>）</w:t>
            </w:r>
          </w:p>
        </w:tc>
        <w:tc>
          <w:tcPr>
            <w:tcW w:w="1843" w:type="dxa"/>
            <w:vMerge w:val="restart"/>
            <w:tcBorders>
              <w:tl2br w:val="nil"/>
              <w:tr2bl w:val="nil"/>
            </w:tcBorders>
            <w:vAlign w:val="center"/>
          </w:tcPr>
          <w:p w14:paraId="23756CAB">
            <w:pPr>
              <w:pStyle w:val="143"/>
              <w:rPr>
                <w:b/>
                <w:sz w:val="21"/>
              </w:rPr>
            </w:pPr>
            <w:r>
              <w:rPr>
                <w:b/>
                <w:sz w:val="21"/>
              </w:rPr>
              <w:t>风险物质数量与临界量比值（</w:t>
            </w:r>
            <w:r>
              <w:rPr>
                <w:rFonts w:ascii="Times New Roman" w:eastAsia="Times New Roman"/>
                <w:b/>
                <w:sz w:val="21"/>
              </w:rPr>
              <w:t>Q</w:t>
            </w:r>
            <w:r>
              <w:rPr>
                <w:b/>
                <w:sz w:val="21"/>
              </w:rPr>
              <w:t>）</w:t>
            </w:r>
          </w:p>
        </w:tc>
        <w:tc>
          <w:tcPr>
            <w:tcW w:w="5038" w:type="dxa"/>
            <w:gridSpan w:val="4"/>
            <w:tcBorders>
              <w:tl2br w:val="nil"/>
              <w:tr2bl w:val="nil"/>
            </w:tcBorders>
            <w:vAlign w:val="center"/>
          </w:tcPr>
          <w:p w14:paraId="58C18D41">
            <w:pPr>
              <w:pStyle w:val="143"/>
              <w:rPr>
                <w:b/>
                <w:sz w:val="21"/>
              </w:rPr>
            </w:pPr>
            <w:r>
              <w:rPr>
                <w:b/>
                <w:sz w:val="21"/>
              </w:rPr>
              <w:t>生产工艺过程与环境风险控制水平（</w:t>
            </w:r>
            <w:r>
              <w:rPr>
                <w:rFonts w:ascii="Times New Roman" w:eastAsia="Times New Roman"/>
                <w:b/>
                <w:sz w:val="21"/>
              </w:rPr>
              <w:t>M</w:t>
            </w:r>
            <w:r>
              <w:rPr>
                <w:b/>
                <w:sz w:val="21"/>
              </w:rPr>
              <w:t>）</w:t>
            </w:r>
          </w:p>
        </w:tc>
      </w:tr>
      <w:tr w14:paraId="4C1340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6117D5B5">
            <w:pPr>
              <w:jc w:val="center"/>
              <w:rPr>
                <w:sz w:val="2"/>
                <w:szCs w:val="2"/>
              </w:rPr>
            </w:pPr>
          </w:p>
        </w:tc>
        <w:tc>
          <w:tcPr>
            <w:tcW w:w="1843" w:type="dxa"/>
            <w:vMerge w:val="continue"/>
            <w:tcBorders>
              <w:tl2br w:val="nil"/>
              <w:tr2bl w:val="nil"/>
            </w:tcBorders>
            <w:vAlign w:val="center"/>
          </w:tcPr>
          <w:p w14:paraId="0068E3C2">
            <w:pPr>
              <w:jc w:val="center"/>
              <w:rPr>
                <w:sz w:val="2"/>
                <w:szCs w:val="2"/>
              </w:rPr>
            </w:pPr>
          </w:p>
        </w:tc>
        <w:tc>
          <w:tcPr>
            <w:tcW w:w="1259" w:type="dxa"/>
            <w:tcBorders>
              <w:tl2br w:val="nil"/>
              <w:tr2bl w:val="nil"/>
            </w:tcBorders>
            <w:vAlign w:val="center"/>
          </w:tcPr>
          <w:p w14:paraId="71807E93">
            <w:pPr>
              <w:pStyle w:val="143"/>
              <w:rPr>
                <w:b/>
                <w:sz w:val="21"/>
              </w:rPr>
            </w:pPr>
            <w:r>
              <w:rPr>
                <w:rFonts w:ascii="Times New Roman" w:eastAsia="Times New Roman"/>
                <w:b/>
                <w:sz w:val="21"/>
              </w:rPr>
              <w:t>M1</w:t>
            </w:r>
            <w:r>
              <w:rPr>
                <w:b/>
                <w:sz w:val="21"/>
              </w:rPr>
              <w:t>类水平</w:t>
            </w:r>
          </w:p>
        </w:tc>
        <w:tc>
          <w:tcPr>
            <w:tcW w:w="1260" w:type="dxa"/>
            <w:tcBorders>
              <w:tl2br w:val="nil"/>
              <w:tr2bl w:val="nil"/>
            </w:tcBorders>
            <w:vAlign w:val="center"/>
          </w:tcPr>
          <w:p w14:paraId="19446681">
            <w:pPr>
              <w:pStyle w:val="143"/>
              <w:rPr>
                <w:b/>
                <w:sz w:val="21"/>
              </w:rPr>
            </w:pPr>
            <w:r>
              <w:rPr>
                <w:rFonts w:ascii="Times New Roman" w:eastAsia="Times New Roman"/>
                <w:b/>
                <w:sz w:val="21"/>
              </w:rPr>
              <w:t>M2</w:t>
            </w:r>
            <w:r>
              <w:rPr>
                <w:b/>
                <w:sz w:val="21"/>
              </w:rPr>
              <w:t>类水平</w:t>
            </w:r>
          </w:p>
        </w:tc>
        <w:tc>
          <w:tcPr>
            <w:tcW w:w="1259" w:type="dxa"/>
            <w:tcBorders>
              <w:tl2br w:val="nil"/>
              <w:tr2bl w:val="nil"/>
            </w:tcBorders>
            <w:vAlign w:val="center"/>
          </w:tcPr>
          <w:p w14:paraId="2E4F6F09">
            <w:pPr>
              <w:pStyle w:val="143"/>
              <w:rPr>
                <w:b/>
                <w:sz w:val="21"/>
              </w:rPr>
            </w:pPr>
            <w:r>
              <w:rPr>
                <w:rFonts w:ascii="Times New Roman" w:eastAsia="Times New Roman"/>
                <w:b/>
                <w:sz w:val="21"/>
              </w:rPr>
              <w:t>M3</w:t>
            </w:r>
            <w:r>
              <w:rPr>
                <w:b/>
                <w:sz w:val="21"/>
              </w:rPr>
              <w:t>类水平</w:t>
            </w:r>
          </w:p>
        </w:tc>
        <w:tc>
          <w:tcPr>
            <w:tcW w:w="1260" w:type="dxa"/>
            <w:tcBorders>
              <w:tl2br w:val="nil"/>
              <w:tr2bl w:val="nil"/>
            </w:tcBorders>
            <w:vAlign w:val="center"/>
          </w:tcPr>
          <w:p w14:paraId="1E280E98">
            <w:pPr>
              <w:pStyle w:val="143"/>
              <w:rPr>
                <w:b/>
                <w:sz w:val="21"/>
              </w:rPr>
            </w:pPr>
            <w:r>
              <w:rPr>
                <w:rFonts w:ascii="Times New Roman" w:eastAsia="Times New Roman"/>
                <w:b/>
                <w:sz w:val="21"/>
              </w:rPr>
              <w:t>M4</w:t>
            </w:r>
            <w:r>
              <w:rPr>
                <w:b/>
                <w:sz w:val="21"/>
              </w:rPr>
              <w:t>类水平</w:t>
            </w:r>
          </w:p>
        </w:tc>
      </w:tr>
      <w:tr w14:paraId="1FF34A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restart"/>
            <w:tcBorders>
              <w:tl2br w:val="nil"/>
              <w:tr2bl w:val="nil"/>
            </w:tcBorders>
            <w:vAlign w:val="center"/>
          </w:tcPr>
          <w:p w14:paraId="70120100">
            <w:pPr>
              <w:pStyle w:val="143"/>
              <w:rPr>
                <w:sz w:val="21"/>
              </w:rPr>
            </w:pPr>
            <w:r>
              <w:rPr>
                <w:spacing w:val="-18"/>
                <w:sz w:val="21"/>
              </w:rPr>
              <w:t>类型</w:t>
            </w:r>
            <w:r>
              <w:rPr>
                <w:rFonts w:ascii="Times New Roman" w:eastAsia="Times New Roman"/>
                <w:sz w:val="21"/>
              </w:rPr>
              <w:t>1</w:t>
            </w:r>
            <w:r>
              <w:rPr>
                <w:sz w:val="21"/>
              </w:rPr>
              <w:t>（</w:t>
            </w:r>
            <w:r>
              <w:rPr>
                <w:rFonts w:ascii="Times New Roman" w:eastAsia="Times New Roman"/>
                <w:sz w:val="21"/>
              </w:rPr>
              <w:t>E1</w:t>
            </w:r>
            <w:r>
              <w:rPr>
                <w:sz w:val="21"/>
              </w:rPr>
              <w:t>）</w:t>
            </w:r>
          </w:p>
        </w:tc>
        <w:tc>
          <w:tcPr>
            <w:tcW w:w="1843" w:type="dxa"/>
            <w:tcBorders>
              <w:tl2br w:val="nil"/>
              <w:tr2bl w:val="nil"/>
            </w:tcBorders>
            <w:vAlign w:val="center"/>
          </w:tcPr>
          <w:p w14:paraId="0B42E213">
            <w:pPr>
              <w:pStyle w:val="143"/>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3F1B59F9">
            <w:pPr>
              <w:pStyle w:val="143"/>
              <w:rPr>
                <w:sz w:val="21"/>
              </w:rPr>
            </w:pPr>
            <w:r>
              <w:rPr>
                <w:sz w:val="21"/>
              </w:rPr>
              <w:t>较大</w:t>
            </w:r>
          </w:p>
        </w:tc>
        <w:tc>
          <w:tcPr>
            <w:tcW w:w="1260" w:type="dxa"/>
            <w:tcBorders>
              <w:tl2br w:val="nil"/>
              <w:tr2bl w:val="nil"/>
            </w:tcBorders>
            <w:vAlign w:val="center"/>
          </w:tcPr>
          <w:p w14:paraId="4362AEB5">
            <w:pPr>
              <w:pStyle w:val="143"/>
              <w:rPr>
                <w:sz w:val="21"/>
              </w:rPr>
            </w:pPr>
            <w:r>
              <w:rPr>
                <w:sz w:val="21"/>
              </w:rPr>
              <w:t>较大</w:t>
            </w:r>
          </w:p>
        </w:tc>
        <w:tc>
          <w:tcPr>
            <w:tcW w:w="1259" w:type="dxa"/>
            <w:tcBorders>
              <w:tl2br w:val="nil"/>
              <w:tr2bl w:val="nil"/>
            </w:tcBorders>
            <w:vAlign w:val="center"/>
          </w:tcPr>
          <w:p w14:paraId="61C0F70D">
            <w:pPr>
              <w:pStyle w:val="143"/>
              <w:rPr>
                <w:sz w:val="21"/>
              </w:rPr>
            </w:pPr>
            <w:r>
              <w:rPr>
                <w:sz w:val="21"/>
              </w:rPr>
              <w:t>重大</w:t>
            </w:r>
          </w:p>
        </w:tc>
        <w:tc>
          <w:tcPr>
            <w:tcW w:w="1260" w:type="dxa"/>
            <w:tcBorders>
              <w:tl2br w:val="nil"/>
              <w:tr2bl w:val="nil"/>
            </w:tcBorders>
            <w:vAlign w:val="center"/>
          </w:tcPr>
          <w:p w14:paraId="1B6C505F">
            <w:pPr>
              <w:pStyle w:val="143"/>
              <w:rPr>
                <w:sz w:val="21"/>
              </w:rPr>
            </w:pPr>
            <w:r>
              <w:rPr>
                <w:sz w:val="21"/>
              </w:rPr>
              <w:t>重大</w:t>
            </w:r>
          </w:p>
        </w:tc>
      </w:tr>
      <w:tr w14:paraId="55E35E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6FD7C561">
            <w:pPr>
              <w:jc w:val="center"/>
              <w:rPr>
                <w:sz w:val="2"/>
                <w:szCs w:val="2"/>
              </w:rPr>
            </w:pPr>
          </w:p>
        </w:tc>
        <w:tc>
          <w:tcPr>
            <w:tcW w:w="1843" w:type="dxa"/>
            <w:tcBorders>
              <w:tl2br w:val="nil"/>
              <w:tr2bl w:val="nil"/>
            </w:tcBorders>
            <w:vAlign w:val="center"/>
          </w:tcPr>
          <w:p w14:paraId="4D785592">
            <w:pPr>
              <w:pStyle w:val="143"/>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40C52C11">
            <w:pPr>
              <w:pStyle w:val="143"/>
              <w:rPr>
                <w:sz w:val="21"/>
              </w:rPr>
            </w:pPr>
            <w:r>
              <w:rPr>
                <w:sz w:val="21"/>
              </w:rPr>
              <w:t>较大</w:t>
            </w:r>
          </w:p>
        </w:tc>
        <w:tc>
          <w:tcPr>
            <w:tcW w:w="1260" w:type="dxa"/>
            <w:tcBorders>
              <w:tl2br w:val="nil"/>
              <w:tr2bl w:val="nil"/>
            </w:tcBorders>
            <w:vAlign w:val="center"/>
          </w:tcPr>
          <w:p w14:paraId="3939CB75">
            <w:pPr>
              <w:pStyle w:val="143"/>
              <w:rPr>
                <w:sz w:val="21"/>
              </w:rPr>
            </w:pPr>
            <w:r>
              <w:rPr>
                <w:sz w:val="21"/>
              </w:rPr>
              <w:t>重大</w:t>
            </w:r>
          </w:p>
        </w:tc>
        <w:tc>
          <w:tcPr>
            <w:tcW w:w="1259" w:type="dxa"/>
            <w:tcBorders>
              <w:tl2br w:val="nil"/>
              <w:tr2bl w:val="nil"/>
            </w:tcBorders>
            <w:vAlign w:val="center"/>
          </w:tcPr>
          <w:p w14:paraId="0926DD40">
            <w:pPr>
              <w:pStyle w:val="143"/>
              <w:rPr>
                <w:sz w:val="21"/>
              </w:rPr>
            </w:pPr>
            <w:r>
              <w:rPr>
                <w:sz w:val="21"/>
              </w:rPr>
              <w:t>重大</w:t>
            </w:r>
          </w:p>
        </w:tc>
        <w:tc>
          <w:tcPr>
            <w:tcW w:w="1260" w:type="dxa"/>
            <w:tcBorders>
              <w:tl2br w:val="nil"/>
              <w:tr2bl w:val="nil"/>
            </w:tcBorders>
            <w:vAlign w:val="center"/>
          </w:tcPr>
          <w:p w14:paraId="4203E35A">
            <w:pPr>
              <w:pStyle w:val="143"/>
              <w:rPr>
                <w:sz w:val="21"/>
              </w:rPr>
            </w:pPr>
            <w:r>
              <w:rPr>
                <w:sz w:val="21"/>
              </w:rPr>
              <w:t>重大</w:t>
            </w:r>
          </w:p>
        </w:tc>
      </w:tr>
      <w:tr w14:paraId="104A77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continue"/>
            <w:tcBorders>
              <w:tl2br w:val="nil"/>
              <w:tr2bl w:val="nil"/>
            </w:tcBorders>
            <w:vAlign w:val="center"/>
          </w:tcPr>
          <w:p w14:paraId="252D6DC3">
            <w:pPr>
              <w:jc w:val="center"/>
              <w:rPr>
                <w:sz w:val="2"/>
                <w:szCs w:val="2"/>
              </w:rPr>
            </w:pPr>
          </w:p>
        </w:tc>
        <w:tc>
          <w:tcPr>
            <w:tcW w:w="1843" w:type="dxa"/>
            <w:tcBorders>
              <w:tl2br w:val="nil"/>
              <w:tr2bl w:val="nil"/>
            </w:tcBorders>
            <w:vAlign w:val="center"/>
          </w:tcPr>
          <w:p w14:paraId="4A9EB6B0">
            <w:pPr>
              <w:pStyle w:val="143"/>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296AA4F9">
            <w:pPr>
              <w:pStyle w:val="143"/>
              <w:rPr>
                <w:sz w:val="21"/>
              </w:rPr>
            </w:pPr>
            <w:r>
              <w:rPr>
                <w:sz w:val="21"/>
              </w:rPr>
              <w:t>重大</w:t>
            </w:r>
          </w:p>
        </w:tc>
        <w:tc>
          <w:tcPr>
            <w:tcW w:w="1260" w:type="dxa"/>
            <w:tcBorders>
              <w:tl2br w:val="nil"/>
              <w:tr2bl w:val="nil"/>
            </w:tcBorders>
            <w:vAlign w:val="center"/>
          </w:tcPr>
          <w:p w14:paraId="5896BC7C">
            <w:pPr>
              <w:pStyle w:val="143"/>
              <w:rPr>
                <w:sz w:val="21"/>
              </w:rPr>
            </w:pPr>
            <w:r>
              <w:rPr>
                <w:sz w:val="21"/>
              </w:rPr>
              <w:t>重大</w:t>
            </w:r>
          </w:p>
        </w:tc>
        <w:tc>
          <w:tcPr>
            <w:tcW w:w="1259" w:type="dxa"/>
            <w:tcBorders>
              <w:tl2br w:val="nil"/>
              <w:tr2bl w:val="nil"/>
            </w:tcBorders>
            <w:vAlign w:val="center"/>
          </w:tcPr>
          <w:p w14:paraId="1EA55E4E">
            <w:pPr>
              <w:pStyle w:val="143"/>
              <w:rPr>
                <w:sz w:val="21"/>
              </w:rPr>
            </w:pPr>
            <w:r>
              <w:rPr>
                <w:sz w:val="21"/>
              </w:rPr>
              <w:t>重大</w:t>
            </w:r>
          </w:p>
        </w:tc>
        <w:tc>
          <w:tcPr>
            <w:tcW w:w="1260" w:type="dxa"/>
            <w:tcBorders>
              <w:tl2br w:val="nil"/>
              <w:tr2bl w:val="nil"/>
            </w:tcBorders>
            <w:vAlign w:val="center"/>
          </w:tcPr>
          <w:p w14:paraId="7F876EDB">
            <w:pPr>
              <w:pStyle w:val="143"/>
              <w:rPr>
                <w:sz w:val="21"/>
              </w:rPr>
            </w:pPr>
            <w:r>
              <w:rPr>
                <w:sz w:val="21"/>
              </w:rPr>
              <w:t>重大</w:t>
            </w:r>
          </w:p>
        </w:tc>
      </w:tr>
      <w:tr w14:paraId="093CF7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restart"/>
            <w:tcBorders>
              <w:tl2br w:val="nil"/>
              <w:tr2bl w:val="nil"/>
            </w:tcBorders>
            <w:vAlign w:val="center"/>
          </w:tcPr>
          <w:p w14:paraId="297AE2BA">
            <w:pPr>
              <w:pStyle w:val="143"/>
              <w:rPr>
                <w:sz w:val="21"/>
              </w:rPr>
            </w:pPr>
            <w:r>
              <w:rPr>
                <w:spacing w:val="-18"/>
                <w:sz w:val="21"/>
              </w:rPr>
              <w:t>类型</w:t>
            </w:r>
            <w:r>
              <w:rPr>
                <w:rFonts w:ascii="Times New Roman" w:eastAsia="Times New Roman"/>
                <w:sz w:val="21"/>
              </w:rPr>
              <w:t>2</w:t>
            </w:r>
            <w:r>
              <w:rPr>
                <w:sz w:val="21"/>
              </w:rPr>
              <w:t>（</w:t>
            </w:r>
            <w:r>
              <w:rPr>
                <w:rFonts w:ascii="Times New Roman" w:eastAsia="Times New Roman"/>
                <w:sz w:val="21"/>
              </w:rPr>
              <w:t>E2</w:t>
            </w:r>
            <w:r>
              <w:rPr>
                <w:sz w:val="21"/>
              </w:rPr>
              <w:t>）</w:t>
            </w:r>
          </w:p>
        </w:tc>
        <w:tc>
          <w:tcPr>
            <w:tcW w:w="1843" w:type="dxa"/>
            <w:tcBorders>
              <w:tl2br w:val="nil"/>
              <w:tr2bl w:val="nil"/>
            </w:tcBorders>
            <w:vAlign w:val="center"/>
          </w:tcPr>
          <w:p w14:paraId="59FB8A0F">
            <w:pPr>
              <w:pStyle w:val="143"/>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00280477">
            <w:pPr>
              <w:pStyle w:val="143"/>
              <w:rPr>
                <w:sz w:val="21"/>
              </w:rPr>
            </w:pPr>
            <w:r>
              <w:rPr>
                <w:sz w:val="21"/>
              </w:rPr>
              <w:t>一般</w:t>
            </w:r>
          </w:p>
        </w:tc>
        <w:tc>
          <w:tcPr>
            <w:tcW w:w="1260" w:type="dxa"/>
            <w:tcBorders>
              <w:tl2br w:val="nil"/>
              <w:tr2bl w:val="nil"/>
            </w:tcBorders>
            <w:vAlign w:val="center"/>
          </w:tcPr>
          <w:p w14:paraId="6F37AF81">
            <w:pPr>
              <w:pStyle w:val="143"/>
              <w:rPr>
                <w:sz w:val="21"/>
              </w:rPr>
            </w:pPr>
            <w:r>
              <w:rPr>
                <w:sz w:val="21"/>
              </w:rPr>
              <w:t>较大</w:t>
            </w:r>
          </w:p>
        </w:tc>
        <w:tc>
          <w:tcPr>
            <w:tcW w:w="1259" w:type="dxa"/>
            <w:tcBorders>
              <w:tl2br w:val="nil"/>
              <w:tr2bl w:val="nil"/>
            </w:tcBorders>
            <w:vAlign w:val="center"/>
          </w:tcPr>
          <w:p w14:paraId="58E668BF">
            <w:pPr>
              <w:pStyle w:val="143"/>
              <w:rPr>
                <w:sz w:val="21"/>
              </w:rPr>
            </w:pPr>
            <w:r>
              <w:rPr>
                <w:sz w:val="21"/>
              </w:rPr>
              <w:t>较大</w:t>
            </w:r>
          </w:p>
        </w:tc>
        <w:tc>
          <w:tcPr>
            <w:tcW w:w="1260" w:type="dxa"/>
            <w:tcBorders>
              <w:tl2br w:val="nil"/>
              <w:tr2bl w:val="nil"/>
            </w:tcBorders>
            <w:vAlign w:val="center"/>
          </w:tcPr>
          <w:p w14:paraId="162A7A22">
            <w:pPr>
              <w:pStyle w:val="143"/>
              <w:rPr>
                <w:sz w:val="21"/>
              </w:rPr>
            </w:pPr>
            <w:r>
              <w:rPr>
                <w:sz w:val="21"/>
              </w:rPr>
              <w:t>重大</w:t>
            </w:r>
          </w:p>
        </w:tc>
      </w:tr>
      <w:tr w14:paraId="4E5571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06793229">
            <w:pPr>
              <w:jc w:val="center"/>
              <w:rPr>
                <w:sz w:val="2"/>
                <w:szCs w:val="2"/>
              </w:rPr>
            </w:pPr>
          </w:p>
        </w:tc>
        <w:tc>
          <w:tcPr>
            <w:tcW w:w="1843" w:type="dxa"/>
            <w:tcBorders>
              <w:tl2br w:val="nil"/>
              <w:tr2bl w:val="nil"/>
            </w:tcBorders>
            <w:vAlign w:val="center"/>
          </w:tcPr>
          <w:p w14:paraId="5CD1B8A0">
            <w:pPr>
              <w:pStyle w:val="143"/>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2DAC4969">
            <w:pPr>
              <w:pStyle w:val="143"/>
              <w:rPr>
                <w:sz w:val="21"/>
              </w:rPr>
            </w:pPr>
            <w:r>
              <w:rPr>
                <w:sz w:val="21"/>
              </w:rPr>
              <w:t>较大</w:t>
            </w:r>
          </w:p>
        </w:tc>
        <w:tc>
          <w:tcPr>
            <w:tcW w:w="1260" w:type="dxa"/>
            <w:tcBorders>
              <w:tl2br w:val="nil"/>
              <w:tr2bl w:val="nil"/>
            </w:tcBorders>
            <w:vAlign w:val="center"/>
          </w:tcPr>
          <w:p w14:paraId="396E08A0">
            <w:pPr>
              <w:pStyle w:val="143"/>
              <w:rPr>
                <w:sz w:val="21"/>
              </w:rPr>
            </w:pPr>
            <w:r>
              <w:rPr>
                <w:sz w:val="21"/>
              </w:rPr>
              <w:t>较大</w:t>
            </w:r>
          </w:p>
        </w:tc>
        <w:tc>
          <w:tcPr>
            <w:tcW w:w="1259" w:type="dxa"/>
            <w:tcBorders>
              <w:tl2br w:val="nil"/>
              <w:tr2bl w:val="nil"/>
            </w:tcBorders>
            <w:vAlign w:val="center"/>
          </w:tcPr>
          <w:p w14:paraId="14D28801">
            <w:pPr>
              <w:pStyle w:val="143"/>
              <w:rPr>
                <w:sz w:val="21"/>
              </w:rPr>
            </w:pPr>
            <w:r>
              <w:rPr>
                <w:sz w:val="21"/>
              </w:rPr>
              <w:t>重大</w:t>
            </w:r>
          </w:p>
        </w:tc>
        <w:tc>
          <w:tcPr>
            <w:tcW w:w="1260" w:type="dxa"/>
            <w:tcBorders>
              <w:tl2br w:val="nil"/>
              <w:tr2bl w:val="nil"/>
            </w:tcBorders>
            <w:vAlign w:val="center"/>
          </w:tcPr>
          <w:p w14:paraId="3346F0A0">
            <w:pPr>
              <w:pStyle w:val="143"/>
              <w:rPr>
                <w:sz w:val="21"/>
              </w:rPr>
            </w:pPr>
            <w:r>
              <w:rPr>
                <w:sz w:val="21"/>
              </w:rPr>
              <w:t>重大</w:t>
            </w:r>
          </w:p>
        </w:tc>
      </w:tr>
      <w:tr w14:paraId="63F33F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44CDAEB6">
            <w:pPr>
              <w:jc w:val="center"/>
              <w:rPr>
                <w:sz w:val="2"/>
                <w:szCs w:val="2"/>
              </w:rPr>
            </w:pPr>
          </w:p>
        </w:tc>
        <w:tc>
          <w:tcPr>
            <w:tcW w:w="1843" w:type="dxa"/>
            <w:tcBorders>
              <w:tl2br w:val="nil"/>
              <w:tr2bl w:val="nil"/>
            </w:tcBorders>
            <w:vAlign w:val="center"/>
          </w:tcPr>
          <w:p w14:paraId="1EEF0AFF">
            <w:pPr>
              <w:pStyle w:val="143"/>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11B923FA">
            <w:pPr>
              <w:pStyle w:val="143"/>
              <w:rPr>
                <w:sz w:val="21"/>
              </w:rPr>
            </w:pPr>
            <w:r>
              <w:rPr>
                <w:sz w:val="21"/>
              </w:rPr>
              <w:t>较大</w:t>
            </w:r>
          </w:p>
        </w:tc>
        <w:tc>
          <w:tcPr>
            <w:tcW w:w="1260" w:type="dxa"/>
            <w:tcBorders>
              <w:tl2br w:val="nil"/>
              <w:tr2bl w:val="nil"/>
            </w:tcBorders>
            <w:vAlign w:val="center"/>
          </w:tcPr>
          <w:p w14:paraId="455C8AA1">
            <w:pPr>
              <w:pStyle w:val="143"/>
              <w:rPr>
                <w:sz w:val="21"/>
              </w:rPr>
            </w:pPr>
            <w:r>
              <w:rPr>
                <w:sz w:val="21"/>
              </w:rPr>
              <w:t>重大</w:t>
            </w:r>
          </w:p>
        </w:tc>
        <w:tc>
          <w:tcPr>
            <w:tcW w:w="1259" w:type="dxa"/>
            <w:tcBorders>
              <w:tl2br w:val="nil"/>
              <w:tr2bl w:val="nil"/>
            </w:tcBorders>
            <w:vAlign w:val="center"/>
          </w:tcPr>
          <w:p w14:paraId="54D66A6E">
            <w:pPr>
              <w:pStyle w:val="143"/>
              <w:rPr>
                <w:sz w:val="21"/>
              </w:rPr>
            </w:pPr>
            <w:r>
              <w:rPr>
                <w:sz w:val="21"/>
              </w:rPr>
              <w:t>重大</w:t>
            </w:r>
          </w:p>
        </w:tc>
        <w:tc>
          <w:tcPr>
            <w:tcW w:w="1260" w:type="dxa"/>
            <w:tcBorders>
              <w:tl2br w:val="nil"/>
              <w:tr2bl w:val="nil"/>
            </w:tcBorders>
            <w:vAlign w:val="center"/>
          </w:tcPr>
          <w:p w14:paraId="21E55268">
            <w:pPr>
              <w:pStyle w:val="143"/>
              <w:rPr>
                <w:sz w:val="21"/>
              </w:rPr>
            </w:pPr>
            <w:r>
              <w:rPr>
                <w:sz w:val="21"/>
              </w:rPr>
              <w:t>重大</w:t>
            </w:r>
          </w:p>
        </w:tc>
      </w:tr>
      <w:tr w14:paraId="6473DF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4" w:type="dxa"/>
            <w:vMerge w:val="restart"/>
            <w:tcBorders>
              <w:tl2br w:val="nil"/>
              <w:tr2bl w:val="nil"/>
            </w:tcBorders>
            <w:vAlign w:val="center"/>
          </w:tcPr>
          <w:p w14:paraId="6A7C6225">
            <w:pPr>
              <w:pStyle w:val="143"/>
              <w:rPr>
                <w:sz w:val="21"/>
              </w:rPr>
            </w:pPr>
            <w:r>
              <w:rPr>
                <w:spacing w:val="-18"/>
                <w:sz w:val="21"/>
              </w:rPr>
              <w:t>类型</w:t>
            </w:r>
            <w:r>
              <w:rPr>
                <w:rFonts w:ascii="Times New Roman" w:eastAsia="Times New Roman"/>
                <w:sz w:val="21"/>
              </w:rPr>
              <w:t>3</w:t>
            </w:r>
            <w:r>
              <w:rPr>
                <w:sz w:val="21"/>
              </w:rPr>
              <w:t>（</w:t>
            </w:r>
            <w:r>
              <w:rPr>
                <w:rFonts w:ascii="Times New Roman" w:eastAsia="Times New Roman"/>
                <w:sz w:val="21"/>
              </w:rPr>
              <w:t>E3</w:t>
            </w:r>
            <w:r>
              <w:rPr>
                <w:sz w:val="21"/>
              </w:rPr>
              <w:t>）</w:t>
            </w:r>
          </w:p>
        </w:tc>
        <w:tc>
          <w:tcPr>
            <w:tcW w:w="1843" w:type="dxa"/>
            <w:tcBorders>
              <w:tl2br w:val="nil"/>
              <w:tr2bl w:val="nil"/>
            </w:tcBorders>
            <w:vAlign w:val="center"/>
          </w:tcPr>
          <w:p w14:paraId="015D02C7">
            <w:pPr>
              <w:pStyle w:val="143"/>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3C429C61">
            <w:pPr>
              <w:pStyle w:val="143"/>
              <w:rPr>
                <w:sz w:val="21"/>
              </w:rPr>
            </w:pPr>
            <w:r>
              <w:rPr>
                <w:sz w:val="21"/>
              </w:rPr>
              <w:t>一般</w:t>
            </w:r>
          </w:p>
        </w:tc>
        <w:tc>
          <w:tcPr>
            <w:tcW w:w="1260" w:type="dxa"/>
            <w:tcBorders>
              <w:tl2br w:val="nil"/>
              <w:tr2bl w:val="nil"/>
            </w:tcBorders>
            <w:vAlign w:val="center"/>
          </w:tcPr>
          <w:p w14:paraId="5A8BDD68">
            <w:pPr>
              <w:pStyle w:val="143"/>
              <w:rPr>
                <w:sz w:val="21"/>
              </w:rPr>
            </w:pPr>
            <w:r>
              <w:rPr>
                <w:sz w:val="21"/>
              </w:rPr>
              <w:t>一般</w:t>
            </w:r>
          </w:p>
        </w:tc>
        <w:tc>
          <w:tcPr>
            <w:tcW w:w="1259" w:type="dxa"/>
            <w:tcBorders>
              <w:tl2br w:val="nil"/>
              <w:tr2bl w:val="nil"/>
            </w:tcBorders>
            <w:vAlign w:val="center"/>
          </w:tcPr>
          <w:p w14:paraId="63AA48D4">
            <w:pPr>
              <w:pStyle w:val="143"/>
              <w:rPr>
                <w:sz w:val="21"/>
              </w:rPr>
            </w:pPr>
            <w:r>
              <w:rPr>
                <w:sz w:val="21"/>
              </w:rPr>
              <w:t>较大</w:t>
            </w:r>
          </w:p>
        </w:tc>
        <w:tc>
          <w:tcPr>
            <w:tcW w:w="1260" w:type="dxa"/>
            <w:tcBorders>
              <w:tl2br w:val="nil"/>
              <w:tr2bl w:val="nil"/>
            </w:tcBorders>
            <w:vAlign w:val="center"/>
          </w:tcPr>
          <w:p w14:paraId="538E01F5">
            <w:pPr>
              <w:pStyle w:val="143"/>
              <w:rPr>
                <w:sz w:val="21"/>
              </w:rPr>
            </w:pPr>
            <w:r>
              <w:rPr>
                <w:sz w:val="21"/>
              </w:rPr>
              <w:t>较大</w:t>
            </w:r>
          </w:p>
        </w:tc>
      </w:tr>
      <w:tr w14:paraId="022A34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4" w:type="dxa"/>
            <w:vMerge w:val="continue"/>
            <w:tcBorders>
              <w:tl2br w:val="nil"/>
              <w:tr2bl w:val="nil"/>
            </w:tcBorders>
            <w:vAlign w:val="center"/>
          </w:tcPr>
          <w:p w14:paraId="6E9AA046">
            <w:pPr>
              <w:jc w:val="center"/>
              <w:rPr>
                <w:sz w:val="2"/>
                <w:szCs w:val="2"/>
              </w:rPr>
            </w:pPr>
          </w:p>
        </w:tc>
        <w:tc>
          <w:tcPr>
            <w:tcW w:w="1843" w:type="dxa"/>
            <w:tcBorders>
              <w:tl2br w:val="nil"/>
              <w:tr2bl w:val="nil"/>
            </w:tcBorders>
            <w:vAlign w:val="center"/>
          </w:tcPr>
          <w:p w14:paraId="1783E53D">
            <w:pPr>
              <w:pStyle w:val="143"/>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5DE96EC6">
            <w:pPr>
              <w:pStyle w:val="143"/>
              <w:rPr>
                <w:sz w:val="21"/>
              </w:rPr>
            </w:pPr>
            <w:r>
              <w:rPr>
                <w:sz w:val="21"/>
              </w:rPr>
              <w:t>一般</w:t>
            </w:r>
          </w:p>
        </w:tc>
        <w:tc>
          <w:tcPr>
            <w:tcW w:w="1260" w:type="dxa"/>
            <w:tcBorders>
              <w:tl2br w:val="nil"/>
              <w:tr2bl w:val="nil"/>
            </w:tcBorders>
            <w:vAlign w:val="center"/>
          </w:tcPr>
          <w:p w14:paraId="222326A5">
            <w:pPr>
              <w:pStyle w:val="143"/>
              <w:rPr>
                <w:sz w:val="21"/>
              </w:rPr>
            </w:pPr>
            <w:r>
              <w:rPr>
                <w:sz w:val="21"/>
              </w:rPr>
              <w:t>较大</w:t>
            </w:r>
          </w:p>
        </w:tc>
        <w:tc>
          <w:tcPr>
            <w:tcW w:w="1259" w:type="dxa"/>
            <w:tcBorders>
              <w:tl2br w:val="nil"/>
              <w:tr2bl w:val="nil"/>
            </w:tcBorders>
            <w:vAlign w:val="center"/>
          </w:tcPr>
          <w:p w14:paraId="2A2B55BF">
            <w:pPr>
              <w:pStyle w:val="143"/>
              <w:rPr>
                <w:sz w:val="21"/>
              </w:rPr>
            </w:pPr>
            <w:r>
              <w:rPr>
                <w:sz w:val="21"/>
              </w:rPr>
              <w:t>较大</w:t>
            </w:r>
          </w:p>
        </w:tc>
        <w:tc>
          <w:tcPr>
            <w:tcW w:w="1260" w:type="dxa"/>
            <w:tcBorders>
              <w:tl2br w:val="nil"/>
              <w:tr2bl w:val="nil"/>
            </w:tcBorders>
            <w:vAlign w:val="center"/>
          </w:tcPr>
          <w:p w14:paraId="28A7917B">
            <w:pPr>
              <w:pStyle w:val="143"/>
              <w:rPr>
                <w:sz w:val="21"/>
              </w:rPr>
            </w:pPr>
            <w:r>
              <w:rPr>
                <w:sz w:val="21"/>
              </w:rPr>
              <w:t>重大</w:t>
            </w:r>
          </w:p>
        </w:tc>
      </w:tr>
      <w:tr w14:paraId="3DE965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continue"/>
            <w:tcBorders>
              <w:tl2br w:val="nil"/>
              <w:tr2bl w:val="nil"/>
            </w:tcBorders>
            <w:vAlign w:val="center"/>
          </w:tcPr>
          <w:p w14:paraId="5987BDCA">
            <w:pPr>
              <w:jc w:val="center"/>
              <w:rPr>
                <w:sz w:val="2"/>
                <w:szCs w:val="2"/>
              </w:rPr>
            </w:pPr>
          </w:p>
        </w:tc>
        <w:tc>
          <w:tcPr>
            <w:tcW w:w="1843" w:type="dxa"/>
            <w:tcBorders>
              <w:tl2br w:val="nil"/>
              <w:tr2bl w:val="nil"/>
            </w:tcBorders>
            <w:vAlign w:val="center"/>
          </w:tcPr>
          <w:p w14:paraId="587FB288">
            <w:pPr>
              <w:pStyle w:val="143"/>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6F298CC2">
            <w:pPr>
              <w:pStyle w:val="143"/>
              <w:rPr>
                <w:sz w:val="21"/>
              </w:rPr>
            </w:pPr>
            <w:r>
              <w:rPr>
                <w:sz w:val="21"/>
              </w:rPr>
              <w:t>较大</w:t>
            </w:r>
          </w:p>
        </w:tc>
        <w:tc>
          <w:tcPr>
            <w:tcW w:w="1260" w:type="dxa"/>
            <w:tcBorders>
              <w:tl2br w:val="nil"/>
              <w:tr2bl w:val="nil"/>
            </w:tcBorders>
            <w:vAlign w:val="center"/>
          </w:tcPr>
          <w:p w14:paraId="40609369">
            <w:pPr>
              <w:pStyle w:val="143"/>
              <w:rPr>
                <w:sz w:val="21"/>
              </w:rPr>
            </w:pPr>
            <w:r>
              <w:rPr>
                <w:sz w:val="21"/>
              </w:rPr>
              <w:t>较大</w:t>
            </w:r>
          </w:p>
        </w:tc>
        <w:tc>
          <w:tcPr>
            <w:tcW w:w="1259" w:type="dxa"/>
            <w:tcBorders>
              <w:tl2br w:val="nil"/>
              <w:tr2bl w:val="nil"/>
            </w:tcBorders>
            <w:vAlign w:val="center"/>
          </w:tcPr>
          <w:p w14:paraId="70D4AA2E">
            <w:pPr>
              <w:pStyle w:val="143"/>
              <w:rPr>
                <w:sz w:val="21"/>
              </w:rPr>
            </w:pPr>
            <w:r>
              <w:rPr>
                <w:sz w:val="21"/>
              </w:rPr>
              <w:t>重大</w:t>
            </w:r>
          </w:p>
        </w:tc>
        <w:tc>
          <w:tcPr>
            <w:tcW w:w="1260" w:type="dxa"/>
            <w:tcBorders>
              <w:tl2br w:val="nil"/>
              <w:tr2bl w:val="nil"/>
            </w:tcBorders>
            <w:vAlign w:val="center"/>
          </w:tcPr>
          <w:p w14:paraId="1E37A892">
            <w:pPr>
              <w:pStyle w:val="143"/>
              <w:rPr>
                <w:sz w:val="21"/>
              </w:rPr>
            </w:pPr>
            <w:r>
              <w:rPr>
                <w:sz w:val="21"/>
              </w:rPr>
              <w:t>重大</w:t>
            </w:r>
          </w:p>
        </w:tc>
      </w:tr>
    </w:tbl>
    <w:p w14:paraId="1F540767">
      <w:pPr>
        <w:pStyle w:val="4"/>
        <w:adjustRightInd w:val="0"/>
        <w:snapToGrid w:val="0"/>
        <w:spacing w:line="500" w:lineRule="exact"/>
        <w:jc w:val="left"/>
        <w:rPr>
          <w:rFonts w:eastAsia="宋体"/>
          <w:color w:val="000000" w:themeColor="text1"/>
          <w14:textFill>
            <w14:solidFill>
              <w14:schemeClr w14:val="tx1"/>
            </w14:solidFill>
          </w14:textFill>
        </w:rPr>
      </w:pPr>
      <w:bookmarkStart w:id="320" w:name="7.1.5突发大气环境事件风险等级表征"/>
      <w:bookmarkEnd w:id="320"/>
      <w:bookmarkStart w:id="321" w:name="_TOC_250017"/>
      <w:bookmarkEnd w:id="321"/>
      <w:bookmarkStart w:id="322" w:name="_Toc32405"/>
      <w:bookmarkStart w:id="323" w:name="_Toc7690"/>
      <w:bookmarkStart w:id="324" w:name="_Toc30454"/>
      <w:r>
        <w:rPr>
          <w:rFonts w:hint="eastAsia" w:eastAsia="宋体"/>
          <w:color w:val="000000" w:themeColor="text1"/>
          <w14:textFill>
            <w14:solidFill>
              <w14:schemeClr w14:val="tx1"/>
            </w14:solidFill>
          </w14:textFill>
        </w:rPr>
        <w:t>7.1.5突发大气环境事件风险等级表征</w:t>
      </w:r>
      <w:bookmarkEnd w:id="322"/>
      <w:bookmarkEnd w:id="323"/>
      <w:bookmarkEnd w:id="324"/>
    </w:p>
    <w:p w14:paraId="1FBD7F50">
      <w:pPr>
        <w:pStyle w:val="13"/>
        <w:spacing w:after="0" w:line="500" w:lineRule="exact"/>
        <w:ind w:firstLine="440" w:firstLineChars="200"/>
        <w:rPr>
          <w:rFonts w:eastAsia="宋体"/>
          <w:spacing w:val="-10"/>
        </w:rPr>
      </w:pPr>
      <w:r>
        <w:rPr>
          <w:rFonts w:eastAsia="宋体"/>
          <w:spacing w:val="-10"/>
        </w:rPr>
        <w:t>企业突发大气环境事件风险等级表征分为两种情况：</w:t>
      </w:r>
    </w:p>
    <w:p w14:paraId="2D49CF78">
      <w:pPr>
        <w:pStyle w:val="13"/>
        <w:numPr>
          <w:ilvl w:val="0"/>
          <w:numId w:val="6"/>
        </w:numPr>
        <w:spacing w:after="0" w:line="500" w:lineRule="exact"/>
        <w:ind w:left="0" w:firstLine="440" w:firstLineChars="200"/>
        <w:rPr>
          <w:rFonts w:eastAsia="宋体"/>
          <w:spacing w:val="-10"/>
        </w:rPr>
      </w:pPr>
      <w:r>
        <w:rPr>
          <w:rFonts w:hint="eastAsia" w:eastAsia="宋体"/>
          <w:spacing w:val="-10"/>
        </w:rPr>
        <w:t>（1）</w:t>
      </w:r>
      <w:r>
        <w:rPr>
          <w:rFonts w:eastAsia="宋体"/>
          <w:spacing w:val="-10"/>
        </w:rPr>
        <w:t>Q＜1时，企业突发大气环境事件风险等级表示为“一般-大气（Q0）”。</w:t>
      </w:r>
    </w:p>
    <w:p w14:paraId="281A5D2E">
      <w:pPr>
        <w:pStyle w:val="13"/>
        <w:spacing w:after="0" w:line="500" w:lineRule="exact"/>
        <w:ind w:firstLine="440" w:firstLineChars="200"/>
        <w:rPr>
          <w:rFonts w:eastAsia="宋体"/>
          <w:spacing w:val="-10"/>
        </w:rPr>
      </w:pPr>
      <w:r>
        <w:rPr>
          <w:rFonts w:hint="eastAsia" w:eastAsia="宋体"/>
          <w:spacing w:val="-10"/>
        </w:rPr>
        <w:t>（2）</w:t>
      </w:r>
      <w:r>
        <w:rPr>
          <w:rFonts w:eastAsia="宋体"/>
          <w:spacing w:val="-10"/>
        </w:rPr>
        <w:t>Q≥1时，企业突发大气环境事件风险等级表示为“环境风险等级-大气（Q水平-M类型-E类型）”。</w:t>
      </w:r>
    </w:p>
    <w:p w14:paraId="26347133">
      <w:pPr>
        <w:pStyle w:val="13"/>
        <w:spacing w:line="500" w:lineRule="exact"/>
        <w:ind w:firstLine="440" w:firstLineChars="200"/>
        <w:jc w:val="left"/>
        <w:rPr>
          <w:rFonts w:eastAsia="宋体"/>
          <w:spacing w:val="-10"/>
        </w:rPr>
      </w:pPr>
      <w:r>
        <w:rPr>
          <w:rFonts w:hint="eastAsia" w:eastAsia="宋体"/>
          <w:spacing w:val="-10"/>
          <w:lang w:eastAsia="zh-CN"/>
        </w:rPr>
        <w:t>江苏福内特家居有限公司</w:t>
      </w:r>
      <w:r>
        <w:rPr>
          <w:rFonts w:eastAsia="宋体"/>
          <w:spacing w:val="-10"/>
        </w:rPr>
        <w:t>Q＜1（Q0），因此大气风险等级表示为“一般-大气（Q0）”。</w:t>
      </w:r>
    </w:p>
    <w:p w14:paraId="7021901A">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325" w:name="_TOC_250016"/>
      <w:bookmarkEnd w:id="325"/>
      <w:bookmarkStart w:id="326" w:name="7.2企业突发水环境事件风险等级"/>
      <w:bookmarkEnd w:id="326"/>
      <w:bookmarkStart w:id="327" w:name="_Toc23797"/>
      <w:bookmarkStart w:id="328" w:name="_Toc27596"/>
      <w:bookmarkStart w:id="329" w:name="_Toc14031"/>
      <w:r>
        <w:rPr>
          <w:rFonts w:hint="eastAsia" w:eastAsia="宋体"/>
          <w:color w:val="000000" w:themeColor="text1"/>
          <w:sz w:val="24"/>
          <w:szCs w:val="24"/>
          <w14:textFill>
            <w14:solidFill>
              <w14:schemeClr w14:val="tx1"/>
            </w14:solidFill>
          </w14:textFill>
        </w:rPr>
        <w:t>7.2企业突发水环境事件风险等级</w:t>
      </w:r>
      <w:bookmarkEnd w:id="327"/>
      <w:bookmarkEnd w:id="328"/>
      <w:bookmarkEnd w:id="329"/>
    </w:p>
    <w:p w14:paraId="47DECAD3">
      <w:pPr>
        <w:pStyle w:val="4"/>
        <w:adjustRightInd w:val="0"/>
        <w:snapToGrid w:val="0"/>
        <w:spacing w:line="500" w:lineRule="exact"/>
        <w:jc w:val="left"/>
        <w:rPr>
          <w:rFonts w:eastAsia="宋体"/>
          <w:color w:val="000000" w:themeColor="text1"/>
          <w14:textFill>
            <w14:solidFill>
              <w14:schemeClr w14:val="tx1"/>
            </w14:solidFill>
          </w14:textFill>
        </w:rPr>
      </w:pPr>
      <w:bookmarkStart w:id="330" w:name="7.2.1涉水风险物质数量与临界量比值（Q）"/>
      <w:bookmarkEnd w:id="330"/>
      <w:bookmarkStart w:id="331" w:name="_Toc16147"/>
      <w:bookmarkStart w:id="332" w:name="_Toc4502"/>
      <w:bookmarkStart w:id="333" w:name="_Toc14282"/>
      <w:bookmarkStart w:id="334" w:name="_TOC_250015"/>
      <w:r>
        <w:rPr>
          <w:rFonts w:hint="eastAsia" w:eastAsia="宋体"/>
          <w:color w:val="000000" w:themeColor="text1"/>
          <w14:textFill>
            <w14:solidFill>
              <w14:schemeClr w14:val="tx1"/>
            </w14:solidFill>
          </w14:textFill>
        </w:rPr>
        <w:t>7.2.1涉水风险物质数量与临界值比值（Q）</w:t>
      </w:r>
      <w:bookmarkEnd w:id="331"/>
      <w:bookmarkEnd w:id="332"/>
      <w:bookmarkEnd w:id="333"/>
    </w:p>
    <w:bookmarkEnd w:id="334"/>
    <w:p w14:paraId="16DC5230">
      <w:pPr>
        <w:pStyle w:val="13"/>
        <w:spacing w:after="0" w:line="500" w:lineRule="exact"/>
        <w:ind w:firstLine="440" w:firstLineChars="200"/>
        <w:jc w:val="left"/>
        <w:rPr>
          <w:rFonts w:eastAsia="宋体"/>
          <w:spacing w:val="-10"/>
        </w:rPr>
      </w:pPr>
      <w:r>
        <w:rPr>
          <w:rFonts w:eastAsia="宋体"/>
          <w:spacing w:val="-10"/>
        </w:rPr>
        <w:t>企业生产原料、成品、中间成品、副成品、催化剂、辅助生产物料、“三废”污染物等是否涉及水环境风险物质，计算涉水风险物质（混合或稀释的风险物质按其组分比例折算成纯物质）与其临界量的比值Q，计算方法同7.1.1部分。</w:t>
      </w:r>
    </w:p>
    <w:p w14:paraId="2018A8CB">
      <w:pPr>
        <w:pStyle w:val="13"/>
        <w:spacing w:after="0" w:line="500" w:lineRule="exact"/>
        <w:ind w:firstLine="440" w:firstLineChars="200"/>
        <w:jc w:val="left"/>
      </w:pPr>
      <w:r>
        <w:rPr>
          <w:rFonts w:eastAsia="宋体"/>
          <w:spacing w:val="-10"/>
        </w:rPr>
        <w:t>涉水环境风险物质有</w:t>
      </w:r>
      <w:r>
        <w:rPr>
          <w:rFonts w:hint="eastAsia" w:eastAsia="宋体"/>
          <w:spacing w:val="-10"/>
        </w:rPr>
        <w:t>水性漆、</w:t>
      </w:r>
      <w:r>
        <w:rPr>
          <w:rFonts w:hint="eastAsia" w:eastAsia="宋体"/>
          <w:spacing w:val="-10"/>
          <w:lang w:val="en-US" w:eastAsia="zh-CN"/>
        </w:rPr>
        <w:t>危废</w:t>
      </w:r>
      <w:r>
        <w:rPr>
          <w:rFonts w:hint="eastAsia" w:eastAsia="宋体"/>
          <w:spacing w:val="-10"/>
        </w:rPr>
        <w:t>等</w:t>
      </w:r>
      <w:r>
        <w:rPr>
          <w:rFonts w:eastAsia="宋体"/>
          <w:spacing w:val="-10"/>
        </w:rPr>
        <w:t>，计算结果见表7-6。</w:t>
      </w:r>
    </w:p>
    <w:p w14:paraId="05916181">
      <w:pPr>
        <w:pStyle w:val="13"/>
        <w:spacing w:after="0"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7-6</w:t>
      </w:r>
      <w:r>
        <w:rPr>
          <w:rFonts w:eastAsiaTheme="minorEastAsia"/>
          <w:b/>
          <w:color w:val="000000" w:themeColor="text1"/>
          <w14:textFill>
            <w14:solidFill>
              <w14:schemeClr w14:val="tx1"/>
            </w14:solidFill>
          </w14:textFill>
        </w:rPr>
        <w:t>企业主要涉水风险物质Q值计算一览表</w:t>
      </w:r>
    </w:p>
    <w:tbl>
      <w:tblPr>
        <w:tblStyle w:val="38"/>
        <w:tblW w:w="8737" w:type="dxa"/>
        <w:tblInd w:w="28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97"/>
        <w:gridCol w:w="1986"/>
        <w:gridCol w:w="1439"/>
        <w:gridCol w:w="1309"/>
        <w:gridCol w:w="1233"/>
        <w:gridCol w:w="1573"/>
      </w:tblGrid>
      <w:tr w14:paraId="368C39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97" w:type="dxa"/>
            <w:tcBorders>
              <w:tl2br w:val="nil"/>
              <w:tr2bl w:val="nil"/>
            </w:tcBorders>
            <w:vAlign w:val="center"/>
          </w:tcPr>
          <w:p w14:paraId="3FA08754">
            <w:pPr>
              <w:pStyle w:val="143"/>
              <w:spacing w:before="0"/>
              <w:ind w:left="0" w:right="0"/>
              <w:rPr>
                <w:b/>
                <w:sz w:val="21"/>
              </w:rPr>
            </w:pPr>
            <w:r>
              <w:rPr>
                <w:b/>
                <w:sz w:val="21"/>
              </w:rPr>
              <w:t>环境风险</w:t>
            </w:r>
          </w:p>
          <w:p w14:paraId="4514C4CA">
            <w:pPr>
              <w:pStyle w:val="143"/>
              <w:spacing w:before="0" w:line="240" w:lineRule="auto"/>
              <w:ind w:left="0" w:right="0"/>
              <w:rPr>
                <w:b/>
                <w:sz w:val="21"/>
              </w:rPr>
            </w:pPr>
            <w:r>
              <w:rPr>
                <w:b/>
                <w:sz w:val="21"/>
              </w:rPr>
              <w:t>单元</w:t>
            </w:r>
          </w:p>
        </w:tc>
        <w:tc>
          <w:tcPr>
            <w:tcW w:w="1986" w:type="dxa"/>
            <w:tcBorders>
              <w:tl2br w:val="nil"/>
              <w:tr2bl w:val="nil"/>
            </w:tcBorders>
            <w:vAlign w:val="center"/>
          </w:tcPr>
          <w:p w14:paraId="06E80F5C">
            <w:pPr>
              <w:pStyle w:val="143"/>
              <w:spacing w:before="0"/>
              <w:ind w:left="0" w:right="0"/>
              <w:rPr>
                <w:b/>
                <w:sz w:val="21"/>
              </w:rPr>
            </w:pPr>
            <w:r>
              <w:rPr>
                <w:b/>
                <w:sz w:val="21"/>
              </w:rPr>
              <w:t>风险物质名称</w:t>
            </w:r>
          </w:p>
        </w:tc>
        <w:tc>
          <w:tcPr>
            <w:tcW w:w="1439" w:type="dxa"/>
            <w:tcBorders>
              <w:tl2br w:val="nil"/>
              <w:tr2bl w:val="nil"/>
            </w:tcBorders>
            <w:vAlign w:val="center"/>
          </w:tcPr>
          <w:p w14:paraId="74792A76">
            <w:pPr>
              <w:pStyle w:val="143"/>
              <w:spacing w:before="0"/>
              <w:ind w:left="0"/>
              <w:jc w:val="center"/>
              <w:rPr>
                <w:b/>
                <w:sz w:val="21"/>
              </w:rPr>
            </w:pPr>
            <w:r>
              <w:rPr>
                <w:b/>
                <w:sz w:val="21"/>
              </w:rPr>
              <w:t>最大存在总</w:t>
            </w:r>
          </w:p>
          <w:p w14:paraId="1315F163">
            <w:pPr>
              <w:pStyle w:val="143"/>
              <w:spacing w:before="0" w:line="240" w:lineRule="auto"/>
              <w:ind w:left="0"/>
              <w:jc w:val="center"/>
              <w:rPr>
                <w:b/>
                <w:sz w:val="21"/>
              </w:rPr>
            </w:pPr>
            <w:r>
              <w:rPr>
                <w:b/>
                <w:sz w:val="21"/>
              </w:rPr>
              <w:t>量</w:t>
            </w:r>
            <w:r>
              <w:rPr>
                <w:rFonts w:ascii="Times New Roman" w:eastAsia="Times New Roman"/>
                <w:b/>
                <w:sz w:val="21"/>
              </w:rPr>
              <w:t>qi</w:t>
            </w:r>
            <w:r>
              <w:rPr>
                <w:b/>
                <w:sz w:val="21"/>
              </w:rPr>
              <w:t>（</w:t>
            </w:r>
            <w:r>
              <w:rPr>
                <w:rFonts w:ascii="Times New Roman" w:eastAsia="Times New Roman"/>
                <w:b/>
                <w:sz w:val="21"/>
              </w:rPr>
              <w:t>t</w:t>
            </w:r>
            <w:r>
              <w:rPr>
                <w:b/>
                <w:sz w:val="21"/>
              </w:rPr>
              <w:t>）</w:t>
            </w:r>
          </w:p>
        </w:tc>
        <w:tc>
          <w:tcPr>
            <w:tcW w:w="1309" w:type="dxa"/>
            <w:tcBorders>
              <w:tl2br w:val="nil"/>
              <w:tr2bl w:val="nil"/>
            </w:tcBorders>
            <w:vAlign w:val="center"/>
          </w:tcPr>
          <w:p w14:paraId="7BF24E02">
            <w:pPr>
              <w:pStyle w:val="143"/>
              <w:spacing w:before="0"/>
              <w:ind w:left="0" w:right="0"/>
              <w:rPr>
                <w:rFonts w:ascii="Times New Roman" w:eastAsia="Times New Roman"/>
                <w:b/>
                <w:sz w:val="21"/>
              </w:rPr>
            </w:pPr>
            <w:r>
              <w:rPr>
                <w:b/>
                <w:sz w:val="21"/>
              </w:rPr>
              <w:t>临界量</w:t>
            </w:r>
            <w:r>
              <w:rPr>
                <w:rFonts w:ascii="Times New Roman" w:eastAsia="Times New Roman"/>
                <w:b/>
                <w:sz w:val="21"/>
              </w:rPr>
              <w:t>Qi</w:t>
            </w:r>
          </w:p>
          <w:p w14:paraId="2751DEE2">
            <w:pPr>
              <w:pStyle w:val="143"/>
              <w:spacing w:before="0" w:line="240" w:lineRule="auto"/>
              <w:ind w:left="0" w:right="0"/>
              <w:rPr>
                <w:b/>
                <w:sz w:val="21"/>
              </w:rPr>
            </w:pPr>
            <w:r>
              <w:rPr>
                <w:b/>
                <w:sz w:val="21"/>
              </w:rPr>
              <w:t>（</w:t>
            </w:r>
            <w:r>
              <w:rPr>
                <w:rFonts w:ascii="Times New Roman" w:eastAsia="Times New Roman"/>
                <w:b/>
                <w:sz w:val="21"/>
              </w:rPr>
              <w:t>t</w:t>
            </w:r>
            <w:r>
              <w:rPr>
                <w:b/>
                <w:sz w:val="21"/>
              </w:rPr>
              <w:t>）</w:t>
            </w:r>
          </w:p>
        </w:tc>
        <w:tc>
          <w:tcPr>
            <w:tcW w:w="1233" w:type="dxa"/>
            <w:tcBorders>
              <w:tl2br w:val="nil"/>
              <w:tr2bl w:val="nil"/>
            </w:tcBorders>
            <w:vAlign w:val="center"/>
          </w:tcPr>
          <w:p w14:paraId="3DCE2E5B">
            <w:pPr>
              <w:pStyle w:val="143"/>
              <w:spacing w:before="0"/>
              <w:ind w:left="0"/>
              <w:jc w:val="center"/>
              <w:rPr>
                <w:rFonts w:ascii="Times New Roman"/>
                <w:b/>
                <w:sz w:val="21"/>
              </w:rPr>
            </w:pPr>
            <w:r>
              <w:rPr>
                <w:rFonts w:ascii="Times New Roman"/>
                <w:b/>
                <w:sz w:val="21"/>
              </w:rPr>
              <w:t>qi/Qi</w:t>
            </w:r>
          </w:p>
        </w:tc>
        <w:tc>
          <w:tcPr>
            <w:tcW w:w="1573" w:type="dxa"/>
            <w:tcBorders>
              <w:tl2br w:val="nil"/>
              <w:tr2bl w:val="nil"/>
            </w:tcBorders>
            <w:vAlign w:val="center"/>
          </w:tcPr>
          <w:p w14:paraId="15849B90">
            <w:pPr>
              <w:pStyle w:val="143"/>
              <w:spacing w:before="0"/>
              <w:ind w:left="0" w:right="0"/>
              <w:rPr>
                <w:b/>
                <w:sz w:val="21"/>
              </w:rPr>
            </w:pPr>
            <w:r>
              <w:rPr>
                <w:b/>
                <w:sz w:val="21"/>
              </w:rPr>
              <w:t>是否重要环境</w:t>
            </w:r>
          </w:p>
          <w:p w14:paraId="751F9D90">
            <w:pPr>
              <w:pStyle w:val="143"/>
              <w:spacing w:before="0" w:line="240" w:lineRule="auto"/>
              <w:ind w:left="0" w:right="0"/>
              <w:rPr>
                <w:b/>
                <w:sz w:val="21"/>
              </w:rPr>
            </w:pPr>
            <w:r>
              <w:rPr>
                <w:b/>
                <w:sz w:val="21"/>
              </w:rPr>
              <w:t>风险单元</w:t>
            </w:r>
          </w:p>
        </w:tc>
      </w:tr>
      <w:tr w14:paraId="009BF4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197" w:type="dxa"/>
            <w:vMerge w:val="restart"/>
            <w:tcBorders>
              <w:tl2br w:val="nil"/>
              <w:tr2bl w:val="nil"/>
            </w:tcBorders>
            <w:vAlign w:val="center"/>
          </w:tcPr>
          <w:p w14:paraId="3EE33699">
            <w:pPr>
              <w:pStyle w:val="143"/>
              <w:spacing w:before="0"/>
              <w:ind w:left="0" w:right="0"/>
              <w:rPr>
                <w:rFonts w:hint="eastAsia"/>
                <w:sz w:val="21"/>
                <w:lang w:val="en-US" w:eastAsia="zh-CN"/>
              </w:rPr>
            </w:pPr>
            <w:r>
              <w:rPr>
                <w:rFonts w:hint="eastAsia" w:ascii="Times New Roman" w:hAnsi="Times New Roman" w:eastAsia="宋体" w:cs="Times New Roman"/>
                <w:sz w:val="21"/>
                <w:szCs w:val="21"/>
                <w:lang w:val="en-US" w:eastAsia="zh-CN"/>
              </w:rPr>
              <w:t>油漆仓库</w:t>
            </w:r>
          </w:p>
        </w:tc>
        <w:tc>
          <w:tcPr>
            <w:tcW w:w="1986" w:type="dxa"/>
            <w:tcBorders>
              <w:tl2br w:val="nil"/>
              <w:tr2bl w:val="nil"/>
            </w:tcBorders>
            <w:vAlign w:val="center"/>
          </w:tcPr>
          <w:p w14:paraId="499CFC94">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水性底漆</w:t>
            </w:r>
          </w:p>
        </w:tc>
        <w:tc>
          <w:tcPr>
            <w:tcW w:w="1439" w:type="dxa"/>
            <w:tcBorders>
              <w:tl2br w:val="nil"/>
              <w:tr2bl w:val="nil"/>
            </w:tcBorders>
            <w:vAlign w:val="center"/>
          </w:tcPr>
          <w:p w14:paraId="59C0EF2E">
            <w:pPr>
              <w:pStyle w:val="143"/>
              <w:spacing w:before="0"/>
              <w:ind w:left="0" w:leftChars="0" w:right="0" w:rightChars="0"/>
              <w:rPr>
                <w:rFonts w:hint="default" w:ascii="Times New Roman"/>
                <w:sz w:val="21"/>
                <w:lang w:val="en-US" w:eastAsia="zh-CN"/>
              </w:rPr>
            </w:pPr>
            <w:r>
              <w:rPr>
                <w:rFonts w:hint="eastAsia" w:ascii="Times New Roman" w:hAnsi="Times New Roman" w:cs="Times New Roman"/>
                <w:sz w:val="21"/>
                <w:szCs w:val="21"/>
                <w:lang w:val="en-US" w:eastAsia="zh-CN"/>
              </w:rPr>
              <w:t>0.3</w:t>
            </w:r>
          </w:p>
        </w:tc>
        <w:tc>
          <w:tcPr>
            <w:tcW w:w="1309" w:type="dxa"/>
            <w:tcBorders>
              <w:tl2br w:val="nil"/>
              <w:tr2bl w:val="nil"/>
            </w:tcBorders>
            <w:vAlign w:val="center"/>
          </w:tcPr>
          <w:p w14:paraId="4C0F3CE0">
            <w:pPr>
              <w:pStyle w:val="143"/>
              <w:rPr>
                <w:rFonts w:hint="default" w:ascii="Times New Roman"/>
                <w:sz w:val="21"/>
                <w:lang w:val="en-US" w:eastAsia="zh-CN"/>
              </w:rPr>
            </w:pPr>
            <w:r>
              <w:rPr>
                <w:rFonts w:hint="eastAsia" w:ascii="Times New Roman"/>
                <w:sz w:val="21"/>
              </w:rPr>
              <w:t>100</w:t>
            </w:r>
          </w:p>
        </w:tc>
        <w:tc>
          <w:tcPr>
            <w:tcW w:w="1233" w:type="dxa"/>
            <w:tcBorders>
              <w:tl2br w:val="nil"/>
              <w:tr2bl w:val="nil"/>
            </w:tcBorders>
            <w:vAlign w:val="center"/>
          </w:tcPr>
          <w:p w14:paraId="4E0AE8FE">
            <w:pPr>
              <w:pStyle w:val="143"/>
              <w:rPr>
                <w:rFonts w:hint="default" w:ascii="Times New Roman" w:eastAsia="宋体"/>
                <w:w w:val="100"/>
                <w:sz w:val="21"/>
                <w:lang w:val="en-US" w:eastAsia="zh-CN"/>
              </w:rPr>
            </w:pPr>
            <w:r>
              <w:rPr>
                <w:rFonts w:hint="eastAsia" w:ascii="Times New Roman"/>
                <w:sz w:val="18"/>
                <w:szCs w:val="18"/>
                <w:lang w:val="en-US" w:eastAsia="zh-CN"/>
              </w:rPr>
              <w:t>0.003</w:t>
            </w:r>
          </w:p>
        </w:tc>
        <w:tc>
          <w:tcPr>
            <w:tcW w:w="1573" w:type="dxa"/>
            <w:vMerge w:val="restart"/>
            <w:tcBorders>
              <w:tl2br w:val="nil"/>
              <w:tr2bl w:val="nil"/>
            </w:tcBorders>
            <w:vAlign w:val="center"/>
          </w:tcPr>
          <w:p w14:paraId="4BD233C9">
            <w:pPr>
              <w:pStyle w:val="143"/>
              <w:ind w:left="0"/>
              <w:rPr>
                <w:rFonts w:hint="eastAsia" w:eastAsia="宋体"/>
                <w:w w:val="100"/>
                <w:sz w:val="21"/>
                <w:lang w:val="en-US" w:eastAsia="zh-CN"/>
              </w:rPr>
            </w:pPr>
            <w:r>
              <w:rPr>
                <w:rFonts w:hint="eastAsia"/>
                <w:w w:val="100"/>
                <w:sz w:val="21"/>
                <w:lang w:val="en-US" w:eastAsia="zh-CN"/>
              </w:rPr>
              <w:t>否</w:t>
            </w:r>
          </w:p>
        </w:tc>
      </w:tr>
      <w:tr w14:paraId="2FECD9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197" w:type="dxa"/>
            <w:vMerge w:val="continue"/>
            <w:tcBorders>
              <w:tl2br w:val="nil"/>
              <w:tr2bl w:val="nil"/>
            </w:tcBorders>
            <w:vAlign w:val="center"/>
          </w:tcPr>
          <w:p w14:paraId="5375A010">
            <w:pPr>
              <w:pStyle w:val="143"/>
              <w:spacing w:before="0"/>
              <w:ind w:left="0" w:right="0"/>
              <w:rPr>
                <w:rFonts w:hint="eastAsia"/>
                <w:sz w:val="21"/>
                <w:lang w:val="en-US" w:eastAsia="zh-CN"/>
              </w:rPr>
            </w:pPr>
          </w:p>
        </w:tc>
        <w:tc>
          <w:tcPr>
            <w:tcW w:w="1986" w:type="dxa"/>
            <w:tcBorders>
              <w:tl2br w:val="nil"/>
              <w:tr2bl w:val="nil"/>
            </w:tcBorders>
            <w:vAlign w:val="center"/>
          </w:tcPr>
          <w:p w14:paraId="7EE1E8CF">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水性面漆</w:t>
            </w:r>
          </w:p>
        </w:tc>
        <w:tc>
          <w:tcPr>
            <w:tcW w:w="1439" w:type="dxa"/>
            <w:tcBorders>
              <w:tl2br w:val="nil"/>
              <w:tr2bl w:val="nil"/>
            </w:tcBorders>
            <w:vAlign w:val="center"/>
          </w:tcPr>
          <w:p w14:paraId="25C029FB">
            <w:pPr>
              <w:pStyle w:val="143"/>
              <w:spacing w:before="0"/>
              <w:ind w:left="0" w:leftChars="0" w:right="0" w:rightChars="0"/>
              <w:rPr>
                <w:rFonts w:hint="default" w:ascii="Times New Roman"/>
                <w:sz w:val="21"/>
                <w:lang w:val="en-US" w:eastAsia="zh-CN"/>
              </w:rPr>
            </w:pPr>
            <w:r>
              <w:rPr>
                <w:rFonts w:hint="eastAsia" w:ascii="Times New Roman" w:hAnsi="Times New Roman" w:cs="Times New Roman"/>
                <w:sz w:val="21"/>
                <w:szCs w:val="21"/>
                <w:lang w:val="en-US" w:eastAsia="zh-CN"/>
              </w:rPr>
              <w:t>0.35</w:t>
            </w:r>
          </w:p>
        </w:tc>
        <w:tc>
          <w:tcPr>
            <w:tcW w:w="1309" w:type="dxa"/>
            <w:tcBorders>
              <w:tl2br w:val="nil"/>
              <w:tr2bl w:val="nil"/>
            </w:tcBorders>
            <w:vAlign w:val="center"/>
          </w:tcPr>
          <w:p w14:paraId="246A689B">
            <w:pPr>
              <w:pStyle w:val="143"/>
              <w:rPr>
                <w:rFonts w:hint="default" w:ascii="Times New Roman"/>
                <w:sz w:val="21"/>
                <w:lang w:val="en-US" w:eastAsia="zh-CN"/>
              </w:rPr>
            </w:pPr>
            <w:r>
              <w:rPr>
                <w:rFonts w:hint="eastAsia" w:ascii="Times New Roman"/>
                <w:sz w:val="21"/>
              </w:rPr>
              <w:t>100</w:t>
            </w:r>
          </w:p>
        </w:tc>
        <w:tc>
          <w:tcPr>
            <w:tcW w:w="1233" w:type="dxa"/>
            <w:tcBorders>
              <w:tl2br w:val="nil"/>
              <w:tr2bl w:val="nil"/>
            </w:tcBorders>
            <w:vAlign w:val="center"/>
          </w:tcPr>
          <w:p w14:paraId="6D06C4A4">
            <w:pPr>
              <w:pStyle w:val="143"/>
              <w:rPr>
                <w:rFonts w:hint="default" w:ascii="Times New Roman" w:eastAsia="宋体"/>
                <w:w w:val="100"/>
                <w:sz w:val="21"/>
                <w:lang w:val="en-US" w:eastAsia="zh-CN"/>
              </w:rPr>
            </w:pPr>
            <w:r>
              <w:rPr>
                <w:rFonts w:hint="eastAsia" w:ascii="Times New Roman"/>
                <w:sz w:val="18"/>
                <w:szCs w:val="18"/>
                <w:lang w:val="en-US" w:eastAsia="zh-CN"/>
              </w:rPr>
              <w:t>0.0035</w:t>
            </w:r>
          </w:p>
        </w:tc>
        <w:tc>
          <w:tcPr>
            <w:tcW w:w="1573" w:type="dxa"/>
            <w:vMerge w:val="continue"/>
            <w:tcBorders>
              <w:tl2br w:val="nil"/>
              <w:tr2bl w:val="nil"/>
            </w:tcBorders>
            <w:vAlign w:val="center"/>
          </w:tcPr>
          <w:p w14:paraId="0511ECC5">
            <w:pPr>
              <w:pStyle w:val="143"/>
              <w:ind w:left="0"/>
              <w:rPr>
                <w:rFonts w:hint="eastAsia"/>
                <w:w w:val="100"/>
                <w:sz w:val="21"/>
              </w:rPr>
            </w:pPr>
          </w:p>
        </w:tc>
      </w:tr>
      <w:tr w14:paraId="22A918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931" w:type="dxa"/>
            <w:gridSpan w:val="4"/>
            <w:tcBorders>
              <w:tl2br w:val="nil"/>
              <w:tr2bl w:val="nil"/>
            </w:tcBorders>
            <w:vAlign w:val="center"/>
          </w:tcPr>
          <w:p w14:paraId="75D0082E">
            <w:pPr>
              <w:pStyle w:val="143"/>
              <w:spacing w:before="0"/>
              <w:ind w:left="0" w:right="0"/>
              <w:rPr>
                <w:rFonts w:ascii="Times New Roman" w:hAnsi="Times New Roman"/>
                <w:b/>
                <w:sz w:val="21"/>
              </w:rPr>
            </w:pPr>
            <w:r>
              <w:rPr>
                <w:rFonts w:ascii="Times New Roman" w:hAnsi="Times New Roman"/>
                <w:b/>
                <w:sz w:val="21"/>
              </w:rPr>
              <w:t>ΣQi/qi</w:t>
            </w:r>
          </w:p>
        </w:tc>
        <w:tc>
          <w:tcPr>
            <w:tcW w:w="1233" w:type="dxa"/>
            <w:tcBorders>
              <w:tl2br w:val="nil"/>
              <w:tr2bl w:val="nil"/>
            </w:tcBorders>
            <w:vAlign w:val="center"/>
          </w:tcPr>
          <w:p w14:paraId="2D32D009">
            <w:pPr>
              <w:jc w:val="center"/>
              <w:rPr>
                <w:rFonts w:hint="default" w:ascii="Times New Roman" w:eastAsia="宋体"/>
                <w:sz w:val="21"/>
                <w:lang w:val="en-US" w:eastAsia="zh-CN"/>
              </w:rPr>
            </w:pPr>
            <w:r>
              <w:rPr>
                <w:rFonts w:hint="eastAsia" w:eastAsia="宋体"/>
                <w:sz w:val="21"/>
                <w:szCs w:val="21"/>
                <w:lang w:val="en-US" w:eastAsia="zh-CN"/>
              </w:rPr>
              <w:t>0.0065</w:t>
            </w:r>
          </w:p>
        </w:tc>
        <w:tc>
          <w:tcPr>
            <w:tcW w:w="1573" w:type="dxa"/>
            <w:vMerge w:val="continue"/>
            <w:tcBorders>
              <w:tl2br w:val="nil"/>
              <w:tr2bl w:val="nil"/>
            </w:tcBorders>
            <w:vAlign w:val="center"/>
          </w:tcPr>
          <w:p w14:paraId="3640FD0E">
            <w:pPr>
              <w:jc w:val="center"/>
              <w:rPr>
                <w:rFonts w:hint="eastAsia" w:ascii="宋体" w:hAnsi="宋体" w:eastAsia="宋体" w:cs="宋体"/>
                <w:sz w:val="21"/>
                <w:szCs w:val="24"/>
              </w:rPr>
            </w:pPr>
          </w:p>
        </w:tc>
      </w:tr>
      <w:tr w14:paraId="1C3CB7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97" w:type="dxa"/>
            <w:vMerge w:val="restart"/>
            <w:tcBorders>
              <w:tl2br w:val="nil"/>
              <w:tr2bl w:val="nil"/>
            </w:tcBorders>
            <w:vAlign w:val="center"/>
          </w:tcPr>
          <w:p w14:paraId="52541C8D">
            <w:pPr>
              <w:pStyle w:val="143"/>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生产车间</w:t>
            </w:r>
          </w:p>
        </w:tc>
        <w:tc>
          <w:tcPr>
            <w:tcW w:w="1986" w:type="dxa"/>
            <w:tcBorders>
              <w:tl2br w:val="nil"/>
              <w:tr2bl w:val="nil"/>
            </w:tcBorders>
            <w:vAlign w:val="center"/>
          </w:tcPr>
          <w:p w14:paraId="2C0A9CF4">
            <w:pPr>
              <w:pStyle w:val="143"/>
              <w:spacing w:before="0"/>
              <w:ind w:left="0" w:leftChars="0" w:right="0" w:rightChars="0"/>
              <w:rPr>
                <w:rFonts w:hint="eastAsia" w:ascii="宋体" w:hAnsi="宋体" w:eastAsia="宋体" w:cs="宋体"/>
                <w:kern w:val="2"/>
                <w:sz w:val="21"/>
                <w:szCs w:val="24"/>
                <w:lang w:val="en-US" w:eastAsia="zh-CN" w:bidi="ar-SA"/>
              </w:rPr>
            </w:pPr>
            <w:r>
              <w:rPr>
                <w:rFonts w:hint="eastAsia" w:ascii="Times New Roman" w:hAnsi="Times New Roman" w:cs="Times New Roman"/>
                <w:sz w:val="21"/>
                <w:szCs w:val="21"/>
                <w:lang w:val="en-US" w:eastAsia="zh-CN"/>
              </w:rPr>
              <w:t>水性底漆</w:t>
            </w:r>
          </w:p>
        </w:tc>
        <w:tc>
          <w:tcPr>
            <w:tcW w:w="1439" w:type="dxa"/>
            <w:tcBorders>
              <w:tl2br w:val="nil"/>
              <w:tr2bl w:val="nil"/>
            </w:tcBorders>
            <w:vAlign w:val="center"/>
          </w:tcPr>
          <w:p w14:paraId="271B186B">
            <w:pPr>
              <w:pStyle w:val="143"/>
              <w:rPr>
                <w:rFonts w:hint="default" w:ascii="Times New Roman" w:hAnsi="Times New Roman"/>
                <w:b w:val="0"/>
                <w:bCs/>
                <w:sz w:val="21"/>
                <w:lang w:val="en-US" w:eastAsia="zh-CN"/>
              </w:rPr>
            </w:pPr>
            <w:r>
              <w:rPr>
                <w:rFonts w:hint="eastAsia" w:ascii="Times New Roman" w:hAnsi="Times New Roman"/>
                <w:bCs/>
                <w:sz w:val="21"/>
                <w:lang w:val="en-US" w:eastAsia="zh-CN"/>
              </w:rPr>
              <w:t>0.3</w:t>
            </w:r>
          </w:p>
        </w:tc>
        <w:tc>
          <w:tcPr>
            <w:tcW w:w="1309" w:type="dxa"/>
            <w:tcBorders>
              <w:tl2br w:val="nil"/>
              <w:tr2bl w:val="nil"/>
            </w:tcBorders>
            <w:vAlign w:val="center"/>
          </w:tcPr>
          <w:p w14:paraId="3EA95CD6">
            <w:pPr>
              <w:pStyle w:val="143"/>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100</w:t>
            </w:r>
          </w:p>
        </w:tc>
        <w:tc>
          <w:tcPr>
            <w:tcW w:w="1233" w:type="dxa"/>
            <w:tcBorders>
              <w:tl2br w:val="nil"/>
              <w:tr2bl w:val="nil"/>
            </w:tcBorders>
            <w:vAlign w:val="center"/>
          </w:tcPr>
          <w:p w14:paraId="275E8EDA">
            <w:pPr>
              <w:pStyle w:val="143"/>
              <w:rPr>
                <w:rFonts w:hint="default" w:ascii="Times New Roman"/>
                <w:w w:val="100"/>
                <w:sz w:val="21"/>
                <w:lang w:val="en-US" w:eastAsia="zh-CN"/>
              </w:rPr>
            </w:pPr>
            <w:r>
              <w:rPr>
                <w:rFonts w:hint="eastAsia" w:ascii="Times New Roman"/>
                <w:sz w:val="21"/>
                <w:lang w:val="en-US" w:eastAsia="zh-CN"/>
              </w:rPr>
              <w:t>0.003</w:t>
            </w:r>
          </w:p>
        </w:tc>
        <w:tc>
          <w:tcPr>
            <w:tcW w:w="1573" w:type="dxa"/>
            <w:vMerge w:val="restart"/>
            <w:tcBorders>
              <w:tl2br w:val="nil"/>
              <w:tr2bl w:val="nil"/>
            </w:tcBorders>
            <w:vAlign w:val="center"/>
          </w:tcPr>
          <w:p w14:paraId="70F2AAB2">
            <w:pPr>
              <w:jc w:val="center"/>
              <w:rPr>
                <w:rFonts w:hint="default"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135C7D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97" w:type="dxa"/>
            <w:vMerge w:val="continue"/>
            <w:tcBorders>
              <w:tl2br w:val="nil"/>
              <w:tr2bl w:val="nil"/>
            </w:tcBorders>
            <w:vAlign w:val="center"/>
          </w:tcPr>
          <w:p w14:paraId="2AB8258B">
            <w:pPr>
              <w:pStyle w:val="143"/>
              <w:spacing w:before="0"/>
              <w:ind w:left="0" w:right="0"/>
              <w:rPr>
                <w:rFonts w:hint="eastAsia" w:ascii="Times New Roman" w:hAnsi="Times New Roman"/>
                <w:b w:val="0"/>
                <w:bCs/>
                <w:sz w:val="21"/>
                <w:lang w:val="en-US" w:eastAsia="zh-CN"/>
              </w:rPr>
            </w:pPr>
          </w:p>
        </w:tc>
        <w:tc>
          <w:tcPr>
            <w:tcW w:w="1986" w:type="dxa"/>
            <w:tcBorders>
              <w:tl2br w:val="nil"/>
              <w:tr2bl w:val="nil"/>
            </w:tcBorders>
            <w:vAlign w:val="center"/>
          </w:tcPr>
          <w:p w14:paraId="0CDAA582">
            <w:pPr>
              <w:pStyle w:val="143"/>
              <w:spacing w:before="0"/>
              <w:ind w:left="0" w:leftChars="0" w:right="0" w:rightChars="0"/>
              <w:rPr>
                <w:rFonts w:hint="eastAsia" w:ascii="宋体" w:hAnsi="宋体" w:eastAsia="宋体" w:cs="宋体"/>
                <w:kern w:val="2"/>
                <w:sz w:val="21"/>
                <w:szCs w:val="24"/>
                <w:lang w:val="en-US" w:eastAsia="zh-CN" w:bidi="ar-SA"/>
              </w:rPr>
            </w:pPr>
            <w:r>
              <w:rPr>
                <w:rFonts w:hint="eastAsia" w:ascii="Times New Roman" w:hAnsi="Times New Roman" w:cs="Times New Roman"/>
                <w:sz w:val="21"/>
                <w:szCs w:val="21"/>
                <w:lang w:val="en-US" w:eastAsia="zh-CN"/>
              </w:rPr>
              <w:t>水性面漆</w:t>
            </w:r>
          </w:p>
        </w:tc>
        <w:tc>
          <w:tcPr>
            <w:tcW w:w="1439" w:type="dxa"/>
            <w:tcBorders>
              <w:tl2br w:val="nil"/>
              <w:tr2bl w:val="nil"/>
            </w:tcBorders>
            <w:vAlign w:val="center"/>
          </w:tcPr>
          <w:p w14:paraId="7229D67B">
            <w:pPr>
              <w:pStyle w:val="143"/>
              <w:rPr>
                <w:rFonts w:hint="default" w:ascii="Times New Roman" w:hAnsi="Times New Roman"/>
                <w:b w:val="0"/>
                <w:bCs/>
                <w:sz w:val="21"/>
                <w:lang w:val="en-US" w:eastAsia="zh-CN"/>
              </w:rPr>
            </w:pPr>
            <w:r>
              <w:rPr>
                <w:rFonts w:hint="eastAsia" w:ascii="Times New Roman" w:hAnsi="Times New Roman"/>
                <w:bCs/>
                <w:sz w:val="21"/>
                <w:lang w:val="en-US" w:eastAsia="zh-CN"/>
              </w:rPr>
              <w:t>0.35</w:t>
            </w:r>
          </w:p>
        </w:tc>
        <w:tc>
          <w:tcPr>
            <w:tcW w:w="1309" w:type="dxa"/>
            <w:tcBorders>
              <w:tl2br w:val="nil"/>
              <w:tr2bl w:val="nil"/>
            </w:tcBorders>
            <w:vAlign w:val="center"/>
          </w:tcPr>
          <w:p w14:paraId="66557757">
            <w:pPr>
              <w:pStyle w:val="143"/>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100</w:t>
            </w:r>
          </w:p>
        </w:tc>
        <w:tc>
          <w:tcPr>
            <w:tcW w:w="1233" w:type="dxa"/>
            <w:tcBorders>
              <w:tl2br w:val="nil"/>
              <w:tr2bl w:val="nil"/>
            </w:tcBorders>
            <w:vAlign w:val="center"/>
          </w:tcPr>
          <w:p w14:paraId="1B6B470D">
            <w:pPr>
              <w:pStyle w:val="143"/>
              <w:rPr>
                <w:rFonts w:hint="default" w:ascii="Times New Roman"/>
                <w:w w:val="100"/>
                <w:sz w:val="21"/>
                <w:lang w:val="en-US" w:eastAsia="zh-CN"/>
              </w:rPr>
            </w:pPr>
            <w:r>
              <w:rPr>
                <w:rFonts w:hint="eastAsia" w:ascii="Times New Roman"/>
                <w:sz w:val="21"/>
                <w:lang w:val="en-US" w:eastAsia="zh-CN"/>
              </w:rPr>
              <w:t>0.0035</w:t>
            </w:r>
          </w:p>
        </w:tc>
        <w:tc>
          <w:tcPr>
            <w:tcW w:w="1573" w:type="dxa"/>
            <w:vMerge w:val="continue"/>
            <w:tcBorders>
              <w:tl2br w:val="nil"/>
              <w:tr2bl w:val="nil"/>
            </w:tcBorders>
            <w:vAlign w:val="center"/>
          </w:tcPr>
          <w:p w14:paraId="2917DBD2">
            <w:pPr>
              <w:jc w:val="center"/>
              <w:rPr>
                <w:rFonts w:hint="eastAsia" w:ascii="宋体" w:hAnsi="宋体" w:eastAsia="宋体" w:cs="宋体"/>
                <w:sz w:val="21"/>
                <w:szCs w:val="24"/>
                <w:lang w:val="en-US" w:eastAsia="zh-CN"/>
              </w:rPr>
            </w:pPr>
          </w:p>
        </w:tc>
      </w:tr>
      <w:tr w14:paraId="2EC2FC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931" w:type="dxa"/>
            <w:gridSpan w:val="4"/>
            <w:tcBorders>
              <w:tl2br w:val="nil"/>
              <w:tr2bl w:val="nil"/>
            </w:tcBorders>
            <w:vAlign w:val="center"/>
          </w:tcPr>
          <w:p w14:paraId="54184161">
            <w:pPr>
              <w:pStyle w:val="143"/>
              <w:spacing w:before="0"/>
              <w:ind w:left="0" w:right="0"/>
              <w:rPr>
                <w:rFonts w:hint="eastAsia" w:ascii="Times New Roman" w:hAnsi="Times New Roman"/>
                <w:b w:val="0"/>
                <w:bCs/>
                <w:sz w:val="21"/>
                <w:lang w:val="en-US" w:eastAsia="zh-CN"/>
              </w:rPr>
            </w:pPr>
            <w:r>
              <w:rPr>
                <w:rFonts w:ascii="Times New Roman" w:hAnsi="Times New Roman"/>
                <w:b/>
                <w:sz w:val="21"/>
              </w:rPr>
              <w:t>ΣQi/qi</w:t>
            </w:r>
          </w:p>
        </w:tc>
        <w:tc>
          <w:tcPr>
            <w:tcW w:w="1233" w:type="dxa"/>
            <w:tcBorders>
              <w:tl2br w:val="nil"/>
              <w:tr2bl w:val="nil"/>
            </w:tcBorders>
            <w:vAlign w:val="center"/>
          </w:tcPr>
          <w:p w14:paraId="6E0A2029">
            <w:pPr>
              <w:jc w:val="center"/>
              <w:rPr>
                <w:rFonts w:hint="default" w:ascii="Times New Roman"/>
                <w:w w:val="100"/>
                <w:sz w:val="21"/>
                <w:lang w:val="en-US" w:eastAsia="zh-CN"/>
              </w:rPr>
            </w:pPr>
            <w:r>
              <w:rPr>
                <w:rFonts w:hint="eastAsia" w:eastAsia="宋体"/>
                <w:sz w:val="21"/>
                <w:szCs w:val="21"/>
                <w:lang w:val="en-US" w:eastAsia="zh-CN"/>
              </w:rPr>
              <w:t>0.0065</w:t>
            </w:r>
          </w:p>
        </w:tc>
        <w:tc>
          <w:tcPr>
            <w:tcW w:w="1573" w:type="dxa"/>
            <w:vMerge w:val="continue"/>
            <w:tcBorders>
              <w:tl2br w:val="nil"/>
              <w:tr2bl w:val="nil"/>
            </w:tcBorders>
            <w:vAlign w:val="center"/>
          </w:tcPr>
          <w:p w14:paraId="6D2B0003">
            <w:pPr>
              <w:jc w:val="center"/>
              <w:rPr>
                <w:rFonts w:hint="eastAsia" w:ascii="宋体" w:hAnsi="宋体" w:eastAsia="宋体" w:cs="宋体"/>
                <w:sz w:val="21"/>
                <w:szCs w:val="24"/>
                <w:lang w:val="en-US" w:eastAsia="zh-CN"/>
              </w:rPr>
            </w:pPr>
          </w:p>
        </w:tc>
      </w:tr>
      <w:tr w14:paraId="3C7774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197" w:type="dxa"/>
            <w:vMerge w:val="restart"/>
            <w:tcBorders>
              <w:tl2br w:val="nil"/>
              <w:tr2bl w:val="nil"/>
            </w:tcBorders>
            <w:vAlign w:val="center"/>
          </w:tcPr>
          <w:p w14:paraId="5DAFB45F">
            <w:pPr>
              <w:jc w:val="center"/>
              <w:rPr>
                <w:sz w:val="2"/>
                <w:szCs w:val="2"/>
              </w:rPr>
            </w:pPr>
            <w:r>
              <w:rPr>
                <w:rFonts w:hint="eastAsia" w:ascii="Times New Roman" w:eastAsia="宋体"/>
                <w:sz w:val="21"/>
                <w:lang w:val="en-US" w:eastAsia="zh-CN"/>
              </w:rPr>
              <w:t>危废仓库</w:t>
            </w:r>
          </w:p>
        </w:tc>
        <w:tc>
          <w:tcPr>
            <w:tcW w:w="1986" w:type="dxa"/>
            <w:tcBorders>
              <w:tl2br w:val="nil"/>
              <w:tr2bl w:val="nil"/>
            </w:tcBorders>
            <w:vAlign w:val="center"/>
          </w:tcPr>
          <w:p w14:paraId="1AC4C214">
            <w:pPr>
              <w:pStyle w:val="34"/>
              <w:spacing w:line="240" w:lineRule="auto"/>
              <w:ind w:firstLine="0" w:firstLineChars="0"/>
              <w:jc w:val="center"/>
              <w:rPr>
                <w:rFonts w:hint="eastAsia"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rPr>
              <w:t>漆渣</w:t>
            </w:r>
          </w:p>
        </w:tc>
        <w:tc>
          <w:tcPr>
            <w:tcW w:w="1439" w:type="dxa"/>
            <w:tcBorders>
              <w:tl2br w:val="nil"/>
              <w:tr2bl w:val="nil"/>
            </w:tcBorders>
            <w:vAlign w:val="center"/>
          </w:tcPr>
          <w:p w14:paraId="25254675">
            <w:pPr>
              <w:pStyle w:val="143"/>
              <w:spacing w:before="0"/>
              <w:ind w:left="0" w:leftChars="0" w:right="0" w:rightChars="0"/>
              <w:jc w:val="center"/>
              <w:rPr>
                <w:rFonts w:hint="default" w:ascii="Times New Roman"/>
                <w:sz w:val="21"/>
                <w:lang w:val="en-US" w:eastAsia="zh-CN"/>
              </w:rPr>
            </w:pPr>
            <w:r>
              <w:rPr>
                <w:rFonts w:hint="eastAsia" w:ascii="Times New Roman" w:hAnsi="Times New Roman" w:cs="Times New Roman"/>
                <w:bCs w:val="0"/>
                <w:sz w:val="21"/>
                <w:szCs w:val="21"/>
                <w:lang w:val="en-US" w:eastAsia="zh-CN"/>
              </w:rPr>
              <w:t>8</w:t>
            </w:r>
          </w:p>
        </w:tc>
        <w:tc>
          <w:tcPr>
            <w:tcW w:w="1309" w:type="dxa"/>
            <w:tcBorders>
              <w:tl2br w:val="nil"/>
              <w:tr2bl w:val="nil"/>
            </w:tcBorders>
            <w:vAlign w:val="center"/>
          </w:tcPr>
          <w:p w14:paraId="061CAE5C">
            <w:pPr>
              <w:pStyle w:val="143"/>
              <w:rPr>
                <w:rFonts w:hint="default" w:ascii="Times New Roman" w:eastAsia="宋体"/>
                <w:sz w:val="21"/>
                <w:lang w:val="en-US" w:eastAsia="zh-CN"/>
              </w:rPr>
            </w:pPr>
            <w:r>
              <w:rPr>
                <w:rFonts w:hint="eastAsia" w:ascii="Times New Roman"/>
                <w:sz w:val="21"/>
              </w:rPr>
              <w:t>50</w:t>
            </w:r>
          </w:p>
        </w:tc>
        <w:tc>
          <w:tcPr>
            <w:tcW w:w="1233" w:type="dxa"/>
            <w:tcBorders>
              <w:tl2br w:val="nil"/>
              <w:tr2bl w:val="nil"/>
            </w:tcBorders>
            <w:vAlign w:val="center"/>
          </w:tcPr>
          <w:p w14:paraId="0186F7C2">
            <w:pPr>
              <w:pStyle w:val="143"/>
              <w:rPr>
                <w:rFonts w:hint="default" w:ascii="Times New Roman" w:eastAsia="宋体"/>
                <w:sz w:val="21"/>
                <w:lang w:val="en-US" w:eastAsia="zh-CN"/>
              </w:rPr>
            </w:pPr>
            <w:r>
              <w:rPr>
                <w:rFonts w:hint="eastAsia" w:ascii="Times New Roman"/>
                <w:sz w:val="21"/>
                <w:lang w:val="en-US" w:eastAsia="zh-CN"/>
              </w:rPr>
              <w:t>0.16</w:t>
            </w:r>
          </w:p>
        </w:tc>
        <w:tc>
          <w:tcPr>
            <w:tcW w:w="1573" w:type="dxa"/>
            <w:vMerge w:val="continue"/>
            <w:tcBorders>
              <w:tl2br w:val="nil"/>
              <w:tr2bl w:val="nil"/>
            </w:tcBorders>
            <w:vAlign w:val="center"/>
          </w:tcPr>
          <w:p w14:paraId="02E269B4">
            <w:pPr>
              <w:jc w:val="center"/>
              <w:rPr>
                <w:sz w:val="2"/>
                <w:szCs w:val="2"/>
              </w:rPr>
            </w:pPr>
          </w:p>
        </w:tc>
      </w:tr>
      <w:tr w14:paraId="58E979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197" w:type="dxa"/>
            <w:vMerge w:val="continue"/>
            <w:tcBorders>
              <w:tl2br w:val="nil"/>
              <w:tr2bl w:val="nil"/>
            </w:tcBorders>
            <w:vAlign w:val="center"/>
          </w:tcPr>
          <w:p w14:paraId="426575C5">
            <w:pPr>
              <w:jc w:val="center"/>
              <w:rPr>
                <w:sz w:val="2"/>
                <w:szCs w:val="2"/>
              </w:rPr>
            </w:pPr>
          </w:p>
        </w:tc>
        <w:tc>
          <w:tcPr>
            <w:tcW w:w="1986" w:type="dxa"/>
            <w:tcBorders>
              <w:tl2br w:val="nil"/>
              <w:tr2bl w:val="nil"/>
            </w:tcBorders>
            <w:vAlign w:val="center"/>
          </w:tcPr>
          <w:p w14:paraId="5A25DAAD">
            <w:pPr>
              <w:pStyle w:val="34"/>
              <w:spacing w:line="240" w:lineRule="auto"/>
              <w:ind w:firstLine="0" w:firstLineChars="0"/>
              <w:jc w:val="center"/>
              <w:rPr>
                <w:rFonts w:hint="eastAsia" w:ascii="Times New Roman" w:hAnsi="Times New Roman" w:eastAsia="宋体" w:cs="Times New Roman"/>
                <w:kern w:val="0"/>
                <w:sz w:val="21"/>
                <w:szCs w:val="21"/>
                <w:lang w:val="en-US" w:eastAsia="zh-CN" w:bidi="zh-CN"/>
              </w:rPr>
            </w:pPr>
            <w:r>
              <w:rPr>
                <w:rFonts w:hint="eastAsia" w:ascii="Times New Roman" w:hAnsi="Times New Roman" w:eastAsia="宋体" w:cs="Times New Roman"/>
                <w:sz w:val="21"/>
                <w:szCs w:val="21"/>
                <w:lang w:val="en-US" w:eastAsia="zh-CN"/>
              </w:rPr>
              <w:t>废包装桶</w:t>
            </w:r>
          </w:p>
        </w:tc>
        <w:tc>
          <w:tcPr>
            <w:tcW w:w="1439" w:type="dxa"/>
            <w:tcBorders>
              <w:tl2br w:val="nil"/>
              <w:tr2bl w:val="nil"/>
            </w:tcBorders>
            <w:vAlign w:val="center"/>
          </w:tcPr>
          <w:p w14:paraId="127E7B96">
            <w:pPr>
              <w:pStyle w:val="143"/>
              <w:spacing w:before="0"/>
              <w:ind w:left="0" w:leftChars="0" w:right="0" w:rightChars="0"/>
              <w:jc w:val="center"/>
              <w:rPr>
                <w:rFonts w:hint="default" w:ascii="Times New Roman"/>
                <w:sz w:val="21"/>
                <w:lang w:val="en-US" w:eastAsia="zh-CN"/>
              </w:rPr>
            </w:pPr>
            <w:r>
              <w:rPr>
                <w:rFonts w:hint="eastAsia" w:ascii="Times New Roman" w:hAnsi="Times New Roman" w:cs="Times New Roman"/>
                <w:bCs w:val="0"/>
                <w:sz w:val="21"/>
                <w:szCs w:val="21"/>
                <w:lang w:val="en-US" w:eastAsia="zh-CN"/>
              </w:rPr>
              <w:t>2</w:t>
            </w:r>
          </w:p>
        </w:tc>
        <w:tc>
          <w:tcPr>
            <w:tcW w:w="1309" w:type="dxa"/>
            <w:tcBorders>
              <w:tl2br w:val="nil"/>
              <w:tr2bl w:val="nil"/>
            </w:tcBorders>
            <w:vAlign w:val="center"/>
          </w:tcPr>
          <w:p w14:paraId="3C9310BE">
            <w:pPr>
              <w:pStyle w:val="143"/>
              <w:rPr>
                <w:rFonts w:hint="default" w:ascii="Times New Roman"/>
                <w:sz w:val="21"/>
                <w:lang w:val="en-US" w:eastAsia="zh-CN"/>
              </w:rPr>
            </w:pPr>
            <w:r>
              <w:rPr>
                <w:rFonts w:hint="eastAsia" w:ascii="Times New Roman"/>
                <w:sz w:val="21"/>
                <w:lang w:val="en-US" w:eastAsia="zh-CN"/>
              </w:rPr>
              <w:t>50</w:t>
            </w:r>
          </w:p>
        </w:tc>
        <w:tc>
          <w:tcPr>
            <w:tcW w:w="1233" w:type="dxa"/>
            <w:tcBorders>
              <w:tl2br w:val="nil"/>
              <w:tr2bl w:val="nil"/>
            </w:tcBorders>
            <w:vAlign w:val="center"/>
          </w:tcPr>
          <w:p w14:paraId="67EA1018">
            <w:pPr>
              <w:pStyle w:val="143"/>
              <w:rPr>
                <w:rFonts w:hint="default" w:ascii="Times New Roman" w:eastAsia="宋体"/>
                <w:w w:val="100"/>
                <w:sz w:val="21"/>
                <w:lang w:val="en-US" w:eastAsia="zh-CN"/>
              </w:rPr>
            </w:pPr>
            <w:r>
              <w:rPr>
                <w:rFonts w:hint="eastAsia" w:ascii="Times New Roman"/>
                <w:sz w:val="21"/>
                <w:lang w:val="en-US" w:eastAsia="zh-CN"/>
              </w:rPr>
              <w:t>0.04</w:t>
            </w:r>
          </w:p>
        </w:tc>
        <w:tc>
          <w:tcPr>
            <w:tcW w:w="1573" w:type="dxa"/>
            <w:vMerge w:val="continue"/>
            <w:tcBorders>
              <w:tl2br w:val="nil"/>
              <w:tr2bl w:val="nil"/>
            </w:tcBorders>
            <w:vAlign w:val="center"/>
          </w:tcPr>
          <w:p w14:paraId="1251C331">
            <w:pPr>
              <w:jc w:val="center"/>
              <w:rPr>
                <w:sz w:val="2"/>
                <w:szCs w:val="2"/>
              </w:rPr>
            </w:pPr>
          </w:p>
        </w:tc>
      </w:tr>
      <w:tr w14:paraId="723ACA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197" w:type="dxa"/>
            <w:vMerge w:val="continue"/>
            <w:tcBorders>
              <w:tl2br w:val="nil"/>
              <w:tr2bl w:val="nil"/>
            </w:tcBorders>
            <w:vAlign w:val="center"/>
          </w:tcPr>
          <w:p w14:paraId="23097C12">
            <w:pPr>
              <w:jc w:val="center"/>
              <w:rPr>
                <w:sz w:val="2"/>
                <w:szCs w:val="2"/>
              </w:rPr>
            </w:pPr>
          </w:p>
        </w:tc>
        <w:tc>
          <w:tcPr>
            <w:tcW w:w="1986" w:type="dxa"/>
            <w:tcBorders>
              <w:tl2br w:val="nil"/>
              <w:tr2bl w:val="nil"/>
            </w:tcBorders>
            <w:vAlign w:val="center"/>
          </w:tcPr>
          <w:p w14:paraId="0EFB82DA">
            <w:pPr>
              <w:pStyle w:val="34"/>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废活性炭</w:t>
            </w:r>
          </w:p>
        </w:tc>
        <w:tc>
          <w:tcPr>
            <w:tcW w:w="1439" w:type="dxa"/>
            <w:tcBorders>
              <w:tl2br w:val="nil"/>
              <w:tr2bl w:val="nil"/>
            </w:tcBorders>
            <w:vAlign w:val="center"/>
          </w:tcPr>
          <w:p w14:paraId="1B0BFA14">
            <w:pPr>
              <w:pStyle w:val="143"/>
              <w:spacing w:before="0"/>
              <w:ind w:left="0" w:leftChars="0" w:right="0" w:rightChars="0"/>
              <w:jc w:val="center"/>
              <w:rPr>
                <w:rFonts w:hint="default" w:ascii="Times New Roman" w:hAnsi="Times New Roman" w:cs="Times New Roman"/>
                <w:bCs w:val="0"/>
                <w:sz w:val="21"/>
                <w:szCs w:val="21"/>
                <w:lang w:val="en-US" w:eastAsia="zh-CN"/>
              </w:rPr>
            </w:pPr>
            <w:r>
              <w:rPr>
                <w:rFonts w:hint="eastAsia" w:ascii="Times New Roman" w:hAnsi="Times New Roman" w:cs="Times New Roman"/>
                <w:bCs w:val="0"/>
                <w:sz w:val="21"/>
                <w:szCs w:val="21"/>
                <w:lang w:val="en-US" w:eastAsia="zh-CN"/>
              </w:rPr>
              <w:t>2</w:t>
            </w:r>
          </w:p>
        </w:tc>
        <w:tc>
          <w:tcPr>
            <w:tcW w:w="1309" w:type="dxa"/>
            <w:tcBorders>
              <w:tl2br w:val="nil"/>
              <w:tr2bl w:val="nil"/>
            </w:tcBorders>
            <w:vAlign w:val="center"/>
          </w:tcPr>
          <w:p w14:paraId="41BAE2FE">
            <w:pPr>
              <w:pStyle w:val="143"/>
              <w:rPr>
                <w:rFonts w:hint="default" w:ascii="Times New Roman"/>
                <w:sz w:val="21"/>
                <w:lang w:val="en-US" w:eastAsia="zh-CN"/>
              </w:rPr>
            </w:pPr>
            <w:r>
              <w:rPr>
                <w:rFonts w:hint="eastAsia" w:ascii="Times New Roman"/>
                <w:sz w:val="21"/>
                <w:lang w:val="en-US" w:eastAsia="zh-CN"/>
              </w:rPr>
              <w:t>50</w:t>
            </w:r>
          </w:p>
        </w:tc>
        <w:tc>
          <w:tcPr>
            <w:tcW w:w="1233" w:type="dxa"/>
            <w:tcBorders>
              <w:tl2br w:val="nil"/>
              <w:tr2bl w:val="nil"/>
            </w:tcBorders>
            <w:vAlign w:val="center"/>
          </w:tcPr>
          <w:p w14:paraId="21A712B4">
            <w:pPr>
              <w:pStyle w:val="143"/>
              <w:rPr>
                <w:rFonts w:hint="default" w:ascii="Times New Roman"/>
                <w:sz w:val="21"/>
                <w:lang w:val="en-US" w:eastAsia="zh-CN"/>
              </w:rPr>
            </w:pPr>
            <w:r>
              <w:rPr>
                <w:rFonts w:hint="eastAsia" w:ascii="Times New Roman"/>
                <w:sz w:val="21"/>
                <w:lang w:val="en-US" w:eastAsia="zh-CN"/>
              </w:rPr>
              <w:t>0.04</w:t>
            </w:r>
          </w:p>
        </w:tc>
        <w:tc>
          <w:tcPr>
            <w:tcW w:w="1573" w:type="dxa"/>
            <w:vMerge w:val="continue"/>
            <w:tcBorders>
              <w:tl2br w:val="nil"/>
              <w:tr2bl w:val="nil"/>
            </w:tcBorders>
            <w:vAlign w:val="center"/>
          </w:tcPr>
          <w:p w14:paraId="6CFCDB61">
            <w:pPr>
              <w:jc w:val="center"/>
              <w:rPr>
                <w:sz w:val="2"/>
                <w:szCs w:val="2"/>
              </w:rPr>
            </w:pPr>
          </w:p>
        </w:tc>
      </w:tr>
      <w:tr w14:paraId="5906D7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197" w:type="dxa"/>
            <w:vMerge w:val="continue"/>
            <w:tcBorders>
              <w:tl2br w:val="nil"/>
              <w:tr2bl w:val="nil"/>
            </w:tcBorders>
            <w:vAlign w:val="center"/>
          </w:tcPr>
          <w:p w14:paraId="75FF084E">
            <w:pPr>
              <w:jc w:val="center"/>
              <w:rPr>
                <w:sz w:val="2"/>
                <w:szCs w:val="2"/>
              </w:rPr>
            </w:pPr>
          </w:p>
        </w:tc>
        <w:tc>
          <w:tcPr>
            <w:tcW w:w="1986" w:type="dxa"/>
            <w:tcBorders>
              <w:tl2br w:val="nil"/>
              <w:tr2bl w:val="nil"/>
            </w:tcBorders>
            <w:vAlign w:val="center"/>
          </w:tcPr>
          <w:p w14:paraId="45467DC1">
            <w:pPr>
              <w:pStyle w:val="34"/>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废过滤棉</w:t>
            </w:r>
          </w:p>
        </w:tc>
        <w:tc>
          <w:tcPr>
            <w:tcW w:w="1439" w:type="dxa"/>
            <w:tcBorders>
              <w:tl2br w:val="nil"/>
              <w:tr2bl w:val="nil"/>
            </w:tcBorders>
            <w:vAlign w:val="center"/>
          </w:tcPr>
          <w:p w14:paraId="430998F6">
            <w:pPr>
              <w:pStyle w:val="143"/>
              <w:spacing w:before="0"/>
              <w:ind w:left="0" w:leftChars="0" w:right="0" w:rightChars="0"/>
              <w:jc w:val="center"/>
              <w:rPr>
                <w:rFonts w:hint="default" w:ascii="Times New Roman" w:hAnsi="Times New Roman" w:cs="Times New Roman"/>
                <w:bCs w:val="0"/>
                <w:sz w:val="21"/>
                <w:szCs w:val="21"/>
                <w:lang w:val="en-US" w:eastAsia="zh-CN"/>
              </w:rPr>
            </w:pPr>
            <w:r>
              <w:rPr>
                <w:rFonts w:hint="eastAsia" w:ascii="Times New Roman" w:hAnsi="Times New Roman" w:cs="Times New Roman"/>
                <w:bCs w:val="0"/>
                <w:sz w:val="21"/>
                <w:szCs w:val="21"/>
                <w:lang w:val="en-US" w:eastAsia="zh-CN"/>
              </w:rPr>
              <w:t>2</w:t>
            </w:r>
          </w:p>
        </w:tc>
        <w:tc>
          <w:tcPr>
            <w:tcW w:w="1309" w:type="dxa"/>
            <w:tcBorders>
              <w:tl2br w:val="nil"/>
              <w:tr2bl w:val="nil"/>
            </w:tcBorders>
            <w:vAlign w:val="center"/>
          </w:tcPr>
          <w:p w14:paraId="7135FDA6">
            <w:pPr>
              <w:pStyle w:val="143"/>
              <w:rPr>
                <w:rFonts w:hint="default" w:ascii="Times New Roman"/>
                <w:sz w:val="21"/>
                <w:lang w:val="en-US" w:eastAsia="zh-CN"/>
              </w:rPr>
            </w:pPr>
            <w:r>
              <w:rPr>
                <w:rFonts w:hint="eastAsia" w:ascii="Times New Roman"/>
                <w:sz w:val="21"/>
                <w:lang w:val="en-US" w:eastAsia="zh-CN"/>
              </w:rPr>
              <w:t>50</w:t>
            </w:r>
          </w:p>
        </w:tc>
        <w:tc>
          <w:tcPr>
            <w:tcW w:w="1233" w:type="dxa"/>
            <w:tcBorders>
              <w:tl2br w:val="nil"/>
              <w:tr2bl w:val="nil"/>
            </w:tcBorders>
            <w:vAlign w:val="center"/>
          </w:tcPr>
          <w:p w14:paraId="426CE9DB">
            <w:pPr>
              <w:pStyle w:val="143"/>
              <w:rPr>
                <w:rFonts w:hint="default" w:ascii="Times New Roman"/>
                <w:sz w:val="21"/>
                <w:lang w:val="en-US" w:eastAsia="zh-CN"/>
              </w:rPr>
            </w:pPr>
            <w:r>
              <w:rPr>
                <w:rFonts w:hint="eastAsia" w:ascii="Times New Roman"/>
                <w:sz w:val="21"/>
                <w:lang w:val="en-US" w:eastAsia="zh-CN"/>
              </w:rPr>
              <w:t>0.04</w:t>
            </w:r>
          </w:p>
        </w:tc>
        <w:tc>
          <w:tcPr>
            <w:tcW w:w="1573" w:type="dxa"/>
            <w:vMerge w:val="continue"/>
            <w:tcBorders>
              <w:tl2br w:val="nil"/>
              <w:tr2bl w:val="nil"/>
            </w:tcBorders>
            <w:vAlign w:val="center"/>
          </w:tcPr>
          <w:p w14:paraId="3D1D1ABA">
            <w:pPr>
              <w:jc w:val="center"/>
              <w:rPr>
                <w:sz w:val="2"/>
                <w:szCs w:val="2"/>
              </w:rPr>
            </w:pPr>
          </w:p>
        </w:tc>
      </w:tr>
      <w:tr w14:paraId="4593A1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931" w:type="dxa"/>
            <w:gridSpan w:val="4"/>
            <w:tcBorders>
              <w:tl2br w:val="nil"/>
              <w:tr2bl w:val="nil"/>
            </w:tcBorders>
            <w:vAlign w:val="center"/>
          </w:tcPr>
          <w:p w14:paraId="6F9E63E0">
            <w:pPr>
              <w:pStyle w:val="143"/>
              <w:spacing w:before="0"/>
              <w:ind w:left="0" w:right="0"/>
              <w:rPr>
                <w:rFonts w:ascii="Times New Roman" w:hAnsi="Times New Roman"/>
                <w:b/>
                <w:sz w:val="21"/>
              </w:rPr>
            </w:pPr>
            <w:r>
              <w:rPr>
                <w:rFonts w:ascii="Times New Roman" w:hAnsi="Times New Roman"/>
                <w:b/>
                <w:sz w:val="21"/>
              </w:rPr>
              <w:t>ΣQi/qi</w:t>
            </w:r>
          </w:p>
        </w:tc>
        <w:tc>
          <w:tcPr>
            <w:tcW w:w="1233" w:type="dxa"/>
            <w:tcBorders>
              <w:tl2br w:val="nil"/>
              <w:tr2bl w:val="nil"/>
            </w:tcBorders>
            <w:vAlign w:val="center"/>
          </w:tcPr>
          <w:p w14:paraId="3194A92C">
            <w:pPr>
              <w:pStyle w:val="143"/>
              <w:spacing w:before="0"/>
              <w:ind w:right="0" w:rightChars="0"/>
              <w:jc w:val="center"/>
              <w:rPr>
                <w:rFonts w:hint="default" w:ascii="Times New Roman" w:eastAsia="宋体"/>
                <w:sz w:val="21"/>
                <w:lang w:val="en-US" w:eastAsia="zh-CN"/>
              </w:rPr>
            </w:pPr>
            <w:r>
              <w:rPr>
                <w:rFonts w:hint="eastAsia" w:ascii="Times New Roman" w:hAnsi="Times New Roman" w:cs="Times New Roman"/>
                <w:kern w:val="2"/>
                <w:sz w:val="21"/>
                <w:szCs w:val="21"/>
                <w:lang w:val="en-US" w:eastAsia="zh-CN" w:bidi="ar-SA"/>
              </w:rPr>
              <w:t>0.293</w:t>
            </w:r>
          </w:p>
        </w:tc>
        <w:tc>
          <w:tcPr>
            <w:tcW w:w="1573" w:type="dxa"/>
            <w:vMerge w:val="continue"/>
            <w:tcBorders>
              <w:tl2br w:val="nil"/>
              <w:tr2bl w:val="nil"/>
            </w:tcBorders>
            <w:vAlign w:val="center"/>
          </w:tcPr>
          <w:p w14:paraId="0A0D4B94">
            <w:pPr>
              <w:jc w:val="center"/>
              <w:rPr>
                <w:sz w:val="2"/>
                <w:szCs w:val="2"/>
              </w:rPr>
            </w:pPr>
          </w:p>
        </w:tc>
      </w:tr>
    </w:tbl>
    <w:p w14:paraId="36956DA6">
      <w:pPr>
        <w:pStyle w:val="14"/>
        <w:numPr>
          <w:ilvl w:val="-1"/>
          <w:numId w:val="0"/>
        </w:numPr>
        <w:ind w:left="0" w:firstLine="0"/>
      </w:pPr>
    </w:p>
    <w:p w14:paraId="4935005E">
      <w:pPr>
        <w:pStyle w:val="13"/>
        <w:spacing w:after="0" w:line="500" w:lineRule="exact"/>
        <w:ind w:firstLine="480" w:firstLineChars="200"/>
        <w:jc w:val="left"/>
        <w:rPr>
          <w:rFonts w:eastAsia="宋体"/>
          <w:spacing w:val="-10"/>
        </w:rPr>
      </w:pPr>
      <w:r>
        <w:rPr>
          <w:rFonts w:eastAsia="宋体"/>
        </w:rPr>
        <w:t>根据上述计算，公司涉</w:t>
      </w:r>
      <w:r>
        <w:rPr>
          <w:rFonts w:hint="eastAsia" w:eastAsia="宋体"/>
          <w:lang w:val="en-US" w:eastAsia="zh-CN"/>
        </w:rPr>
        <w:t>水</w:t>
      </w:r>
      <w:r>
        <w:rPr>
          <w:rFonts w:eastAsia="宋体"/>
        </w:rPr>
        <w:t>风险物质数量与临界量比值为</w:t>
      </w:r>
      <w:r>
        <w:rPr>
          <w:rFonts w:hint="eastAsia" w:eastAsia="宋体"/>
        </w:rPr>
        <w:t>Q=</w:t>
      </w:r>
      <w:r>
        <w:rPr>
          <w:rFonts w:hint="eastAsia" w:eastAsia="宋体"/>
          <w:lang w:val="en-US" w:eastAsia="zh-CN"/>
        </w:rPr>
        <w:t>0.293</w:t>
      </w:r>
      <w:r>
        <w:rPr>
          <w:rFonts w:eastAsia="宋体"/>
          <w:color w:val="000000" w:themeColor="text1"/>
          <w14:textFill>
            <w14:solidFill>
              <w14:schemeClr w14:val="tx1"/>
            </w14:solidFill>
          </w14:textFill>
        </w:rPr>
        <w:t>，Q＜1，</w:t>
      </w:r>
      <w:r>
        <w:rPr>
          <w:rFonts w:eastAsia="宋体"/>
        </w:rPr>
        <w:t>直接评为一般环境风险等级Q0。</w:t>
      </w:r>
    </w:p>
    <w:p w14:paraId="0B0F4313">
      <w:pPr>
        <w:pStyle w:val="4"/>
        <w:adjustRightInd w:val="0"/>
        <w:snapToGrid w:val="0"/>
        <w:spacing w:line="500" w:lineRule="exact"/>
        <w:jc w:val="left"/>
        <w:rPr>
          <w:rFonts w:eastAsia="宋体"/>
          <w:color w:val="000000" w:themeColor="text1"/>
          <w14:textFill>
            <w14:solidFill>
              <w14:schemeClr w14:val="tx1"/>
            </w14:solidFill>
          </w14:textFill>
        </w:rPr>
      </w:pPr>
      <w:bookmarkStart w:id="335" w:name="7.2.2生产工艺过程与水环境风险控制水平（M）评估"/>
      <w:bookmarkEnd w:id="335"/>
      <w:bookmarkStart w:id="336" w:name="_Toc30523"/>
      <w:bookmarkStart w:id="337" w:name="_Toc23938"/>
      <w:bookmarkStart w:id="338" w:name="_Toc3360"/>
      <w:bookmarkStart w:id="339" w:name="_TOC_250014"/>
      <w:r>
        <w:rPr>
          <w:rFonts w:hint="eastAsia" w:eastAsia="宋体"/>
          <w:color w:val="000000" w:themeColor="text1"/>
          <w14:textFill>
            <w14:solidFill>
              <w14:schemeClr w14:val="tx1"/>
            </w14:solidFill>
          </w14:textFill>
        </w:rPr>
        <w:t>7.2.2生产工艺过程与水环境风险控制水平（M）评估</w:t>
      </w:r>
      <w:bookmarkEnd w:id="336"/>
      <w:bookmarkEnd w:id="337"/>
      <w:bookmarkEnd w:id="338"/>
    </w:p>
    <w:bookmarkEnd w:id="339"/>
    <w:p w14:paraId="35A3AAAC">
      <w:pPr>
        <w:pStyle w:val="13"/>
        <w:spacing w:after="0" w:line="500" w:lineRule="exact"/>
        <w:ind w:firstLine="440" w:firstLineChars="200"/>
        <w:jc w:val="left"/>
        <w:rPr>
          <w:rFonts w:eastAsia="宋体"/>
          <w:spacing w:val="-10"/>
        </w:rPr>
      </w:pPr>
      <w:r>
        <w:rPr>
          <w:rFonts w:eastAsia="宋体"/>
          <w:spacing w:val="-10"/>
        </w:rPr>
        <w:t>采用评分法对企业生产工艺过程、水环境风险防控措施及突发水环境事件发生情况进行评估，将各项分值累加，确定企业生产工艺过程与水环境风险控制水平（M）。</w:t>
      </w:r>
    </w:p>
    <w:p w14:paraId="20A50219">
      <w:pPr>
        <w:pStyle w:val="13"/>
        <w:numPr>
          <w:ilvl w:val="255"/>
          <w:numId w:val="0"/>
        </w:numPr>
        <w:spacing w:after="0" w:line="500" w:lineRule="exact"/>
        <w:ind w:left="480" w:leftChars="200"/>
        <w:jc w:val="left"/>
        <w:rPr>
          <w:rFonts w:eastAsia="宋体"/>
          <w:spacing w:val="-10"/>
        </w:rPr>
      </w:pPr>
      <w:r>
        <w:rPr>
          <w:rFonts w:hint="eastAsia" w:eastAsia="宋体"/>
          <w:spacing w:val="-10"/>
        </w:rPr>
        <w:t>（1）</w:t>
      </w:r>
      <w:r>
        <w:rPr>
          <w:rFonts w:eastAsia="宋体"/>
          <w:spacing w:val="-10"/>
        </w:rPr>
        <w:t>生产工艺过程含有风险工艺和设备情况</w:t>
      </w:r>
    </w:p>
    <w:p w14:paraId="4C657C27">
      <w:pPr>
        <w:pStyle w:val="13"/>
        <w:spacing w:after="0" w:line="500" w:lineRule="exact"/>
        <w:ind w:firstLine="440" w:firstLineChars="200"/>
        <w:jc w:val="left"/>
        <w:rPr>
          <w:rFonts w:eastAsia="宋体"/>
          <w:spacing w:val="-10"/>
        </w:rPr>
      </w:pPr>
      <w:r>
        <w:rPr>
          <w:rFonts w:eastAsia="宋体"/>
          <w:spacing w:val="-10"/>
        </w:rPr>
        <w:t>从上文章节3.5.</w:t>
      </w:r>
      <w:r>
        <w:rPr>
          <w:rFonts w:hint="eastAsia" w:eastAsia="宋体"/>
          <w:spacing w:val="-10"/>
        </w:rPr>
        <w:t>3</w:t>
      </w:r>
      <w:r>
        <w:rPr>
          <w:rFonts w:eastAsia="宋体"/>
          <w:spacing w:val="-10"/>
        </w:rPr>
        <w:t>可知，企业生产工艺过程评分为</w:t>
      </w:r>
      <w:r>
        <w:rPr>
          <w:rFonts w:hint="eastAsia" w:eastAsia="宋体"/>
          <w:spacing w:val="-10"/>
        </w:rPr>
        <w:t>5</w:t>
      </w:r>
      <w:r>
        <w:rPr>
          <w:rFonts w:eastAsia="宋体"/>
          <w:spacing w:val="-10"/>
        </w:rPr>
        <w:t>分。</w:t>
      </w:r>
    </w:p>
    <w:p w14:paraId="355C9979">
      <w:pPr>
        <w:pStyle w:val="13"/>
        <w:numPr>
          <w:ilvl w:val="255"/>
          <w:numId w:val="0"/>
        </w:numPr>
        <w:spacing w:after="0" w:line="500" w:lineRule="exact"/>
        <w:ind w:left="480" w:leftChars="200"/>
        <w:jc w:val="left"/>
        <w:rPr>
          <w:rFonts w:eastAsia="宋体"/>
          <w:spacing w:val="-10"/>
        </w:rPr>
      </w:pPr>
      <w:r>
        <w:rPr>
          <w:rFonts w:hint="eastAsia" w:eastAsia="宋体"/>
          <w:spacing w:val="-10"/>
        </w:rPr>
        <w:t>（2）</w:t>
      </w:r>
      <w:r>
        <w:rPr>
          <w:rFonts w:eastAsia="宋体"/>
          <w:spacing w:val="-10"/>
        </w:rPr>
        <w:t>水环境风险防控措施及突发水环境事件发生情况</w:t>
      </w:r>
    </w:p>
    <w:p w14:paraId="5A751B1A">
      <w:pPr>
        <w:pStyle w:val="13"/>
        <w:spacing w:after="0" w:line="500" w:lineRule="exact"/>
        <w:ind w:firstLine="440" w:firstLineChars="200"/>
        <w:jc w:val="left"/>
      </w:pPr>
      <w:r>
        <w:rPr>
          <w:rFonts w:eastAsia="宋体"/>
          <w:spacing w:val="-10"/>
        </w:rPr>
        <w:t>公司水环境风险防控措施与突发水环境事件发生情况评估评估指标见7-7。对各项评估指标分别评分、计算总和，各项指标分值合计最高为70分。</w:t>
      </w:r>
    </w:p>
    <w:p w14:paraId="6037B944">
      <w:pPr>
        <w:spacing w:line="362" w:lineRule="auto"/>
        <w:sectPr>
          <w:pgSz w:w="11910" w:h="16840"/>
          <w:pgMar w:top="1360" w:right="1320" w:bottom="1200" w:left="1500" w:header="882" w:footer="1017" w:gutter="0"/>
          <w:pgBorders>
            <w:top w:val="none" w:sz="0" w:space="0"/>
            <w:left w:val="none" w:sz="0" w:space="0"/>
            <w:bottom w:val="none" w:sz="0" w:space="0"/>
            <w:right w:val="none" w:sz="0" w:space="0"/>
          </w:pgBorders>
          <w:cols w:space="720" w:num="1"/>
        </w:sectPr>
      </w:pPr>
    </w:p>
    <w:p w14:paraId="6EE5D26C">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7-7</w:t>
      </w:r>
      <w:r>
        <w:rPr>
          <w:rFonts w:eastAsiaTheme="minorEastAsia"/>
          <w:b/>
          <w:color w:val="000000" w:themeColor="text1"/>
          <w14:textFill>
            <w14:solidFill>
              <w14:schemeClr w14:val="tx1"/>
            </w14:solidFill>
          </w14:textFill>
        </w:rPr>
        <w:t>企业水环境风险防控措施及突发水环境事件发生情况评估</w:t>
      </w:r>
    </w:p>
    <w:tbl>
      <w:tblPr>
        <w:tblStyle w:val="38"/>
        <w:tblW w:w="138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01"/>
        <w:gridCol w:w="7376"/>
        <w:gridCol w:w="540"/>
        <w:gridCol w:w="4188"/>
        <w:gridCol w:w="612"/>
      </w:tblGrid>
      <w:tr w14:paraId="055F40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2" w:hRule="atLeast"/>
          <w:tblHeader/>
        </w:trPr>
        <w:tc>
          <w:tcPr>
            <w:tcW w:w="9017" w:type="dxa"/>
            <w:gridSpan w:val="3"/>
            <w:vAlign w:val="center"/>
          </w:tcPr>
          <w:p w14:paraId="71E89277">
            <w:pPr>
              <w:autoSpaceDE w:val="0"/>
              <w:autoSpaceDN w:val="0"/>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企业突发环境事件风险分级方法</w:t>
            </w:r>
          </w:p>
        </w:tc>
        <w:tc>
          <w:tcPr>
            <w:tcW w:w="4800" w:type="dxa"/>
            <w:gridSpan w:val="2"/>
            <w:vAlign w:val="center"/>
          </w:tcPr>
          <w:p w14:paraId="748FB387">
            <w:pPr>
              <w:autoSpaceDE w:val="0"/>
              <w:autoSpaceDN w:val="0"/>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企业现状</w:t>
            </w:r>
          </w:p>
        </w:tc>
      </w:tr>
      <w:tr w14:paraId="143FE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8" w:hRule="atLeast"/>
          <w:tblHeader/>
        </w:trPr>
        <w:tc>
          <w:tcPr>
            <w:tcW w:w="1101" w:type="dxa"/>
            <w:vAlign w:val="center"/>
          </w:tcPr>
          <w:p w14:paraId="1868F017">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评估指标</w:t>
            </w:r>
          </w:p>
        </w:tc>
        <w:tc>
          <w:tcPr>
            <w:tcW w:w="7376" w:type="dxa"/>
            <w:vAlign w:val="center"/>
          </w:tcPr>
          <w:p w14:paraId="765C8634">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评估依据</w:t>
            </w:r>
          </w:p>
        </w:tc>
        <w:tc>
          <w:tcPr>
            <w:tcW w:w="540" w:type="dxa"/>
            <w:vAlign w:val="center"/>
          </w:tcPr>
          <w:p w14:paraId="05A05C70">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c>
          <w:tcPr>
            <w:tcW w:w="4188" w:type="dxa"/>
            <w:vAlign w:val="center"/>
          </w:tcPr>
          <w:p w14:paraId="14683312">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企业目前情况</w:t>
            </w:r>
          </w:p>
        </w:tc>
        <w:tc>
          <w:tcPr>
            <w:tcW w:w="612" w:type="dxa"/>
            <w:vAlign w:val="center"/>
          </w:tcPr>
          <w:p w14:paraId="56090BD2">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r>
      <w:tr w14:paraId="0E6F1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62" w:hRule="atLeast"/>
        </w:trPr>
        <w:tc>
          <w:tcPr>
            <w:tcW w:w="1101" w:type="dxa"/>
            <w:vMerge w:val="restart"/>
            <w:vAlign w:val="center"/>
          </w:tcPr>
          <w:p w14:paraId="6B199F36">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截流措施</w:t>
            </w:r>
          </w:p>
        </w:tc>
        <w:tc>
          <w:tcPr>
            <w:tcW w:w="7376" w:type="dxa"/>
            <w:vAlign w:val="center"/>
          </w:tcPr>
          <w:p w14:paraId="52F7806A">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（1）环境风险单元设防渗漏、防腐蚀、防截流措施；且</w:t>
            </w:r>
          </w:p>
          <w:p w14:paraId="10F8828F">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（2）装置围堰与罐区防火堤（围堰）外设排水切换阀，正常情况下通向雨水系统的阀门关闭，通向事故存液池、应急事故水池、清净</w:t>
            </w:r>
            <w:r>
              <w:rPr>
                <w:rFonts w:hint="eastAsia" w:eastAsiaTheme="minorEastAsia"/>
                <w:color w:val="000000" w:themeColor="text1"/>
                <w:sz w:val="21"/>
                <w:szCs w:val="21"/>
                <w14:textFill>
                  <w14:solidFill>
                    <w14:schemeClr w14:val="tx1"/>
                  </w14:solidFill>
                </w14:textFill>
              </w:rPr>
              <w:t>废</w:t>
            </w:r>
            <w:r>
              <w:rPr>
                <w:rFonts w:eastAsiaTheme="minorEastAsia"/>
                <w:color w:val="000000" w:themeColor="text1"/>
                <w:sz w:val="21"/>
                <w:szCs w:val="21"/>
                <w14:textFill>
                  <w14:solidFill>
                    <w14:schemeClr w14:val="tx1"/>
                  </w14:solidFill>
                </w14:textFill>
              </w:rPr>
              <w:t>水排放缓冲池或污</w:t>
            </w:r>
            <w:r>
              <w:rPr>
                <w:rFonts w:hint="eastAsia" w:eastAsiaTheme="minorEastAsia"/>
                <w:color w:val="000000" w:themeColor="text1"/>
                <w:sz w:val="21"/>
                <w:szCs w:val="21"/>
                <w14:textFill>
                  <w14:solidFill>
                    <w14:schemeClr w14:val="tx1"/>
                  </w14:solidFill>
                </w14:textFill>
              </w:rPr>
              <w:t>水处理</w:t>
            </w:r>
            <w:r>
              <w:rPr>
                <w:rFonts w:eastAsiaTheme="minorEastAsia"/>
                <w:color w:val="000000" w:themeColor="text1"/>
                <w:sz w:val="21"/>
                <w:szCs w:val="21"/>
                <w14:textFill>
                  <w14:solidFill>
                    <w14:schemeClr w14:val="tx1"/>
                  </w14:solidFill>
                </w14:textFill>
              </w:rPr>
              <w:t>系统的阀门打开；且</w:t>
            </w:r>
          </w:p>
          <w:p w14:paraId="4B39AA22">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（3）前述措施日常管理及维护良好，有专人负责阀门切换或设置自动切换措施，保证初期雨水、泄漏物和受污染的消防水排入污水系统。</w:t>
            </w:r>
          </w:p>
        </w:tc>
        <w:tc>
          <w:tcPr>
            <w:tcW w:w="540" w:type="dxa"/>
            <w:vAlign w:val="center"/>
          </w:tcPr>
          <w:p w14:paraId="5613D395">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6FB7727C">
            <w:pPr>
              <w:autoSpaceDE w:val="0"/>
              <w:autoSpaceDN w:val="0"/>
              <w:adjustRightInd w:val="0"/>
              <w:snapToGrid w:val="0"/>
              <w:jc w:val="left"/>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①各个环境风险单元设防渗漏、防腐蚀、防淋溶、防流失措施；</w:t>
            </w:r>
          </w:p>
          <w:p w14:paraId="3BC92FE2">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②雨水排口均设置切断阀，企业设有专人对厂区进行巡视，负责排水装置阀门切换。</w:t>
            </w:r>
          </w:p>
        </w:tc>
        <w:tc>
          <w:tcPr>
            <w:tcW w:w="612" w:type="dxa"/>
            <w:vMerge w:val="restart"/>
            <w:vAlign w:val="center"/>
          </w:tcPr>
          <w:p w14:paraId="35631D56">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0</w:t>
            </w:r>
          </w:p>
        </w:tc>
      </w:tr>
      <w:tr w14:paraId="76793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1101" w:type="dxa"/>
            <w:vMerge w:val="continue"/>
            <w:vAlign w:val="center"/>
          </w:tcPr>
          <w:p w14:paraId="37F6AFD8">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0AD260C7">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有任意一个环境风险单元（包括可能发生液体泄漏或产生液体泄漏的危险废物贮存场所）的截流措施不符合上述任意一条要求的。</w:t>
            </w:r>
          </w:p>
        </w:tc>
        <w:tc>
          <w:tcPr>
            <w:tcW w:w="540" w:type="dxa"/>
            <w:vAlign w:val="center"/>
          </w:tcPr>
          <w:p w14:paraId="774A7DC4">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1F6123FE">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45FEAB48">
            <w:pPr>
              <w:adjustRightInd w:val="0"/>
              <w:snapToGrid w:val="0"/>
              <w:jc w:val="center"/>
              <w:rPr>
                <w:rFonts w:eastAsiaTheme="minorEastAsia"/>
                <w:color w:val="000000" w:themeColor="text1"/>
                <w:sz w:val="21"/>
                <w:szCs w:val="21"/>
                <w14:textFill>
                  <w14:solidFill>
                    <w14:schemeClr w14:val="tx1"/>
                  </w14:solidFill>
                </w14:textFill>
              </w:rPr>
            </w:pPr>
          </w:p>
        </w:tc>
      </w:tr>
      <w:tr w14:paraId="173E6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5161842F">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事故废水收集措施</w:t>
            </w:r>
          </w:p>
        </w:tc>
        <w:tc>
          <w:tcPr>
            <w:tcW w:w="7376" w:type="dxa"/>
            <w:vAlign w:val="center"/>
          </w:tcPr>
          <w:p w14:paraId="64CE5D92">
            <w:pPr>
              <w:autoSpaceDE w:val="0"/>
              <w:autoSpaceDN w:val="0"/>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（1）按相关设计规范设置应急事故水池、事故存液池或清净废水排放缓冲池等事故排水收集设施，并根据相关设计规范、下游环境风险受体敏感程度和易发生极端天气情况，设计事故排水收集设施的容量；且</w:t>
            </w:r>
          </w:p>
          <w:p w14:paraId="523FFC34">
            <w:pPr>
              <w:autoSpaceDE w:val="0"/>
              <w:autoSpaceDN w:val="0"/>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（2）确保事故排水收集设施在事故状态下能顺利收集泄漏物和消防水，日常保持足够的事故排水缓冲容量，且</w:t>
            </w:r>
          </w:p>
          <w:p w14:paraId="44299E0A">
            <w:pPr>
              <w:autoSpaceDE w:val="0"/>
              <w:autoSpaceDN w:val="0"/>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（3）通过协议单位或自建管线，能将所收集废水送至厂区内</w:t>
            </w:r>
            <w:r>
              <w:rPr>
                <w:rFonts w:hint="eastAsia" w:eastAsiaTheme="minorEastAsia"/>
                <w:color w:val="000000" w:themeColor="text1"/>
                <w:sz w:val="21"/>
                <w:szCs w:val="21"/>
                <w:lang w:eastAsia="zh-CN"/>
                <w14:textFill>
                  <w14:solidFill>
                    <w14:schemeClr w14:val="tx1"/>
                  </w14:solidFill>
                </w14:textFill>
              </w:rPr>
              <w:t>回用水设施</w:t>
            </w:r>
            <w:r>
              <w:rPr>
                <w:rFonts w:eastAsiaTheme="minorEastAsia"/>
                <w:color w:val="000000" w:themeColor="text1"/>
                <w:sz w:val="21"/>
                <w:szCs w:val="21"/>
                <w14:textFill>
                  <w14:solidFill>
                    <w14:schemeClr w14:val="tx1"/>
                  </w14:solidFill>
                </w14:textFill>
              </w:rPr>
              <w:t>处理</w:t>
            </w:r>
          </w:p>
        </w:tc>
        <w:tc>
          <w:tcPr>
            <w:tcW w:w="540" w:type="dxa"/>
            <w:vAlign w:val="center"/>
          </w:tcPr>
          <w:p w14:paraId="40C18109">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5E6021E7">
            <w:pPr>
              <w:snapToGrid w:val="0"/>
              <w:rPr>
                <w:rFonts w:eastAsiaTheme="minorEastAsia"/>
                <w:color w:val="000000" w:themeColor="text1"/>
                <w:kern w:val="0"/>
                <w:sz w:val="21"/>
                <w:szCs w:val="21"/>
                <w:vertAlign w:val="superscript"/>
                <w14:textFill>
                  <w14:solidFill>
                    <w14:schemeClr w14:val="tx1"/>
                  </w14:solidFill>
                </w14:textFill>
              </w:rPr>
            </w:pPr>
            <w:r>
              <w:rPr>
                <w:rFonts w:eastAsiaTheme="minorEastAsia"/>
                <w:color w:val="000000" w:themeColor="text1"/>
                <w:sz w:val="21"/>
                <w:szCs w:val="21"/>
                <w14:textFill>
                  <w14:solidFill>
                    <w14:schemeClr w14:val="tx1"/>
                  </w14:solidFill>
                </w14:textFill>
              </w:rPr>
              <w:t>（1）</w:t>
            </w:r>
            <w:r>
              <w:rPr>
                <w:rFonts w:eastAsiaTheme="minorEastAsia"/>
                <w:color w:val="000000" w:themeColor="text1"/>
                <w:kern w:val="0"/>
                <w:sz w:val="21"/>
                <w:szCs w:val="21"/>
                <w14:textFill>
                  <w14:solidFill>
                    <w14:schemeClr w14:val="tx1"/>
                  </w14:solidFill>
                </w14:textFill>
              </w:rPr>
              <w:t>公司</w:t>
            </w:r>
            <w:r>
              <w:rPr>
                <w:rFonts w:hint="eastAsia" w:eastAsiaTheme="minorEastAsia"/>
                <w:color w:val="000000" w:themeColor="text1"/>
                <w:kern w:val="0"/>
                <w:sz w:val="21"/>
                <w:szCs w:val="21"/>
                <w:lang w:val="en-US" w:eastAsia="zh-CN"/>
                <w14:textFill>
                  <w14:solidFill>
                    <w14:schemeClr w14:val="tx1"/>
                  </w14:solidFill>
                </w14:textFill>
              </w:rPr>
              <w:t>依托租赁园区</w:t>
            </w:r>
            <w:r>
              <w:rPr>
                <w:rFonts w:hint="eastAsia" w:eastAsiaTheme="minorEastAsia"/>
                <w:color w:val="000000" w:themeColor="text1"/>
                <w:kern w:val="0"/>
                <w:sz w:val="21"/>
                <w:szCs w:val="21"/>
                <w14:textFill>
                  <w14:solidFill>
                    <w14:schemeClr w14:val="tx1"/>
                  </w14:solidFill>
                </w14:textFill>
              </w:rPr>
              <w:t>设</w:t>
            </w:r>
            <w:r>
              <w:rPr>
                <w:rFonts w:hint="eastAsia" w:eastAsiaTheme="minorEastAsia"/>
                <w:color w:val="000000" w:themeColor="text1"/>
                <w:kern w:val="0"/>
                <w:sz w:val="21"/>
                <w:szCs w:val="21"/>
                <w:highlight w:val="none"/>
                <w14:textFill>
                  <w14:solidFill>
                    <w14:schemeClr w14:val="tx1"/>
                  </w14:solidFill>
                </w14:textFill>
              </w:rPr>
              <w:t>置</w:t>
            </w:r>
            <w:r>
              <w:rPr>
                <w:rFonts w:hint="eastAsia" w:eastAsiaTheme="minorEastAsia"/>
                <w:color w:val="000000" w:themeColor="text1"/>
                <w:kern w:val="0"/>
                <w:sz w:val="21"/>
                <w:szCs w:val="21"/>
                <w:highlight w:val="none"/>
                <w:lang w:val="en-US" w:eastAsia="zh-CN"/>
                <w14:textFill>
                  <w14:solidFill>
                    <w14:schemeClr w14:val="tx1"/>
                  </w14:solidFill>
                </w14:textFill>
              </w:rPr>
              <w:t>700</w:t>
            </w:r>
            <w:r>
              <w:rPr>
                <w:rFonts w:hint="eastAsia" w:eastAsiaTheme="minorEastAsia"/>
                <w:color w:val="000000" w:themeColor="text1"/>
                <w:kern w:val="0"/>
                <w:sz w:val="21"/>
                <w:szCs w:val="21"/>
                <w:highlight w:val="none"/>
                <w14:textFill>
                  <w14:solidFill>
                    <w14:schemeClr w14:val="tx1"/>
                  </w14:solidFill>
                </w14:textFill>
              </w:rPr>
              <w:t>m</w:t>
            </w:r>
            <w:r>
              <w:rPr>
                <w:rFonts w:hint="eastAsia" w:eastAsiaTheme="minorEastAsia"/>
                <w:color w:val="000000" w:themeColor="text1"/>
                <w:kern w:val="0"/>
                <w:sz w:val="21"/>
                <w:szCs w:val="21"/>
                <w:highlight w:val="none"/>
                <w:vertAlign w:val="superscript"/>
                <w14:textFill>
                  <w14:solidFill>
                    <w14:schemeClr w14:val="tx1"/>
                  </w14:solidFill>
                </w14:textFill>
              </w:rPr>
              <w:t>3</w:t>
            </w:r>
            <w:r>
              <w:rPr>
                <w:rFonts w:eastAsiaTheme="minorEastAsia"/>
                <w:color w:val="000000" w:themeColor="text1"/>
                <w:kern w:val="0"/>
                <w:sz w:val="21"/>
                <w:szCs w:val="21"/>
                <w:highlight w:val="none"/>
                <w14:textFill>
                  <w14:solidFill>
                    <w14:schemeClr w14:val="tx1"/>
                  </w14:solidFill>
                </w14:textFill>
              </w:rPr>
              <w:t>事</w:t>
            </w:r>
            <w:r>
              <w:rPr>
                <w:rFonts w:eastAsiaTheme="minorEastAsia"/>
                <w:color w:val="000000" w:themeColor="text1"/>
                <w:kern w:val="0"/>
                <w:sz w:val="21"/>
                <w:szCs w:val="21"/>
                <w14:textFill>
                  <w14:solidFill>
                    <w14:schemeClr w14:val="tx1"/>
                  </w14:solidFill>
                </w14:textFill>
              </w:rPr>
              <w:t>故应急池</w:t>
            </w:r>
            <w:r>
              <w:rPr>
                <w:rFonts w:hint="eastAsia" w:eastAsiaTheme="minorEastAsia"/>
                <w:color w:val="000000" w:themeColor="text1"/>
                <w:kern w:val="0"/>
                <w:sz w:val="21"/>
                <w:szCs w:val="21"/>
                <w14:textFill>
                  <w14:solidFill>
                    <w14:schemeClr w14:val="tx1"/>
                  </w14:solidFill>
                </w14:textFill>
              </w:rPr>
              <w:t>。</w:t>
            </w:r>
          </w:p>
          <w:p w14:paraId="1D4015F5">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（2）事故应急事池位置合理，各区域废水</w:t>
            </w:r>
            <w:r>
              <w:rPr>
                <w:rFonts w:hint="eastAsia" w:eastAsiaTheme="minorEastAsia"/>
                <w:color w:val="000000" w:themeColor="text1"/>
                <w:sz w:val="21"/>
                <w:szCs w:val="21"/>
                <w14:textFill>
                  <w14:solidFill>
                    <w14:schemeClr w14:val="tx1"/>
                  </w14:solidFill>
                </w14:textFill>
              </w:rPr>
              <w:t>可自流</w:t>
            </w:r>
            <w:r>
              <w:rPr>
                <w:rFonts w:eastAsiaTheme="minorEastAsia"/>
                <w:color w:val="000000" w:themeColor="text1"/>
                <w:sz w:val="21"/>
                <w:szCs w:val="21"/>
                <w14:textFill>
                  <w14:solidFill>
                    <w14:schemeClr w14:val="tx1"/>
                  </w14:solidFill>
                </w14:textFill>
              </w:rPr>
              <w:t>进事故池内</w:t>
            </w:r>
          </w:p>
          <w:p w14:paraId="273D2367">
            <w:pPr>
              <w:adjustRightInd w:val="0"/>
              <w:snapToGrid w:val="0"/>
              <w:jc w:val="left"/>
              <w:rPr>
                <w:rFonts w:eastAsiaTheme="minorEastAsia"/>
                <w:color w:val="000000" w:themeColor="text1"/>
                <w:sz w:val="21"/>
                <w:szCs w:val="21"/>
                <w14:textFill>
                  <w14:solidFill>
                    <w14:schemeClr w14:val="tx1"/>
                  </w14:solidFill>
                </w14:textFill>
              </w:rPr>
            </w:pPr>
          </w:p>
        </w:tc>
        <w:tc>
          <w:tcPr>
            <w:tcW w:w="612" w:type="dxa"/>
            <w:vMerge w:val="restart"/>
            <w:vAlign w:val="center"/>
          </w:tcPr>
          <w:p w14:paraId="5076E58F">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3FC5F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60ED4DCD">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21EB62CA">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有任意一个环境风险单元（包括可能发生液体泄漏或产生液体泄漏物的危险废物贮存场所）的事故排水收集措施不符合上述任意一条要求的</w:t>
            </w:r>
          </w:p>
        </w:tc>
        <w:tc>
          <w:tcPr>
            <w:tcW w:w="540" w:type="dxa"/>
            <w:vAlign w:val="center"/>
          </w:tcPr>
          <w:p w14:paraId="071BB69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5B123CB9">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27B75EA4">
            <w:pPr>
              <w:adjustRightInd w:val="0"/>
              <w:snapToGrid w:val="0"/>
              <w:jc w:val="center"/>
              <w:rPr>
                <w:rFonts w:eastAsiaTheme="minorEastAsia"/>
                <w:color w:val="000000" w:themeColor="text1"/>
                <w:sz w:val="21"/>
                <w:szCs w:val="21"/>
                <w14:textFill>
                  <w14:solidFill>
                    <w14:schemeClr w14:val="tx1"/>
                  </w14:solidFill>
                </w14:textFill>
              </w:rPr>
            </w:pPr>
          </w:p>
        </w:tc>
      </w:tr>
      <w:tr w14:paraId="75A85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4E45211B">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清净废水系统风险防控措施</w:t>
            </w:r>
          </w:p>
        </w:tc>
        <w:tc>
          <w:tcPr>
            <w:tcW w:w="7376" w:type="dxa"/>
            <w:vAlign w:val="center"/>
          </w:tcPr>
          <w:p w14:paraId="0B1D63A9">
            <w:pPr>
              <w:autoSpaceDE w:val="0"/>
              <w:autoSpaceDN w:val="0"/>
              <w:adjustRightInd w:val="0"/>
              <w:snapToGrid w:val="0"/>
              <w:ind w:right="38" w:rightChars="16"/>
              <w:jc w:val="left"/>
              <w:rPr>
                <w:rFonts w:eastAsiaTheme="minorEastAsia"/>
                <w:color w:val="000000" w:themeColor="text1"/>
                <w:sz w:val="21"/>
                <w:szCs w:val="21"/>
                <w:highlight w:val="yellow"/>
                <w14:textFill>
                  <w14:solidFill>
                    <w14:schemeClr w14:val="tx1"/>
                  </w14:solidFill>
                </w14:textFill>
              </w:rPr>
            </w:pPr>
            <w:r>
              <w:rPr>
                <w:rFonts w:eastAsiaTheme="minorEastAsia"/>
                <w:color w:val="000000" w:themeColor="text1"/>
                <w:sz w:val="21"/>
                <w:szCs w:val="21"/>
                <w14:textFill>
                  <w14:solidFill>
                    <w14:schemeClr w14:val="tx1"/>
                  </w14:solidFill>
                </w14:textFill>
              </w:rPr>
              <w:t>（1）不涉及清净废水</w:t>
            </w:r>
            <w:r>
              <w:rPr>
                <w:rFonts w:hint="eastAsia" w:eastAsiaTheme="minorEastAsia"/>
                <w:color w:val="000000" w:themeColor="text1"/>
                <w:sz w:val="21"/>
                <w:szCs w:val="21"/>
                <w14:textFill>
                  <w14:solidFill>
                    <w14:schemeClr w14:val="tx1"/>
                  </w14:solidFill>
                </w14:textFill>
              </w:rPr>
              <w:t>；或</w:t>
            </w:r>
          </w:p>
          <w:p w14:paraId="6B7EFFEE">
            <w:pPr>
              <w:autoSpaceDE w:val="0"/>
              <w:autoSpaceDN w:val="0"/>
              <w:adjustRightInd w:val="0"/>
              <w:snapToGrid w:val="0"/>
              <w:ind w:right="38" w:rightChars="16"/>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（2）厂区内清净废水均可排入废</w:t>
            </w:r>
            <w:r>
              <w:rPr>
                <w:rFonts w:hint="eastAsia" w:eastAsiaTheme="minorEastAsia"/>
                <w:color w:val="000000" w:themeColor="text1"/>
                <w:sz w:val="21"/>
                <w:szCs w:val="21"/>
                <w14:textFill>
                  <w14:solidFill>
                    <w14:schemeClr w14:val="tx1"/>
                  </w14:solidFill>
                </w14:textFill>
              </w:rPr>
              <w:t>水处理</w:t>
            </w:r>
            <w:r>
              <w:rPr>
                <w:rFonts w:eastAsiaTheme="minorEastAsia"/>
                <w:color w:val="000000" w:themeColor="text1"/>
                <w:sz w:val="21"/>
                <w:szCs w:val="21"/>
                <w14:textFill>
                  <w14:solidFill>
                    <w14:schemeClr w14:val="tx1"/>
                  </w14:solidFill>
                </w14:textFill>
              </w:rPr>
              <w:t>系统；或清污分流，且清净废水系统具有下述所有措施：</w:t>
            </w:r>
          </w:p>
          <w:p w14:paraId="3B296D6F">
            <w:pPr>
              <w:autoSpaceDE w:val="0"/>
              <w:autoSpaceDN w:val="0"/>
              <w:adjustRightInd w:val="0"/>
              <w:snapToGrid w:val="0"/>
              <w:ind w:firstLine="105" w:firstLineChars="50"/>
              <w:jc w:val="left"/>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w:t>
            </w:r>
            <w:r>
              <w:rPr>
                <w:rFonts w:eastAsiaTheme="minorEastAsia"/>
                <w:color w:val="000000" w:themeColor="text1"/>
                <w:spacing w:val="-4"/>
                <w:sz w:val="21"/>
                <w:szCs w:val="21"/>
                <w14:textFill>
                  <w14:solidFill>
                    <w14:schemeClr w14:val="tx1"/>
                  </w14:solidFill>
                </w14:textFill>
              </w:rPr>
              <w:t>具有收集受污染的清净废水</w:t>
            </w:r>
            <w:r>
              <w:rPr>
                <w:rFonts w:hint="eastAsia" w:eastAsiaTheme="minorEastAsia"/>
                <w:color w:val="000000" w:themeColor="text1"/>
                <w:spacing w:val="-4"/>
                <w:sz w:val="21"/>
                <w:szCs w:val="21"/>
                <w14:textFill>
                  <w14:solidFill>
                    <w14:schemeClr w14:val="tx1"/>
                  </w14:solidFill>
                </w14:textFill>
              </w:rPr>
              <w:t>的缓冲池</w:t>
            </w:r>
            <w:r>
              <w:rPr>
                <w:rFonts w:eastAsiaTheme="minorEastAsia"/>
                <w:color w:val="000000" w:themeColor="text1"/>
                <w:spacing w:val="-4"/>
                <w:sz w:val="21"/>
                <w:szCs w:val="21"/>
                <w14:textFill>
                  <w14:solidFill>
                    <w14:schemeClr w14:val="tx1"/>
                  </w14:solidFill>
                </w14:textFill>
              </w:rPr>
              <w:t>（或收集池），池内日常保持足够的事故排水缓冲容量；池内设有提升设施或通过自流，能将所</w:t>
            </w:r>
            <w:r>
              <w:rPr>
                <w:rFonts w:hint="eastAsia" w:eastAsiaTheme="minorEastAsia"/>
                <w:color w:val="000000" w:themeColor="text1"/>
                <w:spacing w:val="-4"/>
                <w:sz w:val="21"/>
                <w:szCs w:val="21"/>
                <w14:textFill>
                  <w14:solidFill>
                    <w14:schemeClr w14:val="tx1"/>
                  </w14:solidFill>
                </w14:textFill>
              </w:rPr>
              <w:t>收</w:t>
            </w:r>
            <w:r>
              <w:rPr>
                <w:rFonts w:eastAsiaTheme="minorEastAsia"/>
                <w:color w:val="000000" w:themeColor="text1"/>
                <w:spacing w:val="-4"/>
                <w:sz w:val="21"/>
                <w:szCs w:val="21"/>
                <w14:textFill>
                  <w14:solidFill>
                    <w14:schemeClr w14:val="tx1"/>
                  </w14:solidFill>
                </w14:textFill>
              </w:rPr>
              <w:t>集物送至厂区内</w:t>
            </w:r>
            <w:r>
              <w:rPr>
                <w:rFonts w:hint="eastAsia" w:eastAsiaTheme="minorEastAsia"/>
                <w:color w:val="000000" w:themeColor="text1"/>
                <w:spacing w:val="-4"/>
                <w:sz w:val="21"/>
                <w:szCs w:val="21"/>
                <w:lang w:eastAsia="zh-CN"/>
                <w14:textFill>
                  <w14:solidFill>
                    <w14:schemeClr w14:val="tx1"/>
                  </w14:solidFill>
                </w14:textFill>
              </w:rPr>
              <w:t>回用水设施</w:t>
            </w:r>
            <w:r>
              <w:rPr>
                <w:rFonts w:eastAsiaTheme="minorEastAsia"/>
                <w:color w:val="000000" w:themeColor="text1"/>
                <w:spacing w:val="-4"/>
                <w:sz w:val="21"/>
                <w:szCs w:val="21"/>
                <w14:textFill>
                  <w14:solidFill>
                    <w14:schemeClr w14:val="tx1"/>
                  </w14:solidFill>
                </w14:textFill>
              </w:rPr>
              <w:t>处理；</w:t>
            </w:r>
          </w:p>
          <w:p w14:paraId="330A1D6E">
            <w:pPr>
              <w:autoSpaceDE w:val="0"/>
              <w:autoSpaceDN w:val="0"/>
              <w:adjustRightInd w:val="0"/>
              <w:snapToGrid w:val="0"/>
              <w:ind w:firstLine="105" w:firstLineChars="50"/>
              <w:jc w:val="left"/>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w:t>
            </w:r>
            <w:r>
              <w:rPr>
                <w:rFonts w:eastAsiaTheme="minorEastAsia"/>
                <w:color w:val="000000" w:themeColor="text1"/>
                <w:sz w:val="21"/>
                <w:szCs w:val="21"/>
                <w14:textFill>
                  <w14:solidFill>
                    <w14:schemeClr w14:val="tx1"/>
                  </w14:solidFill>
                </w14:textFill>
              </w:rPr>
              <w:t>具有清净废水系统的总排口监视及关闭设施，有专人负责在紧急情况下关闭清净废水总排口，防止受污染的清净废水和泄漏物进入外环境。</w:t>
            </w:r>
          </w:p>
        </w:tc>
        <w:tc>
          <w:tcPr>
            <w:tcW w:w="540" w:type="dxa"/>
            <w:vAlign w:val="center"/>
          </w:tcPr>
          <w:p w14:paraId="457AB50C">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015B1FC9">
            <w:pPr>
              <w:autoSpaceDE w:val="0"/>
              <w:autoSpaceDN w:val="0"/>
              <w:adjustRightInd w:val="0"/>
              <w:snapToGrid w:val="0"/>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不涉及清净废水。</w:t>
            </w:r>
          </w:p>
        </w:tc>
        <w:tc>
          <w:tcPr>
            <w:tcW w:w="612" w:type="dxa"/>
            <w:vMerge w:val="restart"/>
            <w:vAlign w:val="center"/>
          </w:tcPr>
          <w:p w14:paraId="08C24C9C">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0</w:t>
            </w:r>
          </w:p>
        </w:tc>
      </w:tr>
      <w:tr w14:paraId="09D95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4CAB217C">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22CF1C67">
            <w:pPr>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涉及清净废水，有任意一个环境风险单元的清净废水系统风险防控措施不符合上述（2）要求的</w:t>
            </w:r>
          </w:p>
        </w:tc>
        <w:tc>
          <w:tcPr>
            <w:tcW w:w="540" w:type="dxa"/>
            <w:vAlign w:val="center"/>
          </w:tcPr>
          <w:p w14:paraId="2D3DD44F">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4C71200C">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44C0362F">
            <w:pPr>
              <w:adjustRightInd w:val="0"/>
              <w:snapToGrid w:val="0"/>
              <w:jc w:val="center"/>
              <w:rPr>
                <w:rFonts w:eastAsiaTheme="minorEastAsia"/>
                <w:color w:val="000000" w:themeColor="text1"/>
                <w:sz w:val="21"/>
                <w:szCs w:val="21"/>
                <w14:textFill>
                  <w14:solidFill>
                    <w14:schemeClr w14:val="tx1"/>
                  </w14:solidFill>
                </w14:textFill>
              </w:rPr>
            </w:pPr>
          </w:p>
        </w:tc>
      </w:tr>
      <w:tr w14:paraId="084B2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0EFDA3D1">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雨排水系统风险防控措施</w:t>
            </w:r>
          </w:p>
        </w:tc>
        <w:tc>
          <w:tcPr>
            <w:tcW w:w="7376" w:type="dxa"/>
            <w:vAlign w:val="center"/>
          </w:tcPr>
          <w:p w14:paraId="6C2BCCE8">
            <w:pPr>
              <w:autoSpaceDE w:val="0"/>
              <w:autoSpaceDN w:val="0"/>
              <w:adjustRightInd w:val="0"/>
              <w:snapToGrid w:val="0"/>
              <w:jc w:val="left"/>
              <w:rPr>
                <w:rFonts w:eastAsiaTheme="minorEastAsia"/>
                <w:color w:val="000000" w:themeColor="text1"/>
                <w:sz w:val="21"/>
                <w:szCs w:val="21"/>
                <w:highlight w:val="yellow"/>
                <w14:textFill>
                  <w14:solidFill>
                    <w14:schemeClr w14:val="tx1"/>
                  </w14:solidFill>
                </w14:textFill>
              </w:rPr>
            </w:pPr>
            <w:r>
              <w:rPr>
                <w:rFonts w:eastAsiaTheme="minorEastAsia"/>
                <w:color w:val="000000" w:themeColor="text1"/>
                <w:sz w:val="21"/>
                <w:szCs w:val="21"/>
                <w14:textFill>
                  <w14:solidFill>
                    <w14:schemeClr w14:val="tx1"/>
                  </w14:solidFill>
                </w14:textFill>
              </w:rPr>
              <w:t>（1）厂区内雨水均进入废</w:t>
            </w:r>
            <w:r>
              <w:rPr>
                <w:rFonts w:hint="eastAsia" w:eastAsiaTheme="minorEastAsia"/>
                <w:color w:val="000000" w:themeColor="text1"/>
                <w:sz w:val="21"/>
                <w:szCs w:val="21"/>
                <w14:textFill>
                  <w14:solidFill>
                    <w14:schemeClr w14:val="tx1"/>
                  </w14:solidFill>
                </w14:textFill>
              </w:rPr>
              <w:t>水处理</w:t>
            </w:r>
            <w:r>
              <w:rPr>
                <w:rFonts w:eastAsiaTheme="minorEastAsia"/>
                <w:color w:val="000000" w:themeColor="text1"/>
                <w:sz w:val="21"/>
                <w:szCs w:val="21"/>
                <w14:textFill>
                  <w14:solidFill>
                    <w14:schemeClr w14:val="tx1"/>
                  </w14:solidFill>
                </w14:textFill>
              </w:rPr>
              <w:t>系统；或雨污分流，且雨</w:t>
            </w:r>
            <w:r>
              <w:rPr>
                <w:rFonts w:hint="eastAsia" w:eastAsiaTheme="minorEastAsia"/>
                <w:color w:val="000000" w:themeColor="text1"/>
                <w:sz w:val="21"/>
                <w:szCs w:val="21"/>
                <w14:textFill>
                  <w14:solidFill>
                    <w14:schemeClr w14:val="tx1"/>
                  </w14:solidFill>
                </w14:textFill>
              </w:rPr>
              <w:t>水</w:t>
            </w:r>
            <w:r>
              <w:rPr>
                <w:rFonts w:eastAsiaTheme="minorEastAsia"/>
                <w:color w:val="000000" w:themeColor="text1"/>
                <w:sz w:val="21"/>
                <w:szCs w:val="21"/>
                <w14:textFill>
                  <w14:solidFill>
                    <w14:schemeClr w14:val="tx1"/>
                  </w14:solidFill>
                </w14:textFill>
              </w:rPr>
              <w:t>排水系统具有下述所有措施：</w:t>
            </w:r>
          </w:p>
          <w:p w14:paraId="47754FE9">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w:t>
            </w:r>
            <w:r>
              <w:rPr>
                <w:rFonts w:eastAsiaTheme="minorEastAsia"/>
                <w:color w:val="000000" w:themeColor="text1"/>
                <w:spacing w:val="-4"/>
                <w:sz w:val="21"/>
                <w:szCs w:val="21"/>
                <w14:textFill>
                  <w14:solidFill>
                    <w14:schemeClr w14:val="tx1"/>
                  </w14:solidFill>
                </w14:textFill>
              </w:rPr>
              <w:t>具有收集初期雨水的收集池或雨水监控池；池出水管上设置切断阀，正常情况下阀门关闭，防止受污染的雨水外排；池内设有提升设施或通过自流，能将所</w:t>
            </w:r>
            <w:r>
              <w:rPr>
                <w:rFonts w:hint="eastAsia" w:eastAsiaTheme="minorEastAsia"/>
                <w:color w:val="000000" w:themeColor="text1"/>
                <w:spacing w:val="-4"/>
                <w:sz w:val="21"/>
                <w:szCs w:val="21"/>
                <w14:textFill>
                  <w14:solidFill>
                    <w14:schemeClr w14:val="tx1"/>
                  </w14:solidFill>
                </w14:textFill>
              </w:rPr>
              <w:t>收</w:t>
            </w:r>
            <w:r>
              <w:rPr>
                <w:rFonts w:eastAsiaTheme="minorEastAsia"/>
                <w:color w:val="000000" w:themeColor="text1"/>
                <w:spacing w:val="-4"/>
                <w:sz w:val="21"/>
                <w:szCs w:val="21"/>
                <w14:textFill>
                  <w14:solidFill>
                    <w14:schemeClr w14:val="tx1"/>
                  </w14:solidFill>
                </w14:textFill>
              </w:rPr>
              <w:t>集物送至厂区内</w:t>
            </w:r>
            <w:r>
              <w:rPr>
                <w:rFonts w:hint="eastAsia" w:eastAsiaTheme="minorEastAsia"/>
                <w:color w:val="000000" w:themeColor="text1"/>
                <w:spacing w:val="-4"/>
                <w:sz w:val="21"/>
                <w:szCs w:val="21"/>
                <w:lang w:eastAsia="zh-CN"/>
                <w14:textFill>
                  <w14:solidFill>
                    <w14:schemeClr w14:val="tx1"/>
                  </w14:solidFill>
                </w14:textFill>
              </w:rPr>
              <w:t>回用水设施</w:t>
            </w:r>
            <w:r>
              <w:rPr>
                <w:rFonts w:eastAsiaTheme="minorEastAsia"/>
                <w:color w:val="000000" w:themeColor="text1"/>
                <w:spacing w:val="-4"/>
                <w:sz w:val="21"/>
                <w:szCs w:val="21"/>
                <w14:textFill>
                  <w14:solidFill>
                    <w14:schemeClr w14:val="tx1"/>
                  </w14:solidFill>
                </w14:textFill>
              </w:rPr>
              <w:t>处理；</w:t>
            </w:r>
          </w:p>
          <w:p w14:paraId="607F1386">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w:t>
            </w:r>
            <w:r>
              <w:rPr>
                <w:rFonts w:eastAsiaTheme="minorEastAsia"/>
                <w:color w:val="000000" w:themeColor="text1"/>
                <w:sz w:val="21"/>
                <w:szCs w:val="21"/>
                <w14:textFill>
                  <w14:solidFill>
                    <w14:schemeClr w14:val="tx1"/>
                  </w14:solidFill>
                </w14:textFill>
              </w:rPr>
              <w:t>具有雨水系统外排总排口（含泄洪渠）监视及关闭设施，在紧急情况下有专人负责关闭雨水系统总排口（含与清净废水共用一套排水系统情况），防止雨水、消防水和泄漏物进入外环境；</w:t>
            </w:r>
          </w:p>
          <w:p w14:paraId="29A7305A">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（2）如果有排洪沟，排洪沟不通过生产区和罐区，或具有防止泄漏物和受污染的消防水等流入区域排洪沟的措施。</w:t>
            </w:r>
          </w:p>
        </w:tc>
        <w:tc>
          <w:tcPr>
            <w:tcW w:w="540" w:type="dxa"/>
            <w:vAlign w:val="center"/>
          </w:tcPr>
          <w:p w14:paraId="05E467D2">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28E10CDC">
            <w:pPr>
              <w:keepNext/>
              <w:keepLines/>
            </w:pPr>
            <w:bookmarkStart w:id="340" w:name="_Toc16736"/>
            <w:r>
              <w:rPr>
                <w:rFonts w:eastAsiaTheme="minorEastAsia"/>
                <w:color w:val="000000" w:themeColor="text1"/>
                <w:spacing w:val="-4"/>
                <w:sz w:val="21"/>
                <w:szCs w:val="21"/>
                <w14:textFill>
                  <w14:solidFill>
                    <w14:schemeClr w14:val="tx1"/>
                  </w14:solidFill>
                </w14:textFill>
              </w:rPr>
              <w:t>厂区内雨污分流，</w:t>
            </w:r>
            <w:r>
              <w:rPr>
                <w:rFonts w:hint="eastAsia" w:eastAsiaTheme="minorEastAsia"/>
                <w:color w:val="000000" w:themeColor="text1"/>
                <w:spacing w:val="-4"/>
                <w:sz w:val="21"/>
                <w:szCs w:val="21"/>
                <w14:textFill>
                  <w14:solidFill>
                    <w14:schemeClr w14:val="tx1"/>
                  </w14:solidFill>
                </w14:textFill>
              </w:rPr>
              <w:t>但无雨水收集池</w:t>
            </w:r>
            <w:bookmarkEnd w:id="340"/>
          </w:p>
        </w:tc>
        <w:tc>
          <w:tcPr>
            <w:tcW w:w="612" w:type="dxa"/>
            <w:vMerge w:val="restart"/>
            <w:vAlign w:val="center"/>
          </w:tcPr>
          <w:p w14:paraId="32D49654">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8</w:t>
            </w:r>
          </w:p>
        </w:tc>
      </w:tr>
      <w:tr w14:paraId="2649C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217A31AA">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4060AC21">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不符合上述要求的。</w:t>
            </w:r>
          </w:p>
        </w:tc>
        <w:tc>
          <w:tcPr>
            <w:tcW w:w="540" w:type="dxa"/>
            <w:vAlign w:val="center"/>
          </w:tcPr>
          <w:p w14:paraId="2BEDFED7">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67329A01">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5F35EEA4">
            <w:pPr>
              <w:adjustRightInd w:val="0"/>
              <w:snapToGrid w:val="0"/>
              <w:jc w:val="center"/>
              <w:rPr>
                <w:rFonts w:eastAsiaTheme="minorEastAsia"/>
                <w:color w:val="000000" w:themeColor="text1"/>
                <w:sz w:val="21"/>
                <w:szCs w:val="21"/>
                <w14:textFill>
                  <w14:solidFill>
                    <w14:schemeClr w14:val="tx1"/>
                  </w14:solidFill>
                </w14:textFill>
              </w:rPr>
            </w:pPr>
          </w:p>
        </w:tc>
      </w:tr>
      <w:tr w14:paraId="68C5E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345C6159">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生产废</w:t>
            </w:r>
            <w:r>
              <w:rPr>
                <w:rFonts w:hint="eastAsia" w:eastAsiaTheme="minorEastAsia"/>
                <w:color w:val="000000" w:themeColor="text1"/>
                <w:sz w:val="21"/>
                <w:szCs w:val="21"/>
                <w14:textFill>
                  <w14:solidFill>
                    <w14:schemeClr w14:val="tx1"/>
                  </w14:solidFill>
                </w14:textFill>
              </w:rPr>
              <w:t>水</w:t>
            </w:r>
            <w:r>
              <w:rPr>
                <w:rFonts w:eastAsiaTheme="minorEastAsia"/>
                <w:color w:val="000000" w:themeColor="text1"/>
                <w:sz w:val="21"/>
                <w:szCs w:val="21"/>
                <w14:textFill>
                  <w14:solidFill>
                    <w14:schemeClr w14:val="tx1"/>
                  </w14:solidFill>
                </w14:textFill>
              </w:rPr>
              <w:t>公司系统风险防控措施</w:t>
            </w:r>
          </w:p>
        </w:tc>
        <w:tc>
          <w:tcPr>
            <w:tcW w:w="7376" w:type="dxa"/>
            <w:vAlign w:val="center"/>
          </w:tcPr>
          <w:p w14:paraId="5D5BAB61">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（1）无生产废水产生或外排；或</w:t>
            </w:r>
          </w:p>
          <w:p w14:paraId="2CED7367">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（2）有废水外排时：</w:t>
            </w:r>
          </w:p>
          <w:p w14:paraId="110E0CDB">
            <w:pPr>
              <w:autoSpaceDE w:val="0"/>
              <w:autoSpaceDN w:val="0"/>
              <w:adjustRightInd w:val="0"/>
              <w:snapToGrid w:val="0"/>
              <w:ind w:right="38" w:rightChars="16"/>
              <w:rPr>
                <w:rFonts w:hint="eastAsia" w:eastAsiaTheme="minor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①</w:t>
            </w:r>
            <w:r>
              <w:rPr>
                <w:rFonts w:eastAsiaTheme="minorEastAsia"/>
                <w:color w:val="000000" w:themeColor="text1"/>
                <w:spacing w:val="-4"/>
                <w:sz w:val="21"/>
                <w:szCs w:val="21"/>
                <w14:textFill>
                  <w14:solidFill>
                    <w14:schemeClr w14:val="tx1"/>
                  </w14:solidFill>
                </w14:textFill>
              </w:rPr>
              <w:t>受污染的循环冷却水、雨水、消防水等排入生产污水系统或独立处理系统；</w:t>
            </w:r>
          </w:p>
          <w:p w14:paraId="3CD4DE04">
            <w:pPr>
              <w:autoSpaceDE w:val="0"/>
              <w:autoSpaceDN w:val="0"/>
              <w:adjustRightInd w:val="0"/>
              <w:snapToGrid w:val="0"/>
              <w:ind w:right="38" w:rightChars="16"/>
              <w:rPr>
                <w:rFonts w:hint="eastAsia" w:eastAsiaTheme="minor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②</w:t>
            </w:r>
            <w:r>
              <w:rPr>
                <w:rFonts w:eastAsiaTheme="minorEastAsia"/>
                <w:color w:val="000000" w:themeColor="text1"/>
                <w:sz w:val="21"/>
                <w:szCs w:val="21"/>
                <w14:textFill>
                  <w14:solidFill>
                    <w14:schemeClr w14:val="tx1"/>
                  </w14:solidFill>
                </w14:textFill>
              </w:rPr>
              <w:t>生产废水排放前设监控池，能够将不合格废水送废公司设施处理；</w:t>
            </w:r>
          </w:p>
          <w:p w14:paraId="68480834">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③</w:t>
            </w:r>
            <w:r>
              <w:rPr>
                <w:rFonts w:eastAsiaTheme="minorEastAsia"/>
                <w:color w:val="000000" w:themeColor="text1"/>
                <w:sz w:val="21"/>
                <w:szCs w:val="21"/>
                <w14:textFill>
                  <w14:solidFill>
                    <w14:schemeClr w14:val="tx1"/>
                  </w14:solidFill>
                </w14:textFill>
              </w:rPr>
              <w:t>如企业受污染的清净废水或雨水进入废公司系统处理，则废公司系统应设置事故水缓冲设施；</w:t>
            </w:r>
          </w:p>
          <w:p w14:paraId="59D0B99A">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④</w:t>
            </w:r>
            <w:r>
              <w:rPr>
                <w:rFonts w:eastAsiaTheme="minorEastAsia"/>
                <w:color w:val="000000" w:themeColor="text1"/>
                <w:sz w:val="21"/>
                <w:szCs w:val="21"/>
                <w14:textFill>
                  <w14:solidFill>
                    <w14:schemeClr w14:val="tx1"/>
                  </w14:solidFill>
                </w14:textFill>
              </w:rPr>
              <w:t>具有生产废水总排口监视及关闭设施，有专人负责启闭，确保泄漏物、受污染的消防水、不合格废水不排出厂外。</w:t>
            </w:r>
          </w:p>
        </w:tc>
        <w:tc>
          <w:tcPr>
            <w:tcW w:w="540" w:type="dxa"/>
            <w:vAlign w:val="center"/>
          </w:tcPr>
          <w:p w14:paraId="2324E504">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20D48015">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企业无生产废水外排</w:t>
            </w:r>
            <w:r>
              <w:rPr>
                <w:rFonts w:eastAsiaTheme="minorEastAsia"/>
                <w:color w:val="000000" w:themeColor="text1"/>
                <w:sz w:val="21"/>
                <w:szCs w:val="21"/>
                <w14:textFill>
                  <w14:solidFill>
                    <w14:schemeClr w14:val="tx1"/>
                  </w14:solidFill>
                </w14:textFill>
              </w:rPr>
              <w:t>。</w:t>
            </w:r>
          </w:p>
        </w:tc>
        <w:tc>
          <w:tcPr>
            <w:tcW w:w="612" w:type="dxa"/>
            <w:vMerge w:val="restart"/>
            <w:vAlign w:val="center"/>
          </w:tcPr>
          <w:p w14:paraId="4DB11AE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E5A9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069F6BD1">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584CE937">
            <w:pPr>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涉及废水排放，且不符合上述（2）中任意一条要求的。</w:t>
            </w:r>
          </w:p>
        </w:tc>
        <w:tc>
          <w:tcPr>
            <w:tcW w:w="540" w:type="dxa"/>
            <w:vAlign w:val="center"/>
          </w:tcPr>
          <w:p w14:paraId="50EBA371">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06F7151B">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03EE6493">
            <w:pPr>
              <w:adjustRightInd w:val="0"/>
              <w:snapToGrid w:val="0"/>
              <w:jc w:val="center"/>
              <w:rPr>
                <w:rFonts w:eastAsiaTheme="minorEastAsia"/>
                <w:color w:val="000000" w:themeColor="text1"/>
                <w:sz w:val="21"/>
                <w:szCs w:val="21"/>
                <w14:textFill>
                  <w14:solidFill>
                    <w14:schemeClr w14:val="tx1"/>
                  </w14:solidFill>
                </w14:textFill>
              </w:rPr>
            </w:pPr>
          </w:p>
        </w:tc>
      </w:tr>
      <w:tr w14:paraId="6CA3E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28DA9A42">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废水排放去向</w:t>
            </w:r>
          </w:p>
        </w:tc>
        <w:tc>
          <w:tcPr>
            <w:tcW w:w="7376" w:type="dxa"/>
            <w:vAlign w:val="center"/>
          </w:tcPr>
          <w:p w14:paraId="5E102D28">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无生产废水产生或外排</w:t>
            </w:r>
          </w:p>
        </w:tc>
        <w:tc>
          <w:tcPr>
            <w:tcW w:w="540" w:type="dxa"/>
            <w:vAlign w:val="center"/>
          </w:tcPr>
          <w:p w14:paraId="01C57623">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171C6D14">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企业无生产废水外排</w:t>
            </w:r>
            <w:r>
              <w:rPr>
                <w:rFonts w:eastAsiaTheme="minorEastAsia"/>
                <w:color w:val="000000" w:themeColor="text1"/>
                <w:sz w:val="21"/>
                <w:szCs w:val="21"/>
                <w14:textFill>
                  <w14:solidFill>
                    <w14:schemeClr w14:val="tx1"/>
                  </w14:solidFill>
                </w14:textFill>
              </w:rPr>
              <w:t>。</w:t>
            </w:r>
          </w:p>
        </w:tc>
        <w:tc>
          <w:tcPr>
            <w:tcW w:w="612" w:type="dxa"/>
            <w:vMerge w:val="restart"/>
            <w:vAlign w:val="center"/>
          </w:tcPr>
          <w:p w14:paraId="23C585B0">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0</w:t>
            </w:r>
          </w:p>
        </w:tc>
      </w:tr>
      <w:tr w14:paraId="29307D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1246639B">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23E42959">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（1）依法获取污水排入排水管网许可，进入城镇污公司厂；或</w:t>
            </w:r>
          </w:p>
          <w:p w14:paraId="649D9E2D">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（2）进去工业废水集中处理厂，或</w:t>
            </w:r>
          </w:p>
          <w:p w14:paraId="4D14049A">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（3）进入其他单位</w:t>
            </w:r>
          </w:p>
        </w:tc>
        <w:tc>
          <w:tcPr>
            <w:tcW w:w="540" w:type="dxa"/>
            <w:vAlign w:val="center"/>
          </w:tcPr>
          <w:p w14:paraId="042D7EB2">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6</w:t>
            </w:r>
          </w:p>
        </w:tc>
        <w:tc>
          <w:tcPr>
            <w:tcW w:w="4188" w:type="dxa"/>
            <w:vMerge w:val="continue"/>
            <w:vAlign w:val="center"/>
          </w:tcPr>
          <w:p w14:paraId="32E563A1">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4FF9615B">
            <w:pPr>
              <w:adjustRightInd w:val="0"/>
              <w:snapToGrid w:val="0"/>
              <w:jc w:val="center"/>
              <w:rPr>
                <w:rFonts w:eastAsiaTheme="minorEastAsia"/>
                <w:color w:val="000000" w:themeColor="text1"/>
                <w:sz w:val="21"/>
                <w:szCs w:val="21"/>
                <w14:textFill>
                  <w14:solidFill>
                    <w14:schemeClr w14:val="tx1"/>
                  </w14:solidFill>
                </w14:textFill>
              </w:rPr>
            </w:pPr>
          </w:p>
        </w:tc>
      </w:tr>
      <w:tr w14:paraId="70190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36EAC549">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6BB6A918">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（1）直接进入海域或进入江、河、湖、库等水环境；或</w:t>
            </w:r>
          </w:p>
          <w:p w14:paraId="482F21B3">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（2）进入城市下水道再进入江、河、湖、库或再进入海域；或</w:t>
            </w:r>
          </w:p>
          <w:p w14:paraId="3ABF6881">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（3）未依法取得污水排入排水管网许可，进入城镇污公司厂；或</w:t>
            </w:r>
          </w:p>
          <w:p w14:paraId="08F28D82">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（4）直接进入污灌农田或蒸发地</w:t>
            </w:r>
          </w:p>
        </w:tc>
        <w:tc>
          <w:tcPr>
            <w:tcW w:w="540" w:type="dxa"/>
            <w:vAlign w:val="center"/>
          </w:tcPr>
          <w:p w14:paraId="093DAAF3">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12</w:t>
            </w:r>
          </w:p>
        </w:tc>
        <w:tc>
          <w:tcPr>
            <w:tcW w:w="4188" w:type="dxa"/>
            <w:vMerge w:val="continue"/>
            <w:vAlign w:val="center"/>
          </w:tcPr>
          <w:p w14:paraId="3C32DC5F">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4C944738">
            <w:pPr>
              <w:adjustRightInd w:val="0"/>
              <w:snapToGrid w:val="0"/>
              <w:jc w:val="center"/>
              <w:rPr>
                <w:rFonts w:eastAsiaTheme="minorEastAsia"/>
                <w:color w:val="000000" w:themeColor="text1"/>
                <w:sz w:val="21"/>
                <w:szCs w:val="21"/>
                <w14:textFill>
                  <w14:solidFill>
                    <w14:schemeClr w14:val="tx1"/>
                  </w14:solidFill>
                </w14:textFill>
              </w:rPr>
            </w:pPr>
          </w:p>
        </w:tc>
      </w:tr>
      <w:tr w14:paraId="30F892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restart"/>
            <w:vAlign w:val="center"/>
          </w:tcPr>
          <w:p w14:paraId="7EC402C8">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厂区危险废物环境管理</w:t>
            </w:r>
          </w:p>
        </w:tc>
        <w:tc>
          <w:tcPr>
            <w:tcW w:w="7376" w:type="dxa"/>
            <w:vAlign w:val="center"/>
          </w:tcPr>
          <w:p w14:paraId="1803BF67">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（1）不涉及危险废物的；或</w:t>
            </w:r>
          </w:p>
          <w:p w14:paraId="37D99C47">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（2）针对危险废物分区贮存、运输、利用、处置具有完善的专业设施和风险防控措施</w:t>
            </w:r>
          </w:p>
        </w:tc>
        <w:tc>
          <w:tcPr>
            <w:tcW w:w="540" w:type="dxa"/>
            <w:vAlign w:val="center"/>
          </w:tcPr>
          <w:p w14:paraId="45ED6202">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72F1F648">
            <w:pPr>
              <w:widowControl/>
              <w:adjustRightInd w:val="0"/>
              <w:snapToGrid w:val="0"/>
              <w:jc w:val="left"/>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根据现场调查，企业危险废物具体防控措施如下：</w:t>
            </w:r>
          </w:p>
          <w:p w14:paraId="71FBDA2D">
            <w:pPr>
              <w:widowControl/>
              <w:adjustRightInd w:val="0"/>
              <w:snapToGrid w:val="0"/>
              <w:jc w:val="left"/>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（1）危险废物采用封闭厂房堆放，做到防风、防雨、防晒的要求。</w:t>
            </w:r>
          </w:p>
          <w:p w14:paraId="3F5AE4EB">
            <w:pPr>
              <w:widowControl/>
              <w:adjustRightInd w:val="0"/>
              <w:snapToGrid w:val="0"/>
              <w:jc w:val="left"/>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（2）各类危险废物按照性质进行分类堆放，并预留了搬运通道。</w:t>
            </w:r>
          </w:p>
          <w:p w14:paraId="3B8CC332">
            <w:pPr>
              <w:widowControl/>
              <w:adjustRightInd w:val="0"/>
              <w:snapToGrid w:val="0"/>
              <w:jc w:val="left"/>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（3）企业对危险废物均作了危险废物情况的记录，并在记录上注明了危险废物的名称、来源、数量、入库日期、存放库位、出库日期及接收单位名称等情况。</w:t>
            </w:r>
          </w:p>
          <w:p w14:paraId="0949673C">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（4）企业设置专门人员，定期对所贮存的危险废物包装容器及贮存设施进行检查，并对破损容器采取措施清理更换。</w:t>
            </w:r>
          </w:p>
        </w:tc>
        <w:tc>
          <w:tcPr>
            <w:tcW w:w="612" w:type="dxa"/>
            <w:vMerge w:val="restart"/>
            <w:vAlign w:val="center"/>
          </w:tcPr>
          <w:p w14:paraId="60F0D5CD">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B3BF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2B7CCC22">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4D070D73">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不具备完善的危险废物贮存、运输、利用、处置设施和风险防控措施</w:t>
            </w:r>
          </w:p>
        </w:tc>
        <w:tc>
          <w:tcPr>
            <w:tcW w:w="540" w:type="dxa"/>
            <w:vAlign w:val="center"/>
          </w:tcPr>
          <w:p w14:paraId="01E98DC1">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w:t>
            </w:r>
          </w:p>
        </w:tc>
        <w:tc>
          <w:tcPr>
            <w:tcW w:w="4188" w:type="dxa"/>
            <w:vMerge w:val="continue"/>
            <w:vAlign w:val="center"/>
          </w:tcPr>
          <w:p w14:paraId="58B04879">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26D4E8FA">
            <w:pPr>
              <w:adjustRightInd w:val="0"/>
              <w:snapToGrid w:val="0"/>
              <w:jc w:val="center"/>
              <w:rPr>
                <w:rFonts w:eastAsiaTheme="minorEastAsia"/>
                <w:color w:val="000000" w:themeColor="text1"/>
                <w:sz w:val="21"/>
                <w:szCs w:val="21"/>
                <w14:textFill>
                  <w14:solidFill>
                    <w14:schemeClr w14:val="tx1"/>
                  </w14:solidFill>
                </w14:textFill>
              </w:rPr>
            </w:pPr>
          </w:p>
        </w:tc>
      </w:tr>
      <w:tr w14:paraId="01CE6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restart"/>
            <w:vAlign w:val="center"/>
          </w:tcPr>
          <w:p w14:paraId="3F3F0A67">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近3年突发水环境事件发生情况</w:t>
            </w:r>
          </w:p>
        </w:tc>
        <w:tc>
          <w:tcPr>
            <w:tcW w:w="7376" w:type="dxa"/>
            <w:vAlign w:val="center"/>
          </w:tcPr>
          <w:p w14:paraId="5A391F2F">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发生过特别重大及重大等级突发水环境事件的</w:t>
            </w:r>
          </w:p>
        </w:tc>
        <w:tc>
          <w:tcPr>
            <w:tcW w:w="540" w:type="dxa"/>
            <w:vAlign w:val="center"/>
          </w:tcPr>
          <w:p w14:paraId="610C5A63">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restart"/>
            <w:vAlign w:val="center"/>
          </w:tcPr>
          <w:p w14:paraId="5FBD3E6F">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未发生突发水环境事件</w:t>
            </w:r>
          </w:p>
        </w:tc>
        <w:tc>
          <w:tcPr>
            <w:tcW w:w="612" w:type="dxa"/>
            <w:vMerge w:val="restart"/>
            <w:vAlign w:val="center"/>
          </w:tcPr>
          <w:p w14:paraId="6977BD9C">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2AC98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5CC89D58">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3D9C0879">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发生过较大等级突发水环境事件的</w:t>
            </w:r>
          </w:p>
        </w:tc>
        <w:tc>
          <w:tcPr>
            <w:tcW w:w="540" w:type="dxa"/>
            <w:vAlign w:val="center"/>
          </w:tcPr>
          <w:p w14:paraId="5BECF1DD">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6</w:t>
            </w:r>
          </w:p>
        </w:tc>
        <w:tc>
          <w:tcPr>
            <w:tcW w:w="4188" w:type="dxa"/>
            <w:vMerge w:val="continue"/>
            <w:vAlign w:val="center"/>
          </w:tcPr>
          <w:p w14:paraId="38AB1B00">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5E5A561E">
            <w:pPr>
              <w:adjustRightInd w:val="0"/>
              <w:snapToGrid w:val="0"/>
              <w:jc w:val="center"/>
              <w:rPr>
                <w:rFonts w:eastAsiaTheme="minorEastAsia"/>
                <w:color w:val="000000" w:themeColor="text1"/>
                <w:sz w:val="21"/>
                <w:szCs w:val="21"/>
                <w14:textFill>
                  <w14:solidFill>
                    <w14:schemeClr w14:val="tx1"/>
                  </w14:solidFill>
                </w14:textFill>
              </w:rPr>
            </w:pPr>
          </w:p>
        </w:tc>
      </w:tr>
      <w:tr w14:paraId="30889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2D802A29">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543750E6">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发生过一般等级突发水环境事件的</w:t>
            </w:r>
          </w:p>
        </w:tc>
        <w:tc>
          <w:tcPr>
            <w:tcW w:w="540" w:type="dxa"/>
            <w:vAlign w:val="center"/>
          </w:tcPr>
          <w:p w14:paraId="27E7AE8E">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4</w:t>
            </w:r>
          </w:p>
        </w:tc>
        <w:tc>
          <w:tcPr>
            <w:tcW w:w="4188" w:type="dxa"/>
            <w:vMerge w:val="continue"/>
            <w:vAlign w:val="center"/>
          </w:tcPr>
          <w:p w14:paraId="4BF53E93">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5327FBB5">
            <w:pPr>
              <w:adjustRightInd w:val="0"/>
              <w:snapToGrid w:val="0"/>
              <w:jc w:val="center"/>
              <w:rPr>
                <w:rFonts w:eastAsiaTheme="minorEastAsia"/>
                <w:color w:val="000000" w:themeColor="text1"/>
                <w:sz w:val="21"/>
                <w:szCs w:val="21"/>
                <w14:textFill>
                  <w14:solidFill>
                    <w14:schemeClr w14:val="tx1"/>
                  </w14:solidFill>
                </w14:textFill>
              </w:rPr>
            </w:pPr>
          </w:p>
        </w:tc>
      </w:tr>
      <w:tr w14:paraId="22677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0C25574D">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63AEBEAC">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未发生突发水环境事件的</w:t>
            </w:r>
          </w:p>
        </w:tc>
        <w:tc>
          <w:tcPr>
            <w:tcW w:w="540" w:type="dxa"/>
            <w:vAlign w:val="center"/>
          </w:tcPr>
          <w:p w14:paraId="040F9B3C">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continue"/>
            <w:vAlign w:val="center"/>
          </w:tcPr>
          <w:p w14:paraId="0093A918">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41AF0E7F">
            <w:pPr>
              <w:adjustRightInd w:val="0"/>
              <w:snapToGrid w:val="0"/>
              <w:jc w:val="center"/>
              <w:rPr>
                <w:rFonts w:eastAsiaTheme="minorEastAsia"/>
                <w:color w:val="000000" w:themeColor="text1"/>
                <w:sz w:val="21"/>
                <w:szCs w:val="21"/>
                <w14:textFill>
                  <w14:solidFill>
                    <w14:schemeClr w14:val="tx1"/>
                  </w14:solidFill>
                </w14:textFill>
              </w:rPr>
            </w:pPr>
          </w:p>
        </w:tc>
      </w:tr>
      <w:tr w14:paraId="78B99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9017" w:type="dxa"/>
            <w:gridSpan w:val="3"/>
            <w:vAlign w:val="center"/>
          </w:tcPr>
          <w:p w14:paraId="45FBC802">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合计</w:t>
            </w:r>
          </w:p>
        </w:tc>
        <w:tc>
          <w:tcPr>
            <w:tcW w:w="4188" w:type="dxa"/>
            <w:vAlign w:val="center"/>
          </w:tcPr>
          <w:p w14:paraId="1D5C21C5">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612" w:type="dxa"/>
            <w:vAlign w:val="center"/>
          </w:tcPr>
          <w:p w14:paraId="7BFB1D89">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8</w:t>
            </w:r>
          </w:p>
        </w:tc>
      </w:tr>
    </w:tbl>
    <w:p w14:paraId="00FFB2F3">
      <w:pPr>
        <w:pStyle w:val="13"/>
        <w:spacing w:before="8"/>
        <w:rPr>
          <w:sz w:val="12"/>
        </w:rPr>
      </w:pPr>
    </w:p>
    <w:p w14:paraId="1FDF010B">
      <w:pPr>
        <w:rPr>
          <w:sz w:val="21"/>
        </w:rPr>
        <w:sectPr>
          <w:footerReference r:id="rId11" w:type="default"/>
          <w:pgSz w:w="16840" w:h="11910" w:orient="landscape"/>
          <w:pgMar w:top="1180" w:right="1800" w:bottom="1200" w:left="1520" w:header="794" w:footer="1017" w:gutter="0"/>
          <w:pgBorders>
            <w:top w:val="none" w:sz="0" w:space="0"/>
            <w:left w:val="none" w:sz="0" w:space="0"/>
            <w:bottom w:val="none" w:sz="0" w:space="0"/>
            <w:right w:val="none" w:sz="0" w:space="0"/>
          </w:pgBorders>
          <w:cols w:space="720" w:num="1"/>
        </w:sectPr>
      </w:pPr>
    </w:p>
    <w:p w14:paraId="29DE48C3">
      <w:pPr>
        <w:pStyle w:val="13"/>
        <w:spacing w:line="20" w:lineRule="exact"/>
        <w:ind w:left="129"/>
        <w:rPr>
          <w:sz w:val="2"/>
        </w:rPr>
      </w:pPr>
    </w:p>
    <w:p w14:paraId="58BB135A">
      <w:pPr>
        <w:pStyle w:val="13"/>
        <w:numPr>
          <w:ilvl w:val="255"/>
          <w:numId w:val="0"/>
        </w:numPr>
        <w:spacing w:after="0" w:line="500" w:lineRule="exact"/>
        <w:ind w:left="480" w:leftChars="200"/>
        <w:jc w:val="left"/>
        <w:rPr>
          <w:rFonts w:eastAsia="宋体"/>
          <w:spacing w:val="-10"/>
        </w:rPr>
      </w:pPr>
      <w:r>
        <w:rPr>
          <w:rFonts w:hint="eastAsia" w:eastAsia="宋体"/>
          <w:spacing w:val="-10"/>
        </w:rPr>
        <w:t>（4）企业生产工艺过程与大气环境风险控制水平</w:t>
      </w:r>
    </w:p>
    <w:p w14:paraId="684E9B1D">
      <w:pPr>
        <w:pStyle w:val="13"/>
        <w:spacing w:after="0" w:line="500" w:lineRule="exact"/>
        <w:ind w:firstLine="440" w:firstLineChars="200"/>
        <w:jc w:val="left"/>
        <w:rPr>
          <w:rFonts w:eastAsia="宋体"/>
          <w:spacing w:val="-10"/>
        </w:rPr>
      </w:pPr>
      <w:r>
        <w:rPr>
          <w:rFonts w:hint="eastAsia" w:eastAsia="宋体"/>
          <w:spacing w:val="-10"/>
        </w:rPr>
        <w:t>将企业生产工艺过程、水环境风险防控措施及突发水环境事件发生情况各项指标评估分值累加，得出生产工艺过程与大气环境风险控制水平值，按照表7-8划分为4个类型。</w:t>
      </w:r>
    </w:p>
    <w:p w14:paraId="5AE48DF4">
      <w:pPr>
        <w:adjustRightInd w:val="0"/>
        <w:snapToGrid w:val="0"/>
        <w:spacing w:line="500" w:lineRule="exact"/>
        <w:jc w:val="center"/>
        <w:rPr>
          <w:rFonts w:eastAsia="宋体"/>
          <w:snapToGrid w:val="0"/>
          <w:kern w:val="0"/>
        </w:rPr>
      </w:pPr>
      <w:r>
        <w:rPr>
          <w:rFonts w:eastAsia="宋体"/>
          <w:b/>
          <w:bCs/>
          <w:snapToGrid w:val="0"/>
          <w:kern w:val="0"/>
        </w:rPr>
        <w:t>表</w:t>
      </w:r>
      <w:r>
        <w:rPr>
          <w:rFonts w:hint="eastAsia" w:eastAsia="宋体"/>
          <w:b/>
          <w:bCs/>
          <w:snapToGrid w:val="0"/>
          <w:kern w:val="0"/>
        </w:rPr>
        <w:t>7-8</w:t>
      </w:r>
      <w:r>
        <w:rPr>
          <w:rFonts w:eastAsia="宋体"/>
          <w:b/>
          <w:bCs/>
          <w:snapToGrid w:val="0"/>
          <w:kern w:val="0"/>
        </w:rPr>
        <w:t>企业生产工艺过程与环境风险控制水平对照表</w:t>
      </w:r>
    </w:p>
    <w:tbl>
      <w:tblPr>
        <w:tblStyle w:val="38"/>
        <w:tblW w:w="501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18"/>
        <w:gridCol w:w="4471"/>
      </w:tblGrid>
      <w:tr w14:paraId="319662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0" w:type="pct"/>
            <w:tcBorders>
              <w:tl2br w:val="nil"/>
              <w:tr2bl w:val="nil"/>
            </w:tcBorders>
            <w:vAlign w:val="center"/>
          </w:tcPr>
          <w:p w14:paraId="4CE351C3">
            <w:pPr>
              <w:adjustRightInd w:val="0"/>
              <w:snapToGrid w:val="0"/>
              <w:jc w:val="center"/>
              <w:rPr>
                <w:rFonts w:eastAsia="宋体"/>
                <w:bCs/>
                <w:snapToGrid w:val="0"/>
                <w:kern w:val="0"/>
                <w:sz w:val="21"/>
                <w:szCs w:val="21"/>
              </w:rPr>
            </w:pPr>
            <w:r>
              <w:rPr>
                <w:rFonts w:eastAsia="宋体"/>
                <w:bCs/>
                <w:snapToGrid w:val="0"/>
                <w:kern w:val="0"/>
                <w:sz w:val="21"/>
                <w:szCs w:val="21"/>
              </w:rPr>
              <w:t>生产工艺过程与环境风险控制水平值(M)</w:t>
            </w:r>
          </w:p>
        </w:tc>
        <w:tc>
          <w:tcPr>
            <w:tcW w:w="2459" w:type="pct"/>
            <w:tcBorders>
              <w:tl2br w:val="nil"/>
              <w:tr2bl w:val="nil"/>
            </w:tcBorders>
            <w:vAlign w:val="center"/>
          </w:tcPr>
          <w:p w14:paraId="02F74865">
            <w:pPr>
              <w:adjustRightInd w:val="0"/>
              <w:snapToGrid w:val="0"/>
              <w:jc w:val="center"/>
              <w:rPr>
                <w:rFonts w:eastAsia="宋体"/>
                <w:bCs/>
                <w:snapToGrid w:val="0"/>
                <w:kern w:val="0"/>
                <w:sz w:val="21"/>
                <w:szCs w:val="21"/>
              </w:rPr>
            </w:pPr>
            <w:r>
              <w:rPr>
                <w:rFonts w:eastAsia="宋体"/>
                <w:bCs/>
                <w:snapToGrid w:val="0"/>
                <w:kern w:val="0"/>
                <w:sz w:val="21"/>
                <w:szCs w:val="21"/>
              </w:rPr>
              <w:t>生产工艺过程与环境风险及其控制水平</w:t>
            </w:r>
          </w:p>
        </w:tc>
      </w:tr>
      <w:tr w14:paraId="35E32A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FFFFFF" w:themeFill="background1"/>
            <w:vAlign w:val="center"/>
          </w:tcPr>
          <w:p w14:paraId="2D44A87A">
            <w:pPr>
              <w:adjustRightInd w:val="0"/>
              <w:snapToGrid w:val="0"/>
              <w:jc w:val="center"/>
              <w:rPr>
                <w:rFonts w:eastAsia="宋体"/>
                <w:snapToGrid w:val="0"/>
                <w:kern w:val="0"/>
                <w:sz w:val="21"/>
                <w:szCs w:val="21"/>
              </w:rPr>
            </w:pPr>
            <w:r>
              <w:rPr>
                <w:rFonts w:eastAsia="宋体"/>
                <w:snapToGrid w:val="0"/>
                <w:kern w:val="0"/>
                <w:sz w:val="21"/>
                <w:szCs w:val="21"/>
              </w:rPr>
              <w:t>M＜25</w:t>
            </w:r>
          </w:p>
        </w:tc>
        <w:tc>
          <w:tcPr>
            <w:tcW w:w="2459" w:type="pct"/>
            <w:tcBorders>
              <w:tl2br w:val="nil"/>
              <w:tr2bl w:val="nil"/>
            </w:tcBorders>
            <w:shd w:val="clear" w:color="auto" w:fill="FFFFFF" w:themeFill="background1"/>
            <w:vAlign w:val="center"/>
          </w:tcPr>
          <w:p w14:paraId="0D8B8185">
            <w:pPr>
              <w:adjustRightInd w:val="0"/>
              <w:snapToGrid w:val="0"/>
              <w:jc w:val="center"/>
              <w:rPr>
                <w:rFonts w:eastAsia="宋体"/>
                <w:snapToGrid w:val="0"/>
                <w:kern w:val="0"/>
                <w:sz w:val="21"/>
                <w:szCs w:val="21"/>
              </w:rPr>
            </w:pPr>
            <w:r>
              <w:rPr>
                <w:rFonts w:eastAsia="宋体"/>
                <w:snapToGrid w:val="0"/>
                <w:kern w:val="0"/>
                <w:sz w:val="21"/>
                <w:szCs w:val="21"/>
              </w:rPr>
              <w:t>M1</w:t>
            </w:r>
          </w:p>
        </w:tc>
      </w:tr>
      <w:tr w14:paraId="603CE6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auto"/>
            <w:vAlign w:val="center"/>
          </w:tcPr>
          <w:p w14:paraId="1272E662">
            <w:pPr>
              <w:adjustRightInd w:val="0"/>
              <w:snapToGrid w:val="0"/>
              <w:jc w:val="center"/>
              <w:rPr>
                <w:rFonts w:eastAsia="宋体"/>
                <w:snapToGrid w:val="0"/>
                <w:kern w:val="0"/>
                <w:sz w:val="21"/>
                <w:szCs w:val="21"/>
              </w:rPr>
            </w:pPr>
            <w:r>
              <w:rPr>
                <w:rFonts w:eastAsia="宋体"/>
                <w:snapToGrid w:val="0"/>
                <w:kern w:val="0"/>
                <w:sz w:val="21"/>
                <w:szCs w:val="21"/>
              </w:rPr>
              <w:t>25≤M＜45</w:t>
            </w:r>
          </w:p>
        </w:tc>
        <w:tc>
          <w:tcPr>
            <w:tcW w:w="2459" w:type="pct"/>
            <w:tcBorders>
              <w:tl2br w:val="nil"/>
              <w:tr2bl w:val="nil"/>
            </w:tcBorders>
            <w:shd w:val="clear" w:color="auto" w:fill="auto"/>
            <w:vAlign w:val="center"/>
          </w:tcPr>
          <w:p w14:paraId="10E78C97">
            <w:pPr>
              <w:adjustRightInd w:val="0"/>
              <w:snapToGrid w:val="0"/>
              <w:jc w:val="center"/>
              <w:rPr>
                <w:rFonts w:eastAsia="宋体"/>
                <w:snapToGrid w:val="0"/>
                <w:kern w:val="0"/>
                <w:sz w:val="21"/>
                <w:szCs w:val="21"/>
              </w:rPr>
            </w:pPr>
            <w:r>
              <w:rPr>
                <w:rFonts w:eastAsia="宋体"/>
                <w:snapToGrid w:val="0"/>
                <w:kern w:val="0"/>
                <w:sz w:val="21"/>
                <w:szCs w:val="21"/>
              </w:rPr>
              <w:t>M2</w:t>
            </w:r>
          </w:p>
        </w:tc>
      </w:tr>
      <w:tr w14:paraId="439BC9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vAlign w:val="center"/>
          </w:tcPr>
          <w:p w14:paraId="721F6479">
            <w:pPr>
              <w:adjustRightInd w:val="0"/>
              <w:snapToGrid w:val="0"/>
              <w:jc w:val="center"/>
              <w:rPr>
                <w:rFonts w:eastAsia="宋体"/>
                <w:snapToGrid w:val="0"/>
                <w:kern w:val="0"/>
                <w:sz w:val="21"/>
                <w:szCs w:val="21"/>
              </w:rPr>
            </w:pPr>
            <w:r>
              <w:rPr>
                <w:rFonts w:eastAsia="宋体"/>
                <w:snapToGrid w:val="0"/>
                <w:kern w:val="0"/>
                <w:sz w:val="21"/>
                <w:szCs w:val="21"/>
              </w:rPr>
              <w:t>45≤M＜60</w:t>
            </w:r>
          </w:p>
        </w:tc>
        <w:tc>
          <w:tcPr>
            <w:tcW w:w="2459" w:type="pct"/>
            <w:tcBorders>
              <w:tl2br w:val="nil"/>
              <w:tr2bl w:val="nil"/>
            </w:tcBorders>
            <w:vAlign w:val="center"/>
          </w:tcPr>
          <w:p w14:paraId="126DD556">
            <w:pPr>
              <w:adjustRightInd w:val="0"/>
              <w:snapToGrid w:val="0"/>
              <w:jc w:val="center"/>
              <w:rPr>
                <w:rFonts w:eastAsia="宋体"/>
                <w:snapToGrid w:val="0"/>
                <w:kern w:val="0"/>
                <w:sz w:val="21"/>
                <w:szCs w:val="21"/>
              </w:rPr>
            </w:pPr>
            <w:r>
              <w:rPr>
                <w:rFonts w:eastAsia="宋体"/>
                <w:snapToGrid w:val="0"/>
                <w:kern w:val="0"/>
                <w:sz w:val="21"/>
                <w:szCs w:val="21"/>
              </w:rPr>
              <w:t>M3</w:t>
            </w:r>
          </w:p>
        </w:tc>
      </w:tr>
      <w:tr w14:paraId="2C3933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40" w:type="pct"/>
            <w:tcBorders>
              <w:tl2br w:val="nil"/>
              <w:tr2bl w:val="nil"/>
            </w:tcBorders>
            <w:vAlign w:val="center"/>
          </w:tcPr>
          <w:p w14:paraId="5F222C7A">
            <w:pPr>
              <w:adjustRightInd w:val="0"/>
              <w:snapToGrid w:val="0"/>
              <w:jc w:val="center"/>
              <w:rPr>
                <w:rFonts w:eastAsia="宋体"/>
                <w:snapToGrid w:val="0"/>
                <w:kern w:val="0"/>
                <w:sz w:val="21"/>
                <w:szCs w:val="21"/>
              </w:rPr>
            </w:pPr>
            <w:r>
              <w:rPr>
                <w:rFonts w:eastAsia="宋体"/>
                <w:snapToGrid w:val="0"/>
                <w:kern w:val="0"/>
                <w:sz w:val="21"/>
                <w:szCs w:val="21"/>
              </w:rPr>
              <w:t>M≥60</w:t>
            </w:r>
          </w:p>
        </w:tc>
        <w:tc>
          <w:tcPr>
            <w:tcW w:w="2459" w:type="pct"/>
            <w:tcBorders>
              <w:tl2br w:val="nil"/>
              <w:tr2bl w:val="nil"/>
            </w:tcBorders>
            <w:vAlign w:val="center"/>
          </w:tcPr>
          <w:p w14:paraId="5DC26EAA">
            <w:pPr>
              <w:adjustRightInd w:val="0"/>
              <w:snapToGrid w:val="0"/>
              <w:jc w:val="center"/>
              <w:rPr>
                <w:rFonts w:eastAsia="宋体"/>
                <w:snapToGrid w:val="0"/>
                <w:kern w:val="0"/>
                <w:sz w:val="21"/>
                <w:szCs w:val="21"/>
              </w:rPr>
            </w:pPr>
            <w:r>
              <w:rPr>
                <w:rFonts w:eastAsia="宋体"/>
                <w:snapToGrid w:val="0"/>
                <w:kern w:val="0"/>
                <w:sz w:val="21"/>
                <w:szCs w:val="21"/>
              </w:rPr>
              <w:t>M4</w:t>
            </w:r>
          </w:p>
        </w:tc>
      </w:tr>
    </w:tbl>
    <w:p w14:paraId="68CC72C8">
      <w:pPr>
        <w:pStyle w:val="13"/>
        <w:spacing w:after="0" w:line="500" w:lineRule="exact"/>
        <w:ind w:firstLine="440" w:firstLineChars="200"/>
        <w:jc w:val="left"/>
        <w:rPr>
          <w:rFonts w:eastAsia="宋体"/>
          <w:spacing w:val="-10"/>
        </w:rPr>
      </w:pPr>
      <w:r>
        <w:rPr>
          <w:rFonts w:hint="eastAsia" w:eastAsia="宋体"/>
          <w:spacing w:val="-10"/>
        </w:rPr>
        <w:t>由上文可知，公司环境风险及其控制水平（M）现状得分13分，企业环境风险及其控制水平为M1类水平。</w:t>
      </w:r>
    </w:p>
    <w:p w14:paraId="7BE844B7">
      <w:pPr>
        <w:pStyle w:val="4"/>
        <w:adjustRightInd w:val="0"/>
        <w:snapToGrid w:val="0"/>
        <w:spacing w:line="500" w:lineRule="exact"/>
        <w:jc w:val="left"/>
        <w:rPr>
          <w:rFonts w:eastAsia="宋体"/>
          <w:color w:val="000000" w:themeColor="text1"/>
          <w14:textFill>
            <w14:solidFill>
              <w14:schemeClr w14:val="tx1"/>
            </w14:solidFill>
          </w14:textFill>
        </w:rPr>
      </w:pPr>
      <w:bookmarkStart w:id="341" w:name="7.2.3水环境风险受体敏感程度（E）评估"/>
      <w:bookmarkEnd w:id="341"/>
      <w:bookmarkStart w:id="342" w:name="_Toc9044"/>
      <w:bookmarkStart w:id="343" w:name="_Toc4249"/>
      <w:bookmarkStart w:id="344" w:name="_Toc17676"/>
      <w:bookmarkStart w:id="345" w:name="_TOC_250013"/>
      <w:r>
        <w:rPr>
          <w:rFonts w:hint="eastAsia" w:eastAsia="宋体"/>
          <w:color w:val="000000" w:themeColor="text1"/>
          <w14:textFill>
            <w14:solidFill>
              <w14:schemeClr w14:val="tx1"/>
            </w14:solidFill>
          </w14:textFill>
        </w:rPr>
        <w:t>7.2.3水环境风险受体敏感程度（E）评估</w:t>
      </w:r>
      <w:bookmarkEnd w:id="342"/>
      <w:bookmarkEnd w:id="343"/>
      <w:bookmarkEnd w:id="344"/>
    </w:p>
    <w:bookmarkEnd w:id="345"/>
    <w:p w14:paraId="16512045">
      <w:pPr>
        <w:pStyle w:val="13"/>
        <w:spacing w:after="0" w:line="500" w:lineRule="exact"/>
        <w:ind w:firstLine="440" w:firstLineChars="200"/>
        <w:jc w:val="left"/>
        <w:rPr>
          <w:rFonts w:eastAsia="宋体"/>
          <w:spacing w:val="-10"/>
        </w:rPr>
      </w:pPr>
      <w:r>
        <w:rPr>
          <w:rFonts w:hint="eastAsia" w:eastAsia="宋体"/>
          <w:spacing w:val="-10"/>
        </w:rPr>
        <w:t>按照水环境风险受体敏感程度，同时考虑河流跨界的情况和可能造成土壤污染的情况，将水环境风险受体敏感程度类型划分为类型1、类型2和类型3，分别以E1、E2和E3表示，见表7-9。</w:t>
      </w:r>
    </w:p>
    <w:p w14:paraId="50AD7704">
      <w:pPr>
        <w:pStyle w:val="13"/>
        <w:spacing w:after="0" w:line="500" w:lineRule="exact"/>
        <w:ind w:firstLine="440" w:firstLineChars="200"/>
        <w:jc w:val="left"/>
        <w:rPr>
          <w:rFonts w:eastAsia="宋体"/>
          <w:spacing w:val="-10"/>
        </w:rPr>
      </w:pPr>
      <w:r>
        <w:rPr>
          <w:rFonts w:hint="eastAsia" w:eastAsia="宋体"/>
          <w:spacing w:val="-10"/>
        </w:rPr>
        <w:t>水环境风险受体敏感程度按类型1、类型2和类型3顺序依次降低。若企业周边存在多种敏感程度类型的水环境风险受体，则按敏感程度高者确定企业水环境风险受体敏感程度类型。</w:t>
      </w:r>
    </w:p>
    <w:p w14:paraId="12A7CE2C">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7-9</w:t>
      </w:r>
      <w:r>
        <w:rPr>
          <w:rFonts w:eastAsiaTheme="minorEastAsia"/>
          <w:b/>
          <w:color w:val="000000" w:themeColor="text1"/>
          <w14:textFill>
            <w14:solidFill>
              <w14:schemeClr w14:val="tx1"/>
            </w14:solidFill>
          </w14:textFill>
        </w:rPr>
        <w:t>水环境风险受体敏感程度类型划分</w:t>
      </w:r>
    </w:p>
    <w:tbl>
      <w:tblPr>
        <w:tblStyle w:val="38"/>
        <w:tblW w:w="501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80"/>
        <w:gridCol w:w="7309"/>
      </w:tblGrid>
      <w:tr w14:paraId="1E0BC8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0" w:hRule="atLeast"/>
          <w:tblHeader/>
        </w:trPr>
        <w:tc>
          <w:tcPr>
            <w:tcW w:w="979" w:type="pct"/>
            <w:vAlign w:val="center"/>
          </w:tcPr>
          <w:p w14:paraId="3ACCE639">
            <w:pPr>
              <w:adjustRightInd w:val="0"/>
              <w:snapToGrid w:val="0"/>
              <w:spacing w:line="240" w:lineRule="atLeast"/>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敏感程度类型</w:t>
            </w:r>
          </w:p>
        </w:tc>
        <w:tc>
          <w:tcPr>
            <w:tcW w:w="4020" w:type="pct"/>
            <w:vAlign w:val="center"/>
          </w:tcPr>
          <w:p w14:paraId="0144D4E7">
            <w:pPr>
              <w:adjustRightInd w:val="0"/>
              <w:snapToGrid w:val="0"/>
              <w:spacing w:line="240" w:lineRule="atLeast"/>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水环境风险受体</w:t>
            </w:r>
          </w:p>
        </w:tc>
      </w:tr>
      <w:tr w14:paraId="4CEF8D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979" w:type="pct"/>
            <w:vAlign w:val="center"/>
          </w:tcPr>
          <w:p w14:paraId="04759345">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类型1（E1）</w:t>
            </w:r>
          </w:p>
        </w:tc>
        <w:tc>
          <w:tcPr>
            <w:tcW w:w="4020" w:type="pct"/>
            <w:vAlign w:val="center"/>
          </w:tcPr>
          <w:p w14:paraId="38A6E2BB">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企业雨水排口、清净废水排口、污水排口下游10公里流经范围内有如下一类或多类环境风险受体：集中式地表水、地下饮用水水源保护区（包括一级保护区、二级保护区及准保护区）；农村及分散式饮用水水源保护区；</w:t>
            </w:r>
          </w:p>
          <w:p w14:paraId="04A43DDB">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（2）废水排入受纳水体后24小时流经范围（按受纳河流最大日均流速计算）内涉及跨国界的</w:t>
            </w:r>
          </w:p>
        </w:tc>
      </w:tr>
      <w:tr w14:paraId="0AADF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3" w:hRule="atLeast"/>
        </w:trPr>
        <w:tc>
          <w:tcPr>
            <w:tcW w:w="979" w:type="pct"/>
            <w:shd w:val="clear" w:color="auto" w:fill="auto"/>
            <w:vAlign w:val="center"/>
          </w:tcPr>
          <w:p w14:paraId="74D90BE4">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类型2（E2）</w:t>
            </w:r>
          </w:p>
        </w:tc>
        <w:tc>
          <w:tcPr>
            <w:tcW w:w="4020" w:type="pct"/>
            <w:shd w:val="clear" w:color="auto" w:fill="auto"/>
            <w:vAlign w:val="center"/>
          </w:tcPr>
          <w:p w14:paraId="77AC0347">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雨水排口、清净废水排口、污水排口下游10公里流经范围内有生态保护红线划定的或具有水生态服务功能的其他水生态环境敏感区和脆弱区，如国家公园，国家级和省级水产种质资源保护区，水产养殖区，天然渔场，海水浴场，盐场保护区，国家重要湿地，国家级和地方级海洋特别保护区，国家级和地方级海洋自然保护区，生物多样性保护优先区域，国家级和地方级自然保护区，国家级和省级风景名胜区，世界文化和自然遗产地，国家级和省级森林公园，世界、国家和省级地质公园，基本农田保护区，基本草原；</w:t>
            </w:r>
          </w:p>
          <w:p w14:paraId="4F1DA25C">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（2）企业雨水排口、清净废水排口、污水排口下游10公里流经范围内涉及跨省界的</w:t>
            </w:r>
          </w:p>
          <w:p w14:paraId="5C37FBBD">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（3）企业位于熔岩地貌、泄洪区、泥石流多发等地区</w:t>
            </w:r>
          </w:p>
        </w:tc>
      </w:tr>
      <w:tr w14:paraId="52A3E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979" w:type="pct"/>
            <w:vAlign w:val="center"/>
          </w:tcPr>
          <w:p w14:paraId="51A1BA0A">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类型3（E3）</w:t>
            </w:r>
          </w:p>
        </w:tc>
        <w:tc>
          <w:tcPr>
            <w:tcW w:w="4020" w:type="pct"/>
            <w:vAlign w:val="center"/>
          </w:tcPr>
          <w:p w14:paraId="0F7CE9D2">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不涉及类型1和类型2情况的</w:t>
            </w:r>
          </w:p>
        </w:tc>
      </w:tr>
      <w:tr w14:paraId="7AFBE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5000" w:type="pct"/>
            <w:gridSpan w:val="2"/>
            <w:vAlign w:val="center"/>
          </w:tcPr>
          <w:p w14:paraId="5B0C4A99">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注：本表中规定的距离范围以到</w:t>
            </w:r>
            <w:r>
              <w:rPr>
                <w:rFonts w:hint="eastAsia" w:ascii="宋体" w:hAnsi="宋体" w:eastAsia="宋体" w:cs="宋体"/>
                <w:sz w:val="21"/>
                <w:szCs w:val="21"/>
              </w:rPr>
              <w:t>各类水环境保护目标或保护区域的边界为准</w:t>
            </w:r>
          </w:p>
        </w:tc>
      </w:tr>
    </w:tbl>
    <w:p w14:paraId="028FB4A0">
      <w:pPr>
        <w:spacing w:line="500" w:lineRule="exact"/>
        <w:ind w:firstLine="422" w:firstLineChars="200"/>
        <w:jc w:val="left"/>
        <w:rPr>
          <w:rFonts w:eastAsia="宋体"/>
          <w:b/>
          <w:bCs/>
          <w:sz w:val="21"/>
        </w:rPr>
      </w:pPr>
      <w:r>
        <w:rPr>
          <w:rFonts w:eastAsia="宋体"/>
          <w:b/>
          <w:bCs/>
          <w:sz w:val="21"/>
        </w:rPr>
        <w:t>注：本表中规定的距离范围以到各类水环境保护目标或保护区域的边界为准</w:t>
      </w:r>
    </w:p>
    <w:p w14:paraId="725B5878">
      <w:pPr>
        <w:pStyle w:val="13"/>
        <w:spacing w:after="0" w:line="500" w:lineRule="exact"/>
        <w:ind w:firstLine="480" w:firstLineChars="200"/>
        <w:jc w:val="left"/>
        <w:rPr>
          <w:rFonts w:eastAsia="宋体"/>
          <w:spacing w:val="-10"/>
        </w:rPr>
      </w:pPr>
      <w:r>
        <w:rPr>
          <w:rFonts w:hint="eastAsia" w:eastAsia="宋体"/>
          <w:bCs/>
        </w:rPr>
        <w:t>公司</w:t>
      </w:r>
      <w:r>
        <w:rPr>
          <w:rFonts w:eastAsia="宋体"/>
        </w:rPr>
        <w:t>雨污水排口下游10公里内</w:t>
      </w:r>
      <w:r>
        <w:rPr>
          <w:rFonts w:hint="eastAsia" w:eastAsia="宋体"/>
          <w:lang w:val="en-US" w:eastAsia="zh-CN"/>
        </w:rPr>
        <w:t>有基本农田保护区</w:t>
      </w:r>
      <w:r>
        <w:rPr>
          <w:rFonts w:eastAsia="宋体"/>
        </w:rPr>
        <w:t>，因此环境风险受体划分为类型</w:t>
      </w:r>
      <w:r>
        <w:rPr>
          <w:rFonts w:hint="eastAsia" w:eastAsia="宋体"/>
          <w:lang w:val="en-US" w:eastAsia="zh-CN"/>
        </w:rPr>
        <w:t>2</w:t>
      </w:r>
      <w:r>
        <w:rPr>
          <w:rFonts w:eastAsia="宋体"/>
        </w:rPr>
        <w:t>（E</w:t>
      </w:r>
      <w:r>
        <w:rPr>
          <w:rFonts w:hint="eastAsia" w:eastAsia="宋体"/>
          <w:lang w:val="en-US" w:eastAsia="zh-CN"/>
        </w:rPr>
        <w:t>2</w:t>
      </w:r>
      <w:r>
        <w:rPr>
          <w:rFonts w:eastAsia="宋体"/>
        </w:rPr>
        <w:t>）</w:t>
      </w:r>
      <w:r>
        <w:rPr>
          <w:rFonts w:hint="eastAsia" w:eastAsia="宋体"/>
          <w:spacing w:val="-10"/>
        </w:rPr>
        <w:t>。</w:t>
      </w:r>
    </w:p>
    <w:p w14:paraId="5304EBA6">
      <w:pPr>
        <w:pStyle w:val="4"/>
        <w:adjustRightInd w:val="0"/>
        <w:snapToGrid w:val="0"/>
        <w:spacing w:line="500" w:lineRule="exact"/>
        <w:jc w:val="left"/>
        <w:rPr>
          <w:rFonts w:eastAsia="宋体"/>
          <w:color w:val="000000" w:themeColor="text1"/>
          <w14:textFill>
            <w14:solidFill>
              <w14:schemeClr w14:val="tx1"/>
            </w14:solidFill>
          </w14:textFill>
        </w:rPr>
      </w:pPr>
      <w:bookmarkStart w:id="346" w:name="_Toc28884"/>
      <w:bookmarkStart w:id="347" w:name="_Toc18805"/>
      <w:bookmarkStart w:id="348" w:name="_Toc857"/>
      <w:r>
        <w:rPr>
          <w:rFonts w:hint="eastAsia" w:eastAsia="宋体"/>
          <w:color w:val="000000" w:themeColor="text1"/>
          <w14:textFill>
            <w14:solidFill>
              <w14:schemeClr w14:val="tx1"/>
            </w14:solidFill>
          </w14:textFill>
        </w:rPr>
        <w:t>7.2.4突发水环境事件风险等级确定</w:t>
      </w:r>
      <w:bookmarkEnd w:id="346"/>
      <w:bookmarkEnd w:id="347"/>
      <w:bookmarkEnd w:id="348"/>
    </w:p>
    <w:p w14:paraId="094B1868">
      <w:pPr>
        <w:adjustRightInd w:val="0"/>
        <w:snapToGrid w:val="0"/>
        <w:spacing w:line="500" w:lineRule="exact"/>
        <w:ind w:firstLine="480" w:firstLineChars="200"/>
        <w:rPr>
          <w:rFonts w:eastAsia="宋体"/>
        </w:rPr>
      </w:pPr>
      <w:r>
        <w:rPr>
          <w:rFonts w:eastAsia="宋体"/>
        </w:rPr>
        <w:t>根据企业周边水环境风险受体敏感程度（E）、涉气/水风险物质数量与临界量比值（Q）和生产工艺过程与大气/水环境风险控制水平（M），分别确定企业突发大气/水环境事件风险等级。</w:t>
      </w:r>
    </w:p>
    <w:p w14:paraId="0D91A42B">
      <w:pPr>
        <w:widowControl/>
        <w:jc w:val="center"/>
      </w:pPr>
      <w:r>
        <w:rPr>
          <w:rFonts w:eastAsia="宋体"/>
        </w:rPr>
        <w:t>表7-1</w:t>
      </w:r>
      <w:r>
        <w:rPr>
          <w:rFonts w:hint="eastAsia" w:eastAsia="宋体"/>
        </w:rPr>
        <w:t>0</w:t>
      </w:r>
      <w:r>
        <w:rPr>
          <w:rFonts w:eastAsia="宋体"/>
        </w:rPr>
        <w:t>企业突发环境事件风险分级矩阵表</w:t>
      </w:r>
    </w:p>
    <w:tbl>
      <w:tblPr>
        <w:tblStyle w:val="38"/>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516"/>
        <w:gridCol w:w="2018"/>
        <w:gridCol w:w="1378"/>
        <w:gridCol w:w="1380"/>
        <w:gridCol w:w="1378"/>
        <w:gridCol w:w="1382"/>
      </w:tblGrid>
      <w:tr w14:paraId="170FC9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restart"/>
            <w:tcBorders>
              <w:tl2br w:val="nil"/>
              <w:tr2bl w:val="nil"/>
            </w:tcBorders>
            <w:vAlign w:val="center"/>
          </w:tcPr>
          <w:p w14:paraId="1DA706FA">
            <w:pPr>
              <w:pStyle w:val="143"/>
              <w:rPr>
                <w:b/>
                <w:sz w:val="21"/>
              </w:rPr>
            </w:pPr>
            <w:r>
              <w:rPr>
                <w:b/>
                <w:sz w:val="21"/>
              </w:rPr>
              <w:t>环境风险受体敏感程度</w:t>
            </w:r>
            <w:r>
              <w:rPr>
                <w:b/>
                <w:spacing w:val="-5"/>
                <w:sz w:val="21"/>
              </w:rPr>
              <w:t>（</w:t>
            </w:r>
            <w:r>
              <w:rPr>
                <w:rFonts w:ascii="Times New Roman" w:eastAsia="Times New Roman"/>
                <w:b/>
                <w:spacing w:val="-5"/>
                <w:sz w:val="21"/>
              </w:rPr>
              <w:t>E</w:t>
            </w:r>
            <w:r>
              <w:rPr>
                <w:b/>
                <w:spacing w:val="-5"/>
                <w:sz w:val="21"/>
              </w:rPr>
              <w:t>）</w:t>
            </w:r>
          </w:p>
        </w:tc>
        <w:tc>
          <w:tcPr>
            <w:tcW w:w="1114" w:type="pct"/>
            <w:vMerge w:val="restart"/>
            <w:tcBorders>
              <w:tl2br w:val="nil"/>
              <w:tr2bl w:val="nil"/>
            </w:tcBorders>
            <w:vAlign w:val="center"/>
          </w:tcPr>
          <w:p w14:paraId="356F8F9A">
            <w:pPr>
              <w:pStyle w:val="143"/>
              <w:rPr>
                <w:b/>
                <w:sz w:val="21"/>
              </w:rPr>
            </w:pPr>
            <w:r>
              <w:rPr>
                <w:b/>
                <w:sz w:val="21"/>
              </w:rPr>
              <w:t>风险物质数量与临界量比值（</w:t>
            </w:r>
            <w:r>
              <w:rPr>
                <w:rFonts w:ascii="Times New Roman" w:eastAsia="Times New Roman"/>
                <w:b/>
                <w:sz w:val="21"/>
              </w:rPr>
              <w:t>Q</w:t>
            </w:r>
            <w:r>
              <w:rPr>
                <w:b/>
                <w:sz w:val="21"/>
              </w:rPr>
              <w:t>）</w:t>
            </w:r>
          </w:p>
        </w:tc>
        <w:tc>
          <w:tcPr>
            <w:tcW w:w="3047" w:type="pct"/>
            <w:gridSpan w:val="4"/>
            <w:tcBorders>
              <w:tl2br w:val="nil"/>
              <w:tr2bl w:val="nil"/>
            </w:tcBorders>
            <w:vAlign w:val="center"/>
          </w:tcPr>
          <w:p w14:paraId="775C9B7E">
            <w:pPr>
              <w:pStyle w:val="143"/>
              <w:rPr>
                <w:b/>
                <w:sz w:val="21"/>
              </w:rPr>
            </w:pPr>
            <w:r>
              <w:rPr>
                <w:b/>
                <w:sz w:val="21"/>
              </w:rPr>
              <w:t>生产工艺过程与环境风险控制水平（</w:t>
            </w:r>
            <w:r>
              <w:rPr>
                <w:rFonts w:ascii="Times New Roman" w:eastAsia="Times New Roman"/>
                <w:b/>
                <w:sz w:val="21"/>
              </w:rPr>
              <w:t>M</w:t>
            </w:r>
            <w:r>
              <w:rPr>
                <w:b/>
                <w:sz w:val="21"/>
              </w:rPr>
              <w:t>）</w:t>
            </w:r>
          </w:p>
        </w:tc>
      </w:tr>
      <w:tr w14:paraId="736282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continue"/>
            <w:tcBorders>
              <w:tl2br w:val="nil"/>
              <w:tr2bl w:val="nil"/>
            </w:tcBorders>
            <w:vAlign w:val="center"/>
          </w:tcPr>
          <w:p w14:paraId="57742BA6">
            <w:pPr>
              <w:jc w:val="center"/>
              <w:rPr>
                <w:sz w:val="2"/>
                <w:szCs w:val="2"/>
              </w:rPr>
            </w:pPr>
          </w:p>
        </w:tc>
        <w:tc>
          <w:tcPr>
            <w:tcW w:w="1114" w:type="pct"/>
            <w:vMerge w:val="continue"/>
            <w:tcBorders>
              <w:tl2br w:val="nil"/>
              <w:tr2bl w:val="nil"/>
            </w:tcBorders>
            <w:vAlign w:val="center"/>
          </w:tcPr>
          <w:p w14:paraId="295DB1E2">
            <w:pPr>
              <w:jc w:val="center"/>
              <w:rPr>
                <w:sz w:val="2"/>
                <w:szCs w:val="2"/>
              </w:rPr>
            </w:pPr>
          </w:p>
        </w:tc>
        <w:tc>
          <w:tcPr>
            <w:tcW w:w="761" w:type="pct"/>
            <w:tcBorders>
              <w:tl2br w:val="nil"/>
              <w:tr2bl w:val="nil"/>
            </w:tcBorders>
            <w:vAlign w:val="center"/>
          </w:tcPr>
          <w:p w14:paraId="6EDA6508">
            <w:pPr>
              <w:pStyle w:val="143"/>
              <w:rPr>
                <w:b/>
                <w:sz w:val="21"/>
              </w:rPr>
            </w:pPr>
            <w:r>
              <w:rPr>
                <w:rFonts w:ascii="Times New Roman" w:eastAsia="Times New Roman"/>
                <w:b/>
                <w:sz w:val="21"/>
              </w:rPr>
              <w:t>M1</w:t>
            </w:r>
            <w:r>
              <w:rPr>
                <w:b/>
                <w:sz w:val="21"/>
              </w:rPr>
              <w:t>类水平</w:t>
            </w:r>
          </w:p>
        </w:tc>
        <w:tc>
          <w:tcPr>
            <w:tcW w:w="762" w:type="pct"/>
            <w:tcBorders>
              <w:tl2br w:val="nil"/>
              <w:tr2bl w:val="nil"/>
            </w:tcBorders>
            <w:vAlign w:val="center"/>
          </w:tcPr>
          <w:p w14:paraId="52FAE777">
            <w:pPr>
              <w:pStyle w:val="143"/>
              <w:rPr>
                <w:b/>
                <w:sz w:val="21"/>
              </w:rPr>
            </w:pPr>
            <w:r>
              <w:rPr>
                <w:rFonts w:ascii="Times New Roman" w:eastAsia="Times New Roman"/>
                <w:b/>
                <w:sz w:val="21"/>
              </w:rPr>
              <w:t>M2</w:t>
            </w:r>
            <w:r>
              <w:rPr>
                <w:b/>
                <w:sz w:val="21"/>
              </w:rPr>
              <w:t>类水平</w:t>
            </w:r>
          </w:p>
        </w:tc>
        <w:tc>
          <w:tcPr>
            <w:tcW w:w="761" w:type="pct"/>
            <w:tcBorders>
              <w:tl2br w:val="nil"/>
              <w:tr2bl w:val="nil"/>
            </w:tcBorders>
            <w:vAlign w:val="center"/>
          </w:tcPr>
          <w:p w14:paraId="6862AE77">
            <w:pPr>
              <w:pStyle w:val="143"/>
              <w:rPr>
                <w:b/>
                <w:sz w:val="21"/>
              </w:rPr>
            </w:pPr>
            <w:r>
              <w:rPr>
                <w:rFonts w:ascii="Times New Roman" w:eastAsia="Times New Roman"/>
                <w:b/>
                <w:sz w:val="21"/>
              </w:rPr>
              <w:t>M3</w:t>
            </w:r>
            <w:r>
              <w:rPr>
                <w:b/>
                <w:sz w:val="21"/>
              </w:rPr>
              <w:t>类水平</w:t>
            </w:r>
          </w:p>
        </w:tc>
        <w:tc>
          <w:tcPr>
            <w:tcW w:w="762" w:type="pct"/>
            <w:tcBorders>
              <w:tl2br w:val="nil"/>
              <w:tr2bl w:val="nil"/>
            </w:tcBorders>
            <w:vAlign w:val="center"/>
          </w:tcPr>
          <w:p w14:paraId="1B0A58C7">
            <w:pPr>
              <w:pStyle w:val="143"/>
              <w:rPr>
                <w:b/>
                <w:sz w:val="21"/>
              </w:rPr>
            </w:pPr>
            <w:r>
              <w:rPr>
                <w:rFonts w:ascii="Times New Roman" w:eastAsia="Times New Roman"/>
                <w:b/>
                <w:sz w:val="21"/>
              </w:rPr>
              <w:t>M4</w:t>
            </w:r>
            <w:r>
              <w:rPr>
                <w:b/>
                <w:sz w:val="21"/>
              </w:rPr>
              <w:t>类水平</w:t>
            </w:r>
          </w:p>
        </w:tc>
      </w:tr>
      <w:tr w14:paraId="644290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restart"/>
            <w:tcBorders>
              <w:tl2br w:val="nil"/>
              <w:tr2bl w:val="nil"/>
            </w:tcBorders>
            <w:vAlign w:val="center"/>
          </w:tcPr>
          <w:p w14:paraId="7ECD9288">
            <w:pPr>
              <w:pStyle w:val="143"/>
              <w:rPr>
                <w:sz w:val="21"/>
              </w:rPr>
            </w:pPr>
            <w:r>
              <w:rPr>
                <w:spacing w:val="-18"/>
                <w:sz w:val="21"/>
              </w:rPr>
              <w:t>类型</w:t>
            </w:r>
            <w:r>
              <w:rPr>
                <w:rFonts w:ascii="Times New Roman" w:eastAsia="Times New Roman"/>
                <w:sz w:val="21"/>
              </w:rPr>
              <w:t>1</w:t>
            </w:r>
            <w:r>
              <w:rPr>
                <w:sz w:val="21"/>
              </w:rPr>
              <w:t>（</w:t>
            </w:r>
            <w:r>
              <w:rPr>
                <w:rFonts w:ascii="Times New Roman" w:eastAsia="Times New Roman"/>
                <w:sz w:val="21"/>
              </w:rPr>
              <w:t>E1</w:t>
            </w:r>
            <w:r>
              <w:rPr>
                <w:sz w:val="21"/>
              </w:rPr>
              <w:t>）</w:t>
            </w:r>
          </w:p>
        </w:tc>
        <w:tc>
          <w:tcPr>
            <w:tcW w:w="1114" w:type="pct"/>
            <w:tcBorders>
              <w:tl2br w:val="nil"/>
              <w:tr2bl w:val="nil"/>
            </w:tcBorders>
            <w:vAlign w:val="center"/>
          </w:tcPr>
          <w:p w14:paraId="69DE7381">
            <w:pPr>
              <w:pStyle w:val="143"/>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23921E99">
            <w:pPr>
              <w:pStyle w:val="143"/>
              <w:rPr>
                <w:sz w:val="21"/>
              </w:rPr>
            </w:pPr>
            <w:r>
              <w:rPr>
                <w:sz w:val="21"/>
              </w:rPr>
              <w:t>较大</w:t>
            </w:r>
          </w:p>
        </w:tc>
        <w:tc>
          <w:tcPr>
            <w:tcW w:w="762" w:type="pct"/>
            <w:tcBorders>
              <w:tl2br w:val="nil"/>
              <w:tr2bl w:val="nil"/>
            </w:tcBorders>
            <w:vAlign w:val="center"/>
          </w:tcPr>
          <w:p w14:paraId="2EDE7822">
            <w:pPr>
              <w:pStyle w:val="143"/>
              <w:rPr>
                <w:sz w:val="21"/>
              </w:rPr>
            </w:pPr>
            <w:r>
              <w:rPr>
                <w:sz w:val="21"/>
              </w:rPr>
              <w:t>较大</w:t>
            </w:r>
          </w:p>
        </w:tc>
        <w:tc>
          <w:tcPr>
            <w:tcW w:w="761" w:type="pct"/>
            <w:tcBorders>
              <w:tl2br w:val="nil"/>
              <w:tr2bl w:val="nil"/>
            </w:tcBorders>
            <w:vAlign w:val="center"/>
          </w:tcPr>
          <w:p w14:paraId="2B4E0B4B">
            <w:pPr>
              <w:pStyle w:val="143"/>
              <w:rPr>
                <w:sz w:val="21"/>
              </w:rPr>
            </w:pPr>
            <w:r>
              <w:rPr>
                <w:sz w:val="21"/>
              </w:rPr>
              <w:t>重大</w:t>
            </w:r>
          </w:p>
        </w:tc>
        <w:tc>
          <w:tcPr>
            <w:tcW w:w="762" w:type="pct"/>
            <w:tcBorders>
              <w:tl2br w:val="nil"/>
              <w:tr2bl w:val="nil"/>
            </w:tcBorders>
            <w:vAlign w:val="center"/>
          </w:tcPr>
          <w:p w14:paraId="2C6B164E">
            <w:pPr>
              <w:pStyle w:val="143"/>
              <w:rPr>
                <w:sz w:val="21"/>
              </w:rPr>
            </w:pPr>
            <w:r>
              <w:rPr>
                <w:sz w:val="21"/>
              </w:rPr>
              <w:t>重大</w:t>
            </w:r>
          </w:p>
        </w:tc>
      </w:tr>
      <w:tr w14:paraId="681F43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continue"/>
            <w:tcBorders>
              <w:tl2br w:val="nil"/>
              <w:tr2bl w:val="nil"/>
            </w:tcBorders>
            <w:vAlign w:val="center"/>
          </w:tcPr>
          <w:p w14:paraId="0487E013">
            <w:pPr>
              <w:jc w:val="center"/>
              <w:rPr>
                <w:sz w:val="2"/>
                <w:szCs w:val="2"/>
              </w:rPr>
            </w:pPr>
          </w:p>
        </w:tc>
        <w:tc>
          <w:tcPr>
            <w:tcW w:w="1114" w:type="pct"/>
            <w:tcBorders>
              <w:tl2br w:val="nil"/>
              <w:tr2bl w:val="nil"/>
            </w:tcBorders>
            <w:vAlign w:val="center"/>
          </w:tcPr>
          <w:p w14:paraId="75BF6926">
            <w:pPr>
              <w:pStyle w:val="143"/>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3074EA42">
            <w:pPr>
              <w:pStyle w:val="143"/>
              <w:rPr>
                <w:sz w:val="21"/>
              </w:rPr>
            </w:pPr>
            <w:r>
              <w:rPr>
                <w:sz w:val="21"/>
              </w:rPr>
              <w:t>较大</w:t>
            </w:r>
          </w:p>
        </w:tc>
        <w:tc>
          <w:tcPr>
            <w:tcW w:w="762" w:type="pct"/>
            <w:tcBorders>
              <w:tl2br w:val="nil"/>
              <w:tr2bl w:val="nil"/>
            </w:tcBorders>
            <w:vAlign w:val="center"/>
          </w:tcPr>
          <w:p w14:paraId="094712E2">
            <w:pPr>
              <w:pStyle w:val="143"/>
              <w:rPr>
                <w:sz w:val="21"/>
              </w:rPr>
            </w:pPr>
            <w:r>
              <w:rPr>
                <w:sz w:val="21"/>
              </w:rPr>
              <w:t>重大</w:t>
            </w:r>
          </w:p>
        </w:tc>
        <w:tc>
          <w:tcPr>
            <w:tcW w:w="761" w:type="pct"/>
            <w:tcBorders>
              <w:tl2br w:val="nil"/>
              <w:tr2bl w:val="nil"/>
            </w:tcBorders>
            <w:vAlign w:val="center"/>
          </w:tcPr>
          <w:p w14:paraId="16EACCD6">
            <w:pPr>
              <w:pStyle w:val="143"/>
              <w:rPr>
                <w:sz w:val="21"/>
              </w:rPr>
            </w:pPr>
            <w:r>
              <w:rPr>
                <w:sz w:val="21"/>
              </w:rPr>
              <w:t>重大</w:t>
            </w:r>
          </w:p>
        </w:tc>
        <w:tc>
          <w:tcPr>
            <w:tcW w:w="762" w:type="pct"/>
            <w:tcBorders>
              <w:tl2br w:val="nil"/>
              <w:tr2bl w:val="nil"/>
            </w:tcBorders>
            <w:vAlign w:val="center"/>
          </w:tcPr>
          <w:p w14:paraId="2D16F2F1">
            <w:pPr>
              <w:pStyle w:val="143"/>
              <w:rPr>
                <w:sz w:val="21"/>
              </w:rPr>
            </w:pPr>
            <w:r>
              <w:rPr>
                <w:sz w:val="21"/>
              </w:rPr>
              <w:t>重大</w:t>
            </w:r>
          </w:p>
        </w:tc>
      </w:tr>
      <w:tr w14:paraId="5B21FB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5554C8AD">
            <w:pPr>
              <w:jc w:val="center"/>
              <w:rPr>
                <w:sz w:val="2"/>
                <w:szCs w:val="2"/>
              </w:rPr>
            </w:pPr>
          </w:p>
        </w:tc>
        <w:tc>
          <w:tcPr>
            <w:tcW w:w="1114" w:type="pct"/>
            <w:tcBorders>
              <w:tl2br w:val="nil"/>
              <w:tr2bl w:val="nil"/>
            </w:tcBorders>
            <w:vAlign w:val="center"/>
          </w:tcPr>
          <w:p w14:paraId="39E8B77E">
            <w:pPr>
              <w:pStyle w:val="143"/>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681258FE">
            <w:pPr>
              <w:pStyle w:val="143"/>
              <w:rPr>
                <w:sz w:val="21"/>
              </w:rPr>
            </w:pPr>
            <w:r>
              <w:rPr>
                <w:sz w:val="21"/>
              </w:rPr>
              <w:t>重大</w:t>
            </w:r>
          </w:p>
        </w:tc>
        <w:tc>
          <w:tcPr>
            <w:tcW w:w="762" w:type="pct"/>
            <w:tcBorders>
              <w:tl2br w:val="nil"/>
              <w:tr2bl w:val="nil"/>
            </w:tcBorders>
            <w:vAlign w:val="center"/>
          </w:tcPr>
          <w:p w14:paraId="14DFF8DB">
            <w:pPr>
              <w:pStyle w:val="143"/>
              <w:rPr>
                <w:sz w:val="21"/>
              </w:rPr>
            </w:pPr>
            <w:r>
              <w:rPr>
                <w:sz w:val="21"/>
              </w:rPr>
              <w:t>重大</w:t>
            </w:r>
          </w:p>
        </w:tc>
        <w:tc>
          <w:tcPr>
            <w:tcW w:w="761" w:type="pct"/>
            <w:tcBorders>
              <w:tl2br w:val="nil"/>
              <w:tr2bl w:val="nil"/>
            </w:tcBorders>
            <w:vAlign w:val="center"/>
          </w:tcPr>
          <w:p w14:paraId="3ED0F53E">
            <w:pPr>
              <w:pStyle w:val="143"/>
              <w:rPr>
                <w:sz w:val="21"/>
              </w:rPr>
            </w:pPr>
            <w:r>
              <w:rPr>
                <w:sz w:val="21"/>
              </w:rPr>
              <w:t>重大</w:t>
            </w:r>
          </w:p>
        </w:tc>
        <w:tc>
          <w:tcPr>
            <w:tcW w:w="762" w:type="pct"/>
            <w:tcBorders>
              <w:tl2br w:val="nil"/>
              <w:tr2bl w:val="nil"/>
            </w:tcBorders>
            <w:vAlign w:val="center"/>
          </w:tcPr>
          <w:p w14:paraId="32284FBC">
            <w:pPr>
              <w:pStyle w:val="143"/>
              <w:rPr>
                <w:sz w:val="21"/>
              </w:rPr>
            </w:pPr>
            <w:r>
              <w:rPr>
                <w:sz w:val="21"/>
              </w:rPr>
              <w:t>重大</w:t>
            </w:r>
          </w:p>
        </w:tc>
      </w:tr>
      <w:tr w14:paraId="78DA49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restart"/>
            <w:tcBorders>
              <w:tl2br w:val="nil"/>
              <w:tr2bl w:val="nil"/>
            </w:tcBorders>
            <w:vAlign w:val="center"/>
          </w:tcPr>
          <w:p w14:paraId="7A0EE83F">
            <w:pPr>
              <w:pStyle w:val="143"/>
              <w:rPr>
                <w:sz w:val="21"/>
              </w:rPr>
            </w:pPr>
            <w:r>
              <w:rPr>
                <w:spacing w:val="-18"/>
                <w:sz w:val="21"/>
              </w:rPr>
              <w:t>类型</w:t>
            </w:r>
            <w:r>
              <w:rPr>
                <w:rFonts w:ascii="Times New Roman" w:eastAsia="Times New Roman"/>
                <w:sz w:val="21"/>
              </w:rPr>
              <w:t>2</w:t>
            </w:r>
            <w:r>
              <w:rPr>
                <w:sz w:val="21"/>
              </w:rPr>
              <w:t>（</w:t>
            </w:r>
            <w:r>
              <w:rPr>
                <w:rFonts w:ascii="Times New Roman" w:eastAsia="Times New Roman"/>
                <w:sz w:val="21"/>
              </w:rPr>
              <w:t>E2</w:t>
            </w:r>
            <w:r>
              <w:rPr>
                <w:sz w:val="21"/>
              </w:rPr>
              <w:t>）</w:t>
            </w:r>
          </w:p>
        </w:tc>
        <w:tc>
          <w:tcPr>
            <w:tcW w:w="1114" w:type="pct"/>
            <w:tcBorders>
              <w:tl2br w:val="nil"/>
              <w:tr2bl w:val="nil"/>
            </w:tcBorders>
            <w:vAlign w:val="center"/>
          </w:tcPr>
          <w:p w14:paraId="02F18CC6">
            <w:pPr>
              <w:pStyle w:val="143"/>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1DA075E4">
            <w:pPr>
              <w:pStyle w:val="143"/>
              <w:rPr>
                <w:sz w:val="21"/>
              </w:rPr>
            </w:pPr>
            <w:r>
              <w:rPr>
                <w:sz w:val="21"/>
              </w:rPr>
              <w:t>一般</w:t>
            </w:r>
          </w:p>
        </w:tc>
        <w:tc>
          <w:tcPr>
            <w:tcW w:w="762" w:type="pct"/>
            <w:tcBorders>
              <w:tl2br w:val="nil"/>
              <w:tr2bl w:val="nil"/>
            </w:tcBorders>
            <w:vAlign w:val="center"/>
          </w:tcPr>
          <w:p w14:paraId="6B16C57A">
            <w:pPr>
              <w:pStyle w:val="143"/>
              <w:rPr>
                <w:sz w:val="21"/>
              </w:rPr>
            </w:pPr>
            <w:r>
              <w:rPr>
                <w:sz w:val="21"/>
              </w:rPr>
              <w:t>较大</w:t>
            </w:r>
          </w:p>
        </w:tc>
        <w:tc>
          <w:tcPr>
            <w:tcW w:w="761" w:type="pct"/>
            <w:tcBorders>
              <w:tl2br w:val="nil"/>
              <w:tr2bl w:val="nil"/>
            </w:tcBorders>
            <w:vAlign w:val="center"/>
          </w:tcPr>
          <w:p w14:paraId="261821F8">
            <w:pPr>
              <w:pStyle w:val="143"/>
              <w:rPr>
                <w:sz w:val="21"/>
              </w:rPr>
            </w:pPr>
            <w:r>
              <w:rPr>
                <w:sz w:val="21"/>
              </w:rPr>
              <w:t>较大</w:t>
            </w:r>
          </w:p>
        </w:tc>
        <w:tc>
          <w:tcPr>
            <w:tcW w:w="762" w:type="pct"/>
            <w:tcBorders>
              <w:tl2br w:val="nil"/>
              <w:tr2bl w:val="nil"/>
            </w:tcBorders>
            <w:vAlign w:val="center"/>
          </w:tcPr>
          <w:p w14:paraId="24EBCD1B">
            <w:pPr>
              <w:pStyle w:val="143"/>
              <w:rPr>
                <w:sz w:val="21"/>
              </w:rPr>
            </w:pPr>
            <w:r>
              <w:rPr>
                <w:sz w:val="21"/>
              </w:rPr>
              <w:t>重大</w:t>
            </w:r>
          </w:p>
        </w:tc>
      </w:tr>
      <w:tr w14:paraId="41BF45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6525D9C0">
            <w:pPr>
              <w:jc w:val="center"/>
              <w:rPr>
                <w:sz w:val="2"/>
                <w:szCs w:val="2"/>
              </w:rPr>
            </w:pPr>
          </w:p>
        </w:tc>
        <w:tc>
          <w:tcPr>
            <w:tcW w:w="1114" w:type="pct"/>
            <w:tcBorders>
              <w:tl2br w:val="nil"/>
              <w:tr2bl w:val="nil"/>
            </w:tcBorders>
            <w:vAlign w:val="center"/>
          </w:tcPr>
          <w:p w14:paraId="5DD0BD99">
            <w:pPr>
              <w:pStyle w:val="143"/>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4701E3B8">
            <w:pPr>
              <w:pStyle w:val="143"/>
              <w:rPr>
                <w:sz w:val="21"/>
              </w:rPr>
            </w:pPr>
            <w:r>
              <w:rPr>
                <w:sz w:val="21"/>
              </w:rPr>
              <w:t>较大</w:t>
            </w:r>
          </w:p>
        </w:tc>
        <w:tc>
          <w:tcPr>
            <w:tcW w:w="762" w:type="pct"/>
            <w:tcBorders>
              <w:tl2br w:val="nil"/>
              <w:tr2bl w:val="nil"/>
            </w:tcBorders>
            <w:vAlign w:val="center"/>
          </w:tcPr>
          <w:p w14:paraId="273D6BDB">
            <w:pPr>
              <w:pStyle w:val="143"/>
              <w:rPr>
                <w:sz w:val="21"/>
              </w:rPr>
            </w:pPr>
            <w:r>
              <w:rPr>
                <w:sz w:val="21"/>
              </w:rPr>
              <w:t>较大</w:t>
            </w:r>
          </w:p>
        </w:tc>
        <w:tc>
          <w:tcPr>
            <w:tcW w:w="761" w:type="pct"/>
            <w:tcBorders>
              <w:tl2br w:val="nil"/>
              <w:tr2bl w:val="nil"/>
            </w:tcBorders>
            <w:vAlign w:val="center"/>
          </w:tcPr>
          <w:p w14:paraId="6133B7DF">
            <w:pPr>
              <w:pStyle w:val="143"/>
              <w:rPr>
                <w:sz w:val="21"/>
              </w:rPr>
            </w:pPr>
            <w:r>
              <w:rPr>
                <w:sz w:val="21"/>
              </w:rPr>
              <w:t>重大</w:t>
            </w:r>
          </w:p>
        </w:tc>
        <w:tc>
          <w:tcPr>
            <w:tcW w:w="762" w:type="pct"/>
            <w:tcBorders>
              <w:tl2br w:val="nil"/>
              <w:tr2bl w:val="nil"/>
            </w:tcBorders>
            <w:vAlign w:val="center"/>
          </w:tcPr>
          <w:p w14:paraId="6B5BC7B7">
            <w:pPr>
              <w:pStyle w:val="143"/>
              <w:rPr>
                <w:sz w:val="21"/>
              </w:rPr>
            </w:pPr>
            <w:r>
              <w:rPr>
                <w:sz w:val="21"/>
              </w:rPr>
              <w:t>重大</w:t>
            </w:r>
          </w:p>
        </w:tc>
      </w:tr>
      <w:tr w14:paraId="4146B7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54F05BFC">
            <w:pPr>
              <w:jc w:val="center"/>
              <w:rPr>
                <w:sz w:val="2"/>
                <w:szCs w:val="2"/>
              </w:rPr>
            </w:pPr>
          </w:p>
        </w:tc>
        <w:tc>
          <w:tcPr>
            <w:tcW w:w="1114" w:type="pct"/>
            <w:tcBorders>
              <w:tl2br w:val="nil"/>
              <w:tr2bl w:val="nil"/>
            </w:tcBorders>
            <w:vAlign w:val="center"/>
          </w:tcPr>
          <w:p w14:paraId="50A30164">
            <w:pPr>
              <w:pStyle w:val="143"/>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639BB83E">
            <w:pPr>
              <w:pStyle w:val="143"/>
              <w:rPr>
                <w:sz w:val="21"/>
              </w:rPr>
            </w:pPr>
            <w:r>
              <w:rPr>
                <w:sz w:val="21"/>
              </w:rPr>
              <w:t>较大</w:t>
            </w:r>
          </w:p>
        </w:tc>
        <w:tc>
          <w:tcPr>
            <w:tcW w:w="762" w:type="pct"/>
            <w:tcBorders>
              <w:tl2br w:val="nil"/>
              <w:tr2bl w:val="nil"/>
            </w:tcBorders>
            <w:vAlign w:val="center"/>
          </w:tcPr>
          <w:p w14:paraId="6124B7B0">
            <w:pPr>
              <w:pStyle w:val="143"/>
              <w:rPr>
                <w:sz w:val="21"/>
              </w:rPr>
            </w:pPr>
            <w:r>
              <w:rPr>
                <w:sz w:val="21"/>
              </w:rPr>
              <w:t>重大</w:t>
            </w:r>
          </w:p>
        </w:tc>
        <w:tc>
          <w:tcPr>
            <w:tcW w:w="761" w:type="pct"/>
            <w:tcBorders>
              <w:tl2br w:val="nil"/>
              <w:tr2bl w:val="nil"/>
            </w:tcBorders>
            <w:vAlign w:val="center"/>
          </w:tcPr>
          <w:p w14:paraId="501AB104">
            <w:pPr>
              <w:pStyle w:val="143"/>
              <w:rPr>
                <w:sz w:val="21"/>
              </w:rPr>
            </w:pPr>
            <w:r>
              <w:rPr>
                <w:sz w:val="21"/>
              </w:rPr>
              <w:t>重大</w:t>
            </w:r>
          </w:p>
        </w:tc>
        <w:tc>
          <w:tcPr>
            <w:tcW w:w="762" w:type="pct"/>
            <w:tcBorders>
              <w:tl2br w:val="nil"/>
              <w:tr2bl w:val="nil"/>
            </w:tcBorders>
            <w:vAlign w:val="center"/>
          </w:tcPr>
          <w:p w14:paraId="52682808">
            <w:pPr>
              <w:pStyle w:val="143"/>
              <w:rPr>
                <w:sz w:val="21"/>
              </w:rPr>
            </w:pPr>
            <w:r>
              <w:rPr>
                <w:sz w:val="21"/>
              </w:rPr>
              <w:t>重大</w:t>
            </w:r>
          </w:p>
        </w:tc>
      </w:tr>
      <w:tr w14:paraId="59F328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37" w:type="pct"/>
            <w:vMerge w:val="restart"/>
            <w:tcBorders>
              <w:tl2br w:val="nil"/>
              <w:tr2bl w:val="nil"/>
            </w:tcBorders>
            <w:vAlign w:val="center"/>
          </w:tcPr>
          <w:p w14:paraId="64821D1A">
            <w:pPr>
              <w:pStyle w:val="143"/>
              <w:rPr>
                <w:sz w:val="21"/>
              </w:rPr>
            </w:pPr>
            <w:r>
              <w:rPr>
                <w:spacing w:val="-18"/>
                <w:sz w:val="21"/>
              </w:rPr>
              <w:t>类型</w:t>
            </w:r>
            <w:r>
              <w:rPr>
                <w:rFonts w:ascii="Times New Roman" w:eastAsia="Times New Roman"/>
                <w:sz w:val="21"/>
              </w:rPr>
              <w:t>3</w:t>
            </w:r>
            <w:r>
              <w:rPr>
                <w:sz w:val="21"/>
              </w:rPr>
              <w:t>（</w:t>
            </w:r>
            <w:r>
              <w:rPr>
                <w:rFonts w:ascii="Times New Roman" w:eastAsia="Times New Roman"/>
                <w:sz w:val="21"/>
              </w:rPr>
              <w:t>E3</w:t>
            </w:r>
            <w:r>
              <w:rPr>
                <w:sz w:val="21"/>
              </w:rPr>
              <w:t>）</w:t>
            </w:r>
          </w:p>
        </w:tc>
        <w:tc>
          <w:tcPr>
            <w:tcW w:w="1114" w:type="pct"/>
            <w:tcBorders>
              <w:tl2br w:val="nil"/>
              <w:tr2bl w:val="nil"/>
            </w:tcBorders>
            <w:vAlign w:val="center"/>
          </w:tcPr>
          <w:p w14:paraId="348652F0">
            <w:pPr>
              <w:pStyle w:val="143"/>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112F2613">
            <w:pPr>
              <w:pStyle w:val="143"/>
              <w:rPr>
                <w:sz w:val="21"/>
              </w:rPr>
            </w:pPr>
            <w:r>
              <w:rPr>
                <w:sz w:val="21"/>
              </w:rPr>
              <w:t>一般</w:t>
            </w:r>
          </w:p>
        </w:tc>
        <w:tc>
          <w:tcPr>
            <w:tcW w:w="762" w:type="pct"/>
            <w:tcBorders>
              <w:tl2br w:val="nil"/>
              <w:tr2bl w:val="nil"/>
            </w:tcBorders>
            <w:vAlign w:val="center"/>
          </w:tcPr>
          <w:p w14:paraId="5F00754E">
            <w:pPr>
              <w:pStyle w:val="143"/>
              <w:rPr>
                <w:sz w:val="21"/>
              </w:rPr>
            </w:pPr>
            <w:r>
              <w:rPr>
                <w:sz w:val="21"/>
              </w:rPr>
              <w:t>一般</w:t>
            </w:r>
          </w:p>
        </w:tc>
        <w:tc>
          <w:tcPr>
            <w:tcW w:w="761" w:type="pct"/>
            <w:tcBorders>
              <w:tl2br w:val="nil"/>
              <w:tr2bl w:val="nil"/>
            </w:tcBorders>
            <w:vAlign w:val="center"/>
          </w:tcPr>
          <w:p w14:paraId="2BF42953">
            <w:pPr>
              <w:pStyle w:val="143"/>
              <w:rPr>
                <w:sz w:val="21"/>
              </w:rPr>
            </w:pPr>
            <w:r>
              <w:rPr>
                <w:sz w:val="21"/>
              </w:rPr>
              <w:t>较大</w:t>
            </w:r>
          </w:p>
        </w:tc>
        <w:tc>
          <w:tcPr>
            <w:tcW w:w="762" w:type="pct"/>
            <w:tcBorders>
              <w:tl2br w:val="nil"/>
              <w:tr2bl w:val="nil"/>
            </w:tcBorders>
            <w:vAlign w:val="center"/>
          </w:tcPr>
          <w:p w14:paraId="69280CB1">
            <w:pPr>
              <w:pStyle w:val="143"/>
              <w:rPr>
                <w:sz w:val="21"/>
              </w:rPr>
            </w:pPr>
            <w:r>
              <w:rPr>
                <w:sz w:val="21"/>
              </w:rPr>
              <w:t>较大</w:t>
            </w:r>
          </w:p>
        </w:tc>
      </w:tr>
      <w:tr w14:paraId="0F202D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7" w:type="pct"/>
            <w:vMerge w:val="continue"/>
            <w:tcBorders>
              <w:tl2br w:val="nil"/>
              <w:tr2bl w:val="nil"/>
            </w:tcBorders>
            <w:vAlign w:val="center"/>
          </w:tcPr>
          <w:p w14:paraId="602EE032">
            <w:pPr>
              <w:jc w:val="center"/>
              <w:rPr>
                <w:sz w:val="2"/>
                <w:szCs w:val="2"/>
              </w:rPr>
            </w:pPr>
          </w:p>
        </w:tc>
        <w:tc>
          <w:tcPr>
            <w:tcW w:w="1114" w:type="pct"/>
            <w:tcBorders>
              <w:tl2br w:val="nil"/>
              <w:tr2bl w:val="nil"/>
            </w:tcBorders>
            <w:vAlign w:val="center"/>
          </w:tcPr>
          <w:p w14:paraId="6E69A1B9">
            <w:pPr>
              <w:pStyle w:val="143"/>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6083BA8B">
            <w:pPr>
              <w:pStyle w:val="143"/>
              <w:rPr>
                <w:sz w:val="21"/>
              </w:rPr>
            </w:pPr>
            <w:r>
              <w:rPr>
                <w:sz w:val="21"/>
              </w:rPr>
              <w:t>一般</w:t>
            </w:r>
          </w:p>
        </w:tc>
        <w:tc>
          <w:tcPr>
            <w:tcW w:w="762" w:type="pct"/>
            <w:tcBorders>
              <w:tl2br w:val="nil"/>
              <w:tr2bl w:val="nil"/>
            </w:tcBorders>
            <w:vAlign w:val="center"/>
          </w:tcPr>
          <w:p w14:paraId="2A2E7877">
            <w:pPr>
              <w:pStyle w:val="143"/>
              <w:rPr>
                <w:sz w:val="21"/>
              </w:rPr>
            </w:pPr>
            <w:r>
              <w:rPr>
                <w:sz w:val="21"/>
              </w:rPr>
              <w:t>较大</w:t>
            </w:r>
          </w:p>
        </w:tc>
        <w:tc>
          <w:tcPr>
            <w:tcW w:w="761" w:type="pct"/>
            <w:tcBorders>
              <w:tl2br w:val="nil"/>
              <w:tr2bl w:val="nil"/>
            </w:tcBorders>
            <w:vAlign w:val="center"/>
          </w:tcPr>
          <w:p w14:paraId="7DD296AC">
            <w:pPr>
              <w:pStyle w:val="143"/>
              <w:rPr>
                <w:sz w:val="21"/>
              </w:rPr>
            </w:pPr>
            <w:r>
              <w:rPr>
                <w:sz w:val="21"/>
              </w:rPr>
              <w:t>较大</w:t>
            </w:r>
          </w:p>
        </w:tc>
        <w:tc>
          <w:tcPr>
            <w:tcW w:w="762" w:type="pct"/>
            <w:tcBorders>
              <w:tl2br w:val="nil"/>
              <w:tr2bl w:val="nil"/>
            </w:tcBorders>
            <w:vAlign w:val="center"/>
          </w:tcPr>
          <w:p w14:paraId="5628F3E9">
            <w:pPr>
              <w:pStyle w:val="143"/>
              <w:rPr>
                <w:sz w:val="21"/>
              </w:rPr>
            </w:pPr>
            <w:r>
              <w:rPr>
                <w:sz w:val="21"/>
              </w:rPr>
              <w:t>重大</w:t>
            </w:r>
          </w:p>
        </w:tc>
      </w:tr>
      <w:tr w14:paraId="28395D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3F644A62">
            <w:pPr>
              <w:jc w:val="center"/>
              <w:rPr>
                <w:sz w:val="2"/>
                <w:szCs w:val="2"/>
              </w:rPr>
            </w:pPr>
          </w:p>
        </w:tc>
        <w:tc>
          <w:tcPr>
            <w:tcW w:w="1114" w:type="pct"/>
            <w:tcBorders>
              <w:tl2br w:val="nil"/>
              <w:tr2bl w:val="nil"/>
            </w:tcBorders>
            <w:vAlign w:val="center"/>
          </w:tcPr>
          <w:p w14:paraId="727F3A74">
            <w:pPr>
              <w:pStyle w:val="143"/>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64D84229">
            <w:pPr>
              <w:pStyle w:val="143"/>
              <w:rPr>
                <w:sz w:val="21"/>
              </w:rPr>
            </w:pPr>
            <w:r>
              <w:rPr>
                <w:sz w:val="21"/>
              </w:rPr>
              <w:t>较大</w:t>
            </w:r>
          </w:p>
        </w:tc>
        <w:tc>
          <w:tcPr>
            <w:tcW w:w="762" w:type="pct"/>
            <w:tcBorders>
              <w:tl2br w:val="nil"/>
              <w:tr2bl w:val="nil"/>
            </w:tcBorders>
            <w:vAlign w:val="center"/>
          </w:tcPr>
          <w:p w14:paraId="3DF21B8D">
            <w:pPr>
              <w:pStyle w:val="143"/>
              <w:rPr>
                <w:sz w:val="21"/>
              </w:rPr>
            </w:pPr>
            <w:r>
              <w:rPr>
                <w:sz w:val="21"/>
              </w:rPr>
              <w:t>较大</w:t>
            </w:r>
          </w:p>
        </w:tc>
        <w:tc>
          <w:tcPr>
            <w:tcW w:w="761" w:type="pct"/>
            <w:tcBorders>
              <w:tl2br w:val="nil"/>
              <w:tr2bl w:val="nil"/>
            </w:tcBorders>
            <w:vAlign w:val="center"/>
          </w:tcPr>
          <w:p w14:paraId="4E22870F">
            <w:pPr>
              <w:pStyle w:val="143"/>
              <w:rPr>
                <w:sz w:val="21"/>
              </w:rPr>
            </w:pPr>
            <w:r>
              <w:rPr>
                <w:sz w:val="21"/>
              </w:rPr>
              <w:t>重大</w:t>
            </w:r>
          </w:p>
        </w:tc>
        <w:tc>
          <w:tcPr>
            <w:tcW w:w="762" w:type="pct"/>
            <w:tcBorders>
              <w:tl2br w:val="nil"/>
              <w:tr2bl w:val="nil"/>
            </w:tcBorders>
            <w:vAlign w:val="center"/>
          </w:tcPr>
          <w:p w14:paraId="2E6C482C">
            <w:pPr>
              <w:pStyle w:val="143"/>
              <w:rPr>
                <w:sz w:val="21"/>
              </w:rPr>
            </w:pPr>
            <w:r>
              <w:rPr>
                <w:sz w:val="21"/>
              </w:rPr>
              <w:t>重大</w:t>
            </w:r>
          </w:p>
        </w:tc>
      </w:tr>
    </w:tbl>
    <w:p w14:paraId="40ACC40C">
      <w:pPr>
        <w:widowControl/>
        <w:jc w:val="center"/>
      </w:pPr>
    </w:p>
    <w:p w14:paraId="7A80FDDB">
      <w:pPr>
        <w:pStyle w:val="4"/>
        <w:adjustRightInd w:val="0"/>
        <w:snapToGrid w:val="0"/>
        <w:spacing w:line="500" w:lineRule="exact"/>
        <w:jc w:val="left"/>
        <w:rPr>
          <w:rFonts w:hint="eastAsia" w:eastAsia="宋体"/>
          <w:color w:val="000000" w:themeColor="text1"/>
          <w:lang w:eastAsia="zh-CN"/>
          <w14:textFill>
            <w14:solidFill>
              <w14:schemeClr w14:val="tx1"/>
            </w14:solidFill>
          </w14:textFill>
        </w:rPr>
      </w:pPr>
      <w:bookmarkStart w:id="349" w:name="_Toc6239"/>
      <w:bookmarkStart w:id="350" w:name="_Toc11255"/>
      <w:bookmarkStart w:id="351" w:name="_Toc11428"/>
      <w:bookmarkStart w:id="352" w:name="_Toc402776227"/>
      <w:r>
        <w:rPr>
          <w:rFonts w:hint="eastAsia" w:eastAsia="宋体"/>
          <w:color w:val="000000" w:themeColor="text1"/>
          <w14:textFill>
            <w14:solidFill>
              <w14:schemeClr w14:val="tx1"/>
            </w14:solidFill>
          </w14:textFill>
        </w:rPr>
        <w:t>7.2.5突发水环境事件风险等级表征</w:t>
      </w:r>
      <w:bookmarkEnd w:id="349"/>
      <w:bookmarkEnd w:id="350"/>
      <w:bookmarkEnd w:id="351"/>
    </w:p>
    <w:p w14:paraId="7CA57FDB">
      <w:pPr>
        <w:adjustRightInd w:val="0"/>
        <w:snapToGrid w:val="0"/>
        <w:spacing w:line="500" w:lineRule="exact"/>
        <w:ind w:firstLine="480" w:firstLineChars="200"/>
        <w:rPr>
          <w:rFonts w:hint="eastAsia" w:eastAsia="宋体"/>
          <w:color w:val="000000" w:themeColor="text1"/>
          <w:lang w:eastAsia="zh-CN"/>
          <w14:textFill>
            <w14:solidFill>
              <w14:schemeClr w14:val="tx1"/>
            </w14:solidFill>
          </w14:textFill>
        </w:rPr>
      </w:pPr>
      <w:r>
        <w:rPr>
          <w:rFonts w:eastAsia="宋体"/>
          <w:color w:val="000000" w:themeColor="text1"/>
          <w14:textFill>
            <w14:solidFill>
              <w14:schemeClr w14:val="tx1"/>
            </w14:solidFill>
          </w14:textFill>
        </w:rPr>
        <w:t>企业突发</w:t>
      </w:r>
      <w:r>
        <w:rPr>
          <w:rFonts w:hint="eastAsia" w:eastAsia="宋体"/>
          <w:color w:val="000000" w:themeColor="text1"/>
          <w14:textFill>
            <w14:solidFill>
              <w14:schemeClr w14:val="tx1"/>
            </w14:solidFill>
          </w14:textFill>
        </w:rPr>
        <w:t>水</w:t>
      </w:r>
      <w:r>
        <w:rPr>
          <w:rFonts w:eastAsia="宋体"/>
          <w:color w:val="000000" w:themeColor="text1"/>
          <w14:textFill>
            <w14:solidFill>
              <w14:schemeClr w14:val="tx1"/>
            </w14:solidFill>
          </w14:textFill>
        </w:rPr>
        <w:t>环境事件风险等级表征分为两种情况：</w:t>
      </w:r>
    </w:p>
    <w:p w14:paraId="7E448411">
      <w:pPr>
        <w:adjustRightInd w:val="0"/>
        <w:snapToGrid w:val="0"/>
        <w:spacing w:line="500" w:lineRule="exact"/>
        <w:ind w:firstLine="480" w:firstLineChars="200"/>
        <w:rPr>
          <w:rFonts w:hint="eastAsia" w:eastAsia="宋体"/>
          <w:color w:val="000000" w:themeColor="text1"/>
          <w:lang w:eastAsia="zh-CN"/>
          <w14:textFill>
            <w14:solidFill>
              <w14:schemeClr w14:val="tx1"/>
            </w14:solidFill>
          </w14:textFill>
        </w:rPr>
      </w:pPr>
      <w:r>
        <w:rPr>
          <w:rFonts w:eastAsia="宋体"/>
          <w:color w:val="000000" w:themeColor="text1"/>
          <w14:textFill>
            <w14:solidFill>
              <w14:schemeClr w14:val="tx1"/>
            </w14:solidFill>
          </w14:textFill>
        </w:rPr>
        <w:t>（1）Q＜1，企业突发</w:t>
      </w:r>
      <w:r>
        <w:rPr>
          <w:rFonts w:hint="eastAsia" w:eastAsia="宋体"/>
          <w:color w:val="000000" w:themeColor="text1"/>
          <w:lang w:val="en-US" w:eastAsia="zh-CN"/>
          <w14:textFill>
            <w14:solidFill>
              <w14:schemeClr w14:val="tx1"/>
            </w14:solidFill>
          </w14:textFill>
        </w:rPr>
        <w:t>水</w:t>
      </w:r>
      <w:r>
        <w:rPr>
          <w:rFonts w:eastAsia="宋体"/>
          <w:color w:val="000000" w:themeColor="text1"/>
          <w14:textFill>
            <w14:solidFill>
              <w14:schemeClr w14:val="tx1"/>
            </w14:solidFill>
          </w14:textFill>
        </w:rPr>
        <w:t>环境事件风险等级表示为“一般-</w:t>
      </w:r>
      <w:r>
        <w:rPr>
          <w:rFonts w:hint="eastAsia" w:eastAsia="宋体"/>
          <w:color w:val="000000" w:themeColor="text1"/>
          <w14:textFill>
            <w14:solidFill>
              <w14:schemeClr w14:val="tx1"/>
            </w14:solidFill>
          </w14:textFill>
        </w:rPr>
        <w:t>水</w:t>
      </w:r>
      <w:r>
        <w:rPr>
          <w:rFonts w:eastAsia="宋体"/>
          <w:color w:val="000000" w:themeColor="text1"/>
          <w14:textFill>
            <w14:solidFill>
              <w14:schemeClr w14:val="tx1"/>
            </w14:solidFill>
          </w14:textFill>
        </w:rPr>
        <w:t>（Q0）”；</w:t>
      </w:r>
    </w:p>
    <w:p w14:paraId="643D1E57">
      <w:pPr>
        <w:adjustRightInd w:val="0"/>
        <w:snapToGrid w:val="0"/>
        <w:spacing w:line="500" w:lineRule="exact"/>
        <w:ind w:firstLine="480" w:firstLineChars="200"/>
        <w:rPr>
          <w:rFonts w:hint="eastAsia" w:eastAsia="宋体"/>
          <w:color w:val="000000" w:themeColor="text1"/>
          <w:lang w:eastAsia="zh-CN"/>
          <w14:textFill>
            <w14:solidFill>
              <w14:schemeClr w14:val="tx1"/>
            </w14:solidFill>
          </w14:textFill>
        </w:rPr>
      </w:pPr>
      <w:r>
        <w:rPr>
          <w:rFonts w:eastAsia="宋体"/>
          <w:color w:val="000000" w:themeColor="text1"/>
          <w14:textFill>
            <w14:solidFill>
              <w14:schemeClr w14:val="tx1"/>
            </w14:solidFill>
          </w14:textFill>
        </w:rPr>
        <w:t>（2）Q≥1，企业突发</w:t>
      </w:r>
      <w:r>
        <w:rPr>
          <w:rFonts w:hint="eastAsia" w:eastAsia="宋体"/>
          <w:color w:val="000000" w:themeColor="text1"/>
          <w:lang w:val="en-US" w:eastAsia="zh-CN"/>
          <w14:textFill>
            <w14:solidFill>
              <w14:schemeClr w14:val="tx1"/>
            </w14:solidFill>
          </w14:textFill>
        </w:rPr>
        <w:t>水</w:t>
      </w:r>
      <w:r>
        <w:rPr>
          <w:rFonts w:eastAsia="宋体"/>
          <w:color w:val="000000" w:themeColor="text1"/>
          <w14:textFill>
            <w14:solidFill>
              <w14:schemeClr w14:val="tx1"/>
            </w14:solidFill>
          </w14:textFill>
        </w:rPr>
        <w:t>环境事件风险等级表示为“环境风险等级-</w:t>
      </w:r>
      <w:r>
        <w:rPr>
          <w:rFonts w:hint="eastAsia" w:eastAsia="宋体"/>
          <w:color w:val="000000" w:themeColor="text1"/>
          <w14:textFill>
            <w14:solidFill>
              <w14:schemeClr w14:val="tx1"/>
            </w14:solidFill>
          </w14:textFill>
        </w:rPr>
        <w:t>水</w:t>
      </w:r>
      <w:r>
        <w:rPr>
          <w:rFonts w:eastAsia="宋体"/>
          <w:color w:val="000000" w:themeColor="text1"/>
          <w14:textFill>
            <w14:solidFill>
              <w14:schemeClr w14:val="tx1"/>
            </w14:solidFill>
          </w14:textFill>
        </w:rPr>
        <w:t>（Q水平-M类型-E类型）”。</w:t>
      </w:r>
    </w:p>
    <w:p w14:paraId="02A6931A">
      <w:pPr>
        <w:adjustRightInd w:val="0"/>
        <w:snapToGrid w:val="0"/>
        <w:spacing w:line="500" w:lineRule="exact"/>
        <w:ind w:firstLine="480" w:firstLineChars="200"/>
      </w:pPr>
      <w:r>
        <w:rPr>
          <w:rFonts w:hint="eastAsia" w:eastAsia="宋体"/>
          <w:color w:val="000000" w:themeColor="text1"/>
          <w:lang w:eastAsia="zh-CN"/>
          <w14:textFill>
            <w14:solidFill>
              <w14:schemeClr w14:val="tx1"/>
            </w14:solidFill>
          </w14:textFill>
        </w:rPr>
        <w:t>江苏福内特家居有限公司</w:t>
      </w:r>
      <w:r>
        <w:rPr>
          <w:rFonts w:eastAsia="宋体"/>
          <w:color w:val="000000" w:themeColor="text1"/>
          <w14:textFill>
            <w14:solidFill>
              <w14:schemeClr w14:val="tx1"/>
            </w14:solidFill>
          </w14:textFill>
        </w:rPr>
        <w:t>Q＜1（Q0），因此水风险等级</w:t>
      </w:r>
      <w:r>
        <w:rPr>
          <w:rFonts w:hint="eastAsia" w:eastAsia="宋体"/>
          <w:color w:val="000000" w:themeColor="text1"/>
          <w14:textFill>
            <w14:solidFill>
              <w14:schemeClr w14:val="tx1"/>
            </w14:solidFill>
          </w14:textFill>
        </w:rPr>
        <w:t>表示</w:t>
      </w:r>
      <w:r>
        <w:rPr>
          <w:rFonts w:eastAsia="宋体"/>
          <w:color w:val="000000" w:themeColor="text1"/>
          <w14:textFill>
            <w14:solidFill>
              <w14:schemeClr w14:val="tx1"/>
            </w14:solidFill>
          </w14:textFill>
        </w:rPr>
        <w:t>为</w:t>
      </w:r>
      <w:r>
        <w:rPr>
          <w:rFonts w:hint="eastAsia" w:eastAsia="宋体"/>
          <w:color w:val="000000" w:themeColor="text1"/>
          <w14:textFill>
            <w14:solidFill>
              <w14:schemeClr w14:val="tx1"/>
            </w14:solidFill>
          </w14:textFill>
        </w:rPr>
        <w:t>“</w:t>
      </w:r>
      <w:r>
        <w:rPr>
          <w:rFonts w:eastAsia="宋体"/>
          <w:color w:val="000000" w:themeColor="text1"/>
          <w14:textFill>
            <w14:solidFill>
              <w14:schemeClr w14:val="tx1"/>
            </w14:solidFill>
          </w14:textFill>
        </w:rPr>
        <w:t>一般-</w:t>
      </w:r>
      <w:r>
        <w:rPr>
          <w:rFonts w:hint="eastAsia" w:eastAsia="宋体"/>
          <w:color w:val="000000" w:themeColor="text1"/>
          <w14:textFill>
            <w14:solidFill>
              <w14:schemeClr w14:val="tx1"/>
            </w14:solidFill>
          </w14:textFill>
        </w:rPr>
        <w:t>水</w:t>
      </w:r>
      <w:r>
        <w:rPr>
          <w:rFonts w:eastAsia="宋体"/>
          <w:color w:val="000000" w:themeColor="text1"/>
          <w14:textFill>
            <w14:solidFill>
              <w14:schemeClr w14:val="tx1"/>
            </w14:solidFill>
          </w14:textFill>
        </w:rPr>
        <w:t>（Q0）</w:t>
      </w:r>
      <w:r>
        <w:rPr>
          <w:rFonts w:hint="eastAsia" w:eastAsia="宋体"/>
          <w:color w:val="000000" w:themeColor="text1"/>
          <w14:textFill>
            <w14:solidFill>
              <w14:schemeClr w14:val="tx1"/>
            </w14:solidFill>
          </w14:textFill>
        </w:rPr>
        <w:t>”</w:t>
      </w:r>
      <w:r>
        <w:rPr>
          <w:rFonts w:eastAsia="宋体"/>
          <w:color w:val="000000" w:themeColor="text1"/>
          <w14:textFill>
            <w14:solidFill>
              <w14:schemeClr w14:val="tx1"/>
            </w14:solidFill>
          </w14:textFill>
        </w:rPr>
        <w:t>。</w:t>
      </w:r>
    </w:p>
    <w:bookmarkEnd w:id="352"/>
    <w:p w14:paraId="56191AD1">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353" w:name="_Toc6943"/>
      <w:bookmarkStart w:id="354" w:name="_Toc534722046"/>
      <w:bookmarkStart w:id="355" w:name="_Toc535516089"/>
      <w:bookmarkStart w:id="356" w:name="_Toc27337"/>
      <w:bookmarkStart w:id="357" w:name="_Toc12771"/>
      <w:bookmarkStart w:id="358" w:name="_Toc16652"/>
      <w:r>
        <w:rPr>
          <w:rFonts w:hint="eastAsia" w:eastAsia="宋体"/>
          <w:color w:val="000000" w:themeColor="text1"/>
          <w:sz w:val="24"/>
          <w:szCs w:val="24"/>
          <w14:textFill>
            <w14:solidFill>
              <w14:schemeClr w14:val="tx1"/>
            </w14:solidFill>
          </w14:textFill>
        </w:rPr>
        <w:t>7.3风险等级调整</w:t>
      </w:r>
      <w:bookmarkEnd w:id="353"/>
      <w:bookmarkEnd w:id="354"/>
      <w:bookmarkEnd w:id="355"/>
      <w:bookmarkEnd w:id="356"/>
      <w:bookmarkEnd w:id="357"/>
      <w:bookmarkEnd w:id="358"/>
    </w:p>
    <w:p w14:paraId="5CEC8DE9">
      <w:pPr>
        <w:adjustRightInd w:val="0"/>
        <w:snapToGrid w:val="0"/>
        <w:spacing w:line="500" w:lineRule="exact"/>
        <w:ind w:firstLine="480" w:firstLineChars="200"/>
        <w:rPr>
          <w:rFonts w:ascii="宋体" w:hAnsi="宋体" w:eastAsia="宋体" w:cs="宋体"/>
          <w:snapToGrid w:val="0"/>
          <w:color w:val="000000" w:themeColor="text1"/>
          <w:kern w:val="0"/>
          <w14:textFill>
            <w14:solidFill>
              <w14:schemeClr w14:val="tx1"/>
            </w14:solidFill>
          </w14:textFill>
        </w:rPr>
      </w:pPr>
      <w:r>
        <w:rPr>
          <w:rFonts w:hint="eastAsia" w:ascii="宋体" w:hAnsi="宋体" w:eastAsia="宋体" w:cs="宋体"/>
          <w:snapToGrid w:val="0"/>
          <w:color w:val="000000" w:themeColor="text1"/>
          <w:kern w:val="0"/>
          <w14:textFill>
            <w14:solidFill>
              <w14:schemeClr w14:val="tx1"/>
            </w14:solidFill>
          </w14:textFill>
        </w:rPr>
        <w:t>根据《</w:t>
      </w:r>
      <w:r>
        <w:rPr>
          <w:rFonts w:hint="eastAsia" w:ascii="宋体" w:hAnsi="宋体" w:eastAsia="宋体" w:cs="宋体"/>
          <w:snapToGrid w:val="0"/>
          <w:color w:val="000000" w:themeColor="text1"/>
          <w:kern w:val="0"/>
          <w:lang w:eastAsia="zh-CN"/>
          <w14:textFill>
            <w14:solidFill>
              <w14:schemeClr w14:val="tx1"/>
            </w14:solidFill>
          </w14:textFill>
        </w:rPr>
        <w:t>企业突发环境事件风险分级方法</w:t>
      </w:r>
      <w:r>
        <w:rPr>
          <w:rFonts w:eastAsia="宋体"/>
          <w:snapToGrid w:val="0"/>
          <w:color w:val="000000" w:themeColor="text1"/>
          <w:kern w:val="0"/>
          <w14:textFill>
            <w14:solidFill>
              <w14:schemeClr w14:val="tx1"/>
            </w14:solidFill>
          </w14:textFill>
        </w:rPr>
        <w:t>》（HJ941-2018）要</w:t>
      </w:r>
      <w:r>
        <w:rPr>
          <w:rFonts w:hint="eastAsia" w:ascii="宋体" w:hAnsi="宋体" w:eastAsia="宋体" w:cs="宋体"/>
          <w:snapToGrid w:val="0"/>
          <w:color w:val="000000" w:themeColor="text1"/>
          <w:kern w:val="0"/>
          <w14:textFill>
            <w14:solidFill>
              <w14:schemeClr w14:val="tx1"/>
            </w14:solidFill>
          </w14:textFill>
        </w:rPr>
        <w:t>求，近三年内因违法排放污染物、非法转移处置危险废物等行为受到环境保护主管部门处罚的企业，在已评定的突发环境事件风险等级基础上调高一级，最高等级为重大。</w:t>
      </w:r>
      <w:r>
        <w:rPr>
          <w:rFonts w:hint="eastAsia" w:ascii="宋体" w:hAnsi="宋体" w:eastAsia="宋体" w:cs="宋体"/>
          <w:color w:val="000000" w:themeColor="text1"/>
          <w14:textFill>
            <w14:solidFill>
              <w14:schemeClr w14:val="tx1"/>
            </w14:solidFill>
          </w14:textFill>
        </w:rPr>
        <w:t>公司近三年内未发生突发大气、水环境事件以及违法违规行为</w:t>
      </w:r>
      <w:r>
        <w:rPr>
          <w:rFonts w:hint="eastAsia" w:ascii="宋体" w:hAnsi="宋体" w:eastAsia="宋体" w:cs="宋体"/>
          <w:snapToGrid w:val="0"/>
          <w:color w:val="000000" w:themeColor="text1"/>
          <w:kern w:val="0"/>
          <w14:textFill>
            <w14:solidFill>
              <w14:schemeClr w14:val="tx1"/>
            </w14:solidFill>
          </w14:textFill>
        </w:rPr>
        <w:t>，故不做调整。</w:t>
      </w:r>
    </w:p>
    <w:p w14:paraId="013DF0BA">
      <w:pPr>
        <w:adjustRightInd w:val="0"/>
        <w:snapToGrid w:val="0"/>
        <w:spacing w:line="500" w:lineRule="exact"/>
        <w:ind w:firstLine="480" w:firstLineChars="200"/>
        <w:rPr>
          <w:rFonts w:eastAsia="宋体"/>
        </w:rPr>
      </w:pPr>
      <w:r>
        <w:rPr>
          <w:rFonts w:eastAsia="宋体"/>
          <w:snapToGrid w:val="0"/>
          <w:kern w:val="0"/>
        </w:rPr>
        <w:t>通过上述分析</w:t>
      </w:r>
      <w:r>
        <w:rPr>
          <w:rFonts w:eastAsia="宋体"/>
        </w:rPr>
        <w:t>，公司突发环境事件风险等级为：</w:t>
      </w:r>
      <w:bookmarkStart w:id="359" w:name="_Hlk5802374"/>
      <w:r>
        <w:rPr>
          <w:rFonts w:eastAsia="宋体"/>
          <w:b/>
        </w:rPr>
        <w:t>一般［一般-大气（Q0）+一般-水（Q</w:t>
      </w:r>
      <w:r>
        <w:rPr>
          <w:rFonts w:hint="eastAsia" w:eastAsia="宋体"/>
          <w:b/>
        </w:rPr>
        <w:t>0</w:t>
      </w:r>
      <w:r>
        <w:rPr>
          <w:rFonts w:eastAsia="宋体"/>
          <w:b/>
        </w:rPr>
        <w:t>）］</w:t>
      </w:r>
      <w:r>
        <w:rPr>
          <w:rFonts w:eastAsia="宋体"/>
        </w:rPr>
        <w:t>。</w:t>
      </w:r>
      <w:bookmarkEnd w:id="359"/>
    </w:p>
    <w:p w14:paraId="51C672CC">
      <w:pPr>
        <w:adjustRightInd w:val="0"/>
        <w:snapToGrid w:val="0"/>
        <w:spacing w:line="500" w:lineRule="exact"/>
        <w:ind w:firstLine="480" w:firstLineChars="200"/>
        <w:rPr>
          <w:rFonts w:ascii="宋体" w:hAnsi="宋体" w:eastAsia="宋体" w:cs="宋体"/>
        </w:rPr>
      </w:pPr>
      <w:r>
        <w:rPr>
          <w:rFonts w:eastAsia="宋体"/>
          <w:snapToGrid w:val="0"/>
          <w:kern w:val="0"/>
        </w:rPr>
        <w:t>公司经过短期、中期计划的实施后，能进一步提高公司环境风险控制水平，使公司的风险管理更趋于合理化</w:t>
      </w:r>
      <w:r>
        <w:rPr>
          <w:rFonts w:hint="eastAsia" w:ascii="宋体" w:hAnsi="宋体" w:eastAsia="宋体" w:cs="宋体"/>
          <w:snapToGrid w:val="0"/>
          <w:kern w:val="0"/>
        </w:rPr>
        <w:t>。</w:t>
      </w:r>
    </w:p>
    <w:bookmarkEnd w:id="1"/>
    <w:bookmarkEnd w:id="2"/>
    <w:bookmarkEnd w:id="294"/>
    <w:p w14:paraId="04A0AA51">
      <w:pPr>
        <w:rPr>
          <w:rFonts w:ascii="宋体" w:hAnsi="宋体" w:eastAsia="宋体" w:cs="宋体"/>
        </w:rPr>
      </w:pPr>
    </w:p>
    <w:p w14:paraId="4676BBDD"/>
    <w:p w14:paraId="750B82BF"/>
    <w:p w14:paraId="03B27B36"/>
    <w:p w14:paraId="34B056EE"/>
    <w:p w14:paraId="43370530"/>
    <w:p w14:paraId="51E55FD3"/>
    <w:p w14:paraId="02649CE9"/>
    <w:p w14:paraId="0B2051B2"/>
    <w:p w14:paraId="3607FE0E"/>
    <w:p w14:paraId="617A525F"/>
    <w:p w14:paraId="4C3A071E"/>
    <w:p w14:paraId="08027014"/>
    <w:p w14:paraId="16B1310A"/>
    <w:p w14:paraId="1CFA7785"/>
    <w:p w14:paraId="5A4F05E1"/>
    <w:sectPr>
      <w:footerReference r:id="rId12" w:type="default"/>
      <w:footerReference r:id="rId13" w:type="even"/>
      <w:pgSz w:w="11906" w:h="16838"/>
      <w:pgMar w:top="1440" w:right="1440" w:bottom="1440" w:left="1440" w:header="964"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00" w:usb3="00000000" w:csb0="003C0041" w:csb1="A008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96B0A">
    <w:pPr>
      <w:pStyle w:val="23"/>
      <w:framePr w:wrap="around" w:vAnchor="text" w:hAnchor="margin" w:xAlign="center" w:y="1"/>
      <w:rPr>
        <w:rStyle w:val="42"/>
      </w:rPr>
    </w:pPr>
    <w:r>
      <w:fldChar w:fldCharType="begin"/>
    </w:r>
    <w:r>
      <w:rPr>
        <w:rStyle w:val="42"/>
      </w:rPr>
      <w:instrText xml:space="preserve">PAGE  </w:instrText>
    </w:r>
    <w:r>
      <w:fldChar w:fldCharType="end"/>
    </w:r>
  </w:p>
  <w:p w14:paraId="2BC34922">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8DAB9">
    <w:pPr>
      <w:pStyle w:val="23"/>
      <w:jc w:val="center"/>
    </w:pPr>
    <w:r>
      <w:fldChar w:fldCharType="begin"/>
    </w:r>
    <w:r>
      <w:instrText xml:space="preserve"> PAGE   \* MERGEFORMAT </w:instrText>
    </w:r>
    <w:r>
      <w:fldChar w:fldCharType="separate"/>
    </w:r>
    <w: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2BB1B">
    <w:pPr>
      <w:pStyle w:val="1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674566BC">
                          <w:pPr>
                            <w:spacing w:before="12"/>
                            <w:ind w:left="40"/>
                            <w:jc w:val="left"/>
                            <w:rPr>
                              <w:sz w:val="18"/>
                            </w:rPr>
                          </w:pPr>
                          <w:r>
                            <w:fldChar w:fldCharType="begin"/>
                          </w:r>
                          <w:r>
                            <w:rPr>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5168;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je/zaAAAADQEAAA8AAAAAAAAAAQAgAAAAIgAAAGRycy9kb3ducmV2LnhtbFBL&#10;AQIUABQAAAAIAIdO4kBvMIoruwEAAHMDAAAOAAAAAAAAAAEAIAAAACkBAABkcnMvZTJvRG9jLnht&#10;bFBLBQYAAAAABgAGAFkBAABWBQAAAAA=&#10;">
              <v:fill on="f" focussize="0,0"/>
              <v:stroke on="f"/>
              <v:imagedata o:title=""/>
              <o:lock v:ext="edit" aspectratio="f"/>
              <v:textbox inset="0mm,0mm,0mm,0mm">
                <w:txbxContent>
                  <w:p w14:paraId="674566BC">
                    <w:pPr>
                      <w:spacing w:before="12"/>
                      <w:ind w:left="40"/>
                      <w:jc w:val="left"/>
                      <w:rPr>
                        <w:sz w:val="18"/>
                      </w:rPr>
                    </w:pP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3D070">
    <w:pPr>
      <w:pStyle w:val="1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7CF0835D">
                          <w:pPr>
                            <w:spacing w:before="12"/>
                            <w:ind w:left="40"/>
                            <w:jc w:val="left"/>
                            <w:rPr>
                              <w:sz w:val="18"/>
                            </w:rPr>
                          </w:pPr>
                          <w:r>
                            <w:fldChar w:fldCharType="begin"/>
                          </w:r>
                          <w:r>
                            <w:rPr>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2096;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mN7/NoAAAANAQAADwAAAAAAAAABACAAAAAiAAAAZHJzL2Rvd25yZXYueG1sUEsB&#10;AhQAFAAAAAgAh07iQH3Rmhq6AQAAcwMAAA4AAAAAAAAAAQAgAAAAKQEAAGRycy9lMm9Eb2MueG1s&#10;UEsFBgAAAAAGAAYAWQEAAFUFAAAAAA==&#10;">
              <v:fill on="f" focussize="0,0"/>
              <v:stroke on="f"/>
              <v:imagedata o:title=""/>
              <o:lock v:ext="edit" aspectratio="f"/>
              <v:textbox inset="0mm,0mm,0mm,0mm">
                <w:txbxContent>
                  <w:p w14:paraId="7CF0835D">
                    <w:pPr>
                      <w:spacing w:before="12"/>
                      <w:ind w:left="40"/>
                      <w:jc w:val="left"/>
                      <w:rPr>
                        <w:sz w:val="18"/>
                      </w:rPr>
                    </w:pP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667CB">
    <w:pPr>
      <w:pStyle w:val="13"/>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5172710</wp:posOffset>
              </wp:positionH>
              <wp:positionV relativeFrom="page">
                <wp:posOffset>6774180</wp:posOffset>
              </wp:positionV>
              <wp:extent cx="166370" cy="1524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3A2C69FA">
                          <w:pPr>
                            <w:spacing w:before="12"/>
                            <w:ind w:left="40"/>
                            <w:jc w:val="left"/>
                            <w:rPr>
                              <w:sz w:val="18"/>
                            </w:rPr>
                          </w:pPr>
                          <w:r>
                            <w:fldChar w:fldCharType="begin"/>
                          </w:r>
                          <w:r>
                            <w:rPr>
                              <w:sz w:val="18"/>
                            </w:rPr>
                            <w:instrText xml:space="preserve"> PAGE </w:instrText>
                          </w:r>
                          <w:r>
                            <w:fldChar w:fldCharType="separate"/>
                          </w:r>
                          <w:r>
                            <w:t>56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07.3pt;margin-top:533.4pt;height:12pt;width:13.1pt;mso-position-horizontal-relative:page;mso-position-vertical-relative:page;z-index:-251651072;mso-width-relative:page;mso-height-relative:page;" filled="f" stroked="f" coordsize="21600,21600" o:gfxdata="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jaUPrXAAAADQEAAA8AAAAAAAAAAQAgAAAAIgAAAGRycy9kb3ducmV2LnhtbFBLAQIU&#10;ABQAAAAIAIdO4kAg0YynuwEAAHMDAAAOAAAAAAAAAAEAIAAAACYBAABkcnMvZTJvRG9jLnhtbFBL&#10;BQYAAAAABgAGAFkBAABTBQAAAAA=&#10;">
              <v:fill on="f" focussize="0,0"/>
              <v:stroke on="f"/>
              <v:imagedata o:title=""/>
              <o:lock v:ext="edit" aspectratio="f"/>
              <v:textbox inset="0mm,0mm,0mm,0mm">
                <w:txbxContent>
                  <w:p w14:paraId="3A2C69FA">
                    <w:pPr>
                      <w:spacing w:before="12"/>
                      <w:ind w:left="40"/>
                      <w:jc w:val="left"/>
                      <w:rPr>
                        <w:sz w:val="18"/>
                      </w:rPr>
                    </w:pPr>
                    <w:r>
                      <w:fldChar w:fldCharType="begin"/>
                    </w:r>
                    <w:r>
                      <w:rPr>
                        <w:sz w:val="18"/>
                      </w:rPr>
                      <w:instrText xml:space="preserve"> PAGE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76C12">
    <w:pPr>
      <w:pStyle w:val="13"/>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60FAF8E1">
                          <w:pPr>
                            <w:spacing w:before="12"/>
                            <w:ind w:left="40"/>
                            <w:jc w:val="left"/>
                            <w:rPr>
                              <w:sz w:val="18"/>
                            </w:rPr>
                          </w:pPr>
                          <w:r>
                            <w:fldChar w:fldCharType="begin"/>
                          </w:r>
                          <w:r>
                            <w:rPr>
                              <w:sz w:val="18"/>
                            </w:rPr>
                            <w:instrText xml:space="preserve"> PAGE </w:instrText>
                          </w:r>
                          <w:r>
                            <w:fldChar w:fldCharType="separate"/>
                          </w:r>
                          <w:r>
                            <w:t>59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49024;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je/zaAAAADQEAAA8AAAAAAAAAAQAgAAAAIgAAAGRycy9kb3ducmV2LnhtbFBL&#10;AQIUABQAAAAIAIdO4kAwWn9CuwEAAHMDAAAOAAAAAAAAAAEAIAAAACkBAABkcnMvZTJvRG9jLnht&#10;bFBLBQYAAAAABgAGAFkBAABWBQAAAAA=&#10;">
              <v:fill on="f" focussize="0,0"/>
              <v:stroke on="f"/>
              <v:imagedata o:title=""/>
              <o:lock v:ext="edit" aspectratio="f"/>
              <v:textbox inset="0mm,0mm,0mm,0mm">
                <w:txbxContent>
                  <w:p w14:paraId="60FAF8E1">
                    <w:pPr>
                      <w:spacing w:before="12"/>
                      <w:ind w:left="40"/>
                      <w:jc w:val="left"/>
                      <w:rPr>
                        <w:sz w:val="18"/>
                      </w:rPr>
                    </w:pPr>
                    <w:r>
                      <w:fldChar w:fldCharType="begin"/>
                    </w:r>
                    <w:r>
                      <w:rPr>
                        <w:sz w:val="18"/>
                      </w:rPr>
                      <w:instrText xml:space="preserve"> PAGE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40129">
    <w:pPr>
      <w:pStyle w:val="23"/>
      <w:framePr w:wrap="around" w:vAnchor="text" w:hAnchor="margin" w:xAlign="center" w:y="1"/>
      <w:rPr>
        <w:rStyle w:val="42"/>
      </w:rPr>
    </w:pPr>
    <w:r>
      <w:fldChar w:fldCharType="begin"/>
    </w:r>
    <w:r>
      <w:rPr>
        <w:rStyle w:val="42"/>
      </w:rPr>
      <w:instrText xml:space="preserve">PAGE  </w:instrText>
    </w:r>
    <w:r>
      <w:fldChar w:fldCharType="end"/>
    </w:r>
  </w:p>
  <w:p w14:paraId="56902298">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813EE">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B7EBE">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F28A">
    <w:pPr>
      <w:adjustRightInd w:val="0"/>
      <w:snapToGrid w:val="0"/>
      <w:ind w:firstLine="560" w:firstLineChars="200"/>
      <w:jc w:val="left"/>
      <w:rPr>
        <w:sz w:val="28"/>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499E1">
    <w:pPr>
      <w:pStyle w:val="24"/>
      <w:rPr>
        <w:rFonts w:ascii="仿宋" w:hAnsi="仿宋" w:eastAsia="仿宋"/>
      </w:rPr>
    </w:pPr>
    <w:r>
      <w:rPr>
        <w:rFonts w:hint="eastAsia" w:ascii="仿宋" w:hAnsi="仿宋" w:eastAsia="仿宋"/>
        <w:lang w:eastAsia="zh-CN"/>
      </w:rPr>
      <w:t>江苏福内特家居有限公司</w:t>
    </w:r>
    <w:r>
      <w:rPr>
        <w:rFonts w:hint="eastAsia" w:ascii="仿宋" w:hAnsi="仿宋" w:eastAsia="仿宋"/>
      </w:rPr>
      <w:t>突发环境事件风险评估报告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00AF6"/>
    <w:multiLevelType w:val="singleLevel"/>
    <w:tmpl w:val="92D00AF6"/>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1">
    <w:nsid w:val="BE923771"/>
    <w:multiLevelType w:val="multilevel"/>
    <w:tmpl w:val="BE923771"/>
    <w:lvl w:ilvl="0" w:tentative="0">
      <w:start w:val="1"/>
      <w:numFmt w:val="decimal"/>
      <w:lvlText w:val="（%1）"/>
      <w:lvlJc w:val="left"/>
      <w:pPr>
        <w:ind w:left="1378" w:hanging="60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2150" w:hanging="601"/>
      </w:pPr>
      <w:rPr>
        <w:rFonts w:hint="default"/>
        <w:lang w:val="zh-CN" w:eastAsia="zh-CN" w:bidi="zh-CN"/>
      </w:rPr>
    </w:lvl>
    <w:lvl w:ilvl="2" w:tentative="0">
      <w:start w:val="0"/>
      <w:numFmt w:val="bullet"/>
      <w:lvlText w:val="•"/>
      <w:lvlJc w:val="left"/>
      <w:pPr>
        <w:ind w:left="2921" w:hanging="601"/>
      </w:pPr>
      <w:rPr>
        <w:rFonts w:hint="default"/>
        <w:lang w:val="zh-CN" w:eastAsia="zh-CN" w:bidi="zh-CN"/>
      </w:rPr>
    </w:lvl>
    <w:lvl w:ilvl="3" w:tentative="0">
      <w:start w:val="0"/>
      <w:numFmt w:val="bullet"/>
      <w:lvlText w:val="•"/>
      <w:lvlJc w:val="left"/>
      <w:pPr>
        <w:ind w:left="3691" w:hanging="601"/>
      </w:pPr>
      <w:rPr>
        <w:rFonts w:hint="default"/>
        <w:lang w:val="zh-CN" w:eastAsia="zh-CN" w:bidi="zh-CN"/>
      </w:rPr>
    </w:lvl>
    <w:lvl w:ilvl="4" w:tentative="0">
      <w:start w:val="0"/>
      <w:numFmt w:val="bullet"/>
      <w:lvlText w:val="•"/>
      <w:lvlJc w:val="left"/>
      <w:pPr>
        <w:ind w:left="4462" w:hanging="601"/>
      </w:pPr>
      <w:rPr>
        <w:rFonts w:hint="default"/>
        <w:lang w:val="zh-CN" w:eastAsia="zh-CN" w:bidi="zh-CN"/>
      </w:rPr>
    </w:lvl>
    <w:lvl w:ilvl="5" w:tentative="0">
      <w:start w:val="0"/>
      <w:numFmt w:val="bullet"/>
      <w:lvlText w:val="•"/>
      <w:lvlJc w:val="left"/>
      <w:pPr>
        <w:ind w:left="5233" w:hanging="601"/>
      </w:pPr>
      <w:rPr>
        <w:rFonts w:hint="default"/>
        <w:lang w:val="zh-CN" w:eastAsia="zh-CN" w:bidi="zh-CN"/>
      </w:rPr>
    </w:lvl>
    <w:lvl w:ilvl="6" w:tentative="0">
      <w:start w:val="0"/>
      <w:numFmt w:val="bullet"/>
      <w:lvlText w:val="•"/>
      <w:lvlJc w:val="left"/>
      <w:pPr>
        <w:ind w:left="6003" w:hanging="601"/>
      </w:pPr>
      <w:rPr>
        <w:rFonts w:hint="default"/>
        <w:lang w:val="zh-CN" w:eastAsia="zh-CN" w:bidi="zh-CN"/>
      </w:rPr>
    </w:lvl>
    <w:lvl w:ilvl="7" w:tentative="0">
      <w:start w:val="0"/>
      <w:numFmt w:val="bullet"/>
      <w:lvlText w:val="•"/>
      <w:lvlJc w:val="left"/>
      <w:pPr>
        <w:ind w:left="6774" w:hanging="601"/>
      </w:pPr>
      <w:rPr>
        <w:rFonts w:hint="default"/>
        <w:lang w:val="zh-CN" w:eastAsia="zh-CN" w:bidi="zh-CN"/>
      </w:rPr>
    </w:lvl>
    <w:lvl w:ilvl="8" w:tentative="0">
      <w:start w:val="0"/>
      <w:numFmt w:val="bullet"/>
      <w:lvlText w:val="•"/>
      <w:lvlJc w:val="left"/>
      <w:pPr>
        <w:ind w:left="7544" w:hanging="601"/>
      </w:pPr>
      <w:rPr>
        <w:rFonts w:hint="default"/>
        <w:lang w:val="zh-CN" w:eastAsia="zh-CN" w:bidi="zh-CN"/>
      </w:rPr>
    </w:lvl>
  </w:abstractNum>
  <w:abstractNum w:abstractNumId="2">
    <w:nsid w:val="CC07C0A9"/>
    <w:multiLevelType w:val="singleLevel"/>
    <w:tmpl w:val="CC07C0A9"/>
    <w:lvl w:ilvl="0" w:tentative="0">
      <w:start w:val="1"/>
      <w:numFmt w:val="decimal"/>
      <w:suff w:val="nothing"/>
      <w:lvlText w:val="（%1）"/>
      <w:lvlJc w:val="left"/>
    </w:lvl>
  </w:abstractNum>
  <w:abstractNum w:abstractNumId="3">
    <w:nsid w:val="EC931113"/>
    <w:multiLevelType w:val="singleLevel"/>
    <w:tmpl w:val="EC931113"/>
    <w:lvl w:ilvl="0" w:tentative="0">
      <w:start w:val="1"/>
      <w:numFmt w:val="decimal"/>
      <w:suff w:val="nothing"/>
      <w:lvlText w:val="（%1）"/>
      <w:lvlJc w:val="left"/>
    </w:lvl>
  </w:abstractNum>
  <w:abstractNum w:abstractNumId="4">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5">
    <w:nsid w:val="594B169E"/>
    <w:multiLevelType w:val="singleLevel"/>
    <w:tmpl w:val="594B169E"/>
    <w:lvl w:ilvl="0" w:tentative="0">
      <w:start w:val="2"/>
      <w:numFmt w:val="decimal"/>
      <w:suff w:val="nothing"/>
      <w:lvlText w:val="（%1）"/>
      <w:lvlJc w:val="left"/>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trackRevisions w:val="1"/>
  <w:documentProtection w:enforcement="0"/>
  <w:defaultTabStop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DNkYzFkNDNlZDg1MDI3NzM3OTU5MzA3YjIxOWIifQ=="/>
  </w:docVars>
  <w:rsids>
    <w:rsidRoot w:val="00172A27"/>
    <w:rsid w:val="00000526"/>
    <w:rsid w:val="00001466"/>
    <w:rsid w:val="00001667"/>
    <w:rsid w:val="0000248D"/>
    <w:rsid w:val="00002D1E"/>
    <w:rsid w:val="00002FCB"/>
    <w:rsid w:val="000040F8"/>
    <w:rsid w:val="0000550B"/>
    <w:rsid w:val="0000654A"/>
    <w:rsid w:val="000071F4"/>
    <w:rsid w:val="0000785F"/>
    <w:rsid w:val="00007BA5"/>
    <w:rsid w:val="00007FB8"/>
    <w:rsid w:val="000107B7"/>
    <w:rsid w:val="000109A8"/>
    <w:rsid w:val="00010FA6"/>
    <w:rsid w:val="00011DF7"/>
    <w:rsid w:val="000139EB"/>
    <w:rsid w:val="00014690"/>
    <w:rsid w:val="0001558C"/>
    <w:rsid w:val="00015EFF"/>
    <w:rsid w:val="00016D95"/>
    <w:rsid w:val="0001707E"/>
    <w:rsid w:val="00017ADD"/>
    <w:rsid w:val="00021CBD"/>
    <w:rsid w:val="00022DC0"/>
    <w:rsid w:val="00023794"/>
    <w:rsid w:val="00023A82"/>
    <w:rsid w:val="00025265"/>
    <w:rsid w:val="00025385"/>
    <w:rsid w:val="0002575F"/>
    <w:rsid w:val="00025B11"/>
    <w:rsid w:val="000270DA"/>
    <w:rsid w:val="0002786D"/>
    <w:rsid w:val="0003007D"/>
    <w:rsid w:val="000324BA"/>
    <w:rsid w:val="00033E2D"/>
    <w:rsid w:val="00034C02"/>
    <w:rsid w:val="00035F9A"/>
    <w:rsid w:val="000367CB"/>
    <w:rsid w:val="00036E7A"/>
    <w:rsid w:val="00036EEE"/>
    <w:rsid w:val="000407E7"/>
    <w:rsid w:val="00040DDB"/>
    <w:rsid w:val="00041F5C"/>
    <w:rsid w:val="00041F8A"/>
    <w:rsid w:val="0004232E"/>
    <w:rsid w:val="000438C6"/>
    <w:rsid w:val="00045AAF"/>
    <w:rsid w:val="00046C66"/>
    <w:rsid w:val="00047D65"/>
    <w:rsid w:val="00050683"/>
    <w:rsid w:val="00050B12"/>
    <w:rsid w:val="00050B1E"/>
    <w:rsid w:val="000512BC"/>
    <w:rsid w:val="00052CA5"/>
    <w:rsid w:val="000530DA"/>
    <w:rsid w:val="00053155"/>
    <w:rsid w:val="000540D8"/>
    <w:rsid w:val="00054323"/>
    <w:rsid w:val="0005459C"/>
    <w:rsid w:val="00054F33"/>
    <w:rsid w:val="000563BE"/>
    <w:rsid w:val="00056509"/>
    <w:rsid w:val="000565C3"/>
    <w:rsid w:val="000566AA"/>
    <w:rsid w:val="00057890"/>
    <w:rsid w:val="00057B56"/>
    <w:rsid w:val="0006008D"/>
    <w:rsid w:val="0006086B"/>
    <w:rsid w:val="00061F92"/>
    <w:rsid w:val="00062B49"/>
    <w:rsid w:val="00063CAC"/>
    <w:rsid w:val="000646E8"/>
    <w:rsid w:val="00065423"/>
    <w:rsid w:val="00067AC9"/>
    <w:rsid w:val="00071536"/>
    <w:rsid w:val="0007283E"/>
    <w:rsid w:val="0007314A"/>
    <w:rsid w:val="0007399C"/>
    <w:rsid w:val="00073CED"/>
    <w:rsid w:val="00073D19"/>
    <w:rsid w:val="00073E72"/>
    <w:rsid w:val="00074963"/>
    <w:rsid w:val="00075388"/>
    <w:rsid w:val="000754E8"/>
    <w:rsid w:val="00076F3A"/>
    <w:rsid w:val="000803F0"/>
    <w:rsid w:val="00080B67"/>
    <w:rsid w:val="00080F83"/>
    <w:rsid w:val="000818CA"/>
    <w:rsid w:val="00081A2B"/>
    <w:rsid w:val="00081E65"/>
    <w:rsid w:val="000825CC"/>
    <w:rsid w:val="00083136"/>
    <w:rsid w:val="0008570C"/>
    <w:rsid w:val="00085D70"/>
    <w:rsid w:val="000861C6"/>
    <w:rsid w:val="000867FB"/>
    <w:rsid w:val="00086D03"/>
    <w:rsid w:val="0008746F"/>
    <w:rsid w:val="00090CAA"/>
    <w:rsid w:val="00090F62"/>
    <w:rsid w:val="00091A2F"/>
    <w:rsid w:val="000935CF"/>
    <w:rsid w:val="00093A34"/>
    <w:rsid w:val="000946F6"/>
    <w:rsid w:val="00094C97"/>
    <w:rsid w:val="00094E41"/>
    <w:rsid w:val="000954B5"/>
    <w:rsid w:val="000970BC"/>
    <w:rsid w:val="000A0C46"/>
    <w:rsid w:val="000A0DBE"/>
    <w:rsid w:val="000A0FA8"/>
    <w:rsid w:val="000A2559"/>
    <w:rsid w:val="000A4604"/>
    <w:rsid w:val="000A4664"/>
    <w:rsid w:val="000A4E6F"/>
    <w:rsid w:val="000A5164"/>
    <w:rsid w:val="000A589E"/>
    <w:rsid w:val="000A58DF"/>
    <w:rsid w:val="000A5CE7"/>
    <w:rsid w:val="000A5EBA"/>
    <w:rsid w:val="000A60E1"/>
    <w:rsid w:val="000A6460"/>
    <w:rsid w:val="000A7B56"/>
    <w:rsid w:val="000B00F7"/>
    <w:rsid w:val="000B0136"/>
    <w:rsid w:val="000B0FA3"/>
    <w:rsid w:val="000B1339"/>
    <w:rsid w:val="000B24E5"/>
    <w:rsid w:val="000B4953"/>
    <w:rsid w:val="000B5033"/>
    <w:rsid w:val="000B5425"/>
    <w:rsid w:val="000B6190"/>
    <w:rsid w:val="000B6819"/>
    <w:rsid w:val="000C01F9"/>
    <w:rsid w:val="000C0489"/>
    <w:rsid w:val="000C0D83"/>
    <w:rsid w:val="000C4079"/>
    <w:rsid w:val="000C427A"/>
    <w:rsid w:val="000C4467"/>
    <w:rsid w:val="000C4936"/>
    <w:rsid w:val="000C5ADA"/>
    <w:rsid w:val="000C6387"/>
    <w:rsid w:val="000C6A46"/>
    <w:rsid w:val="000C7C94"/>
    <w:rsid w:val="000D0451"/>
    <w:rsid w:val="000D0CB3"/>
    <w:rsid w:val="000D10D0"/>
    <w:rsid w:val="000D12E4"/>
    <w:rsid w:val="000D19D4"/>
    <w:rsid w:val="000D19DB"/>
    <w:rsid w:val="000D24D9"/>
    <w:rsid w:val="000D2C1C"/>
    <w:rsid w:val="000D2F64"/>
    <w:rsid w:val="000D39F9"/>
    <w:rsid w:val="000D4530"/>
    <w:rsid w:val="000D458B"/>
    <w:rsid w:val="000D4863"/>
    <w:rsid w:val="000D4944"/>
    <w:rsid w:val="000D4CB7"/>
    <w:rsid w:val="000D6ACF"/>
    <w:rsid w:val="000E06A9"/>
    <w:rsid w:val="000E072E"/>
    <w:rsid w:val="000E074F"/>
    <w:rsid w:val="000E15D4"/>
    <w:rsid w:val="000E200D"/>
    <w:rsid w:val="000E28E9"/>
    <w:rsid w:val="000E2A74"/>
    <w:rsid w:val="000E4178"/>
    <w:rsid w:val="000E4EEA"/>
    <w:rsid w:val="000E5604"/>
    <w:rsid w:val="000E5F15"/>
    <w:rsid w:val="000E6490"/>
    <w:rsid w:val="000E64AB"/>
    <w:rsid w:val="000E6CDB"/>
    <w:rsid w:val="000E6F31"/>
    <w:rsid w:val="000E7B21"/>
    <w:rsid w:val="000E7E26"/>
    <w:rsid w:val="000F05C1"/>
    <w:rsid w:val="000F0775"/>
    <w:rsid w:val="000F0B8E"/>
    <w:rsid w:val="000F1526"/>
    <w:rsid w:val="000F25AC"/>
    <w:rsid w:val="000F3F1B"/>
    <w:rsid w:val="000F452E"/>
    <w:rsid w:val="000F6F09"/>
    <w:rsid w:val="000F77A9"/>
    <w:rsid w:val="00100545"/>
    <w:rsid w:val="0010243F"/>
    <w:rsid w:val="00103106"/>
    <w:rsid w:val="0010377B"/>
    <w:rsid w:val="00103F3B"/>
    <w:rsid w:val="00104BF8"/>
    <w:rsid w:val="00106CB2"/>
    <w:rsid w:val="00106FA9"/>
    <w:rsid w:val="001071AE"/>
    <w:rsid w:val="0011252C"/>
    <w:rsid w:val="0011253D"/>
    <w:rsid w:val="001128CC"/>
    <w:rsid w:val="00112C09"/>
    <w:rsid w:val="0011323F"/>
    <w:rsid w:val="0011370C"/>
    <w:rsid w:val="001145AA"/>
    <w:rsid w:val="00115492"/>
    <w:rsid w:val="00116C8C"/>
    <w:rsid w:val="00117C7E"/>
    <w:rsid w:val="001203AB"/>
    <w:rsid w:val="0012178C"/>
    <w:rsid w:val="001217C7"/>
    <w:rsid w:val="001223F2"/>
    <w:rsid w:val="0012484C"/>
    <w:rsid w:val="00126D61"/>
    <w:rsid w:val="0012779C"/>
    <w:rsid w:val="001279E7"/>
    <w:rsid w:val="001304E5"/>
    <w:rsid w:val="001307CE"/>
    <w:rsid w:val="001315B1"/>
    <w:rsid w:val="001335C6"/>
    <w:rsid w:val="0013399A"/>
    <w:rsid w:val="00134A0E"/>
    <w:rsid w:val="001373C0"/>
    <w:rsid w:val="0014095C"/>
    <w:rsid w:val="00140A02"/>
    <w:rsid w:val="00141747"/>
    <w:rsid w:val="00141B37"/>
    <w:rsid w:val="00141E65"/>
    <w:rsid w:val="001429E9"/>
    <w:rsid w:val="00142A1D"/>
    <w:rsid w:val="00142F38"/>
    <w:rsid w:val="00144CCE"/>
    <w:rsid w:val="00145242"/>
    <w:rsid w:val="00145894"/>
    <w:rsid w:val="00146963"/>
    <w:rsid w:val="00147711"/>
    <w:rsid w:val="00150313"/>
    <w:rsid w:val="001505E4"/>
    <w:rsid w:val="00150F13"/>
    <w:rsid w:val="00150F6E"/>
    <w:rsid w:val="00151D1E"/>
    <w:rsid w:val="00153343"/>
    <w:rsid w:val="001534A1"/>
    <w:rsid w:val="00154CD1"/>
    <w:rsid w:val="0015535F"/>
    <w:rsid w:val="00155950"/>
    <w:rsid w:val="00156141"/>
    <w:rsid w:val="0015651D"/>
    <w:rsid w:val="001570FA"/>
    <w:rsid w:val="0015757B"/>
    <w:rsid w:val="001600F8"/>
    <w:rsid w:val="001603E5"/>
    <w:rsid w:val="00161AE8"/>
    <w:rsid w:val="00161D0F"/>
    <w:rsid w:val="001620B2"/>
    <w:rsid w:val="00162CDB"/>
    <w:rsid w:val="00162F3F"/>
    <w:rsid w:val="00165716"/>
    <w:rsid w:val="00166C1F"/>
    <w:rsid w:val="00171018"/>
    <w:rsid w:val="00172A27"/>
    <w:rsid w:val="001730C5"/>
    <w:rsid w:val="0017326E"/>
    <w:rsid w:val="001744A2"/>
    <w:rsid w:val="0017466A"/>
    <w:rsid w:val="00174EC3"/>
    <w:rsid w:val="00176345"/>
    <w:rsid w:val="00176BBD"/>
    <w:rsid w:val="0017725B"/>
    <w:rsid w:val="0017731B"/>
    <w:rsid w:val="00177D91"/>
    <w:rsid w:val="001803C3"/>
    <w:rsid w:val="001811C8"/>
    <w:rsid w:val="00181838"/>
    <w:rsid w:val="00182243"/>
    <w:rsid w:val="001825B9"/>
    <w:rsid w:val="00183126"/>
    <w:rsid w:val="0018577A"/>
    <w:rsid w:val="0018586C"/>
    <w:rsid w:val="0018639A"/>
    <w:rsid w:val="001866DB"/>
    <w:rsid w:val="00186991"/>
    <w:rsid w:val="001871E0"/>
    <w:rsid w:val="00187223"/>
    <w:rsid w:val="00191221"/>
    <w:rsid w:val="001919BB"/>
    <w:rsid w:val="001919FF"/>
    <w:rsid w:val="00192839"/>
    <w:rsid w:val="00192A59"/>
    <w:rsid w:val="00193018"/>
    <w:rsid w:val="001933C0"/>
    <w:rsid w:val="00193582"/>
    <w:rsid w:val="00194925"/>
    <w:rsid w:val="00194DC8"/>
    <w:rsid w:val="00194F1D"/>
    <w:rsid w:val="001954DD"/>
    <w:rsid w:val="0019699F"/>
    <w:rsid w:val="00197118"/>
    <w:rsid w:val="001A066F"/>
    <w:rsid w:val="001A0B6C"/>
    <w:rsid w:val="001A2669"/>
    <w:rsid w:val="001A2677"/>
    <w:rsid w:val="001A3595"/>
    <w:rsid w:val="001A38FA"/>
    <w:rsid w:val="001A3BAC"/>
    <w:rsid w:val="001A4EC8"/>
    <w:rsid w:val="001A5238"/>
    <w:rsid w:val="001A62E6"/>
    <w:rsid w:val="001A674E"/>
    <w:rsid w:val="001A6F44"/>
    <w:rsid w:val="001A70A6"/>
    <w:rsid w:val="001A78BA"/>
    <w:rsid w:val="001A7F5A"/>
    <w:rsid w:val="001B08CE"/>
    <w:rsid w:val="001B0E3D"/>
    <w:rsid w:val="001B1506"/>
    <w:rsid w:val="001B1B3B"/>
    <w:rsid w:val="001B1D3E"/>
    <w:rsid w:val="001B1E0A"/>
    <w:rsid w:val="001B24F5"/>
    <w:rsid w:val="001B2BAD"/>
    <w:rsid w:val="001B3797"/>
    <w:rsid w:val="001B3DAF"/>
    <w:rsid w:val="001B46CD"/>
    <w:rsid w:val="001B6472"/>
    <w:rsid w:val="001B6ABC"/>
    <w:rsid w:val="001C017A"/>
    <w:rsid w:val="001C05FC"/>
    <w:rsid w:val="001C06AE"/>
    <w:rsid w:val="001C0896"/>
    <w:rsid w:val="001C0D67"/>
    <w:rsid w:val="001C150D"/>
    <w:rsid w:val="001C1A9B"/>
    <w:rsid w:val="001C2169"/>
    <w:rsid w:val="001C3822"/>
    <w:rsid w:val="001C4115"/>
    <w:rsid w:val="001C4802"/>
    <w:rsid w:val="001C4ECB"/>
    <w:rsid w:val="001C5291"/>
    <w:rsid w:val="001C7600"/>
    <w:rsid w:val="001C7718"/>
    <w:rsid w:val="001C7CEE"/>
    <w:rsid w:val="001D0192"/>
    <w:rsid w:val="001D03B1"/>
    <w:rsid w:val="001D0AE6"/>
    <w:rsid w:val="001D1930"/>
    <w:rsid w:val="001D3062"/>
    <w:rsid w:val="001D3846"/>
    <w:rsid w:val="001D43BB"/>
    <w:rsid w:val="001D4737"/>
    <w:rsid w:val="001D55DC"/>
    <w:rsid w:val="001D5F94"/>
    <w:rsid w:val="001D6493"/>
    <w:rsid w:val="001D7218"/>
    <w:rsid w:val="001D73B5"/>
    <w:rsid w:val="001D7754"/>
    <w:rsid w:val="001D7A5D"/>
    <w:rsid w:val="001D7DD3"/>
    <w:rsid w:val="001D7F69"/>
    <w:rsid w:val="001E1B6E"/>
    <w:rsid w:val="001E1B93"/>
    <w:rsid w:val="001E597A"/>
    <w:rsid w:val="001E6211"/>
    <w:rsid w:val="001E6432"/>
    <w:rsid w:val="001E7B00"/>
    <w:rsid w:val="001F1F45"/>
    <w:rsid w:val="001F260F"/>
    <w:rsid w:val="001F2808"/>
    <w:rsid w:val="001F2A75"/>
    <w:rsid w:val="001F3562"/>
    <w:rsid w:val="001F4890"/>
    <w:rsid w:val="001F4AE5"/>
    <w:rsid w:val="001F4FAE"/>
    <w:rsid w:val="001F57AB"/>
    <w:rsid w:val="001F5DA8"/>
    <w:rsid w:val="001F5EA8"/>
    <w:rsid w:val="001F6148"/>
    <w:rsid w:val="001F7438"/>
    <w:rsid w:val="00201526"/>
    <w:rsid w:val="00201539"/>
    <w:rsid w:val="00202ED5"/>
    <w:rsid w:val="002031CF"/>
    <w:rsid w:val="002039F3"/>
    <w:rsid w:val="00203CBE"/>
    <w:rsid w:val="002041A2"/>
    <w:rsid w:val="00204AFF"/>
    <w:rsid w:val="00204D71"/>
    <w:rsid w:val="0020694B"/>
    <w:rsid w:val="00206BC6"/>
    <w:rsid w:val="00207C11"/>
    <w:rsid w:val="00210A5E"/>
    <w:rsid w:val="0021183A"/>
    <w:rsid w:val="00213778"/>
    <w:rsid w:val="00213818"/>
    <w:rsid w:val="002138F1"/>
    <w:rsid w:val="00213B5C"/>
    <w:rsid w:val="002146B0"/>
    <w:rsid w:val="00214AF7"/>
    <w:rsid w:val="00214B25"/>
    <w:rsid w:val="00215831"/>
    <w:rsid w:val="002158B6"/>
    <w:rsid w:val="00216D86"/>
    <w:rsid w:val="00217C64"/>
    <w:rsid w:val="0022049C"/>
    <w:rsid w:val="0022082E"/>
    <w:rsid w:val="0022281E"/>
    <w:rsid w:val="00222E17"/>
    <w:rsid w:val="002233BC"/>
    <w:rsid w:val="002234CD"/>
    <w:rsid w:val="00224242"/>
    <w:rsid w:val="00224364"/>
    <w:rsid w:val="00224A5D"/>
    <w:rsid w:val="00225561"/>
    <w:rsid w:val="002268F9"/>
    <w:rsid w:val="002273FC"/>
    <w:rsid w:val="00230A8E"/>
    <w:rsid w:val="00230B37"/>
    <w:rsid w:val="00230E19"/>
    <w:rsid w:val="002312BF"/>
    <w:rsid w:val="002315F1"/>
    <w:rsid w:val="00231814"/>
    <w:rsid w:val="00231CFD"/>
    <w:rsid w:val="00231FA9"/>
    <w:rsid w:val="00232826"/>
    <w:rsid w:val="00232900"/>
    <w:rsid w:val="002338A3"/>
    <w:rsid w:val="00234AFD"/>
    <w:rsid w:val="00237DCF"/>
    <w:rsid w:val="0024043D"/>
    <w:rsid w:val="00240C5E"/>
    <w:rsid w:val="002412BF"/>
    <w:rsid w:val="0024145D"/>
    <w:rsid w:val="00241CE8"/>
    <w:rsid w:val="00242274"/>
    <w:rsid w:val="002435EE"/>
    <w:rsid w:val="00243684"/>
    <w:rsid w:val="00250424"/>
    <w:rsid w:val="002505CC"/>
    <w:rsid w:val="002507ED"/>
    <w:rsid w:val="00251119"/>
    <w:rsid w:val="002519A9"/>
    <w:rsid w:val="00251B52"/>
    <w:rsid w:val="00251BB8"/>
    <w:rsid w:val="002525A7"/>
    <w:rsid w:val="00254456"/>
    <w:rsid w:val="002546D3"/>
    <w:rsid w:val="002546F9"/>
    <w:rsid w:val="00254CAA"/>
    <w:rsid w:val="002562C8"/>
    <w:rsid w:val="00256492"/>
    <w:rsid w:val="0025734F"/>
    <w:rsid w:val="00257B09"/>
    <w:rsid w:val="00257FE1"/>
    <w:rsid w:val="002600A9"/>
    <w:rsid w:val="00260BED"/>
    <w:rsid w:val="00261105"/>
    <w:rsid w:val="0026198D"/>
    <w:rsid w:val="00262005"/>
    <w:rsid w:val="0026256A"/>
    <w:rsid w:val="00262C58"/>
    <w:rsid w:val="002640A0"/>
    <w:rsid w:val="00264D61"/>
    <w:rsid w:val="00265520"/>
    <w:rsid w:val="002656B5"/>
    <w:rsid w:val="0026608A"/>
    <w:rsid w:val="002664A8"/>
    <w:rsid w:val="00266592"/>
    <w:rsid w:val="00266785"/>
    <w:rsid w:val="002667D9"/>
    <w:rsid w:val="0026733B"/>
    <w:rsid w:val="0026753A"/>
    <w:rsid w:val="00270240"/>
    <w:rsid w:val="002703F7"/>
    <w:rsid w:val="0027089E"/>
    <w:rsid w:val="00270985"/>
    <w:rsid w:val="0027133D"/>
    <w:rsid w:val="002716FD"/>
    <w:rsid w:val="002731EF"/>
    <w:rsid w:val="00273946"/>
    <w:rsid w:val="00273D72"/>
    <w:rsid w:val="00281E92"/>
    <w:rsid w:val="00282022"/>
    <w:rsid w:val="0028402D"/>
    <w:rsid w:val="00284131"/>
    <w:rsid w:val="002877FF"/>
    <w:rsid w:val="002937F0"/>
    <w:rsid w:val="00294F99"/>
    <w:rsid w:val="0029512A"/>
    <w:rsid w:val="00295C86"/>
    <w:rsid w:val="00297B86"/>
    <w:rsid w:val="002A05D1"/>
    <w:rsid w:val="002A0EEC"/>
    <w:rsid w:val="002A1337"/>
    <w:rsid w:val="002A19A4"/>
    <w:rsid w:val="002A2263"/>
    <w:rsid w:val="002A27AD"/>
    <w:rsid w:val="002A3219"/>
    <w:rsid w:val="002A36DC"/>
    <w:rsid w:val="002A65A9"/>
    <w:rsid w:val="002A6C46"/>
    <w:rsid w:val="002A7B95"/>
    <w:rsid w:val="002B0D07"/>
    <w:rsid w:val="002B175D"/>
    <w:rsid w:val="002B25A2"/>
    <w:rsid w:val="002B34FE"/>
    <w:rsid w:val="002B3D67"/>
    <w:rsid w:val="002B46CF"/>
    <w:rsid w:val="002B5102"/>
    <w:rsid w:val="002B59F8"/>
    <w:rsid w:val="002B5EE4"/>
    <w:rsid w:val="002B6460"/>
    <w:rsid w:val="002B6C15"/>
    <w:rsid w:val="002B6FF2"/>
    <w:rsid w:val="002B7B6F"/>
    <w:rsid w:val="002C0107"/>
    <w:rsid w:val="002C0EF2"/>
    <w:rsid w:val="002C166D"/>
    <w:rsid w:val="002C1FD0"/>
    <w:rsid w:val="002C20BF"/>
    <w:rsid w:val="002C2F2F"/>
    <w:rsid w:val="002C3BE1"/>
    <w:rsid w:val="002C47AA"/>
    <w:rsid w:val="002C4A12"/>
    <w:rsid w:val="002C4D74"/>
    <w:rsid w:val="002C5037"/>
    <w:rsid w:val="002C5636"/>
    <w:rsid w:val="002C5963"/>
    <w:rsid w:val="002C5DF9"/>
    <w:rsid w:val="002C6340"/>
    <w:rsid w:val="002C6C12"/>
    <w:rsid w:val="002C7C93"/>
    <w:rsid w:val="002D0EFA"/>
    <w:rsid w:val="002D169C"/>
    <w:rsid w:val="002D1BAF"/>
    <w:rsid w:val="002D235F"/>
    <w:rsid w:val="002D2663"/>
    <w:rsid w:val="002D2FC6"/>
    <w:rsid w:val="002D4A4F"/>
    <w:rsid w:val="002D4CE3"/>
    <w:rsid w:val="002D56D1"/>
    <w:rsid w:val="002D56DB"/>
    <w:rsid w:val="002D7004"/>
    <w:rsid w:val="002D743C"/>
    <w:rsid w:val="002D7BE8"/>
    <w:rsid w:val="002E0FE0"/>
    <w:rsid w:val="002E106C"/>
    <w:rsid w:val="002E163B"/>
    <w:rsid w:val="002E1761"/>
    <w:rsid w:val="002E28C3"/>
    <w:rsid w:val="002E2C43"/>
    <w:rsid w:val="002E3826"/>
    <w:rsid w:val="002E4204"/>
    <w:rsid w:val="002E5517"/>
    <w:rsid w:val="002E5EAB"/>
    <w:rsid w:val="002E60AA"/>
    <w:rsid w:val="002E6800"/>
    <w:rsid w:val="002E6CAB"/>
    <w:rsid w:val="002E70BB"/>
    <w:rsid w:val="002E7FF5"/>
    <w:rsid w:val="002F1DD0"/>
    <w:rsid w:val="002F20B2"/>
    <w:rsid w:val="002F3D68"/>
    <w:rsid w:val="002F464C"/>
    <w:rsid w:val="002F46E6"/>
    <w:rsid w:val="002F4FE5"/>
    <w:rsid w:val="002F5D72"/>
    <w:rsid w:val="002F6CE4"/>
    <w:rsid w:val="003020C9"/>
    <w:rsid w:val="00302FA3"/>
    <w:rsid w:val="00303716"/>
    <w:rsid w:val="00303795"/>
    <w:rsid w:val="00303EAC"/>
    <w:rsid w:val="00303F78"/>
    <w:rsid w:val="0030527D"/>
    <w:rsid w:val="00305B3D"/>
    <w:rsid w:val="00305B9E"/>
    <w:rsid w:val="0030623D"/>
    <w:rsid w:val="00307DBA"/>
    <w:rsid w:val="003103FC"/>
    <w:rsid w:val="00310DF9"/>
    <w:rsid w:val="00311C37"/>
    <w:rsid w:val="00312515"/>
    <w:rsid w:val="003125AD"/>
    <w:rsid w:val="00312B41"/>
    <w:rsid w:val="00313F19"/>
    <w:rsid w:val="00314634"/>
    <w:rsid w:val="00314939"/>
    <w:rsid w:val="003163E2"/>
    <w:rsid w:val="003168D5"/>
    <w:rsid w:val="00316DB2"/>
    <w:rsid w:val="00316F24"/>
    <w:rsid w:val="00317A84"/>
    <w:rsid w:val="003203E2"/>
    <w:rsid w:val="0032117B"/>
    <w:rsid w:val="0032339E"/>
    <w:rsid w:val="00323596"/>
    <w:rsid w:val="0032392C"/>
    <w:rsid w:val="00323E11"/>
    <w:rsid w:val="00323E57"/>
    <w:rsid w:val="003244A9"/>
    <w:rsid w:val="003266ED"/>
    <w:rsid w:val="00326D07"/>
    <w:rsid w:val="00326D0A"/>
    <w:rsid w:val="00327FD1"/>
    <w:rsid w:val="0033005F"/>
    <w:rsid w:val="003308BE"/>
    <w:rsid w:val="00331068"/>
    <w:rsid w:val="0033149B"/>
    <w:rsid w:val="0033195A"/>
    <w:rsid w:val="00331BE0"/>
    <w:rsid w:val="003324A4"/>
    <w:rsid w:val="0033293D"/>
    <w:rsid w:val="00333757"/>
    <w:rsid w:val="003340EA"/>
    <w:rsid w:val="00335BDB"/>
    <w:rsid w:val="00335C33"/>
    <w:rsid w:val="00336115"/>
    <w:rsid w:val="00336269"/>
    <w:rsid w:val="003363A9"/>
    <w:rsid w:val="00336B10"/>
    <w:rsid w:val="00336C29"/>
    <w:rsid w:val="003373D4"/>
    <w:rsid w:val="0033740C"/>
    <w:rsid w:val="00337BB5"/>
    <w:rsid w:val="00337C40"/>
    <w:rsid w:val="00337E00"/>
    <w:rsid w:val="003403F2"/>
    <w:rsid w:val="0034180F"/>
    <w:rsid w:val="00342649"/>
    <w:rsid w:val="00343418"/>
    <w:rsid w:val="003434B8"/>
    <w:rsid w:val="00345323"/>
    <w:rsid w:val="00345822"/>
    <w:rsid w:val="00347954"/>
    <w:rsid w:val="00347E55"/>
    <w:rsid w:val="00347E98"/>
    <w:rsid w:val="00351F44"/>
    <w:rsid w:val="003537A9"/>
    <w:rsid w:val="00355213"/>
    <w:rsid w:val="003553CB"/>
    <w:rsid w:val="00355EDF"/>
    <w:rsid w:val="0035635A"/>
    <w:rsid w:val="00356BCE"/>
    <w:rsid w:val="0035749C"/>
    <w:rsid w:val="00360D19"/>
    <w:rsid w:val="00360FCB"/>
    <w:rsid w:val="0036182F"/>
    <w:rsid w:val="00361D27"/>
    <w:rsid w:val="00362B6B"/>
    <w:rsid w:val="00363562"/>
    <w:rsid w:val="003635C6"/>
    <w:rsid w:val="00364476"/>
    <w:rsid w:val="0036454D"/>
    <w:rsid w:val="00364937"/>
    <w:rsid w:val="00365065"/>
    <w:rsid w:val="003653C4"/>
    <w:rsid w:val="003658AF"/>
    <w:rsid w:val="003668AC"/>
    <w:rsid w:val="00366C44"/>
    <w:rsid w:val="00366EA9"/>
    <w:rsid w:val="003670DD"/>
    <w:rsid w:val="00367BDA"/>
    <w:rsid w:val="00370C7A"/>
    <w:rsid w:val="00370D01"/>
    <w:rsid w:val="0037209A"/>
    <w:rsid w:val="00372661"/>
    <w:rsid w:val="00373251"/>
    <w:rsid w:val="0037343D"/>
    <w:rsid w:val="00373E94"/>
    <w:rsid w:val="0037442D"/>
    <w:rsid w:val="003746D3"/>
    <w:rsid w:val="00374E82"/>
    <w:rsid w:val="00374F23"/>
    <w:rsid w:val="003751B7"/>
    <w:rsid w:val="0037524A"/>
    <w:rsid w:val="003759AE"/>
    <w:rsid w:val="003760A2"/>
    <w:rsid w:val="003761F6"/>
    <w:rsid w:val="00376BE3"/>
    <w:rsid w:val="003770C9"/>
    <w:rsid w:val="003771A0"/>
    <w:rsid w:val="0037774D"/>
    <w:rsid w:val="00377D3D"/>
    <w:rsid w:val="00377E4E"/>
    <w:rsid w:val="00377EFD"/>
    <w:rsid w:val="0038047D"/>
    <w:rsid w:val="00381109"/>
    <w:rsid w:val="003822F8"/>
    <w:rsid w:val="00382559"/>
    <w:rsid w:val="00383949"/>
    <w:rsid w:val="003872D3"/>
    <w:rsid w:val="0038771A"/>
    <w:rsid w:val="00387DA3"/>
    <w:rsid w:val="00390168"/>
    <w:rsid w:val="003908EF"/>
    <w:rsid w:val="00390A6E"/>
    <w:rsid w:val="00390B2E"/>
    <w:rsid w:val="00391FE9"/>
    <w:rsid w:val="00392F7F"/>
    <w:rsid w:val="00393988"/>
    <w:rsid w:val="0039419B"/>
    <w:rsid w:val="003945B5"/>
    <w:rsid w:val="0039479A"/>
    <w:rsid w:val="00394987"/>
    <w:rsid w:val="00394EF6"/>
    <w:rsid w:val="00395D66"/>
    <w:rsid w:val="0039676F"/>
    <w:rsid w:val="003967E7"/>
    <w:rsid w:val="00396E97"/>
    <w:rsid w:val="00397B0B"/>
    <w:rsid w:val="00397DCE"/>
    <w:rsid w:val="00397F23"/>
    <w:rsid w:val="003A1553"/>
    <w:rsid w:val="003A191B"/>
    <w:rsid w:val="003A1925"/>
    <w:rsid w:val="003A1C6F"/>
    <w:rsid w:val="003A22F8"/>
    <w:rsid w:val="003A24A2"/>
    <w:rsid w:val="003A2E34"/>
    <w:rsid w:val="003A3767"/>
    <w:rsid w:val="003A428D"/>
    <w:rsid w:val="003A4427"/>
    <w:rsid w:val="003A463C"/>
    <w:rsid w:val="003A49D2"/>
    <w:rsid w:val="003A5B42"/>
    <w:rsid w:val="003A6AB5"/>
    <w:rsid w:val="003A6C31"/>
    <w:rsid w:val="003A785F"/>
    <w:rsid w:val="003A7B76"/>
    <w:rsid w:val="003B000B"/>
    <w:rsid w:val="003B025F"/>
    <w:rsid w:val="003B094B"/>
    <w:rsid w:val="003B12BA"/>
    <w:rsid w:val="003B21AF"/>
    <w:rsid w:val="003B2D0A"/>
    <w:rsid w:val="003B58E8"/>
    <w:rsid w:val="003B5E27"/>
    <w:rsid w:val="003B5E76"/>
    <w:rsid w:val="003B794C"/>
    <w:rsid w:val="003C086D"/>
    <w:rsid w:val="003C0986"/>
    <w:rsid w:val="003C0A88"/>
    <w:rsid w:val="003C1093"/>
    <w:rsid w:val="003C16BD"/>
    <w:rsid w:val="003C18C6"/>
    <w:rsid w:val="003C1C20"/>
    <w:rsid w:val="003C1E66"/>
    <w:rsid w:val="003C2273"/>
    <w:rsid w:val="003C2346"/>
    <w:rsid w:val="003C2916"/>
    <w:rsid w:val="003C355E"/>
    <w:rsid w:val="003C3BC7"/>
    <w:rsid w:val="003C4333"/>
    <w:rsid w:val="003C59E9"/>
    <w:rsid w:val="003C6A9D"/>
    <w:rsid w:val="003C7397"/>
    <w:rsid w:val="003D04CC"/>
    <w:rsid w:val="003D0564"/>
    <w:rsid w:val="003D060C"/>
    <w:rsid w:val="003D196D"/>
    <w:rsid w:val="003D1E7C"/>
    <w:rsid w:val="003D2A6B"/>
    <w:rsid w:val="003D2BF1"/>
    <w:rsid w:val="003D2C45"/>
    <w:rsid w:val="003D3645"/>
    <w:rsid w:val="003D45C6"/>
    <w:rsid w:val="003D5006"/>
    <w:rsid w:val="003D5725"/>
    <w:rsid w:val="003D5C12"/>
    <w:rsid w:val="003D5F32"/>
    <w:rsid w:val="003D76B8"/>
    <w:rsid w:val="003D775D"/>
    <w:rsid w:val="003E0BAB"/>
    <w:rsid w:val="003E0E72"/>
    <w:rsid w:val="003E195A"/>
    <w:rsid w:val="003E2C47"/>
    <w:rsid w:val="003E355F"/>
    <w:rsid w:val="003E7069"/>
    <w:rsid w:val="003F0143"/>
    <w:rsid w:val="003F0B87"/>
    <w:rsid w:val="003F167D"/>
    <w:rsid w:val="003F265F"/>
    <w:rsid w:val="003F27CA"/>
    <w:rsid w:val="003F2E7A"/>
    <w:rsid w:val="003F2E8B"/>
    <w:rsid w:val="003F30FE"/>
    <w:rsid w:val="003F404C"/>
    <w:rsid w:val="003F5A55"/>
    <w:rsid w:val="003F68F8"/>
    <w:rsid w:val="003F71B2"/>
    <w:rsid w:val="003F76B3"/>
    <w:rsid w:val="00400A83"/>
    <w:rsid w:val="00401B99"/>
    <w:rsid w:val="004023D1"/>
    <w:rsid w:val="0040264D"/>
    <w:rsid w:val="00402D8D"/>
    <w:rsid w:val="00404061"/>
    <w:rsid w:val="004044C6"/>
    <w:rsid w:val="00404F41"/>
    <w:rsid w:val="00406348"/>
    <w:rsid w:val="004077FC"/>
    <w:rsid w:val="0040799C"/>
    <w:rsid w:val="00410111"/>
    <w:rsid w:val="004105AF"/>
    <w:rsid w:val="004114EA"/>
    <w:rsid w:val="004117D5"/>
    <w:rsid w:val="00412A52"/>
    <w:rsid w:val="00413610"/>
    <w:rsid w:val="0041667B"/>
    <w:rsid w:val="00417F57"/>
    <w:rsid w:val="004205FF"/>
    <w:rsid w:val="00420862"/>
    <w:rsid w:val="00421F22"/>
    <w:rsid w:val="0042277B"/>
    <w:rsid w:val="004227AC"/>
    <w:rsid w:val="00423062"/>
    <w:rsid w:val="004231DA"/>
    <w:rsid w:val="004233DA"/>
    <w:rsid w:val="004235E8"/>
    <w:rsid w:val="00425958"/>
    <w:rsid w:val="00425F10"/>
    <w:rsid w:val="00426B23"/>
    <w:rsid w:val="00426FF6"/>
    <w:rsid w:val="004309A7"/>
    <w:rsid w:val="00431304"/>
    <w:rsid w:val="00431F0C"/>
    <w:rsid w:val="004320B5"/>
    <w:rsid w:val="00432689"/>
    <w:rsid w:val="00432CD4"/>
    <w:rsid w:val="00432CF8"/>
    <w:rsid w:val="00432DA5"/>
    <w:rsid w:val="0043473D"/>
    <w:rsid w:val="004347A9"/>
    <w:rsid w:val="00434C72"/>
    <w:rsid w:val="00435AAF"/>
    <w:rsid w:val="00435D23"/>
    <w:rsid w:val="0043612C"/>
    <w:rsid w:val="00436873"/>
    <w:rsid w:val="004404E6"/>
    <w:rsid w:val="0044115E"/>
    <w:rsid w:val="0044193A"/>
    <w:rsid w:val="00443095"/>
    <w:rsid w:val="004432FE"/>
    <w:rsid w:val="004439E9"/>
    <w:rsid w:val="00445C5C"/>
    <w:rsid w:val="00446307"/>
    <w:rsid w:val="0044669A"/>
    <w:rsid w:val="004466B8"/>
    <w:rsid w:val="00447E8F"/>
    <w:rsid w:val="00450027"/>
    <w:rsid w:val="00451479"/>
    <w:rsid w:val="00452062"/>
    <w:rsid w:val="00452B6F"/>
    <w:rsid w:val="004534D7"/>
    <w:rsid w:val="004549C2"/>
    <w:rsid w:val="0045615F"/>
    <w:rsid w:val="00456353"/>
    <w:rsid w:val="00456C3D"/>
    <w:rsid w:val="004572DA"/>
    <w:rsid w:val="004577BD"/>
    <w:rsid w:val="0045796C"/>
    <w:rsid w:val="00457BB0"/>
    <w:rsid w:val="0046078B"/>
    <w:rsid w:val="00460D03"/>
    <w:rsid w:val="004611A6"/>
    <w:rsid w:val="00461E9B"/>
    <w:rsid w:val="004621F3"/>
    <w:rsid w:val="0046249D"/>
    <w:rsid w:val="00462B83"/>
    <w:rsid w:val="00462CF6"/>
    <w:rsid w:val="00462F7E"/>
    <w:rsid w:val="00463558"/>
    <w:rsid w:val="00465ED6"/>
    <w:rsid w:val="0046643B"/>
    <w:rsid w:val="00466D46"/>
    <w:rsid w:val="00466FD8"/>
    <w:rsid w:val="00467505"/>
    <w:rsid w:val="00471669"/>
    <w:rsid w:val="00474014"/>
    <w:rsid w:val="00475591"/>
    <w:rsid w:val="00475F08"/>
    <w:rsid w:val="004764CB"/>
    <w:rsid w:val="00476823"/>
    <w:rsid w:val="00477C40"/>
    <w:rsid w:val="00480A68"/>
    <w:rsid w:val="00480C3C"/>
    <w:rsid w:val="0048131D"/>
    <w:rsid w:val="00481952"/>
    <w:rsid w:val="00481CCD"/>
    <w:rsid w:val="0048349E"/>
    <w:rsid w:val="00483B3F"/>
    <w:rsid w:val="00483F44"/>
    <w:rsid w:val="00484875"/>
    <w:rsid w:val="00484F4D"/>
    <w:rsid w:val="0048501F"/>
    <w:rsid w:val="0048530B"/>
    <w:rsid w:val="00485438"/>
    <w:rsid w:val="0048635D"/>
    <w:rsid w:val="004905F3"/>
    <w:rsid w:val="00490E32"/>
    <w:rsid w:val="004910D6"/>
    <w:rsid w:val="00491570"/>
    <w:rsid w:val="00492EA5"/>
    <w:rsid w:val="00494792"/>
    <w:rsid w:val="00495241"/>
    <w:rsid w:val="00495AF6"/>
    <w:rsid w:val="00496017"/>
    <w:rsid w:val="00497E51"/>
    <w:rsid w:val="004A0882"/>
    <w:rsid w:val="004A1E2D"/>
    <w:rsid w:val="004A2333"/>
    <w:rsid w:val="004A2581"/>
    <w:rsid w:val="004A2A45"/>
    <w:rsid w:val="004A2B92"/>
    <w:rsid w:val="004A2DE0"/>
    <w:rsid w:val="004A337E"/>
    <w:rsid w:val="004A3615"/>
    <w:rsid w:val="004A3D50"/>
    <w:rsid w:val="004A538A"/>
    <w:rsid w:val="004A6200"/>
    <w:rsid w:val="004A666E"/>
    <w:rsid w:val="004B1393"/>
    <w:rsid w:val="004B7155"/>
    <w:rsid w:val="004B728C"/>
    <w:rsid w:val="004B7927"/>
    <w:rsid w:val="004B7F28"/>
    <w:rsid w:val="004C0631"/>
    <w:rsid w:val="004C0ED6"/>
    <w:rsid w:val="004C0FC5"/>
    <w:rsid w:val="004C494D"/>
    <w:rsid w:val="004C4960"/>
    <w:rsid w:val="004C51EA"/>
    <w:rsid w:val="004C5815"/>
    <w:rsid w:val="004C5857"/>
    <w:rsid w:val="004C674D"/>
    <w:rsid w:val="004C6BC2"/>
    <w:rsid w:val="004C6D38"/>
    <w:rsid w:val="004C7469"/>
    <w:rsid w:val="004C7E09"/>
    <w:rsid w:val="004D0634"/>
    <w:rsid w:val="004D0898"/>
    <w:rsid w:val="004D31D1"/>
    <w:rsid w:val="004D34D0"/>
    <w:rsid w:val="004D3601"/>
    <w:rsid w:val="004D466F"/>
    <w:rsid w:val="004D4887"/>
    <w:rsid w:val="004D4EEA"/>
    <w:rsid w:val="004D5515"/>
    <w:rsid w:val="004D63A0"/>
    <w:rsid w:val="004D663C"/>
    <w:rsid w:val="004D6B86"/>
    <w:rsid w:val="004D7365"/>
    <w:rsid w:val="004D7467"/>
    <w:rsid w:val="004E1E1E"/>
    <w:rsid w:val="004E207B"/>
    <w:rsid w:val="004E30E3"/>
    <w:rsid w:val="004E4643"/>
    <w:rsid w:val="004E491D"/>
    <w:rsid w:val="004E54DF"/>
    <w:rsid w:val="004E5671"/>
    <w:rsid w:val="004E6551"/>
    <w:rsid w:val="004E6E28"/>
    <w:rsid w:val="004E79AF"/>
    <w:rsid w:val="004E7A0C"/>
    <w:rsid w:val="004F0683"/>
    <w:rsid w:val="004F0AEE"/>
    <w:rsid w:val="004F0C42"/>
    <w:rsid w:val="004F0CB3"/>
    <w:rsid w:val="004F35F7"/>
    <w:rsid w:val="004F3901"/>
    <w:rsid w:val="004F62B9"/>
    <w:rsid w:val="00500745"/>
    <w:rsid w:val="00500C9E"/>
    <w:rsid w:val="0050104A"/>
    <w:rsid w:val="00501F30"/>
    <w:rsid w:val="00503C24"/>
    <w:rsid w:val="005049FC"/>
    <w:rsid w:val="00505D6B"/>
    <w:rsid w:val="00505D76"/>
    <w:rsid w:val="0050606D"/>
    <w:rsid w:val="005063BB"/>
    <w:rsid w:val="005067C9"/>
    <w:rsid w:val="00506ABA"/>
    <w:rsid w:val="005076C4"/>
    <w:rsid w:val="005078AD"/>
    <w:rsid w:val="005117B6"/>
    <w:rsid w:val="00513AD1"/>
    <w:rsid w:val="00513FFF"/>
    <w:rsid w:val="0051470D"/>
    <w:rsid w:val="005149A3"/>
    <w:rsid w:val="00516E07"/>
    <w:rsid w:val="00517C45"/>
    <w:rsid w:val="00520113"/>
    <w:rsid w:val="00522603"/>
    <w:rsid w:val="00523A9D"/>
    <w:rsid w:val="00523B9A"/>
    <w:rsid w:val="005241EF"/>
    <w:rsid w:val="005254FE"/>
    <w:rsid w:val="00526DFF"/>
    <w:rsid w:val="005276E6"/>
    <w:rsid w:val="00527F19"/>
    <w:rsid w:val="00531352"/>
    <w:rsid w:val="00531A80"/>
    <w:rsid w:val="00534AAA"/>
    <w:rsid w:val="00537DDF"/>
    <w:rsid w:val="00540BE6"/>
    <w:rsid w:val="00541768"/>
    <w:rsid w:val="00542D6B"/>
    <w:rsid w:val="00543CDC"/>
    <w:rsid w:val="005448D2"/>
    <w:rsid w:val="0054528D"/>
    <w:rsid w:val="005454F2"/>
    <w:rsid w:val="0054624C"/>
    <w:rsid w:val="00551742"/>
    <w:rsid w:val="005518D8"/>
    <w:rsid w:val="005525AF"/>
    <w:rsid w:val="00553D16"/>
    <w:rsid w:val="00555106"/>
    <w:rsid w:val="005568E6"/>
    <w:rsid w:val="00560105"/>
    <w:rsid w:val="00560A53"/>
    <w:rsid w:val="00562082"/>
    <w:rsid w:val="00562264"/>
    <w:rsid w:val="005635A3"/>
    <w:rsid w:val="0056491E"/>
    <w:rsid w:val="005649D1"/>
    <w:rsid w:val="0056577A"/>
    <w:rsid w:val="00565E7A"/>
    <w:rsid w:val="005666D1"/>
    <w:rsid w:val="00567FA6"/>
    <w:rsid w:val="00570B1F"/>
    <w:rsid w:val="00570BCB"/>
    <w:rsid w:val="00571DED"/>
    <w:rsid w:val="005726FC"/>
    <w:rsid w:val="005727A0"/>
    <w:rsid w:val="00573D35"/>
    <w:rsid w:val="0057425D"/>
    <w:rsid w:val="005753AF"/>
    <w:rsid w:val="00575874"/>
    <w:rsid w:val="00575D37"/>
    <w:rsid w:val="00577560"/>
    <w:rsid w:val="00580A98"/>
    <w:rsid w:val="00581100"/>
    <w:rsid w:val="00581481"/>
    <w:rsid w:val="005818AE"/>
    <w:rsid w:val="00581DF7"/>
    <w:rsid w:val="00582959"/>
    <w:rsid w:val="0058305C"/>
    <w:rsid w:val="0058349C"/>
    <w:rsid w:val="0058376C"/>
    <w:rsid w:val="00583CE8"/>
    <w:rsid w:val="00584744"/>
    <w:rsid w:val="00584E6B"/>
    <w:rsid w:val="005856E3"/>
    <w:rsid w:val="005863F8"/>
    <w:rsid w:val="005866EA"/>
    <w:rsid w:val="00586BF2"/>
    <w:rsid w:val="005874F5"/>
    <w:rsid w:val="005879F0"/>
    <w:rsid w:val="0059016B"/>
    <w:rsid w:val="005906F8"/>
    <w:rsid w:val="00591598"/>
    <w:rsid w:val="00592407"/>
    <w:rsid w:val="00594549"/>
    <w:rsid w:val="00594707"/>
    <w:rsid w:val="00594750"/>
    <w:rsid w:val="00594F9B"/>
    <w:rsid w:val="005961D5"/>
    <w:rsid w:val="0059643D"/>
    <w:rsid w:val="00596B30"/>
    <w:rsid w:val="00597B37"/>
    <w:rsid w:val="005A1703"/>
    <w:rsid w:val="005A1DDB"/>
    <w:rsid w:val="005A1F01"/>
    <w:rsid w:val="005A21F6"/>
    <w:rsid w:val="005A2BD1"/>
    <w:rsid w:val="005A420C"/>
    <w:rsid w:val="005A4AD2"/>
    <w:rsid w:val="005A643F"/>
    <w:rsid w:val="005A68A2"/>
    <w:rsid w:val="005A6F20"/>
    <w:rsid w:val="005A741C"/>
    <w:rsid w:val="005A7B8B"/>
    <w:rsid w:val="005B0098"/>
    <w:rsid w:val="005B0ACB"/>
    <w:rsid w:val="005B0C3C"/>
    <w:rsid w:val="005B10EF"/>
    <w:rsid w:val="005B19D8"/>
    <w:rsid w:val="005B430E"/>
    <w:rsid w:val="005B497C"/>
    <w:rsid w:val="005B4E30"/>
    <w:rsid w:val="005B6A4D"/>
    <w:rsid w:val="005B6BC6"/>
    <w:rsid w:val="005B7BF6"/>
    <w:rsid w:val="005B7F68"/>
    <w:rsid w:val="005C06CF"/>
    <w:rsid w:val="005C0A4E"/>
    <w:rsid w:val="005C0CFE"/>
    <w:rsid w:val="005C1993"/>
    <w:rsid w:val="005C1A5D"/>
    <w:rsid w:val="005C28DC"/>
    <w:rsid w:val="005C299C"/>
    <w:rsid w:val="005C32A0"/>
    <w:rsid w:val="005C35F3"/>
    <w:rsid w:val="005C415E"/>
    <w:rsid w:val="005C41B1"/>
    <w:rsid w:val="005C45B5"/>
    <w:rsid w:val="005C4AA3"/>
    <w:rsid w:val="005C5230"/>
    <w:rsid w:val="005C5760"/>
    <w:rsid w:val="005C6E39"/>
    <w:rsid w:val="005D09DF"/>
    <w:rsid w:val="005D0A59"/>
    <w:rsid w:val="005D0D76"/>
    <w:rsid w:val="005D3DE1"/>
    <w:rsid w:val="005D4A99"/>
    <w:rsid w:val="005D5E03"/>
    <w:rsid w:val="005D720A"/>
    <w:rsid w:val="005D746B"/>
    <w:rsid w:val="005D7B00"/>
    <w:rsid w:val="005E0FCD"/>
    <w:rsid w:val="005E1144"/>
    <w:rsid w:val="005E16D8"/>
    <w:rsid w:val="005E21B0"/>
    <w:rsid w:val="005E33F9"/>
    <w:rsid w:val="005E43F5"/>
    <w:rsid w:val="005E4570"/>
    <w:rsid w:val="005E4CC8"/>
    <w:rsid w:val="005E57FC"/>
    <w:rsid w:val="005E69FA"/>
    <w:rsid w:val="005E6DF4"/>
    <w:rsid w:val="005E74E8"/>
    <w:rsid w:val="005E7C91"/>
    <w:rsid w:val="005F0CBE"/>
    <w:rsid w:val="005F131E"/>
    <w:rsid w:val="005F2139"/>
    <w:rsid w:val="005F298C"/>
    <w:rsid w:val="005F2FE9"/>
    <w:rsid w:val="005F34BE"/>
    <w:rsid w:val="005F4F00"/>
    <w:rsid w:val="005F5154"/>
    <w:rsid w:val="005F5AFD"/>
    <w:rsid w:val="006008CE"/>
    <w:rsid w:val="00600CEE"/>
    <w:rsid w:val="00600D9D"/>
    <w:rsid w:val="00602713"/>
    <w:rsid w:val="00603A75"/>
    <w:rsid w:val="00603E37"/>
    <w:rsid w:val="00604923"/>
    <w:rsid w:val="0060586B"/>
    <w:rsid w:val="00605A35"/>
    <w:rsid w:val="00605B67"/>
    <w:rsid w:val="00605E30"/>
    <w:rsid w:val="00610CC7"/>
    <w:rsid w:val="00611010"/>
    <w:rsid w:val="0061109D"/>
    <w:rsid w:val="006115E0"/>
    <w:rsid w:val="00612C3E"/>
    <w:rsid w:val="00612D0B"/>
    <w:rsid w:val="00613346"/>
    <w:rsid w:val="00613DFA"/>
    <w:rsid w:val="00614154"/>
    <w:rsid w:val="006145C2"/>
    <w:rsid w:val="00614D4B"/>
    <w:rsid w:val="006156E0"/>
    <w:rsid w:val="00615812"/>
    <w:rsid w:val="0061592D"/>
    <w:rsid w:val="00615A8E"/>
    <w:rsid w:val="006160A0"/>
    <w:rsid w:val="006166CC"/>
    <w:rsid w:val="006166D0"/>
    <w:rsid w:val="00621680"/>
    <w:rsid w:val="006216E8"/>
    <w:rsid w:val="0062198F"/>
    <w:rsid w:val="006222CC"/>
    <w:rsid w:val="00622861"/>
    <w:rsid w:val="0062356E"/>
    <w:rsid w:val="00625335"/>
    <w:rsid w:val="006263E6"/>
    <w:rsid w:val="00626DA3"/>
    <w:rsid w:val="00630EDB"/>
    <w:rsid w:val="00631398"/>
    <w:rsid w:val="006323CA"/>
    <w:rsid w:val="00634F4A"/>
    <w:rsid w:val="00635F66"/>
    <w:rsid w:val="0063628C"/>
    <w:rsid w:val="006362E4"/>
    <w:rsid w:val="00636A60"/>
    <w:rsid w:val="00636B86"/>
    <w:rsid w:val="00636DD3"/>
    <w:rsid w:val="00636E4F"/>
    <w:rsid w:val="006370AD"/>
    <w:rsid w:val="00640742"/>
    <w:rsid w:val="00640EE4"/>
    <w:rsid w:val="006411C4"/>
    <w:rsid w:val="006417D4"/>
    <w:rsid w:val="006418AB"/>
    <w:rsid w:val="00641DA7"/>
    <w:rsid w:val="00641DF7"/>
    <w:rsid w:val="006425D0"/>
    <w:rsid w:val="00642BD6"/>
    <w:rsid w:val="00643B1A"/>
    <w:rsid w:val="006444EC"/>
    <w:rsid w:val="00644812"/>
    <w:rsid w:val="00645582"/>
    <w:rsid w:val="00646432"/>
    <w:rsid w:val="00646A8A"/>
    <w:rsid w:val="00647752"/>
    <w:rsid w:val="0065008C"/>
    <w:rsid w:val="00650DA7"/>
    <w:rsid w:val="006513F6"/>
    <w:rsid w:val="00651618"/>
    <w:rsid w:val="006524F6"/>
    <w:rsid w:val="0065264F"/>
    <w:rsid w:val="00652F05"/>
    <w:rsid w:val="00655ACB"/>
    <w:rsid w:val="00655B67"/>
    <w:rsid w:val="00656CB8"/>
    <w:rsid w:val="00656EFD"/>
    <w:rsid w:val="00660040"/>
    <w:rsid w:val="00660E2F"/>
    <w:rsid w:val="00660F62"/>
    <w:rsid w:val="00662E11"/>
    <w:rsid w:val="00663CE2"/>
    <w:rsid w:val="00664471"/>
    <w:rsid w:val="00664CD9"/>
    <w:rsid w:val="00665206"/>
    <w:rsid w:val="00667187"/>
    <w:rsid w:val="00667790"/>
    <w:rsid w:val="006679F9"/>
    <w:rsid w:val="006707CC"/>
    <w:rsid w:val="00670B3F"/>
    <w:rsid w:val="00671137"/>
    <w:rsid w:val="006737EE"/>
    <w:rsid w:val="0067400B"/>
    <w:rsid w:val="00674576"/>
    <w:rsid w:val="00674CDB"/>
    <w:rsid w:val="0067508E"/>
    <w:rsid w:val="00675132"/>
    <w:rsid w:val="006775DE"/>
    <w:rsid w:val="00677A18"/>
    <w:rsid w:val="0068040F"/>
    <w:rsid w:val="006809E3"/>
    <w:rsid w:val="00680F94"/>
    <w:rsid w:val="006813E1"/>
    <w:rsid w:val="00681EDB"/>
    <w:rsid w:val="0068216E"/>
    <w:rsid w:val="006823BE"/>
    <w:rsid w:val="00683564"/>
    <w:rsid w:val="00683CEB"/>
    <w:rsid w:val="00684721"/>
    <w:rsid w:val="0068493E"/>
    <w:rsid w:val="00684E98"/>
    <w:rsid w:val="00686486"/>
    <w:rsid w:val="006865EA"/>
    <w:rsid w:val="006868D4"/>
    <w:rsid w:val="00687C80"/>
    <w:rsid w:val="0069160C"/>
    <w:rsid w:val="00691C1A"/>
    <w:rsid w:val="006921F9"/>
    <w:rsid w:val="0069326B"/>
    <w:rsid w:val="006933C8"/>
    <w:rsid w:val="00694F00"/>
    <w:rsid w:val="00695A93"/>
    <w:rsid w:val="00695C69"/>
    <w:rsid w:val="00696AA8"/>
    <w:rsid w:val="00696BC1"/>
    <w:rsid w:val="00697039"/>
    <w:rsid w:val="006971DE"/>
    <w:rsid w:val="006972AF"/>
    <w:rsid w:val="006974E9"/>
    <w:rsid w:val="006974F1"/>
    <w:rsid w:val="00697DB8"/>
    <w:rsid w:val="006A0DFC"/>
    <w:rsid w:val="006A2AEA"/>
    <w:rsid w:val="006A38BB"/>
    <w:rsid w:val="006A3910"/>
    <w:rsid w:val="006A3974"/>
    <w:rsid w:val="006A5D34"/>
    <w:rsid w:val="006A7439"/>
    <w:rsid w:val="006B0693"/>
    <w:rsid w:val="006B0C88"/>
    <w:rsid w:val="006B101A"/>
    <w:rsid w:val="006B1C27"/>
    <w:rsid w:val="006B205B"/>
    <w:rsid w:val="006B2D85"/>
    <w:rsid w:val="006B38CA"/>
    <w:rsid w:val="006B3F60"/>
    <w:rsid w:val="006B4C19"/>
    <w:rsid w:val="006B4E9A"/>
    <w:rsid w:val="006B54EB"/>
    <w:rsid w:val="006B5790"/>
    <w:rsid w:val="006B5EDC"/>
    <w:rsid w:val="006B63D4"/>
    <w:rsid w:val="006B69B8"/>
    <w:rsid w:val="006B6E43"/>
    <w:rsid w:val="006B7324"/>
    <w:rsid w:val="006B7732"/>
    <w:rsid w:val="006B7F4B"/>
    <w:rsid w:val="006C1D46"/>
    <w:rsid w:val="006C2102"/>
    <w:rsid w:val="006C2167"/>
    <w:rsid w:val="006C2924"/>
    <w:rsid w:val="006C3818"/>
    <w:rsid w:val="006C49BB"/>
    <w:rsid w:val="006C4B2C"/>
    <w:rsid w:val="006C58E9"/>
    <w:rsid w:val="006C6982"/>
    <w:rsid w:val="006C69D6"/>
    <w:rsid w:val="006C7BB0"/>
    <w:rsid w:val="006D07F9"/>
    <w:rsid w:val="006D080A"/>
    <w:rsid w:val="006D2FCB"/>
    <w:rsid w:val="006D3124"/>
    <w:rsid w:val="006D3D7A"/>
    <w:rsid w:val="006D4CA2"/>
    <w:rsid w:val="006D7085"/>
    <w:rsid w:val="006E049C"/>
    <w:rsid w:val="006E1CFF"/>
    <w:rsid w:val="006E1D61"/>
    <w:rsid w:val="006E27C0"/>
    <w:rsid w:val="006E27E0"/>
    <w:rsid w:val="006E2A81"/>
    <w:rsid w:val="006E2C40"/>
    <w:rsid w:val="006E2DBB"/>
    <w:rsid w:val="006E324E"/>
    <w:rsid w:val="006E3274"/>
    <w:rsid w:val="006E361B"/>
    <w:rsid w:val="006E3A7F"/>
    <w:rsid w:val="006E446C"/>
    <w:rsid w:val="006E4AA3"/>
    <w:rsid w:val="006E4DE9"/>
    <w:rsid w:val="006E58CE"/>
    <w:rsid w:val="006E5E59"/>
    <w:rsid w:val="006E5EE8"/>
    <w:rsid w:val="006E6456"/>
    <w:rsid w:val="006E7568"/>
    <w:rsid w:val="006F025C"/>
    <w:rsid w:val="006F02C0"/>
    <w:rsid w:val="006F1E01"/>
    <w:rsid w:val="006F243E"/>
    <w:rsid w:val="006F3D4B"/>
    <w:rsid w:val="006F4773"/>
    <w:rsid w:val="006F52E9"/>
    <w:rsid w:val="006F5F20"/>
    <w:rsid w:val="006F60E3"/>
    <w:rsid w:val="006F610E"/>
    <w:rsid w:val="006F6A2A"/>
    <w:rsid w:val="006F7DB1"/>
    <w:rsid w:val="00700075"/>
    <w:rsid w:val="00700A13"/>
    <w:rsid w:val="00701304"/>
    <w:rsid w:val="007031AF"/>
    <w:rsid w:val="007048C9"/>
    <w:rsid w:val="00704C6C"/>
    <w:rsid w:val="00706594"/>
    <w:rsid w:val="0070754B"/>
    <w:rsid w:val="007078FA"/>
    <w:rsid w:val="0071042A"/>
    <w:rsid w:val="00710938"/>
    <w:rsid w:val="00711409"/>
    <w:rsid w:val="007116FD"/>
    <w:rsid w:val="007123ED"/>
    <w:rsid w:val="00714A91"/>
    <w:rsid w:val="00714CD0"/>
    <w:rsid w:val="00714E8E"/>
    <w:rsid w:val="00715D0F"/>
    <w:rsid w:val="00716573"/>
    <w:rsid w:val="00720172"/>
    <w:rsid w:val="007203C9"/>
    <w:rsid w:val="007209A2"/>
    <w:rsid w:val="0072117A"/>
    <w:rsid w:val="00722E62"/>
    <w:rsid w:val="00725666"/>
    <w:rsid w:val="007263F6"/>
    <w:rsid w:val="00726AFD"/>
    <w:rsid w:val="00727030"/>
    <w:rsid w:val="007273C7"/>
    <w:rsid w:val="00730607"/>
    <w:rsid w:val="00730675"/>
    <w:rsid w:val="00730979"/>
    <w:rsid w:val="00730A16"/>
    <w:rsid w:val="00731B28"/>
    <w:rsid w:val="007337B0"/>
    <w:rsid w:val="007352B1"/>
    <w:rsid w:val="00736112"/>
    <w:rsid w:val="00736CFB"/>
    <w:rsid w:val="007401F3"/>
    <w:rsid w:val="00740BB3"/>
    <w:rsid w:val="007417A8"/>
    <w:rsid w:val="0074191C"/>
    <w:rsid w:val="00741CB3"/>
    <w:rsid w:val="007428BD"/>
    <w:rsid w:val="00742A2D"/>
    <w:rsid w:val="00742DC0"/>
    <w:rsid w:val="00742EC0"/>
    <w:rsid w:val="007430F0"/>
    <w:rsid w:val="00743C72"/>
    <w:rsid w:val="00744D5E"/>
    <w:rsid w:val="00744E13"/>
    <w:rsid w:val="007457F2"/>
    <w:rsid w:val="00747DA1"/>
    <w:rsid w:val="00747ECF"/>
    <w:rsid w:val="00747F48"/>
    <w:rsid w:val="00747FC2"/>
    <w:rsid w:val="007503E9"/>
    <w:rsid w:val="00751568"/>
    <w:rsid w:val="00751663"/>
    <w:rsid w:val="0075196E"/>
    <w:rsid w:val="00751E40"/>
    <w:rsid w:val="00751EA9"/>
    <w:rsid w:val="00753075"/>
    <w:rsid w:val="007538B8"/>
    <w:rsid w:val="00754150"/>
    <w:rsid w:val="007544DC"/>
    <w:rsid w:val="007558D9"/>
    <w:rsid w:val="00760029"/>
    <w:rsid w:val="00760F5A"/>
    <w:rsid w:val="007613B4"/>
    <w:rsid w:val="007613E2"/>
    <w:rsid w:val="00761BA3"/>
    <w:rsid w:val="00761FEB"/>
    <w:rsid w:val="00763014"/>
    <w:rsid w:val="00765923"/>
    <w:rsid w:val="00765A98"/>
    <w:rsid w:val="00766066"/>
    <w:rsid w:val="00767249"/>
    <w:rsid w:val="00767807"/>
    <w:rsid w:val="0077023E"/>
    <w:rsid w:val="00771981"/>
    <w:rsid w:val="00772E1F"/>
    <w:rsid w:val="00774D2E"/>
    <w:rsid w:val="00776057"/>
    <w:rsid w:val="00776CAE"/>
    <w:rsid w:val="007773ED"/>
    <w:rsid w:val="00780BF3"/>
    <w:rsid w:val="00780C52"/>
    <w:rsid w:val="00780DCC"/>
    <w:rsid w:val="00780E88"/>
    <w:rsid w:val="00781283"/>
    <w:rsid w:val="00781A3A"/>
    <w:rsid w:val="0078274D"/>
    <w:rsid w:val="00782DB3"/>
    <w:rsid w:val="00783A82"/>
    <w:rsid w:val="00784BD6"/>
    <w:rsid w:val="00785780"/>
    <w:rsid w:val="00785B84"/>
    <w:rsid w:val="007866A4"/>
    <w:rsid w:val="0079533D"/>
    <w:rsid w:val="00795A70"/>
    <w:rsid w:val="00795A90"/>
    <w:rsid w:val="007960EC"/>
    <w:rsid w:val="007961B1"/>
    <w:rsid w:val="00797008"/>
    <w:rsid w:val="007973BC"/>
    <w:rsid w:val="007A12E2"/>
    <w:rsid w:val="007A2A22"/>
    <w:rsid w:val="007A3F9F"/>
    <w:rsid w:val="007A4A2C"/>
    <w:rsid w:val="007A4BDD"/>
    <w:rsid w:val="007A5C91"/>
    <w:rsid w:val="007A5EE0"/>
    <w:rsid w:val="007A68EE"/>
    <w:rsid w:val="007A707E"/>
    <w:rsid w:val="007A73E8"/>
    <w:rsid w:val="007A7D82"/>
    <w:rsid w:val="007A7EA2"/>
    <w:rsid w:val="007B0006"/>
    <w:rsid w:val="007B032A"/>
    <w:rsid w:val="007B0520"/>
    <w:rsid w:val="007B0746"/>
    <w:rsid w:val="007B082D"/>
    <w:rsid w:val="007B0D07"/>
    <w:rsid w:val="007B13ED"/>
    <w:rsid w:val="007B21CB"/>
    <w:rsid w:val="007B23F4"/>
    <w:rsid w:val="007B25BB"/>
    <w:rsid w:val="007B3209"/>
    <w:rsid w:val="007B38F5"/>
    <w:rsid w:val="007B3D9A"/>
    <w:rsid w:val="007B3F99"/>
    <w:rsid w:val="007B46BF"/>
    <w:rsid w:val="007B4718"/>
    <w:rsid w:val="007B4833"/>
    <w:rsid w:val="007B68F6"/>
    <w:rsid w:val="007B7106"/>
    <w:rsid w:val="007B7409"/>
    <w:rsid w:val="007B7967"/>
    <w:rsid w:val="007C1E68"/>
    <w:rsid w:val="007C20F9"/>
    <w:rsid w:val="007C22B3"/>
    <w:rsid w:val="007C265B"/>
    <w:rsid w:val="007C2C04"/>
    <w:rsid w:val="007C2C45"/>
    <w:rsid w:val="007C3571"/>
    <w:rsid w:val="007C3E13"/>
    <w:rsid w:val="007C4085"/>
    <w:rsid w:val="007C44AB"/>
    <w:rsid w:val="007C521A"/>
    <w:rsid w:val="007C5531"/>
    <w:rsid w:val="007C56D0"/>
    <w:rsid w:val="007C5CE3"/>
    <w:rsid w:val="007C6195"/>
    <w:rsid w:val="007C6D21"/>
    <w:rsid w:val="007C75DC"/>
    <w:rsid w:val="007C769B"/>
    <w:rsid w:val="007D02A3"/>
    <w:rsid w:val="007D043B"/>
    <w:rsid w:val="007D3286"/>
    <w:rsid w:val="007D4A8C"/>
    <w:rsid w:val="007D5281"/>
    <w:rsid w:val="007D52C1"/>
    <w:rsid w:val="007D5A46"/>
    <w:rsid w:val="007D70F2"/>
    <w:rsid w:val="007D74AA"/>
    <w:rsid w:val="007E076E"/>
    <w:rsid w:val="007E0B7A"/>
    <w:rsid w:val="007E2DE3"/>
    <w:rsid w:val="007E303B"/>
    <w:rsid w:val="007E3095"/>
    <w:rsid w:val="007E3A6B"/>
    <w:rsid w:val="007E49AF"/>
    <w:rsid w:val="007E530C"/>
    <w:rsid w:val="007E59BC"/>
    <w:rsid w:val="007E5E1B"/>
    <w:rsid w:val="007E60C5"/>
    <w:rsid w:val="007E6846"/>
    <w:rsid w:val="007E71AD"/>
    <w:rsid w:val="007E7802"/>
    <w:rsid w:val="007E7B42"/>
    <w:rsid w:val="007E7D8D"/>
    <w:rsid w:val="007E7DED"/>
    <w:rsid w:val="007F03A1"/>
    <w:rsid w:val="007F0EB9"/>
    <w:rsid w:val="007F1471"/>
    <w:rsid w:val="007F15DC"/>
    <w:rsid w:val="007F253F"/>
    <w:rsid w:val="007F293F"/>
    <w:rsid w:val="007F2D24"/>
    <w:rsid w:val="007F4247"/>
    <w:rsid w:val="007F5ABF"/>
    <w:rsid w:val="007F77F2"/>
    <w:rsid w:val="0080136C"/>
    <w:rsid w:val="00801E30"/>
    <w:rsid w:val="00802E7B"/>
    <w:rsid w:val="008035F3"/>
    <w:rsid w:val="00803FEE"/>
    <w:rsid w:val="008040CF"/>
    <w:rsid w:val="00805338"/>
    <w:rsid w:val="00806F86"/>
    <w:rsid w:val="0080744B"/>
    <w:rsid w:val="008108C4"/>
    <w:rsid w:val="00810AC1"/>
    <w:rsid w:val="00810DAC"/>
    <w:rsid w:val="008113B9"/>
    <w:rsid w:val="00811D99"/>
    <w:rsid w:val="008137A4"/>
    <w:rsid w:val="00813A5B"/>
    <w:rsid w:val="0081570E"/>
    <w:rsid w:val="00815F1F"/>
    <w:rsid w:val="0081654D"/>
    <w:rsid w:val="00820225"/>
    <w:rsid w:val="008206D3"/>
    <w:rsid w:val="00820BCE"/>
    <w:rsid w:val="00821162"/>
    <w:rsid w:val="00821878"/>
    <w:rsid w:val="008219BB"/>
    <w:rsid w:val="00823129"/>
    <w:rsid w:val="008233D4"/>
    <w:rsid w:val="00823CF2"/>
    <w:rsid w:val="00824232"/>
    <w:rsid w:val="00824F8B"/>
    <w:rsid w:val="0082506B"/>
    <w:rsid w:val="00825841"/>
    <w:rsid w:val="0082668F"/>
    <w:rsid w:val="00826A3A"/>
    <w:rsid w:val="008278F7"/>
    <w:rsid w:val="00827B67"/>
    <w:rsid w:val="008316AD"/>
    <w:rsid w:val="00831E29"/>
    <w:rsid w:val="00832251"/>
    <w:rsid w:val="00833058"/>
    <w:rsid w:val="008332F7"/>
    <w:rsid w:val="008341C7"/>
    <w:rsid w:val="0083462F"/>
    <w:rsid w:val="00834D43"/>
    <w:rsid w:val="00836D51"/>
    <w:rsid w:val="0083751F"/>
    <w:rsid w:val="00837873"/>
    <w:rsid w:val="008378F8"/>
    <w:rsid w:val="00840A3B"/>
    <w:rsid w:val="00840C82"/>
    <w:rsid w:val="0084166C"/>
    <w:rsid w:val="00841DDD"/>
    <w:rsid w:val="00842AAE"/>
    <w:rsid w:val="00843E3C"/>
    <w:rsid w:val="008445DE"/>
    <w:rsid w:val="00844DFE"/>
    <w:rsid w:val="00846590"/>
    <w:rsid w:val="00847947"/>
    <w:rsid w:val="00847E49"/>
    <w:rsid w:val="00850C84"/>
    <w:rsid w:val="00853D62"/>
    <w:rsid w:val="008546BD"/>
    <w:rsid w:val="008560AE"/>
    <w:rsid w:val="00862232"/>
    <w:rsid w:val="00862598"/>
    <w:rsid w:val="00862F5E"/>
    <w:rsid w:val="0086392E"/>
    <w:rsid w:val="00863E6C"/>
    <w:rsid w:val="00863EE1"/>
    <w:rsid w:val="00864A4D"/>
    <w:rsid w:val="00865CD0"/>
    <w:rsid w:val="00867757"/>
    <w:rsid w:val="00867826"/>
    <w:rsid w:val="00867C71"/>
    <w:rsid w:val="00870A74"/>
    <w:rsid w:val="00870F8A"/>
    <w:rsid w:val="00871105"/>
    <w:rsid w:val="00872E57"/>
    <w:rsid w:val="00873AA6"/>
    <w:rsid w:val="00873B16"/>
    <w:rsid w:val="00874D2D"/>
    <w:rsid w:val="008760EB"/>
    <w:rsid w:val="00876662"/>
    <w:rsid w:val="00876C4E"/>
    <w:rsid w:val="008771A4"/>
    <w:rsid w:val="008774C7"/>
    <w:rsid w:val="008777D1"/>
    <w:rsid w:val="00880128"/>
    <w:rsid w:val="008819DA"/>
    <w:rsid w:val="00881D23"/>
    <w:rsid w:val="008826C1"/>
    <w:rsid w:val="008827BF"/>
    <w:rsid w:val="00882B13"/>
    <w:rsid w:val="0088361C"/>
    <w:rsid w:val="00883AE2"/>
    <w:rsid w:val="0088401A"/>
    <w:rsid w:val="00885682"/>
    <w:rsid w:val="008857A9"/>
    <w:rsid w:val="00885D7E"/>
    <w:rsid w:val="008862C9"/>
    <w:rsid w:val="00886842"/>
    <w:rsid w:val="00886F1F"/>
    <w:rsid w:val="008878D1"/>
    <w:rsid w:val="00890343"/>
    <w:rsid w:val="00890511"/>
    <w:rsid w:val="00890597"/>
    <w:rsid w:val="008914D1"/>
    <w:rsid w:val="008919AC"/>
    <w:rsid w:val="00891D72"/>
    <w:rsid w:val="008921D1"/>
    <w:rsid w:val="0089286D"/>
    <w:rsid w:val="00892921"/>
    <w:rsid w:val="00892D01"/>
    <w:rsid w:val="00892FAF"/>
    <w:rsid w:val="00894332"/>
    <w:rsid w:val="0089488F"/>
    <w:rsid w:val="00894E6C"/>
    <w:rsid w:val="00894E98"/>
    <w:rsid w:val="0089735B"/>
    <w:rsid w:val="00897602"/>
    <w:rsid w:val="00897B80"/>
    <w:rsid w:val="00897F93"/>
    <w:rsid w:val="008A0CA6"/>
    <w:rsid w:val="008A0E40"/>
    <w:rsid w:val="008A1751"/>
    <w:rsid w:val="008A2627"/>
    <w:rsid w:val="008A2671"/>
    <w:rsid w:val="008A28FA"/>
    <w:rsid w:val="008A2B0B"/>
    <w:rsid w:val="008A4A31"/>
    <w:rsid w:val="008A5E2D"/>
    <w:rsid w:val="008A625D"/>
    <w:rsid w:val="008A62AF"/>
    <w:rsid w:val="008A6A0B"/>
    <w:rsid w:val="008A726D"/>
    <w:rsid w:val="008A7E41"/>
    <w:rsid w:val="008B0511"/>
    <w:rsid w:val="008B07BE"/>
    <w:rsid w:val="008B0AFD"/>
    <w:rsid w:val="008B225D"/>
    <w:rsid w:val="008B297C"/>
    <w:rsid w:val="008B2FD5"/>
    <w:rsid w:val="008B3B42"/>
    <w:rsid w:val="008B3FEF"/>
    <w:rsid w:val="008B4237"/>
    <w:rsid w:val="008B4D2C"/>
    <w:rsid w:val="008B56C4"/>
    <w:rsid w:val="008B58C4"/>
    <w:rsid w:val="008B6298"/>
    <w:rsid w:val="008B6DF9"/>
    <w:rsid w:val="008B6F1F"/>
    <w:rsid w:val="008B7458"/>
    <w:rsid w:val="008C05C5"/>
    <w:rsid w:val="008C06B5"/>
    <w:rsid w:val="008C122A"/>
    <w:rsid w:val="008C1DD7"/>
    <w:rsid w:val="008C2458"/>
    <w:rsid w:val="008C24D7"/>
    <w:rsid w:val="008C2FAC"/>
    <w:rsid w:val="008C3D8A"/>
    <w:rsid w:val="008C3DA2"/>
    <w:rsid w:val="008C4B2D"/>
    <w:rsid w:val="008C4B76"/>
    <w:rsid w:val="008C544A"/>
    <w:rsid w:val="008C545A"/>
    <w:rsid w:val="008C60BE"/>
    <w:rsid w:val="008C617E"/>
    <w:rsid w:val="008C63E3"/>
    <w:rsid w:val="008C6D43"/>
    <w:rsid w:val="008C6ECA"/>
    <w:rsid w:val="008C73B0"/>
    <w:rsid w:val="008C77B4"/>
    <w:rsid w:val="008D0973"/>
    <w:rsid w:val="008D0A0C"/>
    <w:rsid w:val="008D2EF2"/>
    <w:rsid w:val="008D3F05"/>
    <w:rsid w:val="008D4163"/>
    <w:rsid w:val="008D594C"/>
    <w:rsid w:val="008D6E26"/>
    <w:rsid w:val="008D7215"/>
    <w:rsid w:val="008D7AE4"/>
    <w:rsid w:val="008E036D"/>
    <w:rsid w:val="008E0F45"/>
    <w:rsid w:val="008E17E6"/>
    <w:rsid w:val="008E1E2F"/>
    <w:rsid w:val="008E2A13"/>
    <w:rsid w:val="008E310B"/>
    <w:rsid w:val="008E3AA3"/>
    <w:rsid w:val="008E41D5"/>
    <w:rsid w:val="008E49C6"/>
    <w:rsid w:val="008E51C8"/>
    <w:rsid w:val="008E60DE"/>
    <w:rsid w:val="008E63EE"/>
    <w:rsid w:val="008E73F3"/>
    <w:rsid w:val="008E7F9B"/>
    <w:rsid w:val="008F0801"/>
    <w:rsid w:val="008F1015"/>
    <w:rsid w:val="008F129C"/>
    <w:rsid w:val="008F2987"/>
    <w:rsid w:val="008F2B81"/>
    <w:rsid w:val="008F328F"/>
    <w:rsid w:val="008F35A0"/>
    <w:rsid w:val="008F3870"/>
    <w:rsid w:val="008F3CDB"/>
    <w:rsid w:val="008F56C8"/>
    <w:rsid w:val="008F69B3"/>
    <w:rsid w:val="008F6E27"/>
    <w:rsid w:val="009000BB"/>
    <w:rsid w:val="00901692"/>
    <w:rsid w:val="00902660"/>
    <w:rsid w:val="009040AC"/>
    <w:rsid w:val="0090603D"/>
    <w:rsid w:val="0090611A"/>
    <w:rsid w:val="009063BE"/>
    <w:rsid w:val="00906BDD"/>
    <w:rsid w:val="0090728F"/>
    <w:rsid w:val="00907380"/>
    <w:rsid w:val="00907951"/>
    <w:rsid w:val="009103FA"/>
    <w:rsid w:val="00911582"/>
    <w:rsid w:val="00912316"/>
    <w:rsid w:val="00912B7E"/>
    <w:rsid w:val="00912BCE"/>
    <w:rsid w:val="00915322"/>
    <w:rsid w:val="009158B3"/>
    <w:rsid w:val="0091624D"/>
    <w:rsid w:val="00917672"/>
    <w:rsid w:val="009208E6"/>
    <w:rsid w:val="0092107F"/>
    <w:rsid w:val="009211DB"/>
    <w:rsid w:val="009226D1"/>
    <w:rsid w:val="009229E9"/>
    <w:rsid w:val="00923C3B"/>
    <w:rsid w:val="0092567B"/>
    <w:rsid w:val="00926B3B"/>
    <w:rsid w:val="00926D5A"/>
    <w:rsid w:val="0092710A"/>
    <w:rsid w:val="009272FF"/>
    <w:rsid w:val="00927A9F"/>
    <w:rsid w:val="00927DC8"/>
    <w:rsid w:val="00930A48"/>
    <w:rsid w:val="0093176E"/>
    <w:rsid w:val="00932B3A"/>
    <w:rsid w:val="00932CED"/>
    <w:rsid w:val="00932F5D"/>
    <w:rsid w:val="009339B8"/>
    <w:rsid w:val="00933CAF"/>
    <w:rsid w:val="00934072"/>
    <w:rsid w:val="00934215"/>
    <w:rsid w:val="00934C01"/>
    <w:rsid w:val="00934E14"/>
    <w:rsid w:val="00934E6D"/>
    <w:rsid w:val="0093539C"/>
    <w:rsid w:val="009359F6"/>
    <w:rsid w:val="00935FA5"/>
    <w:rsid w:val="00936A9E"/>
    <w:rsid w:val="00937055"/>
    <w:rsid w:val="009370C2"/>
    <w:rsid w:val="0093793A"/>
    <w:rsid w:val="0094063A"/>
    <w:rsid w:val="0094089F"/>
    <w:rsid w:val="00940CA5"/>
    <w:rsid w:val="009417A8"/>
    <w:rsid w:val="00941BFA"/>
    <w:rsid w:val="009426A1"/>
    <w:rsid w:val="00942AB3"/>
    <w:rsid w:val="00944E49"/>
    <w:rsid w:val="009455BF"/>
    <w:rsid w:val="009458DA"/>
    <w:rsid w:val="00945F62"/>
    <w:rsid w:val="009460B7"/>
    <w:rsid w:val="009468C1"/>
    <w:rsid w:val="00946BB2"/>
    <w:rsid w:val="00947286"/>
    <w:rsid w:val="00947943"/>
    <w:rsid w:val="00950BC6"/>
    <w:rsid w:val="00950DBA"/>
    <w:rsid w:val="00951C8E"/>
    <w:rsid w:val="00951D19"/>
    <w:rsid w:val="00951D3B"/>
    <w:rsid w:val="00951D4F"/>
    <w:rsid w:val="00951FBE"/>
    <w:rsid w:val="0095210B"/>
    <w:rsid w:val="0095365C"/>
    <w:rsid w:val="00953D52"/>
    <w:rsid w:val="00953F71"/>
    <w:rsid w:val="0095402C"/>
    <w:rsid w:val="00954C47"/>
    <w:rsid w:val="0095585C"/>
    <w:rsid w:val="00956843"/>
    <w:rsid w:val="00957BA0"/>
    <w:rsid w:val="009602AE"/>
    <w:rsid w:val="00960397"/>
    <w:rsid w:val="0096062C"/>
    <w:rsid w:val="00960842"/>
    <w:rsid w:val="00960861"/>
    <w:rsid w:val="0096099F"/>
    <w:rsid w:val="009614B7"/>
    <w:rsid w:val="00961DFE"/>
    <w:rsid w:val="009622D3"/>
    <w:rsid w:val="0096345A"/>
    <w:rsid w:val="009635E8"/>
    <w:rsid w:val="009642D2"/>
    <w:rsid w:val="0096437B"/>
    <w:rsid w:val="0096633E"/>
    <w:rsid w:val="00966962"/>
    <w:rsid w:val="00967353"/>
    <w:rsid w:val="009679CC"/>
    <w:rsid w:val="00967E70"/>
    <w:rsid w:val="00970A4D"/>
    <w:rsid w:val="00971258"/>
    <w:rsid w:val="00972EE5"/>
    <w:rsid w:val="00974131"/>
    <w:rsid w:val="0097530D"/>
    <w:rsid w:val="00975865"/>
    <w:rsid w:val="00975C1A"/>
    <w:rsid w:val="00975DA5"/>
    <w:rsid w:val="009762DE"/>
    <w:rsid w:val="0097774A"/>
    <w:rsid w:val="009777C5"/>
    <w:rsid w:val="00977F22"/>
    <w:rsid w:val="00980383"/>
    <w:rsid w:val="009808F5"/>
    <w:rsid w:val="00980AAB"/>
    <w:rsid w:val="009817D3"/>
    <w:rsid w:val="00981D5A"/>
    <w:rsid w:val="00981F54"/>
    <w:rsid w:val="00982266"/>
    <w:rsid w:val="0098229C"/>
    <w:rsid w:val="009847D2"/>
    <w:rsid w:val="00985490"/>
    <w:rsid w:val="00985EFD"/>
    <w:rsid w:val="009862C9"/>
    <w:rsid w:val="00986530"/>
    <w:rsid w:val="00987D87"/>
    <w:rsid w:val="00990400"/>
    <w:rsid w:val="009909E5"/>
    <w:rsid w:val="00990C8E"/>
    <w:rsid w:val="00990C9A"/>
    <w:rsid w:val="009916A3"/>
    <w:rsid w:val="0099228F"/>
    <w:rsid w:val="009947C9"/>
    <w:rsid w:val="009948B3"/>
    <w:rsid w:val="00994A2F"/>
    <w:rsid w:val="009953E5"/>
    <w:rsid w:val="009953EB"/>
    <w:rsid w:val="00997010"/>
    <w:rsid w:val="009A021F"/>
    <w:rsid w:val="009A0247"/>
    <w:rsid w:val="009A0C46"/>
    <w:rsid w:val="009A0D45"/>
    <w:rsid w:val="009A1161"/>
    <w:rsid w:val="009A1B31"/>
    <w:rsid w:val="009A1E85"/>
    <w:rsid w:val="009A233D"/>
    <w:rsid w:val="009A27F3"/>
    <w:rsid w:val="009A2919"/>
    <w:rsid w:val="009A32F8"/>
    <w:rsid w:val="009A3A5D"/>
    <w:rsid w:val="009A40FC"/>
    <w:rsid w:val="009A4439"/>
    <w:rsid w:val="009A45C0"/>
    <w:rsid w:val="009A6FA8"/>
    <w:rsid w:val="009A723B"/>
    <w:rsid w:val="009A778E"/>
    <w:rsid w:val="009A7938"/>
    <w:rsid w:val="009B1762"/>
    <w:rsid w:val="009B1A48"/>
    <w:rsid w:val="009B2A23"/>
    <w:rsid w:val="009B375E"/>
    <w:rsid w:val="009B45B2"/>
    <w:rsid w:val="009B56C2"/>
    <w:rsid w:val="009B575B"/>
    <w:rsid w:val="009B5B7E"/>
    <w:rsid w:val="009B7464"/>
    <w:rsid w:val="009B783B"/>
    <w:rsid w:val="009B7EC9"/>
    <w:rsid w:val="009C1344"/>
    <w:rsid w:val="009C1947"/>
    <w:rsid w:val="009C19CC"/>
    <w:rsid w:val="009C2907"/>
    <w:rsid w:val="009C4502"/>
    <w:rsid w:val="009C4889"/>
    <w:rsid w:val="009C48E7"/>
    <w:rsid w:val="009C49A0"/>
    <w:rsid w:val="009C4BCB"/>
    <w:rsid w:val="009C518E"/>
    <w:rsid w:val="009C648A"/>
    <w:rsid w:val="009C6B4E"/>
    <w:rsid w:val="009C6FA1"/>
    <w:rsid w:val="009C762B"/>
    <w:rsid w:val="009C7C93"/>
    <w:rsid w:val="009D0FDD"/>
    <w:rsid w:val="009D1EA3"/>
    <w:rsid w:val="009D2CBB"/>
    <w:rsid w:val="009D3413"/>
    <w:rsid w:val="009D3900"/>
    <w:rsid w:val="009D3AE4"/>
    <w:rsid w:val="009D3D5E"/>
    <w:rsid w:val="009D3D7B"/>
    <w:rsid w:val="009D3E7F"/>
    <w:rsid w:val="009D6193"/>
    <w:rsid w:val="009D62C1"/>
    <w:rsid w:val="009D631A"/>
    <w:rsid w:val="009D6DF7"/>
    <w:rsid w:val="009D7E75"/>
    <w:rsid w:val="009E064D"/>
    <w:rsid w:val="009E17D3"/>
    <w:rsid w:val="009E2388"/>
    <w:rsid w:val="009E279D"/>
    <w:rsid w:val="009E28AD"/>
    <w:rsid w:val="009E2926"/>
    <w:rsid w:val="009E29FB"/>
    <w:rsid w:val="009E2A15"/>
    <w:rsid w:val="009E39F0"/>
    <w:rsid w:val="009E47BC"/>
    <w:rsid w:val="009E4F52"/>
    <w:rsid w:val="009E5CFE"/>
    <w:rsid w:val="009E6890"/>
    <w:rsid w:val="009E7DD0"/>
    <w:rsid w:val="009E7E51"/>
    <w:rsid w:val="009F0124"/>
    <w:rsid w:val="009F0470"/>
    <w:rsid w:val="009F0579"/>
    <w:rsid w:val="009F0FEB"/>
    <w:rsid w:val="009F27C6"/>
    <w:rsid w:val="009F3780"/>
    <w:rsid w:val="009F3C41"/>
    <w:rsid w:val="009F51FC"/>
    <w:rsid w:val="009F619E"/>
    <w:rsid w:val="009F6594"/>
    <w:rsid w:val="009F70F0"/>
    <w:rsid w:val="009F7F88"/>
    <w:rsid w:val="00A0053E"/>
    <w:rsid w:val="00A00AF3"/>
    <w:rsid w:val="00A01300"/>
    <w:rsid w:val="00A02691"/>
    <w:rsid w:val="00A03A80"/>
    <w:rsid w:val="00A03BA0"/>
    <w:rsid w:val="00A041AB"/>
    <w:rsid w:val="00A060EB"/>
    <w:rsid w:val="00A07D2E"/>
    <w:rsid w:val="00A10351"/>
    <w:rsid w:val="00A10925"/>
    <w:rsid w:val="00A11599"/>
    <w:rsid w:val="00A121A3"/>
    <w:rsid w:val="00A12FEF"/>
    <w:rsid w:val="00A133AA"/>
    <w:rsid w:val="00A1418F"/>
    <w:rsid w:val="00A14475"/>
    <w:rsid w:val="00A1581A"/>
    <w:rsid w:val="00A15E08"/>
    <w:rsid w:val="00A162E0"/>
    <w:rsid w:val="00A16646"/>
    <w:rsid w:val="00A17057"/>
    <w:rsid w:val="00A17FCC"/>
    <w:rsid w:val="00A225A2"/>
    <w:rsid w:val="00A229B9"/>
    <w:rsid w:val="00A22C67"/>
    <w:rsid w:val="00A22D23"/>
    <w:rsid w:val="00A22EDF"/>
    <w:rsid w:val="00A23DA5"/>
    <w:rsid w:val="00A246EE"/>
    <w:rsid w:val="00A2598F"/>
    <w:rsid w:val="00A2740D"/>
    <w:rsid w:val="00A275DE"/>
    <w:rsid w:val="00A31C3E"/>
    <w:rsid w:val="00A31FEB"/>
    <w:rsid w:val="00A320FF"/>
    <w:rsid w:val="00A32978"/>
    <w:rsid w:val="00A335D0"/>
    <w:rsid w:val="00A33661"/>
    <w:rsid w:val="00A33AEB"/>
    <w:rsid w:val="00A3508F"/>
    <w:rsid w:val="00A355F3"/>
    <w:rsid w:val="00A35753"/>
    <w:rsid w:val="00A357C5"/>
    <w:rsid w:val="00A365BE"/>
    <w:rsid w:val="00A36622"/>
    <w:rsid w:val="00A37B6E"/>
    <w:rsid w:val="00A402CE"/>
    <w:rsid w:val="00A41870"/>
    <w:rsid w:val="00A43862"/>
    <w:rsid w:val="00A43E10"/>
    <w:rsid w:val="00A443A7"/>
    <w:rsid w:val="00A44D58"/>
    <w:rsid w:val="00A45BE2"/>
    <w:rsid w:val="00A45BEB"/>
    <w:rsid w:val="00A466AC"/>
    <w:rsid w:val="00A474FE"/>
    <w:rsid w:val="00A47B60"/>
    <w:rsid w:val="00A513A9"/>
    <w:rsid w:val="00A53457"/>
    <w:rsid w:val="00A537A6"/>
    <w:rsid w:val="00A53D29"/>
    <w:rsid w:val="00A5445D"/>
    <w:rsid w:val="00A54DD9"/>
    <w:rsid w:val="00A55F9B"/>
    <w:rsid w:val="00A56394"/>
    <w:rsid w:val="00A57050"/>
    <w:rsid w:val="00A57963"/>
    <w:rsid w:val="00A608A3"/>
    <w:rsid w:val="00A61AEF"/>
    <w:rsid w:val="00A623EB"/>
    <w:rsid w:val="00A63453"/>
    <w:rsid w:val="00A63DD0"/>
    <w:rsid w:val="00A63F48"/>
    <w:rsid w:val="00A64253"/>
    <w:rsid w:val="00A64676"/>
    <w:rsid w:val="00A6532A"/>
    <w:rsid w:val="00A65562"/>
    <w:rsid w:val="00A65D2C"/>
    <w:rsid w:val="00A664DC"/>
    <w:rsid w:val="00A67E57"/>
    <w:rsid w:val="00A70154"/>
    <w:rsid w:val="00A7054B"/>
    <w:rsid w:val="00A70E3E"/>
    <w:rsid w:val="00A715D4"/>
    <w:rsid w:val="00A72F35"/>
    <w:rsid w:val="00A73328"/>
    <w:rsid w:val="00A736B6"/>
    <w:rsid w:val="00A75134"/>
    <w:rsid w:val="00A775D9"/>
    <w:rsid w:val="00A77CF8"/>
    <w:rsid w:val="00A80386"/>
    <w:rsid w:val="00A8038D"/>
    <w:rsid w:val="00A805F0"/>
    <w:rsid w:val="00A80A76"/>
    <w:rsid w:val="00A815DC"/>
    <w:rsid w:val="00A820EF"/>
    <w:rsid w:val="00A83E6A"/>
    <w:rsid w:val="00A84618"/>
    <w:rsid w:val="00A84AD3"/>
    <w:rsid w:val="00A851F6"/>
    <w:rsid w:val="00A85A8E"/>
    <w:rsid w:val="00A86287"/>
    <w:rsid w:val="00A8668F"/>
    <w:rsid w:val="00A91E64"/>
    <w:rsid w:val="00A92820"/>
    <w:rsid w:val="00A92BA2"/>
    <w:rsid w:val="00A93160"/>
    <w:rsid w:val="00A93ACE"/>
    <w:rsid w:val="00A93CA5"/>
    <w:rsid w:val="00A93DAC"/>
    <w:rsid w:val="00A9413F"/>
    <w:rsid w:val="00A9497D"/>
    <w:rsid w:val="00A94E1A"/>
    <w:rsid w:val="00A95669"/>
    <w:rsid w:val="00A95AA5"/>
    <w:rsid w:val="00A95E67"/>
    <w:rsid w:val="00A965A2"/>
    <w:rsid w:val="00A96989"/>
    <w:rsid w:val="00A96DF4"/>
    <w:rsid w:val="00A96E1B"/>
    <w:rsid w:val="00A97064"/>
    <w:rsid w:val="00A97C4E"/>
    <w:rsid w:val="00AA0988"/>
    <w:rsid w:val="00AA1055"/>
    <w:rsid w:val="00AA15F0"/>
    <w:rsid w:val="00AA1716"/>
    <w:rsid w:val="00AA1D66"/>
    <w:rsid w:val="00AA257D"/>
    <w:rsid w:val="00AA2717"/>
    <w:rsid w:val="00AA2853"/>
    <w:rsid w:val="00AA39BB"/>
    <w:rsid w:val="00AA4637"/>
    <w:rsid w:val="00AA4F13"/>
    <w:rsid w:val="00AA523D"/>
    <w:rsid w:val="00AA5C29"/>
    <w:rsid w:val="00AA6812"/>
    <w:rsid w:val="00AA7518"/>
    <w:rsid w:val="00AB264D"/>
    <w:rsid w:val="00AB314C"/>
    <w:rsid w:val="00AB316D"/>
    <w:rsid w:val="00AB3172"/>
    <w:rsid w:val="00AB375F"/>
    <w:rsid w:val="00AB53AE"/>
    <w:rsid w:val="00AB5CD1"/>
    <w:rsid w:val="00AB5D72"/>
    <w:rsid w:val="00AB6131"/>
    <w:rsid w:val="00AB6B90"/>
    <w:rsid w:val="00AB74B0"/>
    <w:rsid w:val="00AC0C87"/>
    <w:rsid w:val="00AC1626"/>
    <w:rsid w:val="00AC369F"/>
    <w:rsid w:val="00AC3815"/>
    <w:rsid w:val="00AC44BF"/>
    <w:rsid w:val="00AC4854"/>
    <w:rsid w:val="00AC5B7B"/>
    <w:rsid w:val="00AC6459"/>
    <w:rsid w:val="00AC68C7"/>
    <w:rsid w:val="00AC6BB4"/>
    <w:rsid w:val="00AD10FA"/>
    <w:rsid w:val="00AD317E"/>
    <w:rsid w:val="00AD483B"/>
    <w:rsid w:val="00AD4A40"/>
    <w:rsid w:val="00AD5C65"/>
    <w:rsid w:val="00AD7144"/>
    <w:rsid w:val="00AE0452"/>
    <w:rsid w:val="00AE0B8B"/>
    <w:rsid w:val="00AE1217"/>
    <w:rsid w:val="00AE1D33"/>
    <w:rsid w:val="00AE1F4D"/>
    <w:rsid w:val="00AE2384"/>
    <w:rsid w:val="00AE2510"/>
    <w:rsid w:val="00AE25A6"/>
    <w:rsid w:val="00AE2E01"/>
    <w:rsid w:val="00AE35D6"/>
    <w:rsid w:val="00AE3C3F"/>
    <w:rsid w:val="00AE3EEF"/>
    <w:rsid w:val="00AE3F26"/>
    <w:rsid w:val="00AE4A77"/>
    <w:rsid w:val="00AE5EFC"/>
    <w:rsid w:val="00AE633D"/>
    <w:rsid w:val="00AE72AC"/>
    <w:rsid w:val="00AE7C10"/>
    <w:rsid w:val="00AF0122"/>
    <w:rsid w:val="00AF10B5"/>
    <w:rsid w:val="00AF2DB0"/>
    <w:rsid w:val="00AF35C4"/>
    <w:rsid w:val="00AF6F02"/>
    <w:rsid w:val="00AF7632"/>
    <w:rsid w:val="00AF7B79"/>
    <w:rsid w:val="00B001C6"/>
    <w:rsid w:val="00B02A22"/>
    <w:rsid w:val="00B02EAA"/>
    <w:rsid w:val="00B02FC3"/>
    <w:rsid w:val="00B0387C"/>
    <w:rsid w:val="00B03C42"/>
    <w:rsid w:val="00B03E17"/>
    <w:rsid w:val="00B044FC"/>
    <w:rsid w:val="00B0502B"/>
    <w:rsid w:val="00B05D0F"/>
    <w:rsid w:val="00B065A8"/>
    <w:rsid w:val="00B07520"/>
    <w:rsid w:val="00B1195E"/>
    <w:rsid w:val="00B11DED"/>
    <w:rsid w:val="00B11FDE"/>
    <w:rsid w:val="00B12D23"/>
    <w:rsid w:val="00B12D35"/>
    <w:rsid w:val="00B146AA"/>
    <w:rsid w:val="00B15AB7"/>
    <w:rsid w:val="00B16223"/>
    <w:rsid w:val="00B174CC"/>
    <w:rsid w:val="00B179D4"/>
    <w:rsid w:val="00B20EB3"/>
    <w:rsid w:val="00B228EF"/>
    <w:rsid w:val="00B22D6F"/>
    <w:rsid w:val="00B22E59"/>
    <w:rsid w:val="00B23582"/>
    <w:rsid w:val="00B240D7"/>
    <w:rsid w:val="00B25BB9"/>
    <w:rsid w:val="00B2678E"/>
    <w:rsid w:val="00B26EC1"/>
    <w:rsid w:val="00B279C3"/>
    <w:rsid w:val="00B3104E"/>
    <w:rsid w:val="00B3189B"/>
    <w:rsid w:val="00B3199E"/>
    <w:rsid w:val="00B31C6F"/>
    <w:rsid w:val="00B32129"/>
    <w:rsid w:val="00B32D7D"/>
    <w:rsid w:val="00B33290"/>
    <w:rsid w:val="00B3341F"/>
    <w:rsid w:val="00B34C95"/>
    <w:rsid w:val="00B3599D"/>
    <w:rsid w:val="00B3637A"/>
    <w:rsid w:val="00B36B57"/>
    <w:rsid w:val="00B36CA3"/>
    <w:rsid w:val="00B370A4"/>
    <w:rsid w:val="00B37108"/>
    <w:rsid w:val="00B411C2"/>
    <w:rsid w:val="00B41950"/>
    <w:rsid w:val="00B42760"/>
    <w:rsid w:val="00B4278E"/>
    <w:rsid w:val="00B42C9D"/>
    <w:rsid w:val="00B42CF4"/>
    <w:rsid w:val="00B42FF2"/>
    <w:rsid w:val="00B43535"/>
    <w:rsid w:val="00B43A32"/>
    <w:rsid w:val="00B444B9"/>
    <w:rsid w:val="00B45362"/>
    <w:rsid w:val="00B455CF"/>
    <w:rsid w:val="00B45C94"/>
    <w:rsid w:val="00B467B8"/>
    <w:rsid w:val="00B4701B"/>
    <w:rsid w:val="00B47217"/>
    <w:rsid w:val="00B47824"/>
    <w:rsid w:val="00B51BA9"/>
    <w:rsid w:val="00B51DCE"/>
    <w:rsid w:val="00B537A2"/>
    <w:rsid w:val="00B538A2"/>
    <w:rsid w:val="00B538F3"/>
    <w:rsid w:val="00B5590D"/>
    <w:rsid w:val="00B566FC"/>
    <w:rsid w:val="00B56D3D"/>
    <w:rsid w:val="00B57AF0"/>
    <w:rsid w:val="00B57F9B"/>
    <w:rsid w:val="00B603BE"/>
    <w:rsid w:val="00B61482"/>
    <w:rsid w:val="00B61CAC"/>
    <w:rsid w:val="00B626FD"/>
    <w:rsid w:val="00B630C8"/>
    <w:rsid w:val="00B63EA1"/>
    <w:rsid w:val="00B6499C"/>
    <w:rsid w:val="00B65973"/>
    <w:rsid w:val="00B65DFE"/>
    <w:rsid w:val="00B6646B"/>
    <w:rsid w:val="00B671DE"/>
    <w:rsid w:val="00B67A94"/>
    <w:rsid w:val="00B67D4A"/>
    <w:rsid w:val="00B710B4"/>
    <w:rsid w:val="00B71139"/>
    <w:rsid w:val="00B713A4"/>
    <w:rsid w:val="00B71CC1"/>
    <w:rsid w:val="00B73130"/>
    <w:rsid w:val="00B7348E"/>
    <w:rsid w:val="00B73F49"/>
    <w:rsid w:val="00B73FFB"/>
    <w:rsid w:val="00B75BB6"/>
    <w:rsid w:val="00B76231"/>
    <w:rsid w:val="00B77019"/>
    <w:rsid w:val="00B7720D"/>
    <w:rsid w:val="00B77218"/>
    <w:rsid w:val="00B810A0"/>
    <w:rsid w:val="00B85057"/>
    <w:rsid w:val="00B8514F"/>
    <w:rsid w:val="00B85621"/>
    <w:rsid w:val="00B86954"/>
    <w:rsid w:val="00B87FC9"/>
    <w:rsid w:val="00B908EE"/>
    <w:rsid w:val="00B90EDB"/>
    <w:rsid w:val="00B917ED"/>
    <w:rsid w:val="00B9256F"/>
    <w:rsid w:val="00B92D2A"/>
    <w:rsid w:val="00B92F20"/>
    <w:rsid w:val="00B936FB"/>
    <w:rsid w:val="00B9458C"/>
    <w:rsid w:val="00B9484B"/>
    <w:rsid w:val="00B9524B"/>
    <w:rsid w:val="00B9546A"/>
    <w:rsid w:val="00B954FC"/>
    <w:rsid w:val="00B95541"/>
    <w:rsid w:val="00B9584E"/>
    <w:rsid w:val="00B9607D"/>
    <w:rsid w:val="00B96615"/>
    <w:rsid w:val="00B96EC2"/>
    <w:rsid w:val="00B97155"/>
    <w:rsid w:val="00BA18DB"/>
    <w:rsid w:val="00BA1E33"/>
    <w:rsid w:val="00BA2873"/>
    <w:rsid w:val="00BA28EF"/>
    <w:rsid w:val="00BA2B02"/>
    <w:rsid w:val="00BA2B3D"/>
    <w:rsid w:val="00BA55AF"/>
    <w:rsid w:val="00BA58EA"/>
    <w:rsid w:val="00BA61EB"/>
    <w:rsid w:val="00BA623E"/>
    <w:rsid w:val="00BA63A5"/>
    <w:rsid w:val="00BA6CAC"/>
    <w:rsid w:val="00BA760D"/>
    <w:rsid w:val="00BA765C"/>
    <w:rsid w:val="00BB0088"/>
    <w:rsid w:val="00BB0965"/>
    <w:rsid w:val="00BB1B3D"/>
    <w:rsid w:val="00BB1BA5"/>
    <w:rsid w:val="00BB228D"/>
    <w:rsid w:val="00BB29A8"/>
    <w:rsid w:val="00BB386B"/>
    <w:rsid w:val="00BB3FCC"/>
    <w:rsid w:val="00BB52E2"/>
    <w:rsid w:val="00BB5870"/>
    <w:rsid w:val="00BB702B"/>
    <w:rsid w:val="00BC05AC"/>
    <w:rsid w:val="00BC0612"/>
    <w:rsid w:val="00BC0803"/>
    <w:rsid w:val="00BC0D64"/>
    <w:rsid w:val="00BC214F"/>
    <w:rsid w:val="00BC259F"/>
    <w:rsid w:val="00BC2E03"/>
    <w:rsid w:val="00BC47E7"/>
    <w:rsid w:val="00BC4A2C"/>
    <w:rsid w:val="00BC4B73"/>
    <w:rsid w:val="00BC5B1D"/>
    <w:rsid w:val="00BC6E92"/>
    <w:rsid w:val="00BC7FB6"/>
    <w:rsid w:val="00BD008C"/>
    <w:rsid w:val="00BD0B48"/>
    <w:rsid w:val="00BD16C3"/>
    <w:rsid w:val="00BD2289"/>
    <w:rsid w:val="00BD2561"/>
    <w:rsid w:val="00BD39D4"/>
    <w:rsid w:val="00BD3AF2"/>
    <w:rsid w:val="00BD3E61"/>
    <w:rsid w:val="00BD3EB9"/>
    <w:rsid w:val="00BD46CD"/>
    <w:rsid w:val="00BD5726"/>
    <w:rsid w:val="00BD59D0"/>
    <w:rsid w:val="00BD64ED"/>
    <w:rsid w:val="00BD657D"/>
    <w:rsid w:val="00BD68E5"/>
    <w:rsid w:val="00BD720A"/>
    <w:rsid w:val="00BD7801"/>
    <w:rsid w:val="00BD78D2"/>
    <w:rsid w:val="00BD7B6E"/>
    <w:rsid w:val="00BE057E"/>
    <w:rsid w:val="00BE064D"/>
    <w:rsid w:val="00BE09DC"/>
    <w:rsid w:val="00BE2990"/>
    <w:rsid w:val="00BE349D"/>
    <w:rsid w:val="00BE3552"/>
    <w:rsid w:val="00BE3CBD"/>
    <w:rsid w:val="00BE3CE4"/>
    <w:rsid w:val="00BE3F07"/>
    <w:rsid w:val="00BE4044"/>
    <w:rsid w:val="00BE431A"/>
    <w:rsid w:val="00BE449E"/>
    <w:rsid w:val="00BE4CB9"/>
    <w:rsid w:val="00BE510A"/>
    <w:rsid w:val="00BE769B"/>
    <w:rsid w:val="00BF010C"/>
    <w:rsid w:val="00BF282B"/>
    <w:rsid w:val="00BF30A1"/>
    <w:rsid w:val="00BF3727"/>
    <w:rsid w:val="00BF51DE"/>
    <w:rsid w:val="00BF61B4"/>
    <w:rsid w:val="00BF63AC"/>
    <w:rsid w:val="00BF7B6F"/>
    <w:rsid w:val="00C0122F"/>
    <w:rsid w:val="00C02BED"/>
    <w:rsid w:val="00C0422C"/>
    <w:rsid w:val="00C05151"/>
    <w:rsid w:val="00C06216"/>
    <w:rsid w:val="00C0662D"/>
    <w:rsid w:val="00C067FA"/>
    <w:rsid w:val="00C0787C"/>
    <w:rsid w:val="00C07BB1"/>
    <w:rsid w:val="00C1048E"/>
    <w:rsid w:val="00C10D00"/>
    <w:rsid w:val="00C10ED6"/>
    <w:rsid w:val="00C116B6"/>
    <w:rsid w:val="00C12516"/>
    <w:rsid w:val="00C125CC"/>
    <w:rsid w:val="00C127DB"/>
    <w:rsid w:val="00C12F09"/>
    <w:rsid w:val="00C1495C"/>
    <w:rsid w:val="00C1599B"/>
    <w:rsid w:val="00C166D6"/>
    <w:rsid w:val="00C20087"/>
    <w:rsid w:val="00C2062B"/>
    <w:rsid w:val="00C20B45"/>
    <w:rsid w:val="00C21109"/>
    <w:rsid w:val="00C21518"/>
    <w:rsid w:val="00C22366"/>
    <w:rsid w:val="00C22724"/>
    <w:rsid w:val="00C233F8"/>
    <w:rsid w:val="00C23D5E"/>
    <w:rsid w:val="00C24033"/>
    <w:rsid w:val="00C24318"/>
    <w:rsid w:val="00C24AFC"/>
    <w:rsid w:val="00C24D11"/>
    <w:rsid w:val="00C2520D"/>
    <w:rsid w:val="00C25810"/>
    <w:rsid w:val="00C25A65"/>
    <w:rsid w:val="00C265CD"/>
    <w:rsid w:val="00C26AFB"/>
    <w:rsid w:val="00C31325"/>
    <w:rsid w:val="00C316EC"/>
    <w:rsid w:val="00C3195B"/>
    <w:rsid w:val="00C32EF3"/>
    <w:rsid w:val="00C33324"/>
    <w:rsid w:val="00C33DA9"/>
    <w:rsid w:val="00C33F5B"/>
    <w:rsid w:val="00C34B8A"/>
    <w:rsid w:val="00C362D7"/>
    <w:rsid w:val="00C36E54"/>
    <w:rsid w:val="00C376A7"/>
    <w:rsid w:val="00C37F30"/>
    <w:rsid w:val="00C4101E"/>
    <w:rsid w:val="00C41581"/>
    <w:rsid w:val="00C43B64"/>
    <w:rsid w:val="00C44142"/>
    <w:rsid w:val="00C453E5"/>
    <w:rsid w:val="00C45756"/>
    <w:rsid w:val="00C467B4"/>
    <w:rsid w:val="00C50244"/>
    <w:rsid w:val="00C50521"/>
    <w:rsid w:val="00C509EC"/>
    <w:rsid w:val="00C51B2A"/>
    <w:rsid w:val="00C51D39"/>
    <w:rsid w:val="00C52971"/>
    <w:rsid w:val="00C53349"/>
    <w:rsid w:val="00C553C9"/>
    <w:rsid w:val="00C555C5"/>
    <w:rsid w:val="00C55EEE"/>
    <w:rsid w:val="00C56D34"/>
    <w:rsid w:val="00C57521"/>
    <w:rsid w:val="00C61E96"/>
    <w:rsid w:val="00C6308A"/>
    <w:rsid w:val="00C6376B"/>
    <w:rsid w:val="00C643CE"/>
    <w:rsid w:val="00C66050"/>
    <w:rsid w:val="00C669CC"/>
    <w:rsid w:val="00C66B95"/>
    <w:rsid w:val="00C66E1D"/>
    <w:rsid w:val="00C70173"/>
    <w:rsid w:val="00C70E43"/>
    <w:rsid w:val="00C7194F"/>
    <w:rsid w:val="00C71C67"/>
    <w:rsid w:val="00C742F1"/>
    <w:rsid w:val="00C75179"/>
    <w:rsid w:val="00C76E29"/>
    <w:rsid w:val="00C77322"/>
    <w:rsid w:val="00C77A1B"/>
    <w:rsid w:val="00C806AD"/>
    <w:rsid w:val="00C80F1E"/>
    <w:rsid w:val="00C81684"/>
    <w:rsid w:val="00C822CA"/>
    <w:rsid w:val="00C831D4"/>
    <w:rsid w:val="00C83881"/>
    <w:rsid w:val="00C841E6"/>
    <w:rsid w:val="00C8497F"/>
    <w:rsid w:val="00C84A0F"/>
    <w:rsid w:val="00C86707"/>
    <w:rsid w:val="00C86AB0"/>
    <w:rsid w:val="00C87505"/>
    <w:rsid w:val="00C90F3D"/>
    <w:rsid w:val="00C91BB5"/>
    <w:rsid w:val="00C922E0"/>
    <w:rsid w:val="00C92AAE"/>
    <w:rsid w:val="00C9321A"/>
    <w:rsid w:val="00C9380B"/>
    <w:rsid w:val="00C93A7B"/>
    <w:rsid w:val="00C94ABA"/>
    <w:rsid w:val="00C96B0B"/>
    <w:rsid w:val="00CA1E80"/>
    <w:rsid w:val="00CA1FE8"/>
    <w:rsid w:val="00CA2D45"/>
    <w:rsid w:val="00CA3857"/>
    <w:rsid w:val="00CA4304"/>
    <w:rsid w:val="00CA4392"/>
    <w:rsid w:val="00CA50AF"/>
    <w:rsid w:val="00CA56C7"/>
    <w:rsid w:val="00CA61FC"/>
    <w:rsid w:val="00CA66B0"/>
    <w:rsid w:val="00CA6867"/>
    <w:rsid w:val="00CA7250"/>
    <w:rsid w:val="00CA734C"/>
    <w:rsid w:val="00CA75C9"/>
    <w:rsid w:val="00CA75E3"/>
    <w:rsid w:val="00CA7CA4"/>
    <w:rsid w:val="00CB0731"/>
    <w:rsid w:val="00CB0F5A"/>
    <w:rsid w:val="00CB1487"/>
    <w:rsid w:val="00CB1CE5"/>
    <w:rsid w:val="00CB22EE"/>
    <w:rsid w:val="00CB24B0"/>
    <w:rsid w:val="00CB2DD2"/>
    <w:rsid w:val="00CB323F"/>
    <w:rsid w:val="00CB34B6"/>
    <w:rsid w:val="00CB3DF1"/>
    <w:rsid w:val="00CB43C6"/>
    <w:rsid w:val="00CB4951"/>
    <w:rsid w:val="00CB49E9"/>
    <w:rsid w:val="00CB5344"/>
    <w:rsid w:val="00CB5788"/>
    <w:rsid w:val="00CB5BCF"/>
    <w:rsid w:val="00CB67A5"/>
    <w:rsid w:val="00CB6843"/>
    <w:rsid w:val="00CB78F4"/>
    <w:rsid w:val="00CC01AE"/>
    <w:rsid w:val="00CC1297"/>
    <w:rsid w:val="00CC218B"/>
    <w:rsid w:val="00CC24B2"/>
    <w:rsid w:val="00CC2A9F"/>
    <w:rsid w:val="00CC2FCA"/>
    <w:rsid w:val="00CC36FA"/>
    <w:rsid w:val="00CC3A40"/>
    <w:rsid w:val="00CC51CE"/>
    <w:rsid w:val="00CC6623"/>
    <w:rsid w:val="00CC6645"/>
    <w:rsid w:val="00CC7CF2"/>
    <w:rsid w:val="00CD042F"/>
    <w:rsid w:val="00CD1D62"/>
    <w:rsid w:val="00CD2B4D"/>
    <w:rsid w:val="00CD4450"/>
    <w:rsid w:val="00CD5193"/>
    <w:rsid w:val="00CD5B13"/>
    <w:rsid w:val="00CD5DA7"/>
    <w:rsid w:val="00CD5F38"/>
    <w:rsid w:val="00CD7151"/>
    <w:rsid w:val="00CD7F87"/>
    <w:rsid w:val="00CE00B8"/>
    <w:rsid w:val="00CE1443"/>
    <w:rsid w:val="00CE213E"/>
    <w:rsid w:val="00CE21DA"/>
    <w:rsid w:val="00CE38F0"/>
    <w:rsid w:val="00CE41A0"/>
    <w:rsid w:val="00CE4462"/>
    <w:rsid w:val="00CE46F4"/>
    <w:rsid w:val="00CE50C7"/>
    <w:rsid w:val="00CE5995"/>
    <w:rsid w:val="00CE5C04"/>
    <w:rsid w:val="00CE66CB"/>
    <w:rsid w:val="00CE76BA"/>
    <w:rsid w:val="00CE7F8C"/>
    <w:rsid w:val="00CF089D"/>
    <w:rsid w:val="00CF0A5C"/>
    <w:rsid w:val="00CF1570"/>
    <w:rsid w:val="00CF1B31"/>
    <w:rsid w:val="00CF1FE3"/>
    <w:rsid w:val="00CF2D3B"/>
    <w:rsid w:val="00CF41C4"/>
    <w:rsid w:val="00CF44A3"/>
    <w:rsid w:val="00CF514C"/>
    <w:rsid w:val="00CF5457"/>
    <w:rsid w:val="00CF5C7A"/>
    <w:rsid w:val="00CF6723"/>
    <w:rsid w:val="00CF7691"/>
    <w:rsid w:val="00D013C1"/>
    <w:rsid w:val="00D016A9"/>
    <w:rsid w:val="00D01723"/>
    <w:rsid w:val="00D0243F"/>
    <w:rsid w:val="00D02A5F"/>
    <w:rsid w:val="00D02D48"/>
    <w:rsid w:val="00D03772"/>
    <w:rsid w:val="00D03958"/>
    <w:rsid w:val="00D03B83"/>
    <w:rsid w:val="00D03E18"/>
    <w:rsid w:val="00D05535"/>
    <w:rsid w:val="00D06F44"/>
    <w:rsid w:val="00D07DC0"/>
    <w:rsid w:val="00D102B6"/>
    <w:rsid w:val="00D1046D"/>
    <w:rsid w:val="00D14D49"/>
    <w:rsid w:val="00D151F6"/>
    <w:rsid w:val="00D153D4"/>
    <w:rsid w:val="00D17523"/>
    <w:rsid w:val="00D17560"/>
    <w:rsid w:val="00D22A5B"/>
    <w:rsid w:val="00D22C57"/>
    <w:rsid w:val="00D23D43"/>
    <w:rsid w:val="00D24450"/>
    <w:rsid w:val="00D24697"/>
    <w:rsid w:val="00D24E03"/>
    <w:rsid w:val="00D250E0"/>
    <w:rsid w:val="00D25F19"/>
    <w:rsid w:val="00D27B4B"/>
    <w:rsid w:val="00D31A30"/>
    <w:rsid w:val="00D33AF0"/>
    <w:rsid w:val="00D34408"/>
    <w:rsid w:val="00D3554F"/>
    <w:rsid w:val="00D35CC8"/>
    <w:rsid w:val="00D36064"/>
    <w:rsid w:val="00D37168"/>
    <w:rsid w:val="00D3748A"/>
    <w:rsid w:val="00D37A37"/>
    <w:rsid w:val="00D40B92"/>
    <w:rsid w:val="00D420EB"/>
    <w:rsid w:val="00D4324F"/>
    <w:rsid w:val="00D4360C"/>
    <w:rsid w:val="00D4442E"/>
    <w:rsid w:val="00D45118"/>
    <w:rsid w:val="00D4531F"/>
    <w:rsid w:val="00D46125"/>
    <w:rsid w:val="00D4651C"/>
    <w:rsid w:val="00D50977"/>
    <w:rsid w:val="00D510A0"/>
    <w:rsid w:val="00D51EF2"/>
    <w:rsid w:val="00D5219A"/>
    <w:rsid w:val="00D54539"/>
    <w:rsid w:val="00D55DFB"/>
    <w:rsid w:val="00D56313"/>
    <w:rsid w:val="00D56DFF"/>
    <w:rsid w:val="00D57437"/>
    <w:rsid w:val="00D609DC"/>
    <w:rsid w:val="00D61572"/>
    <w:rsid w:val="00D62283"/>
    <w:rsid w:val="00D627EB"/>
    <w:rsid w:val="00D63191"/>
    <w:rsid w:val="00D63C7C"/>
    <w:rsid w:val="00D6404D"/>
    <w:rsid w:val="00D642CD"/>
    <w:rsid w:val="00D65B2B"/>
    <w:rsid w:val="00D70279"/>
    <w:rsid w:val="00D70C2F"/>
    <w:rsid w:val="00D70D58"/>
    <w:rsid w:val="00D71766"/>
    <w:rsid w:val="00D71D0E"/>
    <w:rsid w:val="00D72470"/>
    <w:rsid w:val="00D7281A"/>
    <w:rsid w:val="00D7307B"/>
    <w:rsid w:val="00D734E2"/>
    <w:rsid w:val="00D7385D"/>
    <w:rsid w:val="00D73DFD"/>
    <w:rsid w:val="00D74262"/>
    <w:rsid w:val="00D74AE8"/>
    <w:rsid w:val="00D74B7F"/>
    <w:rsid w:val="00D75883"/>
    <w:rsid w:val="00D765C8"/>
    <w:rsid w:val="00D76A17"/>
    <w:rsid w:val="00D76C2A"/>
    <w:rsid w:val="00D76C7F"/>
    <w:rsid w:val="00D76CA3"/>
    <w:rsid w:val="00D771AD"/>
    <w:rsid w:val="00D80B06"/>
    <w:rsid w:val="00D82349"/>
    <w:rsid w:val="00D82409"/>
    <w:rsid w:val="00D82650"/>
    <w:rsid w:val="00D837BF"/>
    <w:rsid w:val="00D83EF9"/>
    <w:rsid w:val="00D84E21"/>
    <w:rsid w:val="00D85041"/>
    <w:rsid w:val="00D85676"/>
    <w:rsid w:val="00D85927"/>
    <w:rsid w:val="00D85F8D"/>
    <w:rsid w:val="00D86054"/>
    <w:rsid w:val="00D87593"/>
    <w:rsid w:val="00D90D9B"/>
    <w:rsid w:val="00D90F42"/>
    <w:rsid w:val="00D91641"/>
    <w:rsid w:val="00D917AF"/>
    <w:rsid w:val="00D92CDC"/>
    <w:rsid w:val="00D93342"/>
    <w:rsid w:val="00D93E00"/>
    <w:rsid w:val="00D93E3A"/>
    <w:rsid w:val="00D94556"/>
    <w:rsid w:val="00D950A7"/>
    <w:rsid w:val="00D95220"/>
    <w:rsid w:val="00D964B0"/>
    <w:rsid w:val="00DA0343"/>
    <w:rsid w:val="00DA0549"/>
    <w:rsid w:val="00DA09C3"/>
    <w:rsid w:val="00DA10AB"/>
    <w:rsid w:val="00DA13D6"/>
    <w:rsid w:val="00DA1AA5"/>
    <w:rsid w:val="00DA25C3"/>
    <w:rsid w:val="00DA2831"/>
    <w:rsid w:val="00DA36A5"/>
    <w:rsid w:val="00DA42F0"/>
    <w:rsid w:val="00DA4804"/>
    <w:rsid w:val="00DA5EBE"/>
    <w:rsid w:val="00DA632D"/>
    <w:rsid w:val="00DB01E7"/>
    <w:rsid w:val="00DB07AE"/>
    <w:rsid w:val="00DB195D"/>
    <w:rsid w:val="00DB1A6A"/>
    <w:rsid w:val="00DB1B81"/>
    <w:rsid w:val="00DB2875"/>
    <w:rsid w:val="00DB288C"/>
    <w:rsid w:val="00DB3DA6"/>
    <w:rsid w:val="00DB3F01"/>
    <w:rsid w:val="00DB42A9"/>
    <w:rsid w:val="00DB72A0"/>
    <w:rsid w:val="00DC07EA"/>
    <w:rsid w:val="00DC1A10"/>
    <w:rsid w:val="00DC2046"/>
    <w:rsid w:val="00DC2B27"/>
    <w:rsid w:val="00DC3448"/>
    <w:rsid w:val="00DC3490"/>
    <w:rsid w:val="00DC399D"/>
    <w:rsid w:val="00DC3DBD"/>
    <w:rsid w:val="00DC45B4"/>
    <w:rsid w:val="00DC4E85"/>
    <w:rsid w:val="00DC5491"/>
    <w:rsid w:val="00DC5A97"/>
    <w:rsid w:val="00DC7E37"/>
    <w:rsid w:val="00DD05EB"/>
    <w:rsid w:val="00DD0A83"/>
    <w:rsid w:val="00DD1E55"/>
    <w:rsid w:val="00DD249C"/>
    <w:rsid w:val="00DD3DC3"/>
    <w:rsid w:val="00DD419E"/>
    <w:rsid w:val="00DD64A3"/>
    <w:rsid w:val="00DD65B5"/>
    <w:rsid w:val="00DD6BAA"/>
    <w:rsid w:val="00DD6DA2"/>
    <w:rsid w:val="00DD7E23"/>
    <w:rsid w:val="00DE0CC3"/>
    <w:rsid w:val="00DE10AE"/>
    <w:rsid w:val="00DE13CA"/>
    <w:rsid w:val="00DE1A20"/>
    <w:rsid w:val="00DE1ECE"/>
    <w:rsid w:val="00DE2558"/>
    <w:rsid w:val="00DE2880"/>
    <w:rsid w:val="00DE2E09"/>
    <w:rsid w:val="00DE30E8"/>
    <w:rsid w:val="00DE321C"/>
    <w:rsid w:val="00DE457E"/>
    <w:rsid w:val="00DE59D3"/>
    <w:rsid w:val="00DE67F0"/>
    <w:rsid w:val="00DE683D"/>
    <w:rsid w:val="00DE76D1"/>
    <w:rsid w:val="00DE78B2"/>
    <w:rsid w:val="00DE7919"/>
    <w:rsid w:val="00DF031F"/>
    <w:rsid w:val="00DF0C8E"/>
    <w:rsid w:val="00DF1AE1"/>
    <w:rsid w:val="00DF1DCE"/>
    <w:rsid w:val="00DF3036"/>
    <w:rsid w:val="00DF3203"/>
    <w:rsid w:val="00DF325A"/>
    <w:rsid w:val="00DF3640"/>
    <w:rsid w:val="00DF42CC"/>
    <w:rsid w:val="00DF52F7"/>
    <w:rsid w:val="00DF5CB5"/>
    <w:rsid w:val="00DF6178"/>
    <w:rsid w:val="00DF6B20"/>
    <w:rsid w:val="00DF7108"/>
    <w:rsid w:val="00DF7CFE"/>
    <w:rsid w:val="00E00251"/>
    <w:rsid w:val="00E00DDD"/>
    <w:rsid w:val="00E0112A"/>
    <w:rsid w:val="00E02423"/>
    <w:rsid w:val="00E02AC2"/>
    <w:rsid w:val="00E038A7"/>
    <w:rsid w:val="00E03FFC"/>
    <w:rsid w:val="00E048AF"/>
    <w:rsid w:val="00E068AD"/>
    <w:rsid w:val="00E0790F"/>
    <w:rsid w:val="00E10222"/>
    <w:rsid w:val="00E112FB"/>
    <w:rsid w:val="00E147FB"/>
    <w:rsid w:val="00E14BC1"/>
    <w:rsid w:val="00E168E9"/>
    <w:rsid w:val="00E1696A"/>
    <w:rsid w:val="00E16C2D"/>
    <w:rsid w:val="00E17967"/>
    <w:rsid w:val="00E21772"/>
    <w:rsid w:val="00E241C2"/>
    <w:rsid w:val="00E24423"/>
    <w:rsid w:val="00E246ED"/>
    <w:rsid w:val="00E24BED"/>
    <w:rsid w:val="00E25242"/>
    <w:rsid w:val="00E257E6"/>
    <w:rsid w:val="00E25F60"/>
    <w:rsid w:val="00E269D3"/>
    <w:rsid w:val="00E26B1C"/>
    <w:rsid w:val="00E305DF"/>
    <w:rsid w:val="00E30C6C"/>
    <w:rsid w:val="00E30DD9"/>
    <w:rsid w:val="00E311D6"/>
    <w:rsid w:val="00E319E5"/>
    <w:rsid w:val="00E34719"/>
    <w:rsid w:val="00E362E0"/>
    <w:rsid w:val="00E4053E"/>
    <w:rsid w:val="00E40842"/>
    <w:rsid w:val="00E40AAF"/>
    <w:rsid w:val="00E414E7"/>
    <w:rsid w:val="00E417FB"/>
    <w:rsid w:val="00E42496"/>
    <w:rsid w:val="00E42942"/>
    <w:rsid w:val="00E4301B"/>
    <w:rsid w:val="00E43335"/>
    <w:rsid w:val="00E43A22"/>
    <w:rsid w:val="00E43E43"/>
    <w:rsid w:val="00E4450B"/>
    <w:rsid w:val="00E459B1"/>
    <w:rsid w:val="00E45D5C"/>
    <w:rsid w:val="00E470BE"/>
    <w:rsid w:val="00E503E0"/>
    <w:rsid w:val="00E5108E"/>
    <w:rsid w:val="00E5114B"/>
    <w:rsid w:val="00E5399E"/>
    <w:rsid w:val="00E54947"/>
    <w:rsid w:val="00E553D0"/>
    <w:rsid w:val="00E559B8"/>
    <w:rsid w:val="00E55C08"/>
    <w:rsid w:val="00E56140"/>
    <w:rsid w:val="00E56EEE"/>
    <w:rsid w:val="00E57613"/>
    <w:rsid w:val="00E576C3"/>
    <w:rsid w:val="00E57A44"/>
    <w:rsid w:val="00E6114A"/>
    <w:rsid w:val="00E632D9"/>
    <w:rsid w:val="00E64209"/>
    <w:rsid w:val="00E6455E"/>
    <w:rsid w:val="00E645BA"/>
    <w:rsid w:val="00E64907"/>
    <w:rsid w:val="00E64E74"/>
    <w:rsid w:val="00E6517B"/>
    <w:rsid w:val="00E65662"/>
    <w:rsid w:val="00E659EB"/>
    <w:rsid w:val="00E65DB0"/>
    <w:rsid w:val="00E671BC"/>
    <w:rsid w:val="00E67516"/>
    <w:rsid w:val="00E67983"/>
    <w:rsid w:val="00E701BB"/>
    <w:rsid w:val="00E70671"/>
    <w:rsid w:val="00E70D3B"/>
    <w:rsid w:val="00E71283"/>
    <w:rsid w:val="00E722DF"/>
    <w:rsid w:val="00E7446E"/>
    <w:rsid w:val="00E76DA9"/>
    <w:rsid w:val="00E76E93"/>
    <w:rsid w:val="00E7764D"/>
    <w:rsid w:val="00E77676"/>
    <w:rsid w:val="00E77AE5"/>
    <w:rsid w:val="00E803BA"/>
    <w:rsid w:val="00E80A55"/>
    <w:rsid w:val="00E822F2"/>
    <w:rsid w:val="00E8266E"/>
    <w:rsid w:val="00E840E1"/>
    <w:rsid w:val="00E850A2"/>
    <w:rsid w:val="00E850E7"/>
    <w:rsid w:val="00E854A0"/>
    <w:rsid w:val="00E85C04"/>
    <w:rsid w:val="00E86005"/>
    <w:rsid w:val="00E86337"/>
    <w:rsid w:val="00E866A5"/>
    <w:rsid w:val="00E8679F"/>
    <w:rsid w:val="00E87813"/>
    <w:rsid w:val="00E87C8F"/>
    <w:rsid w:val="00E87F98"/>
    <w:rsid w:val="00E9060F"/>
    <w:rsid w:val="00E91B31"/>
    <w:rsid w:val="00E92843"/>
    <w:rsid w:val="00E93761"/>
    <w:rsid w:val="00E945F9"/>
    <w:rsid w:val="00E94B97"/>
    <w:rsid w:val="00E95247"/>
    <w:rsid w:val="00E953C7"/>
    <w:rsid w:val="00E971AB"/>
    <w:rsid w:val="00EA0320"/>
    <w:rsid w:val="00EA0C40"/>
    <w:rsid w:val="00EA0E20"/>
    <w:rsid w:val="00EA0EF4"/>
    <w:rsid w:val="00EA1383"/>
    <w:rsid w:val="00EA167F"/>
    <w:rsid w:val="00EA1752"/>
    <w:rsid w:val="00EA1B5E"/>
    <w:rsid w:val="00EA2461"/>
    <w:rsid w:val="00EA2BC2"/>
    <w:rsid w:val="00EA3093"/>
    <w:rsid w:val="00EA32BE"/>
    <w:rsid w:val="00EA3A80"/>
    <w:rsid w:val="00EA3FD4"/>
    <w:rsid w:val="00EA437E"/>
    <w:rsid w:val="00EA476B"/>
    <w:rsid w:val="00EA4A92"/>
    <w:rsid w:val="00EA5584"/>
    <w:rsid w:val="00EA5B16"/>
    <w:rsid w:val="00EA5BCD"/>
    <w:rsid w:val="00EA72F0"/>
    <w:rsid w:val="00EA76EB"/>
    <w:rsid w:val="00EA770B"/>
    <w:rsid w:val="00EB0A96"/>
    <w:rsid w:val="00EB1226"/>
    <w:rsid w:val="00EB1AF1"/>
    <w:rsid w:val="00EB2D47"/>
    <w:rsid w:val="00EB36DE"/>
    <w:rsid w:val="00EB4033"/>
    <w:rsid w:val="00EB4707"/>
    <w:rsid w:val="00EB485B"/>
    <w:rsid w:val="00EB5EB1"/>
    <w:rsid w:val="00EB6C29"/>
    <w:rsid w:val="00EB7818"/>
    <w:rsid w:val="00EC044D"/>
    <w:rsid w:val="00EC105C"/>
    <w:rsid w:val="00EC1A11"/>
    <w:rsid w:val="00EC3224"/>
    <w:rsid w:val="00EC4E78"/>
    <w:rsid w:val="00EC6FCB"/>
    <w:rsid w:val="00EC6FDE"/>
    <w:rsid w:val="00EC7B22"/>
    <w:rsid w:val="00ED01CF"/>
    <w:rsid w:val="00ED01F4"/>
    <w:rsid w:val="00ED09DB"/>
    <w:rsid w:val="00ED1EBF"/>
    <w:rsid w:val="00ED3896"/>
    <w:rsid w:val="00ED48C2"/>
    <w:rsid w:val="00ED60A4"/>
    <w:rsid w:val="00ED627E"/>
    <w:rsid w:val="00ED6549"/>
    <w:rsid w:val="00ED6A03"/>
    <w:rsid w:val="00ED6F25"/>
    <w:rsid w:val="00ED7A69"/>
    <w:rsid w:val="00EE037A"/>
    <w:rsid w:val="00EE0738"/>
    <w:rsid w:val="00EE0D04"/>
    <w:rsid w:val="00EE11BC"/>
    <w:rsid w:val="00EE1608"/>
    <w:rsid w:val="00EE2A1C"/>
    <w:rsid w:val="00EE2AB8"/>
    <w:rsid w:val="00EE3583"/>
    <w:rsid w:val="00EE3AB5"/>
    <w:rsid w:val="00EE45B3"/>
    <w:rsid w:val="00EE4A20"/>
    <w:rsid w:val="00EE73D2"/>
    <w:rsid w:val="00EF084E"/>
    <w:rsid w:val="00EF0BAF"/>
    <w:rsid w:val="00EF1D32"/>
    <w:rsid w:val="00EF1E5F"/>
    <w:rsid w:val="00EF2391"/>
    <w:rsid w:val="00EF23BF"/>
    <w:rsid w:val="00EF28D2"/>
    <w:rsid w:val="00EF35B3"/>
    <w:rsid w:val="00EF36EF"/>
    <w:rsid w:val="00EF4935"/>
    <w:rsid w:val="00EF4F7F"/>
    <w:rsid w:val="00EF535E"/>
    <w:rsid w:val="00EF5C52"/>
    <w:rsid w:val="00EF5F41"/>
    <w:rsid w:val="00EF603A"/>
    <w:rsid w:val="00EF6A01"/>
    <w:rsid w:val="00EF6B18"/>
    <w:rsid w:val="00EF712D"/>
    <w:rsid w:val="00EF7185"/>
    <w:rsid w:val="00EF734A"/>
    <w:rsid w:val="00EF7F10"/>
    <w:rsid w:val="00EF7F33"/>
    <w:rsid w:val="00F009A6"/>
    <w:rsid w:val="00F00A4E"/>
    <w:rsid w:val="00F02C87"/>
    <w:rsid w:val="00F03921"/>
    <w:rsid w:val="00F04A2D"/>
    <w:rsid w:val="00F05BAA"/>
    <w:rsid w:val="00F05DB7"/>
    <w:rsid w:val="00F06CA8"/>
    <w:rsid w:val="00F06FB7"/>
    <w:rsid w:val="00F07C44"/>
    <w:rsid w:val="00F11CB3"/>
    <w:rsid w:val="00F12213"/>
    <w:rsid w:val="00F1243E"/>
    <w:rsid w:val="00F12628"/>
    <w:rsid w:val="00F13D1F"/>
    <w:rsid w:val="00F14DBE"/>
    <w:rsid w:val="00F15507"/>
    <w:rsid w:val="00F15718"/>
    <w:rsid w:val="00F16303"/>
    <w:rsid w:val="00F17E4B"/>
    <w:rsid w:val="00F2106F"/>
    <w:rsid w:val="00F21235"/>
    <w:rsid w:val="00F21FE6"/>
    <w:rsid w:val="00F22137"/>
    <w:rsid w:val="00F22BAC"/>
    <w:rsid w:val="00F23248"/>
    <w:rsid w:val="00F24D79"/>
    <w:rsid w:val="00F25248"/>
    <w:rsid w:val="00F2585E"/>
    <w:rsid w:val="00F258D7"/>
    <w:rsid w:val="00F25AB2"/>
    <w:rsid w:val="00F275B8"/>
    <w:rsid w:val="00F27966"/>
    <w:rsid w:val="00F279EA"/>
    <w:rsid w:val="00F27A05"/>
    <w:rsid w:val="00F32142"/>
    <w:rsid w:val="00F32167"/>
    <w:rsid w:val="00F32BB4"/>
    <w:rsid w:val="00F32CCD"/>
    <w:rsid w:val="00F34BEB"/>
    <w:rsid w:val="00F35B44"/>
    <w:rsid w:val="00F35EFF"/>
    <w:rsid w:val="00F36E3E"/>
    <w:rsid w:val="00F378FB"/>
    <w:rsid w:val="00F37C68"/>
    <w:rsid w:val="00F4108D"/>
    <w:rsid w:val="00F42D56"/>
    <w:rsid w:val="00F4569E"/>
    <w:rsid w:val="00F45908"/>
    <w:rsid w:val="00F45E38"/>
    <w:rsid w:val="00F463AA"/>
    <w:rsid w:val="00F47C16"/>
    <w:rsid w:val="00F5281D"/>
    <w:rsid w:val="00F531C6"/>
    <w:rsid w:val="00F5563B"/>
    <w:rsid w:val="00F569C6"/>
    <w:rsid w:val="00F5757E"/>
    <w:rsid w:val="00F57873"/>
    <w:rsid w:val="00F608DE"/>
    <w:rsid w:val="00F619F1"/>
    <w:rsid w:val="00F6219F"/>
    <w:rsid w:val="00F629EC"/>
    <w:rsid w:val="00F62A02"/>
    <w:rsid w:val="00F63797"/>
    <w:rsid w:val="00F637E2"/>
    <w:rsid w:val="00F63C1A"/>
    <w:rsid w:val="00F63CD4"/>
    <w:rsid w:val="00F65E5F"/>
    <w:rsid w:val="00F65F18"/>
    <w:rsid w:val="00F679DD"/>
    <w:rsid w:val="00F67AE4"/>
    <w:rsid w:val="00F701E5"/>
    <w:rsid w:val="00F71A43"/>
    <w:rsid w:val="00F72751"/>
    <w:rsid w:val="00F72E22"/>
    <w:rsid w:val="00F72FAC"/>
    <w:rsid w:val="00F7404E"/>
    <w:rsid w:val="00F74C43"/>
    <w:rsid w:val="00F74E48"/>
    <w:rsid w:val="00F74E6A"/>
    <w:rsid w:val="00F770E6"/>
    <w:rsid w:val="00F8049A"/>
    <w:rsid w:val="00F823E6"/>
    <w:rsid w:val="00F82BB5"/>
    <w:rsid w:val="00F83120"/>
    <w:rsid w:val="00F83EB7"/>
    <w:rsid w:val="00F83FD6"/>
    <w:rsid w:val="00F85A9D"/>
    <w:rsid w:val="00F86CA6"/>
    <w:rsid w:val="00F87137"/>
    <w:rsid w:val="00F871B7"/>
    <w:rsid w:val="00F87EE1"/>
    <w:rsid w:val="00F90B2B"/>
    <w:rsid w:val="00F90D2F"/>
    <w:rsid w:val="00F91749"/>
    <w:rsid w:val="00F92ACD"/>
    <w:rsid w:val="00F930B1"/>
    <w:rsid w:val="00F9396B"/>
    <w:rsid w:val="00F939FE"/>
    <w:rsid w:val="00F93B93"/>
    <w:rsid w:val="00F942F0"/>
    <w:rsid w:val="00F945B7"/>
    <w:rsid w:val="00F94827"/>
    <w:rsid w:val="00F966FD"/>
    <w:rsid w:val="00F968AF"/>
    <w:rsid w:val="00F97059"/>
    <w:rsid w:val="00F973EF"/>
    <w:rsid w:val="00F97D36"/>
    <w:rsid w:val="00FA0023"/>
    <w:rsid w:val="00FA04B9"/>
    <w:rsid w:val="00FA10D1"/>
    <w:rsid w:val="00FA2D26"/>
    <w:rsid w:val="00FA348C"/>
    <w:rsid w:val="00FA3D7D"/>
    <w:rsid w:val="00FA3D81"/>
    <w:rsid w:val="00FA44DB"/>
    <w:rsid w:val="00FA4EA7"/>
    <w:rsid w:val="00FA5123"/>
    <w:rsid w:val="00FA6904"/>
    <w:rsid w:val="00FA70EE"/>
    <w:rsid w:val="00FB0192"/>
    <w:rsid w:val="00FB12A8"/>
    <w:rsid w:val="00FB199E"/>
    <w:rsid w:val="00FB3211"/>
    <w:rsid w:val="00FB3CA2"/>
    <w:rsid w:val="00FB3D1A"/>
    <w:rsid w:val="00FB40A0"/>
    <w:rsid w:val="00FB43A4"/>
    <w:rsid w:val="00FB554D"/>
    <w:rsid w:val="00FB5CAA"/>
    <w:rsid w:val="00FB6164"/>
    <w:rsid w:val="00FB66B0"/>
    <w:rsid w:val="00FB77CF"/>
    <w:rsid w:val="00FC0257"/>
    <w:rsid w:val="00FC1411"/>
    <w:rsid w:val="00FC1C51"/>
    <w:rsid w:val="00FC2268"/>
    <w:rsid w:val="00FC3775"/>
    <w:rsid w:val="00FC53E5"/>
    <w:rsid w:val="00FC5CDF"/>
    <w:rsid w:val="00FC5E7A"/>
    <w:rsid w:val="00FD0B23"/>
    <w:rsid w:val="00FD1DAC"/>
    <w:rsid w:val="00FD260A"/>
    <w:rsid w:val="00FD429A"/>
    <w:rsid w:val="00FD4369"/>
    <w:rsid w:val="00FD4884"/>
    <w:rsid w:val="00FD5111"/>
    <w:rsid w:val="00FD52B7"/>
    <w:rsid w:val="00FD561E"/>
    <w:rsid w:val="00FD64FC"/>
    <w:rsid w:val="00FD6999"/>
    <w:rsid w:val="00FD706F"/>
    <w:rsid w:val="00FE010D"/>
    <w:rsid w:val="00FE0702"/>
    <w:rsid w:val="00FE0944"/>
    <w:rsid w:val="00FE1279"/>
    <w:rsid w:val="00FE2926"/>
    <w:rsid w:val="00FE3658"/>
    <w:rsid w:val="00FE5396"/>
    <w:rsid w:val="00FE5EA0"/>
    <w:rsid w:val="00FE6CAB"/>
    <w:rsid w:val="00FF00AA"/>
    <w:rsid w:val="00FF09F0"/>
    <w:rsid w:val="00FF0BB8"/>
    <w:rsid w:val="00FF1069"/>
    <w:rsid w:val="00FF10FC"/>
    <w:rsid w:val="00FF1E3D"/>
    <w:rsid w:val="00FF216F"/>
    <w:rsid w:val="00FF2C63"/>
    <w:rsid w:val="00FF3083"/>
    <w:rsid w:val="00FF394B"/>
    <w:rsid w:val="00FF4E1A"/>
    <w:rsid w:val="00FF4FB1"/>
    <w:rsid w:val="00FF51EB"/>
    <w:rsid w:val="00FF609B"/>
    <w:rsid w:val="00FF63FA"/>
    <w:rsid w:val="00FF744D"/>
    <w:rsid w:val="00FF775D"/>
    <w:rsid w:val="00FF7CF9"/>
    <w:rsid w:val="010A29DC"/>
    <w:rsid w:val="01135705"/>
    <w:rsid w:val="01390BCC"/>
    <w:rsid w:val="015651CB"/>
    <w:rsid w:val="015C4234"/>
    <w:rsid w:val="01666558"/>
    <w:rsid w:val="01951891"/>
    <w:rsid w:val="0196004B"/>
    <w:rsid w:val="01F319A2"/>
    <w:rsid w:val="01F44222"/>
    <w:rsid w:val="02010A8E"/>
    <w:rsid w:val="020236B3"/>
    <w:rsid w:val="02346D44"/>
    <w:rsid w:val="023A4AFE"/>
    <w:rsid w:val="024A3371"/>
    <w:rsid w:val="025342FC"/>
    <w:rsid w:val="027020A3"/>
    <w:rsid w:val="02844EF0"/>
    <w:rsid w:val="02A320BD"/>
    <w:rsid w:val="02A40DDE"/>
    <w:rsid w:val="02A721CC"/>
    <w:rsid w:val="02AE7314"/>
    <w:rsid w:val="02F32FFC"/>
    <w:rsid w:val="02F67A53"/>
    <w:rsid w:val="03015CA8"/>
    <w:rsid w:val="030465D4"/>
    <w:rsid w:val="0306040C"/>
    <w:rsid w:val="031F1E04"/>
    <w:rsid w:val="032478F0"/>
    <w:rsid w:val="03301197"/>
    <w:rsid w:val="034C4F1B"/>
    <w:rsid w:val="036300DA"/>
    <w:rsid w:val="036B611E"/>
    <w:rsid w:val="03A11FB8"/>
    <w:rsid w:val="03B460E6"/>
    <w:rsid w:val="03BD711C"/>
    <w:rsid w:val="03E05B99"/>
    <w:rsid w:val="03ED0B73"/>
    <w:rsid w:val="03F826EF"/>
    <w:rsid w:val="040D4647"/>
    <w:rsid w:val="04193F84"/>
    <w:rsid w:val="041C1EA4"/>
    <w:rsid w:val="045D37F5"/>
    <w:rsid w:val="04910518"/>
    <w:rsid w:val="04C22816"/>
    <w:rsid w:val="04C82992"/>
    <w:rsid w:val="04E62E18"/>
    <w:rsid w:val="04F507E0"/>
    <w:rsid w:val="04FD3DB2"/>
    <w:rsid w:val="0502151A"/>
    <w:rsid w:val="05125682"/>
    <w:rsid w:val="052E4D55"/>
    <w:rsid w:val="053E54C2"/>
    <w:rsid w:val="054260F9"/>
    <w:rsid w:val="057335C1"/>
    <w:rsid w:val="058B5B44"/>
    <w:rsid w:val="05B21A86"/>
    <w:rsid w:val="05B54D02"/>
    <w:rsid w:val="05FF342F"/>
    <w:rsid w:val="06144F13"/>
    <w:rsid w:val="06347FAA"/>
    <w:rsid w:val="06840B3B"/>
    <w:rsid w:val="0687353C"/>
    <w:rsid w:val="068F461C"/>
    <w:rsid w:val="06A03611"/>
    <w:rsid w:val="06AD3DF6"/>
    <w:rsid w:val="06B548C2"/>
    <w:rsid w:val="06CB77F8"/>
    <w:rsid w:val="06D94A2A"/>
    <w:rsid w:val="07001C9F"/>
    <w:rsid w:val="0772152F"/>
    <w:rsid w:val="07840838"/>
    <w:rsid w:val="07A6120A"/>
    <w:rsid w:val="07B635D8"/>
    <w:rsid w:val="07E33BE5"/>
    <w:rsid w:val="07EC2DF4"/>
    <w:rsid w:val="08073233"/>
    <w:rsid w:val="080A092D"/>
    <w:rsid w:val="08766E28"/>
    <w:rsid w:val="088968DD"/>
    <w:rsid w:val="088C4FBB"/>
    <w:rsid w:val="089A2375"/>
    <w:rsid w:val="08AC03F8"/>
    <w:rsid w:val="08D27E05"/>
    <w:rsid w:val="08DF1AA3"/>
    <w:rsid w:val="08E26E3A"/>
    <w:rsid w:val="08EF4796"/>
    <w:rsid w:val="08F63846"/>
    <w:rsid w:val="090F4267"/>
    <w:rsid w:val="091308EE"/>
    <w:rsid w:val="09130EA8"/>
    <w:rsid w:val="09440A55"/>
    <w:rsid w:val="095A2C3D"/>
    <w:rsid w:val="096716D2"/>
    <w:rsid w:val="09752731"/>
    <w:rsid w:val="09793867"/>
    <w:rsid w:val="097B1990"/>
    <w:rsid w:val="09912DB6"/>
    <w:rsid w:val="09BF288E"/>
    <w:rsid w:val="09E607A8"/>
    <w:rsid w:val="09F6675B"/>
    <w:rsid w:val="0A1F04A2"/>
    <w:rsid w:val="0A2967BB"/>
    <w:rsid w:val="0A35663D"/>
    <w:rsid w:val="0A356F09"/>
    <w:rsid w:val="0A3F53B7"/>
    <w:rsid w:val="0A424F95"/>
    <w:rsid w:val="0A427060"/>
    <w:rsid w:val="0A4976CC"/>
    <w:rsid w:val="0A4D06EB"/>
    <w:rsid w:val="0A5019AF"/>
    <w:rsid w:val="0A573B2B"/>
    <w:rsid w:val="0A9D4DDA"/>
    <w:rsid w:val="0AB84854"/>
    <w:rsid w:val="0AB90523"/>
    <w:rsid w:val="0AB97741"/>
    <w:rsid w:val="0ABA7636"/>
    <w:rsid w:val="0ACB4B88"/>
    <w:rsid w:val="0AD37E61"/>
    <w:rsid w:val="0AE8794C"/>
    <w:rsid w:val="0B224DC6"/>
    <w:rsid w:val="0B2A1067"/>
    <w:rsid w:val="0B3D000D"/>
    <w:rsid w:val="0B521208"/>
    <w:rsid w:val="0B8352AD"/>
    <w:rsid w:val="0B847AD1"/>
    <w:rsid w:val="0B997C9E"/>
    <w:rsid w:val="0BA25756"/>
    <w:rsid w:val="0BE0373D"/>
    <w:rsid w:val="0C0606C9"/>
    <w:rsid w:val="0C610511"/>
    <w:rsid w:val="0C6403F1"/>
    <w:rsid w:val="0CBC7E52"/>
    <w:rsid w:val="0CC9509F"/>
    <w:rsid w:val="0CD4732C"/>
    <w:rsid w:val="0D044A13"/>
    <w:rsid w:val="0D1060C8"/>
    <w:rsid w:val="0D163B1B"/>
    <w:rsid w:val="0D2F10B2"/>
    <w:rsid w:val="0D4E5218"/>
    <w:rsid w:val="0D600B32"/>
    <w:rsid w:val="0D652DDF"/>
    <w:rsid w:val="0D69372A"/>
    <w:rsid w:val="0D90063E"/>
    <w:rsid w:val="0DA55244"/>
    <w:rsid w:val="0DC40639"/>
    <w:rsid w:val="0DE37DAB"/>
    <w:rsid w:val="0E05432C"/>
    <w:rsid w:val="0E230A9C"/>
    <w:rsid w:val="0E3916B2"/>
    <w:rsid w:val="0E587898"/>
    <w:rsid w:val="0E624A26"/>
    <w:rsid w:val="0E966CBC"/>
    <w:rsid w:val="0F010813"/>
    <w:rsid w:val="0F5041E1"/>
    <w:rsid w:val="0F5F5DEF"/>
    <w:rsid w:val="0F6578F8"/>
    <w:rsid w:val="0F741646"/>
    <w:rsid w:val="0F762A88"/>
    <w:rsid w:val="0F845151"/>
    <w:rsid w:val="0FA66F21"/>
    <w:rsid w:val="0FC55172"/>
    <w:rsid w:val="0FC84887"/>
    <w:rsid w:val="0FEC2D8E"/>
    <w:rsid w:val="0FF30FEA"/>
    <w:rsid w:val="10297BF6"/>
    <w:rsid w:val="10496292"/>
    <w:rsid w:val="105A4DF7"/>
    <w:rsid w:val="10E41AA8"/>
    <w:rsid w:val="10E50428"/>
    <w:rsid w:val="10F13271"/>
    <w:rsid w:val="110A4333"/>
    <w:rsid w:val="1118155D"/>
    <w:rsid w:val="11587417"/>
    <w:rsid w:val="119254E8"/>
    <w:rsid w:val="119C3D87"/>
    <w:rsid w:val="11B86C8E"/>
    <w:rsid w:val="11DC2678"/>
    <w:rsid w:val="11F37AAF"/>
    <w:rsid w:val="1231505F"/>
    <w:rsid w:val="12490C1A"/>
    <w:rsid w:val="126A3E6B"/>
    <w:rsid w:val="126C326A"/>
    <w:rsid w:val="12815AEB"/>
    <w:rsid w:val="12C337DE"/>
    <w:rsid w:val="13017C14"/>
    <w:rsid w:val="13083EAD"/>
    <w:rsid w:val="13215E10"/>
    <w:rsid w:val="13283DEC"/>
    <w:rsid w:val="13544C3F"/>
    <w:rsid w:val="135F0B15"/>
    <w:rsid w:val="13634DDD"/>
    <w:rsid w:val="13856446"/>
    <w:rsid w:val="1396747A"/>
    <w:rsid w:val="13A3130F"/>
    <w:rsid w:val="13E82F19"/>
    <w:rsid w:val="13EE3A98"/>
    <w:rsid w:val="14010C77"/>
    <w:rsid w:val="140356B0"/>
    <w:rsid w:val="141D30BE"/>
    <w:rsid w:val="142E79C5"/>
    <w:rsid w:val="14587E57"/>
    <w:rsid w:val="14741441"/>
    <w:rsid w:val="14BB1C9F"/>
    <w:rsid w:val="14EE552B"/>
    <w:rsid w:val="15094C5D"/>
    <w:rsid w:val="150B2021"/>
    <w:rsid w:val="15316317"/>
    <w:rsid w:val="155906E9"/>
    <w:rsid w:val="156247B4"/>
    <w:rsid w:val="1570752D"/>
    <w:rsid w:val="15770229"/>
    <w:rsid w:val="158826C2"/>
    <w:rsid w:val="15AF273C"/>
    <w:rsid w:val="15B14CD7"/>
    <w:rsid w:val="15D07525"/>
    <w:rsid w:val="15E2544F"/>
    <w:rsid w:val="1600098F"/>
    <w:rsid w:val="160E0B58"/>
    <w:rsid w:val="162776F9"/>
    <w:rsid w:val="165A62EF"/>
    <w:rsid w:val="165B5E1A"/>
    <w:rsid w:val="16620A0C"/>
    <w:rsid w:val="16745DD3"/>
    <w:rsid w:val="16846772"/>
    <w:rsid w:val="16DD0CDF"/>
    <w:rsid w:val="16E377B7"/>
    <w:rsid w:val="16EE4C4E"/>
    <w:rsid w:val="16FA509C"/>
    <w:rsid w:val="17072B4C"/>
    <w:rsid w:val="170D12AB"/>
    <w:rsid w:val="171A3ED5"/>
    <w:rsid w:val="17205BE7"/>
    <w:rsid w:val="1724221D"/>
    <w:rsid w:val="17465AAA"/>
    <w:rsid w:val="17503104"/>
    <w:rsid w:val="17505D4E"/>
    <w:rsid w:val="17783BE3"/>
    <w:rsid w:val="1779628A"/>
    <w:rsid w:val="17815854"/>
    <w:rsid w:val="17925175"/>
    <w:rsid w:val="17C01CAC"/>
    <w:rsid w:val="17E37BDB"/>
    <w:rsid w:val="17EF3F70"/>
    <w:rsid w:val="17F142A9"/>
    <w:rsid w:val="18063F3F"/>
    <w:rsid w:val="180A4E9A"/>
    <w:rsid w:val="180D7251"/>
    <w:rsid w:val="188D5D73"/>
    <w:rsid w:val="189169E3"/>
    <w:rsid w:val="18925E68"/>
    <w:rsid w:val="18A66EE8"/>
    <w:rsid w:val="18A95603"/>
    <w:rsid w:val="18B164AA"/>
    <w:rsid w:val="18D314AE"/>
    <w:rsid w:val="18D32768"/>
    <w:rsid w:val="190A363B"/>
    <w:rsid w:val="190D75D7"/>
    <w:rsid w:val="19127E89"/>
    <w:rsid w:val="193D60D8"/>
    <w:rsid w:val="195329B1"/>
    <w:rsid w:val="1960212B"/>
    <w:rsid w:val="196E31B2"/>
    <w:rsid w:val="19B060A9"/>
    <w:rsid w:val="19B51C74"/>
    <w:rsid w:val="19B94B48"/>
    <w:rsid w:val="19DA77B2"/>
    <w:rsid w:val="19E6067F"/>
    <w:rsid w:val="19FB6F0E"/>
    <w:rsid w:val="1A26411C"/>
    <w:rsid w:val="1A93172C"/>
    <w:rsid w:val="1A9F6FC9"/>
    <w:rsid w:val="1ADD5F89"/>
    <w:rsid w:val="1AE2457F"/>
    <w:rsid w:val="1B284842"/>
    <w:rsid w:val="1B2D3FA1"/>
    <w:rsid w:val="1B761192"/>
    <w:rsid w:val="1BB644AB"/>
    <w:rsid w:val="1BD64C8E"/>
    <w:rsid w:val="1BE21A22"/>
    <w:rsid w:val="1BEF6945"/>
    <w:rsid w:val="1C080F58"/>
    <w:rsid w:val="1C314E69"/>
    <w:rsid w:val="1C526C57"/>
    <w:rsid w:val="1C89589E"/>
    <w:rsid w:val="1CAC2742"/>
    <w:rsid w:val="1CBA6476"/>
    <w:rsid w:val="1CE263F6"/>
    <w:rsid w:val="1CEB63B0"/>
    <w:rsid w:val="1D00452D"/>
    <w:rsid w:val="1D085BCA"/>
    <w:rsid w:val="1D0C33F7"/>
    <w:rsid w:val="1D301CD2"/>
    <w:rsid w:val="1D3D0078"/>
    <w:rsid w:val="1D5645F1"/>
    <w:rsid w:val="1D6C1236"/>
    <w:rsid w:val="1D7D6E22"/>
    <w:rsid w:val="1D8E222D"/>
    <w:rsid w:val="1D937159"/>
    <w:rsid w:val="1DCB56F0"/>
    <w:rsid w:val="1DCF0410"/>
    <w:rsid w:val="1DEA1774"/>
    <w:rsid w:val="1E132454"/>
    <w:rsid w:val="1E592455"/>
    <w:rsid w:val="1E687CCB"/>
    <w:rsid w:val="1E7155EC"/>
    <w:rsid w:val="1E827766"/>
    <w:rsid w:val="1ED33B65"/>
    <w:rsid w:val="1EE91E3A"/>
    <w:rsid w:val="1EF36B56"/>
    <w:rsid w:val="1EFD4A3C"/>
    <w:rsid w:val="1F254DB3"/>
    <w:rsid w:val="1F302632"/>
    <w:rsid w:val="1F5E3452"/>
    <w:rsid w:val="1F627CDB"/>
    <w:rsid w:val="1F6E5430"/>
    <w:rsid w:val="1F813E90"/>
    <w:rsid w:val="1F814CE7"/>
    <w:rsid w:val="1F8877F4"/>
    <w:rsid w:val="1F9E7C4F"/>
    <w:rsid w:val="1FAB150A"/>
    <w:rsid w:val="1FBC46FD"/>
    <w:rsid w:val="1FBD4AD7"/>
    <w:rsid w:val="1FCC3129"/>
    <w:rsid w:val="1FEA11D0"/>
    <w:rsid w:val="2007660D"/>
    <w:rsid w:val="202371A4"/>
    <w:rsid w:val="20265D36"/>
    <w:rsid w:val="20316401"/>
    <w:rsid w:val="20596293"/>
    <w:rsid w:val="207634F3"/>
    <w:rsid w:val="207E788B"/>
    <w:rsid w:val="20AE4CDA"/>
    <w:rsid w:val="20C77F50"/>
    <w:rsid w:val="20D672A3"/>
    <w:rsid w:val="20EF1DAA"/>
    <w:rsid w:val="20F8426A"/>
    <w:rsid w:val="20FA635E"/>
    <w:rsid w:val="21054C3D"/>
    <w:rsid w:val="214D78C2"/>
    <w:rsid w:val="21696E53"/>
    <w:rsid w:val="21825951"/>
    <w:rsid w:val="21D13511"/>
    <w:rsid w:val="21F6317C"/>
    <w:rsid w:val="21FC43D6"/>
    <w:rsid w:val="2216596C"/>
    <w:rsid w:val="22203CFA"/>
    <w:rsid w:val="222B79BE"/>
    <w:rsid w:val="2232482A"/>
    <w:rsid w:val="22423F2D"/>
    <w:rsid w:val="22DB083E"/>
    <w:rsid w:val="22F24A52"/>
    <w:rsid w:val="22F73287"/>
    <w:rsid w:val="2319221E"/>
    <w:rsid w:val="23382842"/>
    <w:rsid w:val="23447230"/>
    <w:rsid w:val="23493CFD"/>
    <w:rsid w:val="23554AEF"/>
    <w:rsid w:val="237C3E17"/>
    <w:rsid w:val="23947C71"/>
    <w:rsid w:val="23987695"/>
    <w:rsid w:val="23B26825"/>
    <w:rsid w:val="23B30D5C"/>
    <w:rsid w:val="23E541A0"/>
    <w:rsid w:val="23EC6A96"/>
    <w:rsid w:val="23FE4070"/>
    <w:rsid w:val="243214AC"/>
    <w:rsid w:val="244E1D75"/>
    <w:rsid w:val="24647AE7"/>
    <w:rsid w:val="24861ACA"/>
    <w:rsid w:val="248A0D43"/>
    <w:rsid w:val="24B5637E"/>
    <w:rsid w:val="24C936DE"/>
    <w:rsid w:val="24D2541A"/>
    <w:rsid w:val="24EA1C35"/>
    <w:rsid w:val="24F047B2"/>
    <w:rsid w:val="25076033"/>
    <w:rsid w:val="25273046"/>
    <w:rsid w:val="25295FE1"/>
    <w:rsid w:val="25326E9F"/>
    <w:rsid w:val="253438E4"/>
    <w:rsid w:val="253B6AE0"/>
    <w:rsid w:val="2554693F"/>
    <w:rsid w:val="255B1F82"/>
    <w:rsid w:val="256137C1"/>
    <w:rsid w:val="25661D8D"/>
    <w:rsid w:val="25761E8D"/>
    <w:rsid w:val="25770B75"/>
    <w:rsid w:val="257A4861"/>
    <w:rsid w:val="25B82BBC"/>
    <w:rsid w:val="25DF6383"/>
    <w:rsid w:val="261B5D49"/>
    <w:rsid w:val="262D4128"/>
    <w:rsid w:val="26444377"/>
    <w:rsid w:val="264D084B"/>
    <w:rsid w:val="26582017"/>
    <w:rsid w:val="265D2253"/>
    <w:rsid w:val="2670658E"/>
    <w:rsid w:val="26806B74"/>
    <w:rsid w:val="268F36B5"/>
    <w:rsid w:val="26B11F2B"/>
    <w:rsid w:val="26D65E39"/>
    <w:rsid w:val="27040920"/>
    <w:rsid w:val="27104899"/>
    <w:rsid w:val="271F4A33"/>
    <w:rsid w:val="27231852"/>
    <w:rsid w:val="27AD4773"/>
    <w:rsid w:val="27C91384"/>
    <w:rsid w:val="27D668C5"/>
    <w:rsid w:val="2817634E"/>
    <w:rsid w:val="281F3170"/>
    <w:rsid w:val="2839516E"/>
    <w:rsid w:val="28536865"/>
    <w:rsid w:val="289C5AFE"/>
    <w:rsid w:val="28CC3895"/>
    <w:rsid w:val="28D10479"/>
    <w:rsid w:val="28E842AD"/>
    <w:rsid w:val="28ED237F"/>
    <w:rsid w:val="28FE3E6E"/>
    <w:rsid w:val="29117EC5"/>
    <w:rsid w:val="29121A59"/>
    <w:rsid w:val="294A756A"/>
    <w:rsid w:val="296B725B"/>
    <w:rsid w:val="29BB0A8A"/>
    <w:rsid w:val="29BF5862"/>
    <w:rsid w:val="29CB3010"/>
    <w:rsid w:val="29E037B8"/>
    <w:rsid w:val="2A2121D6"/>
    <w:rsid w:val="2A3A45AD"/>
    <w:rsid w:val="2A540D79"/>
    <w:rsid w:val="2A7E6B46"/>
    <w:rsid w:val="2A906A52"/>
    <w:rsid w:val="2AAB41E7"/>
    <w:rsid w:val="2AB12EA9"/>
    <w:rsid w:val="2AB63832"/>
    <w:rsid w:val="2ABB6723"/>
    <w:rsid w:val="2AC06EE5"/>
    <w:rsid w:val="2ADC175C"/>
    <w:rsid w:val="2AEE77EB"/>
    <w:rsid w:val="2AF87143"/>
    <w:rsid w:val="2B001D28"/>
    <w:rsid w:val="2B057FA2"/>
    <w:rsid w:val="2B0A6EE2"/>
    <w:rsid w:val="2B0E2FF3"/>
    <w:rsid w:val="2B1F4CEF"/>
    <w:rsid w:val="2B3F2705"/>
    <w:rsid w:val="2B4033B7"/>
    <w:rsid w:val="2B4C3852"/>
    <w:rsid w:val="2B4E49C8"/>
    <w:rsid w:val="2B717A4A"/>
    <w:rsid w:val="2B890A17"/>
    <w:rsid w:val="2B8E5A5D"/>
    <w:rsid w:val="2B9A0631"/>
    <w:rsid w:val="2BA51A6A"/>
    <w:rsid w:val="2BA967CA"/>
    <w:rsid w:val="2BAD2116"/>
    <w:rsid w:val="2BB24BD2"/>
    <w:rsid w:val="2BC93699"/>
    <w:rsid w:val="2BD036E0"/>
    <w:rsid w:val="2BD47CF4"/>
    <w:rsid w:val="2BD83F86"/>
    <w:rsid w:val="2BDC39E5"/>
    <w:rsid w:val="2BE64890"/>
    <w:rsid w:val="2C1E6B55"/>
    <w:rsid w:val="2C36072E"/>
    <w:rsid w:val="2C376167"/>
    <w:rsid w:val="2C44722F"/>
    <w:rsid w:val="2C974BF3"/>
    <w:rsid w:val="2CAD724B"/>
    <w:rsid w:val="2CE61358"/>
    <w:rsid w:val="2CFE4FF5"/>
    <w:rsid w:val="2CFF170E"/>
    <w:rsid w:val="2D0205FD"/>
    <w:rsid w:val="2D052134"/>
    <w:rsid w:val="2D111B87"/>
    <w:rsid w:val="2D167DF1"/>
    <w:rsid w:val="2D52454B"/>
    <w:rsid w:val="2D8728DE"/>
    <w:rsid w:val="2DA4532F"/>
    <w:rsid w:val="2DBC7251"/>
    <w:rsid w:val="2DBF4931"/>
    <w:rsid w:val="2DD87A75"/>
    <w:rsid w:val="2DF424CA"/>
    <w:rsid w:val="2DFC4B6C"/>
    <w:rsid w:val="2DFC5C0B"/>
    <w:rsid w:val="2E0E2C84"/>
    <w:rsid w:val="2E556993"/>
    <w:rsid w:val="2E59454D"/>
    <w:rsid w:val="2E8B30FF"/>
    <w:rsid w:val="2EAB2BF5"/>
    <w:rsid w:val="2EAD2E4C"/>
    <w:rsid w:val="2EC24664"/>
    <w:rsid w:val="2EEA2C98"/>
    <w:rsid w:val="2EF02780"/>
    <w:rsid w:val="2F051999"/>
    <w:rsid w:val="2F0543B1"/>
    <w:rsid w:val="2F066B65"/>
    <w:rsid w:val="2F2347D9"/>
    <w:rsid w:val="2F332883"/>
    <w:rsid w:val="2F3A598B"/>
    <w:rsid w:val="2F3F1261"/>
    <w:rsid w:val="2F554CA2"/>
    <w:rsid w:val="2F596F0E"/>
    <w:rsid w:val="2F7505A7"/>
    <w:rsid w:val="2F861641"/>
    <w:rsid w:val="2FD55BB1"/>
    <w:rsid w:val="30020D67"/>
    <w:rsid w:val="300800B8"/>
    <w:rsid w:val="30225FF8"/>
    <w:rsid w:val="30327F7C"/>
    <w:rsid w:val="303A5CBE"/>
    <w:rsid w:val="304A074B"/>
    <w:rsid w:val="305019D6"/>
    <w:rsid w:val="306929CC"/>
    <w:rsid w:val="307D56A8"/>
    <w:rsid w:val="308D375F"/>
    <w:rsid w:val="30913CD1"/>
    <w:rsid w:val="30BF5C4B"/>
    <w:rsid w:val="30C07829"/>
    <w:rsid w:val="30C67684"/>
    <w:rsid w:val="30CE6CD3"/>
    <w:rsid w:val="30F566E1"/>
    <w:rsid w:val="30F93BFA"/>
    <w:rsid w:val="3122767C"/>
    <w:rsid w:val="31286FBC"/>
    <w:rsid w:val="3137341C"/>
    <w:rsid w:val="314F2144"/>
    <w:rsid w:val="315E2A05"/>
    <w:rsid w:val="316664D7"/>
    <w:rsid w:val="316B7CCB"/>
    <w:rsid w:val="316D2FA8"/>
    <w:rsid w:val="31C72DF5"/>
    <w:rsid w:val="31DB0C31"/>
    <w:rsid w:val="324C57A9"/>
    <w:rsid w:val="32614C75"/>
    <w:rsid w:val="32815CBA"/>
    <w:rsid w:val="328C713B"/>
    <w:rsid w:val="32951F6D"/>
    <w:rsid w:val="329E72C7"/>
    <w:rsid w:val="32A6032C"/>
    <w:rsid w:val="32AC17D7"/>
    <w:rsid w:val="32C26BEC"/>
    <w:rsid w:val="32C47621"/>
    <w:rsid w:val="33121F64"/>
    <w:rsid w:val="33143EED"/>
    <w:rsid w:val="334255F4"/>
    <w:rsid w:val="337C4435"/>
    <w:rsid w:val="33880EEF"/>
    <w:rsid w:val="33C32C8F"/>
    <w:rsid w:val="33C75BC6"/>
    <w:rsid w:val="33F42EE9"/>
    <w:rsid w:val="33F74503"/>
    <w:rsid w:val="33F848B7"/>
    <w:rsid w:val="341772D9"/>
    <w:rsid w:val="343A01EC"/>
    <w:rsid w:val="343F6199"/>
    <w:rsid w:val="34843873"/>
    <w:rsid w:val="34B06097"/>
    <w:rsid w:val="34D25746"/>
    <w:rsid w:val="3546112B"/>
    <w:rsid w:val="35501D28"/>
    <w:rsid w:val="3575771D"/>
    <w:rsid w:val="35C0683A"/>
    <w:rsid w:val="35EC1514"/>
    <w:rsid w:val="363E0752"/>
    <w:rsid w:val="364361AA"/>
    <w:rsid w:val="3645702F"/>
    <w:rsid w:val="36573DB1"/>
    <w:rsid w:val="36585E53"/>
    <w:rsid w:val="366F6D31"/>
    <w:rsid w:val="36871C73"/>
    <w:rsid w:val="36F17277"/>
    <w:rsid w:val="37016216"/>
    <w:rsid w:val="37055AD0"/>
    <w:rsid w:val="37121810"/>
    <w:rsid w:val="371E410C"/>
    <w:rsid w:val="372D1800"/>
    <w:rsid w:val="3735522D"/>
    <w:rsid w:val="374F3DD7"/>
    <w:rsid w:val="375F706D"/>
    <w:rsid w:val="376932B2"/>
    <w:rsid w:val="376F0CE2"/>
    <w:rsid w:val="37844799"/>
    <w:rsid w:val="37905FFF"/>
    <w:rsid w:val="37AC4983"/>
    <w:rsid w:val="37AF432A"/>
    <w:rsid w:val="37B31F85"/>
    <w:rsid w:val="37B87D95"/>
    <w:rsid w:val="37E65331"/>
    <w:rsid w:val="38224022"/>
    <w:rsid w:val="3860298E"/>
    <w:rsid w:val="38863971"/>
    <w:rsid w:val="38923D3A"/>
    <w:rsid w:val="389D1318"/>
    <w:rsid w:val="38A504D3"/>
    <w:rsid w:val="38E5618A"/>
    <w:rsid w:val="391F0993"/>
    <w:rsid w:val="393C4E1A"/>
    <w:rsid w:val="39467F6B"/>
    <w:rsid w:val="394A4223"/>
    <w:rsid w:val="39602492"/>
    <w:rsid w:val="397D3717"/>
    <w:rsid w:val="39812B32"/>
    <w:rsid w:val="39B33F02"/>
    <w:rsid w:val="39CA4D5D"/>
    <w:rsid w:val="39D16A0A"/>
    <w:rsid w:val="39DC0EE3"/>
    <w:rsid w:val="3A06607F"/>
    <w:rsid w:val="3A0D6B07"/>
    <w:rsid w:val="3A1A1B7E"/>
    <w:rsid w:val="3A307DFC"/>
    <w:rsid w:val="3A4B1045"/>
    <w:rsid w:val="3A746C63"/>
    <w:rsid w:val="3A764D56"/>
    <w:rsid w:val="3A7D15F0"/>
    <w:rsid w:val="3ABB3D95"/>
    <w:rsid w:val="3ABB532B"/>
    <w:rsid w:val="3AC16F61"/>
    <w:rsid w:val="3AEC0481"/>
    <w:rsid w:val="3AF50C27"/>
    <w:rsid w:val="3AFB35FA"/>
    <w:rsid w:val="3B1558D1"/>
    <w:rsid w:val="3B383BC4"/>
    <w:rsid w:val="3B3865EE"/>
    <w:rsid w:val="3B3918BC"/>
    <w:rsid w:val="3B54246C"/>
    <w:rsid w:val="3BA52A51"/>
    <w:rsid w:val="3BB056E6"/>
    <w:rsid w:val="3BC5559F"/>
    <w:rsid w:val="3BCF0513"/>
    <w:rsid w:val="3BD03C0A"/>
    <w:rsid w:val="3BEB0215"/>
    <w:rsid w:val="3C0B3935"/>
    <w:rsid w:val="3C2639EF"/>
    <w:rsid w:val="3C3976F6"/>
    <w:rsid w:val="3C3E4D7A"/>
    <w:rsid w:val="3C53257C"/>
    <w:rsid w:val="3C5F3F6B"/>
    <w:rsid w:val="3C6C64DA"/>
    <w:rsid w:val="3C723DB5"/>
    <w:rsid w:val="3CBE720A"/>
    <w:rsid w:val="3CBF3D1B"/>
    <w:rsid w:val="3CE14232"/>
    <w:rsid w:val="3CE300AA"/>
    <w:rsid w:val="3CFF0F0A"/>
    <w:rsid w:val="3D193084"/>
    <w:rsid w:val="3D364D81"/>
    <w:rsid w:val="3D374A0B"/>
    <w:rsid w:val="3D3C286A"/>
    <w:rsid w:val="3D572BF0"/>
    <w:rsid w:val="3D5F56B5"/>
    <w:rsid w:val="3DA83D0A"/>
    <w:rsid w:val="3DC95E64"/>
    <w:rsid w:val="3DD20B6C"/>
    <w:rsid w:val="3DDD4B2B"/>
    <w:rsid w:val="3DE11D43"/>
    <w:rsid w:val="3E0A46F6"/>
    <w:rsid w:val="3E2231DF"/>
    <w:rsid w:val="3E3143FD"/>
    <w:rsid w:val="3E3914AB"/>
    <w:rsid w:val="3E47171B"/>
    <w:rsid w:val="3E62523C"/>
    <w:rsid w:val="3E6560C0"/>
    <w:rsid w:val="3E790550"/>
    <w:rsid w:val="3E933053"/>
    <w:rsid w:val="3EB34B10"/>
    <w:rsid w:val="3EB97E84"/>
    <w:rsid w:val="3EC10D7D"/>
    <w:rsid w:val="3EC66B2E"/>
    <w:rsid w:val="3ECB3B4A"/>
    <w:rsid w:val="3EEA65C3"/>
    <w:rsid w:val="3F0804FF"/>
    <w:rsid w:val="3F137F44"/>
    <w:rsid w:val="3F1C7AA1"/>
    <w:rsid w:val="3F253896"/>
    <w:rsid w:val="3F396B2A"/>
    <w:rsid w:val="3F456499"/>
    <w:rsid w:val="3F495B03"/>
    <w:rsid w:val="3F4F2A01"/>
    <w:rsid w:val="3F94017C"/>
    <w:rsid w:val="3FAB729B"/>
    <w:rsid w:val="3FC879D5"/>
    <w:rsid w:val="3FC928A4"/>
    <w:rsid w:val="3FFB0D98"/>
    <w:rsid w:val="3FFE0267"/>
    <w:rsid w:val="402C4DF9"/>
    <w:rsid w:val="40427BD5"/>
    <w:rsid w:val="40553718"/>
    <w:rsid w:val="40553BBD"/>
    <w:rsid w:val="407F77F4"/>
    <w:rsid w:val="40905D53"/>
    <w:rsid w:val="40932C0F"/>
    <w:rsid w:val="409723EF"/>
    <w:rsid w:val="40C854ED"/>
    <w:rsid w:val="40C92324"/>
    <w:rsid w:val="40F50ED0"/>
    <w:rsid w:val="40FF4477"/>
    <w:rsid w:val="412E6E5A"/>
    <w:rsid w:val="413F001C"/>
    <w:rsid w:val="4154495F"/>
    <w:rsid w:val="415C0B59"/>
    <w:rsid w:val="41834159"/>
    <w:rsid w:val="418A72E4"/>
    <w:rsid w:val="41A907FD"/>
    <w:rsid w:val="41C458B1"/>
    <w:rsid w:val="41D34D41"/>
    <w:rsid w:val="42167845"/>
    <w:rsid w:val="42341EC6"/>
    <w:rsid w:val="423C7F07"/>
    <w:rsid w:val="42554B5E"/>
    <w:rsid w:val="42652706"/>
    <w:rsid w:val="42672BE1"/>
    <w:rsid w:val="4287046B"/>
    <w:rsid w:val="42AA6321"/>
    <w:rsid w:val="42BA4D90"/>
    <w:rsid w:val="42C149A3"/>
    <w:rsid w:val="42E172A2"/>
    <w:rsid w:val="42EA799C"/>
    <w:rsid w:val="431E58A5"/>
    <w:rsid w:val="432B7898"/>
    <w:rsid w:val="433E1001"/>
    <w:rsid w:val="434D5B39"/>
    <w:rsid w:val="43656B48"/>
    <w:rsid w:val="43776D56"/>
    <w:rsid w:val="43780CB2"/>
    <w:rsid w:val="439B1895"/>
    <w:rsid w:val="43A763AF"/>
    <w:rsid w:val="43B637EA"/>
    <w:rsid w:val="43B6787E"/>
    <w:rsid w:val="43CB3A74"/>
    <w:rsid w:val="43EA3450"/>
    <w:rsid w:val="43F3642E"/>
    <w:rsid w:val="44001119"/>
    <w:rsid w:val="441F31E6"/>
    <w:rsid w:val="445F7654"/>
    <w:rsid w:val="447F6556"/>
    <w:rsid w:val="449F1494"/>
    <w:rsid w:val="44AC3DE0"/>
    <w:rsid w:val="44CA7D5F"/>
    <w:rsid w:val="44EA6F68"/>
    <w:rsid w:val="45111DC2"/>
    <w:rsid w:val="452303E7"/>
    <w:rsid w:val="45332881"/>
    <w:rsid w:val="45AD136E"/>
    <w:rsid w:val="45B217F4"/>
    <w:rsid w:val="460E66D2"/>
    <w:rsid w:val="461B516D"/>
    <w:rsid w:val="462C31F9"/>
    <w:rsid w:val="4633108F"/>
    <w:rsid w:val="463915B4"/>
    <w:rsid w:val="46676552"/>
    <w:rsid w:val="467872A0"/>
    <w:rsid w:val="46803CA1"/>
    <w:rsid w:val="46804220"/>
    <w:rsid w:val="469E2915"/>
    <w:rsid w:val="46B73022"/>
    <w:rsid w:val="46F338EC"/>
    <w:rsid w:val="470B449A"/>
    <w:rsid w:val="47152470"/>
    <w:rsid w:val="471D2263"/>
    <w:rsid w:val="47317D83"/>
    <w:rsid w:val="4733491E"/>
    <w:rsid w:val="47340FA9"/>
    <w:rsid w:val="473D0EC0"/>
    <w:rsid w:val="47450A06"/>
    <w:rsid w:val="47507E13"/>
    <w:rsid w:val="47565211"/>
    <w:rsid w:val="475D477B"/>
    <w:rsid w:val="47A32D6E"/>
    <w:rsid w:val="47A529DC"/>
    <w:rsid w:val="47B4010D"/>
    <w:rsid w:val="47BA0320"/>
    <w:rsid w:val="47C37714"/>
    <w:rsid w:val="47CE47C7"/>
    <w:rsid w:val="47DB2908"/>
    <w:rsid w:val="47DE2F16"/>
    <w:rsid w:val="47E20C13"/>
    <w:rsid w:val="47E56984"/>
    <w:rsid w:val="47EB405B"/>
    <w:rsid w:val="47EC7E63"/>
    <w:rsid w:val="480422F5"/>
    <w:rsid w:val="483A1316"/>
    <w:rsid w:val="48583952"/>
    <w:rsid w:val="489D2B6A"/>
    <w:rsid w:val="48AF1A2C"/>
    <w:rsid w:val="48C02F86"/>
    <w:rsid w:val="48C926EA"/>
    <w:rsid w:val="48DA1AF1"/>
    <w:rsid w:val="493966A3"/>
    <w:rsid w:val="49573279"/>
    <w:rsid w:val="495E5E4C"/>
    <w:rsid w:val="49BE68A4"/>
    <w:rsid w:val="49CA3159"/>
    <w:rsid w:val="49E54E4D"/>
    <w:rsid w:val="4A567E57"/>
    <w:rsid w:val="4A573A86"/>
    <w:rsid w:val="4A946C3A"/>
    <w:rsid w:val="4AAB71D8"/>
    <w:rsid w:val="4ABA3692"/>
    <w:rsid w:val="4ABE09B1"/>
    <w:rsid w:val="4AC64C9B"/>
    <w:rsid w:val="4AC95A6A"/>
    <w:rsid w:val="4ACB19E7"/>
    <w:rsid w:val="4B000CAC"/>
    <w:rsid w:val="4B022A13"/>
    <w:rsid w:val="4B2B05A4"/>
    <w:rsid w:val="4B353CB6"/>
    <w:rsid w:val="4B467083"/>
    <w:rsid w:val="4B651038"/>
    <w:rsid w:val="4B6B75E9"/>
    <w:rsid w:val="4B7E47FB"/>
    <w:rsid w:val="4B7E4935"/>
    <w:rsid w:val="4B8054BF"/>
    <w:rsid w:val="4B885624"/>
    <w:rsid w:val="4B8D0A5E"/>
    <w:rsid w:val="4BB70DBC"/>
    <w:rsid w:val="4BC92FA9"/>
    <w:rsid w:val="4BD7705A"/>
    <w:rsid w:val="4BE83D28"/>
    <w:rsid w:val="4C3752D5"/>
    <w:rsid w:val="4C3F2C68"/>
    <w:rsid w:val="4C78193D"/>
    <w:rsid w:val="4C8229F4"/>
    <w:rsid w:val="4CA76AC5"/>
    <w:rsid w:val="4CF10FC1"/>
    <w:rsid w:val="4CF82CB6"/>
    <w:rsid w:val="4D124768"/>
    <w:rsid w:val="4D264F17"/>
    <w:rsid w:val="4D2B0086"/>
    <w:rsid w:val="4D2E4497"/>
    <w:rsid w:val="4D40640B"/>
    <w:rsid w:val="4D4F6924"/>
    <w:rsid w:val="4D6A60AC"/>
    <w:rsid w:val="4DC32AA3"/>
    <w:rsid w:val="4E0803D6"/>
    <w:rsid w:val="4E0B07C7"/>
    <w:rsid w:val="4E2D23E1"/>
    <w:rsid w:val="4E324336"/>
    <w:rsid w:val="4E490F71"/>
    <w:rsid w:val="4E9C6DB8"/>
    <w:rsid w:val="4EC23EAE"/>
    <w:rsid w:val="4F192B86"/>
    <w:rsid w:val="4F1E3B41"/>
    <w:rsid w:val="4F1F0560"/>
    <w:rsid w:val="4F28290F"/>
    <w:rsid w:val="4F543C53"/>
    <w:rsid w:val="4F8B35E0"/>
    <w:rsid w:val="4F9E734F"/>
    <w:rsid w:val="4FA61BE4"/>
    <w:rsid w:val="4FD67DC7"/>
    <w:rsid w:val="500269F8"/>
    <w:rsid w:val="50267B2F"/>
    <w:rsid w:val="503B2047"/>
    <w:rsid w:val="505D17E0"/>
    <w:rsid w:val="50941D07"/>
    <w:rsid w:val="50974C0C"/>
    <w:rsid w:val="50981A6E"/>
    <w:rsid w:val="509E7747"/>
    <w:rsid w:val="50A82BEE"/>
    <w:rsid w:val="50B53652"/>
    <w:rsid w:val="50B57780"/>
    <w:rsid w:val="50C51293"/>
    <w:rsid w:val="50CE4F37"/>
    <w:rsid w:val="512A2805"/>
    <w:rsid w:val="51340528"/>
    <w:rsid w:val="5151408F"/>
    <w:rsid w:val="517133B1"/>
    <w:rsid w:val="51743E58"/>
    <w:rsid w:val="51D5580D"/>
    <w:rsid w:val="51EC090F"/>
    <w:rsid w:val="521B7772"/>
    <w:rsid w:val="52251994"/>
    <w:rsid w:val="5233351C"/>
    <w:rsid w:val="52560348"/>
    <w:rsid w:val="52632802"/>
    <w:rsid w:val="527B077E"/>
    <w:rsid w:val="52AE24B8"/>
    <w:rsid w:val="52D65847"/>
    <w:rsid w:val="52E3483D"/>
    <w:rsid w:val="531C02C3"/>
    <w:rsid w:val="531C21C9"/>
    <w:rsid w:val="532E28B8"/>
    <w:rsid w:val="533471AB"/>
    <w:rsid w:val="534D6808"/>
    <w:rsid w:val="5359629E"/>
    <w:rsid w:val="536B671A"/>
    <w:rsid w:val="53896791"/>
    <w:rsid w:val="53A01641"/>
    <w:rsid w:val="53A47420"/>
    <w:rsid w:val="53B5288A"/>
    <w:rsid w:val="53BA18F2"/>
    <w:rsid w:val="53C102A5"/>
    <w:rsid w:val="53D732AC"/>
    <w:rsid w:val="54013224"/>
    <w:rsid w:val="54082164"/>
    <w:rsid w:val="54396A35"/>
    <w:rsid w:val="543C34A3"/>
    <w:rsid w:val="54493A26"/>
    <w:rsid w:val="545E6E35"/>
    <w:rsid w:val="54822EB0"/>
    <w:rsid w:val="54933E92"/>
    <w:rsid w:val="54B11725"/>
    <w:rsid w:val="54B45976"/>
    <w:rsid w:val="54C8391A"/>
    <w:rsid w:val="5507301C"/>
    <w:rsid w:val="5512548F"/>
    <w:rsid w:val="554A6AC3"/>
    <w:rsid w:val="554C0C46"/>
    <w:rsid w:val="55831706"/>
    <w:rsid w:val="55862A34"/>
    <w:rsid w:val="55896CEB"/>
    <w:rsid w:val="558E2AF7"/>
    <w:rsid w:val="55A00563"/>
    <w:rsid w:val="55A241E9"/>
    <w:rsid w:val="55AB0A8B"/>
    <w:rsid w:val="55B654BC"/>
    <w:rsid w:val="55E34263"/>
    <w:rsid w:val="55E77811"/>
    <w:rsid w:val="55F67FAE"/>
    <w:rsid w:val="5646016B"/>
    <w:rsid w:val="565A207E"/>
    <w:rsid w:val="566C6470"/>
    <w:rsid w:val="56904833"/>
    <w:rsid w:val="56B47A9C"/>
    <w:rsid w:val="56C03C97"/>
    <w:rsid w:val="56D24578"/>
    <w:rsid w:val="56DB0CD7"/>
    <w:rsid w:val="56DE503C"/>
    <w:rsid w:val="5708640C"/>
    <w:rsid w:val="5712053B"/>
    <w:rsid w:val="574079C4"/>
    <w:rsid w:val="574B0EE7"/>
    <w:rsid w:val="57603878"/>
    <w:rsid w:val="576F318D"/>
    <w:rsid w:val="57831D16"/>
    <w:rsid w:val="57832510"/>
    <w:rsid w:val="57851087"/>
    <w:rsid w:val="57B43DA0"/>
    <w:rsid w:val="57CC6606"/>
    <w:rsid w:val="58075C53"/>
    <w:rsid w:val="5838442C"/>
    <w:rsid w:val="58694A68"/>
    <w:rsid w:val="58736030"/>
    <w:rsid w:val="588A06AC"/>
    <w:rsid w:val="588A0DE3"/>
    <w:rsid w:val="5899246A"/>
    <w:rsid w:val="58A27144"/>
    <w:rsid w:val="58CC23A5"/>
    <w:rsid w:val="58E078FA"/>
    <w:rsid w:val="58F5045B"/>
    <w:rsid w:val="58FB7812"/>
    <w:rsid w:val="591E76E8"/>
    <w:rsid w:val="592B4FF1"/>
    <w:rsid w:val="593E7CA2"/>
    <w:rsid w:val="595521F6"/>
    <w:rsid w:val="596E01EF"/>
    <w:rsid w:val="59AF293C"/>
    <w:rsid w:val="59B02104"/>
    <w:rsid w:val="59C029AB"/>
    <w:rsid w:val="59C53DC0"/>
    <w:rsid w:val="59CA28B4"/>
    <w:rsid w:val="59D93E6F"/>
    <w:rsid w:val="5A012E6F"/>
    <w:rsid w:val="5A042931"/>
    <w:rsid w:val="5A154996"/>
    <w:rsid w:val="5A21340C"/>
    <w:rsid w:val="5A24049E"/>
    <w:rsid w:val="5A4E57AF"/>
    <w:rsid w:val="5A50477F"/>
    <w:rsid w:val="5A542A36"/>
    <w:rsid w:val="5B1519A6"/>
    <w:rsid w:val="5B173022"/>
    <w:rsid w:val="5B2A102F"/>
    <w:rsid w:val="5B380D01"/>
    <w:rsid w:val="5B3C35EA"/>
    <w:rsid w:val="5B4218D9"/>
    <w:rsid w:val="5B761406"/>
    <w:rsid w:val="5B963C33"/>
    <w:rsid w:val="5BA71510"/>
    <w:rsid w:val="5BC61520"/>
    <w:rsid w:val="5BCF63CA"/>
    <w:rsid w:val="5C084598"/>
    <w:rsid w:val="5C144FF2"/>
    <w:rsid w:val="5C23541B"/>
    <w:rsid w:val="5C277114"/>
    <w:rsid w:val="5C292E8C"/>
    <w:rsid w:val="5C4872F9"/>
    <w:rsid w:val="5C4E5D1A"/>
    <w:rsid w:val="5C5141BF"/>
    <w:rsid w:val="5C665E30"/>
    <w:rsid w:val="5C74248A"/>
    <w:rsid w:val="5C7D7C2D"/>
    <w:rsid w:val="5CA42D69"/>
    <w:rsid w:val="5CAC5F4C"/>
    <w:rsid w:val="5CC04FCD"/>
    <w:rsid w:val="5CE6733E"/>
    <w:rsid w:val="5CF04AD8"/>
    <w:rsid w:val="5D021CBF"/>
    <w:rsid w:val="5D1A63CA"/>
    <w:rsid w:val="5D1E1174"/>
    <w:rsid w:val="5D262EA1"/>
    <w:rsid w:val="5D386854"/>
    <w:rsid w:val="5D4A0968"/>
    <w:rsid w:val="5D51607D"/>
    <w:rsid w:val="5D636E8D"/>
    <w:rsid w:val="5D652CD9"/>
    <w:rsid w:val="5DB828D3"/>
    <w:rsid w:val="5DD67928"/>
    <w:rsid w:val="5DE145FD"/>
    <w:rsid w:val="5DEE58CA"/>
    <w:rsid w:val="5E1B0B4B"/>
    <w:rsid w:val="5E287980"/>
    <w:rsid w:val="5E4B3709"/>
    <w:rsid w:val="5E525231"/>
    <w:rsid w:val="5E611ED0"/>
    <w:rsid w:val="5E8472FE"/>
    <w:rsid w:val="5ED5144F"/>
    <w:rsid w:val="5EDF3A2D"/>
    <w:rsid w:val="5EE56320"/>
    <w:rsid w:val="5EEC0607"/>
    <w:rsid w:val="5EF96D08"/>
    <w:rsid w:val="5F266950"/>
    <w:rsid w:val="5F282AC1"/>
    <w:rsid w:val="5F4139E5"/>
    <w:rsid w:val="5F6B51A4"/>
    <w:rsid w:val="5F7A5E4D"/>
    <w:rsid w:val="5F8E34E5"/>
    <w:rsid w:val="5F8F70AA"/>
    <w:rsid w:val="5FB3346D"/>
    <w:rsid w:val="5FF00D08"/>
    <w:rsid w:val="5FFB7C1D"/>
    <w:rsid w:val="60066A9A"/>
    <w:rsid w:val="60A64894"/>
    <w:rsid w:val="60D3730C"/>
    <w:rsid w:val="60E102C1"/>
    <w:rsid w:val="61067614"/>
    <w:rsid w:val="61101775"/>
    <w:rsid w:val="61262D0F"/>
    <w:rsid w:val="61280BDB"/>
    <w:rsid w:val="61291238"/>
    <w:rsid w:val="613520D4"/>
    <w:rsid w:val="616426A1"/>
    <w:rsid w:val="61AC794F"/>
    <w:rsid w:val="61BA1757"/>
    <w:rsid w:val="61C15914"/>
    <w:rsid w:val="61F424AA"/>
    <w:rsid w:val="622E6C69"/>
    <w:rsid w:val="62715800"/>
    <w:rsid w:val="627B35CE"/>
    <w:rsid w:val="629E4E86"/>
    <w:rsid w:val="62A17DFA"/>
    <w:rsid w:val="62C82302"/>
    <w:rsid w:val="62EC6198"/>
    <w:rsid w:val="630436AD"/>
    <w:rsid w:val="634E2D1B"/>
    <w:rsid w:val="63566A2B"/>
    <w:rsid w:val="636B4B11"/>
    <w:rsid w:val="637C5F97"/>
    <w:rsid w:val="638124D2"/>
    <w:rsid w:val="63A252D2"/>
    <w:rsid w:val="63A66DE8"/>
    <w:rsid w:val="63BE1B89"/>
    <w:rsid w:val="63BE647A"/>
    <w:rsid w:val="63F6696C"/>
    <w:rsid w:val="6403539E"/>
    <w:rsid w:val="64043A7E"/>
    <w:rsid w:val="642304BF"/>
    <w:rsid w:val="64252C77"/>
    <w:rsid w:val="64253428"/>
    <w:rsid w:val="64474FAC"/>
    <w:rsid w:val="646E14B1"/>
    <w:rsid w:val="647913D5"/>
    <w:rsid w:val="6487722F"/>
    <w:rsid w:val="648C1BAD"/>
    <w:rsid w:val="64BD34E5"/>
    <w:rsid w:val="64CE2822"/>
    <w:rsid w:val="65044496"/>
    <w:rsid w:val="6522763F"/>
    <w:rsid w:val="653B067B"/>
    <w:rsid w:val="65464CEE"/>
    <w:rsid w:val="6548619E"/>
    <w:rsid w:val="65582C42"/>
    <w:rsid w:val="656F125D"/>
    <w:rsid w:val="657905F9"/>
    <w:rsid w:val="65A81B53"/>
    <w:rsid w:val="65B7590E"/>
    <w:rsid w:val="65C47395"/>
    <w:rsid w:val="65D210E9"/>
    <w:rsid w:val="65F318BA"/>
    <w:rsid w:val="661F26C9"/>
    <w:rsid w:val="6620249E"/>
    <w:rsid w:val="66273FCF"/>
    <w:rsid w:val="662D2B8F"/>
    <w:rsid w:val="663B4E40"/>
    <w:rsid w:val="664A5D68"/>
    <w:rsid w:val="666C76FE"/>
    <w:rsid w:val="6678612C"/>
    <w:rsid w:val="66832D2C"/>
    <w:rsid w:val="66891537"/>
    <w:rsid w:val="669F1289"/>
    <w:rsid w:val="66CF7EB2"/>
    <w:rsid w:val="677D408C"/>
    <w:rsid w:val="67823458"/>
    <w:rsid w:val="6788680F"/>
    <w:rsid w:val="67CC59D6"/>
    <w:rsid w:val="67E46633"/>
    <w:rsid w:val="67F143E8"/>
    <w:rsid w:val="68015BF8"/>
    <w:rsid w:val="68176E77"/>
    <w:rsid w:val="68295DE1"/>
    <w:rsid w:val="6837097A"/>
    <w:rsid w:val="685776E6"/>
    <w:rsid w:val="685974EC"/>
    <w:rsid w:val="68966840"/>
    <w:rsid w:val="68AD4F28"/>
    <w:rsid w:val="68BA3B7B"/>
    <w:rsid w:val="68DF29EB"/>
    <w:rsid w:val="691D1214"/>
    <w:rsid w:val="69702F6D"/>
    <w:rsid w:val="69AB5C05"/>
    <w:rsid w:val="69B813AB"/>
    <w:rsid w:val="69C908E1"/>
    <w:rsid w:val="69D86E8B"/>
    <w:rsid w:val="69DD1C9D"/>
    <w:rsid w:val="69F92A6F"/>
    <w:rsid w:val="6A072B7C"/>
    <w:rsid w:val="6A2124E7"/>
    <w:rsid w:val="6A4B7F5F"/>
    <w:rsid w:val="6A541948"/>
    <w:rsid w:val="6A797AD4"/>
    <w:rsid w:val="6A80624F"/>
    <w:rsid w:val="6A97297F"/>
    <w:rsid w:val="6AAA7CC8"/>
    <w:rsid w:val="6ACF0B94"/>
    <w:rsid w:val="6AD101E9"/>
    <w:rsid w:val="6B1804B8"/>
    <w:rsid w:val="6B3D6358"/>
    <w:rsid w:val="6B4B64EA"/>
    <w:rsid w:val="6B5F7C7C"/>
    <w:rsid w:val="6B61569E"/>
    <w:rsid w:val="6B7E7510"/>
    <w:rsid w:val="6BFE1CB3"/>
    <w:rsid w:val="6C027255"/>
    <w:rsid w:val="6C151BCA"/>
    <w:rsid w:val="6C1A6F6B"/>
    <w:rsid w:val="6C1E310D"/>
    <w:rsid w:val="6C2D3BD7"/>
    <w:rsid w:val="6C5F56A8"/>
    <w:rsid w:val="6C6120A9"/>
    <w:rsid w:val="6C8B0467"/>
    <w:rsid w:val="6C962C00"/>
    <w:rsid w:val="6D061E2A"/>
    <w:rsid w:val="6D186E37"/>
    <w:rsid w:val="6D1D1013"/>
    <w:rsid w:val="6D2E67BF"/>
    <w:rsid w:val="6D483774"/>
    <w:rsid w:val="6D5F6AF1"/>
    <w:rsid w:val="6D6830E8"/>
    <w:rsid w:val="6D707BA9"/>
    <w:rsid w:val="6D9E77AA"/>
    <w:rsid w:val="6DDC6247"/>
    <w:rsid w:val="6E172307"/>
    <w:rsid w:val="6E61763F"/>
    <w:rsid w:val="6E6E472E"/>
    <w:rsid w:val="6E7066F8"/>
    <w:rsid w:val="6E743036"/>
    <w:rsid w:val="6E85777F"/>
    <w:rsid w:val="6E9C129B"/>
    <w:rsid w:val="6EA047B7"/>
    <w:rsid w:val="6EAC686C"/>
    <w:rsid w:val="6EAD3A68"/>
    <w:rsid w:val="6ED153FA"/>
    <w:rsid w:val="6EE5616F"/>
    <w:rsid w:val="6F230A1B"/>
    <w:rsid w:val="6F54305B"/>
    <w:rsid w:val="6F6523C6"/>
    <w:rsid w:val="6F837DD6"/>
    <w:rsid w:val="6F8947A5"/>
    <w:rsid w:val="6F8D0647"/>
    <w:rsid w:val="6FB76B53"/>
    <w:rsid w:val="6FCF66E3"/>
    <w:rsid w:val="6FE237AB"/>
    <w:rsid w:val="704D5F28"/>
    <w:rsid w:val="705D4357"/>
    <w:rsid w:val="706A1F82"/>
    <w:rsid w:val="706C53D5"/>
    <w:rsid w:val="70C45466"/>
    <w:rsid w:val="70CA7CFB"/>
    <w:rsid w:val="710469C6"/>
    <w:rsid w:val="710D0D68"/>
    <w:rsid w:val="713F1B87"/>
    <w:rsid w:val="7140267B"/>
    <w:rsid w:val="71A71F1F"/>
    <w:rsid w:val="72092685"/>
    <w:rsid w:val="725D51E5"/>
    <w:rsid w:val="72853A81"/>
    <w:rsid w:val="72B4341C"/>
    <w:rsid w:val="72BB0D0C"/>
    <w:rsid w:val="72F9009A"/>
    <w:rsid w:val="73134194"/>
    <w:rsid w:val="73245BF5"/>
    <w:rsid w:val="732A685E"/>
    <w:rsid w:val="7358323E"/>
    <w:rsid w:val="735838D0"/>
    <w:rsid w:val="737319BE"/>
    <w:rsid w:val="73770BEC"/>
    <w:rsid w:val="73833B4D"/>
    <w:rsid w:val="73A76797"/>
    <w:rsid w:val="73AD22F8"/>
    <w:rsid w:val="73D51CD9"/>
    <w:rsid w:val="73DF088B"/>
    <w:rsid w:val="73EC3B7D"/>
    <w:rsid w:val="740976D0"/>
    <w:rsid w:val="74251108"/>
    <w:rsid w:val="74777A6A"/>
    <w:rsid w:val="747A44A0"/>
    <w:rsid w:val="74E85D51"/>
    <w:rsid w:val="74E96A98"/>
    <w:rsid w:val="75002292"/>
    <w:rsid w:val="751579F6"/>
    <w:rsid w:val="75330B7C"/>
    <w:rsid w:val="753462A4"/>
    <w:rsid w:val="7535244A"/>
    <w:rsid w:val="753A73E9"/>
    <w:rsid w:val="753C13D3"/>
    <w:rsid w:val="755E792B"/>
    <w:rsid w:val="75701E2F"/>
    <w:rsid w:val="758D59FD"/>
    <w:rsid w:val="75932CCC"/>
    <w:rsid w:val="759467DB"/>
    <w:rsid w:val="75A63893"/>
    <w:rsid w:val="75D73501"/>
    <w:rsid w:val="75FD6817"/>
    <w:rsid w:val="76206054"/>
    <w:rsid w:val="762E2976"/>
    <w:rsid w:val="764A5060"/>
    <w:rsid w:val="765448FD"/>
    <w:rsid w:val="76666500"/>
    <w:rsid w:val="76752674"/>
    <w:rsid w:val="76944F4E"/>
    <w:rsid w:val="76A03F37"/>
    <w:rsid w:val="76EE541F"/>
    <w:rsid w:val="76FB7B7D"/>
    <w:rsid w:val="772F7854"/>
    <w:rsid w:val="7771498F"/>
    <w:rsid w:val="7774530C"/>
    <w:rsid w:val="777534EF"/>
    <w:rsid w:val="777C5714"/>
    <w:rsid w:val="7782228E"/>
    <w:rsid w:val="77856090"/>
    <w:rsid w:val="77B34464"/>
    <w:rsid w:val="77BA58D3"/>
    <w:rsid w:val="77C45E43"/>
    <w:rsid w:val="77CE00AF"/>
    <w:rsid w:val="77F34723"/>
    <w:rsid w:val="780D0FC5"/>
    <w:rsid w:val="78122A81"/>
    <w:rsid w:val="78224A42"/>
    <w:rsid w:val="78293DC0"/>
    <w:rsid w:val="78573BA6"/>
    <w:rsid w:val="78C437D3"/>
    <w:rsid w:val="78D35541"/>
    <w:rsid w:val="78F21606"/>
    <w:rsid w:val="79140A19"/>
    <w:rsid w:val="794433FE"/>
    <w:rsid w:val="794F159E"/>
    <w:rsid w:val="79567023"/>
    <w:rsid w:val="795D4D79"/>
    <w:rsid w:val="7961380D"/>
    <w:rsid w:val="796C3F60"/>
    <w:rsid w:val="79752E91"/>
    <w:rsid w:val="797734EB"/>
    <w:rsid w:val="799B00AD"/>
    <w:rsid w:val="79BB5611"/>
    <w:rsid w:val="79CE43D6"/>
    <w:rsid w:val="79DB6F73"/>
    <w:rsid w:val="79E547D8"/>
    <w:rsid w:val="7A2D6EA7"/>
    <w:rsid w:val="7A325CD7"/>
    <w:rsid w:val="7A3857E5"/>
    <w:rsid w:val="7A5639E9"/>
    <w:rsid w:val="7A761036"/>
    <w:rsid w:val="7A841815"/>
    <w:rsid w:val="7AB14D32"/>
    <w:rsid w:val="7ABF584C"/>
    <w:rsid w:val="7AE82A2B"/>
    <w:rsid w:val="7AF0448B"/>
    <w:rsid w:val="7B05641A"/>
    <w:rsid w:val="7B143565"/>
    <w:rsid w:val="7B1534E2"/>
    <w:rsid w:val="7B191EC6"/>
    <w:rsid w:val="7B202F7E"/>
    <w:rsid w:val="7B24078B"/>
    <w:rsid w:val="7B4B71EC"/>
    <w:rsid w:val="7B5344E4"/>
    <w:rsid w:val="7B553073"/>
    <w:rsid w:val="7BA140DD"/>
    <w:rsid w:val="7BB64ADB"/>
    <w:rsid w:val="7BB82A8D"/>
    <w:rsid w:val="7BC1580A"/>
    <w:rsid w:val="7BD66CE1"/>
    <w:rsid w:val="7BF2699E"/>
    <w:rsid w:val="7C2B3097"/>
    <w:rsid w:val="7C6E5087"/>
    <w:rsid w:val="7C73640D"/>
    <w:rsid w:val="7C925305"/>
    <w:rsid w:val="7CA213E1"/>
    <w:rsid w:val="7CCA7D32"/>
    <w:rsid w:val="7CEF35A8"/>
    <w:rsid w:val="7CF43304"/>
    <w:rsid w:val="7D030107"/>
    <w:rsid w:val="7D174F1A"/>
    <w:rsid w:val="7D334B54"/>
    <w:rsid w:val="7D631915"/>
    <w:rsid w:val="7D681564"/>
    <w:rsid w:val="7D854F5D"/>
    <w:rsid w:val="7D894D45"/>
    <w:rsid w:val="7DB639FC"/>
    <w:rsid w:val="7DE76108"/>
    <w:rsid w:val="7E115459"/>
    <w:rsid w:val="7EA90CE6"/>
    <w:rsid w:val="7EAA7A04"/>
    <w:rsid w:val="7EDD6453"/>
    <w:rsid w:val="7EE44685"/>
    <w:rsid w:val="7EEF04B2"/>
    <w:rsid w:val="7EF95977"/>
    <w:rsid w:val="7F037C9F"/>
    <w:rsid w:val="7F0A20F8"/>
    <w:rsid w:val="7F1255AA"/>
    <w:rsid w:val="7F333AC8"/>
    <w:rsid w:val="7F652269"/>
    <w:rsid w:val="7F695BC7"/>
    <w:rsid w:val="7F735654"/>
    <w:rsid w:val="7F7E134B"/>
    <w:rsid w:val="7F926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qFormat="1" w:unhideWhenUsed="0" w:uiPriority="99" w:semiHidden="0" w:name="List"/>
    <w:lsdException w:qFormat="1"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34"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51"/>
    <w:qFormat/>
    <w:uiPriority w:val="0"/>
    <w:pPr>
      <w:keepNext/>
      <w:keepLines/>
      <w:spacing w:line="360" w:lineRule="auto"/>
      <w:outlineLvl w:val="0"/>
    </w:pPr>
    <w:rPr>
      <w:b/>
      <w:bCs/>
      <w:kern w:val="44"/>
      <w:sz w:val="32"/>
      <w:szCs w:val="44"/>
    </w:rPr>
  </w:style>
  <w:style w:type="paragraph" w:styleId="3">
    <w:name w:val="heading 2"/>
    <w:basedOn w:val="1"/>
    <w:next w:val="1"/>
    <w:link w:val="52"/>
    <w:autoRedefine/>
    <w:qFormat/>
    <w:uiPriority w:val="0"/>
    <w:pPr>
      <w:keepNext/>
      <w:keepLines/>
      <w:spacing w:line="360" w:lineRule="auto"/>
      <w:outlineLvl w:val="1"/>
    </w:pPr>
    <w:rPr>
      <w:b/>
      <w:bCs/>
      <w:sz w:val="28"/>
      <w:szCs w:val="32"/>
    </w:rPr>
  </w:style>
  <w:style w:type="paragraph" w:styleId="4">
    <w:name w:val="heading 3"/>
    <w:basedOn w:val="1"/>
    <w:next w:val="1"/>
    <w:link w:val="53"/>
    <w:autoRedefine/>
    <w:qFormat/>
    <w:uiPriority w:val="99"/>
    <w:pPr>
      <w:keepNext/>
      <w:keepLines/>
      <w:spacing w:line="360" w:lineRule="auto"/>
      <w:outlineLvl w:val="2"/>
    </w:pPr>
    <w:rPr>
      <w:b/>
      <w:bCs/>
      <w:szCs w:val="32"/>
    </w:rPr>
  </w:style>
  <w:style w:type="paragraph" w:styleId="5">
    <w:name w:val="heading 4"/>
    <w:basedOn w:val="1"/>
    <w:next w:val="1"/>
    <w:link w:val="54"/>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40">
    <w:name w:val="Default Paragraph Font"/>
    <w:autoRedefine/>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semiHidden/>
    <w:qFormat/>
    <w:uiPriority w:val="0"/>
    <w:pPr>
      <w:ind w:left="1440"/>
      <w:jc w:val="left"/>
    </w:pPr>
    <w:rPr>
      <w:rFonts w:asciiTheme="minorHAnsi" w:hAnsiTheme="minorHAnsi" w:cstheme="minorHAnsi"/>
      <w:sz w:val="18"/>
      <w:szCs w:val="18"/>
    </w:rPr>
  </w:style>
  <w:style w:type="paragraph" w:styleId="7">
    <w:name w:val="Normal Indent"/>
    <w:basedOn w:val="1"/>
    <w:link w:val="84"/>
    <w:autoRedefine/>
    <w:qFormat/>
    <w:uiPriority w:val="0"/>
    <w:pPr>
      <w:ind w:firstLine="420" w:firstLineChars="200"/>
    </w:pPr>
  </w:style>
  <w:style w:type="paragraph" w:styleId="8">
    <w:name w:val="caption"/>
    <w:basedOn w:val="1"/>
    <w:next w:val="1"/>
    <w:link w:val="80"/>
    <w:autoRedefine/>
    <w:qFormat/>
    <w:uiPriority w:val="99"/>
    <w:pPr>
      <w:keepNext/>
      <w:widowControl/>
      <w:adjustRightInd w:val="0"/>
      <w:snapToGrid w:val="0"/>
      <w:jc w:val="center"/>
    </w:pPr>
    <w:rPr>
      <w:rFonts w:ascii="仿宋_GB2312"/>
      <w:b/>
      <w:kern w:val="0"/>
      <w:sz w:val="28"/>
      <w:szCs w:val="28"/>
    </w:rPr>
  </w:style>
  <w:style w:type="paragraph" w:styleId="9">
    <w:name w:val="List Bullet"/>
    <w:basedOn w:val="1"/>
    <w:autoRedefine/>
    <w:semiHidden/>
    <w:unhideWhenUsed/>
    <w:qFormat/>
    <w:uiPriority w:val="0"/>
    <w:pPr>
      <w:numPr>
        <w:ilvl w:val="0"/>
        <w:numId w:val="1"/>
      </w:numPr>
      <w:contextualSpacing/>
    </w:pPr>
  </w:style>
  <w:style w:type="paragraph" w:styleId="10">
    <w:name w:val="Document Map"/>
    <w:basedOn w:val="1"/>
    <w:link w:val="57"/>
    <w:autoRedefine/>
    <w:semiHidden/>
    <w:qFormat/>
    <w:uiPriority w:val="0"/>
    <w:pPr>
      <w:shd w:val="clear" w:color="auto" w:fill="000080"/>
    </w:pPr>
  </w:style>
  <w:style w:type="paragraph" w:styleId="11">
    <w:name w:val="toa heading"/>
    <w:basedOn w:val="1"/>
    <w:next w:val="1"/>
    <w:autoRedefine/>
    <w:semiHidden/>
    <w:unhideWhenUsed/>
    <w:qFormat/>
    <w:uiPriority w:val="99"/>
    <w:pPr>
      <w:spacing w:before="120"/>
    </w:pPr>
    <w:rPr>
      <w:rFonts w:asciiTheme="majorHAnsi" w:hAnsiTheme="majorHAnsi" w:eastAsiaTheme="majorEastAsia" w:cstheme="majorBidi"/>
    </w:rPr>
  </w:style>
  <w:style w:type="paragraph" w:styleId="12">
    <w:name w:val="annotation text"/>
    <w:basedOn w:val="1"/>
    <w:link w:val="55"/>
    <w:autoRedefine/>
    <w:unhideWhenUsed/>
    <w:qFormat/>
    <w:uiPriority w:val="99"/>
    <w:pPr>
      <w:jc w:val="left"/>
    </w:pPr>
  </w:style>
  <w:style w:type="paragraph" w:styleId="13">
    <w:name w:val="Body Text"/>
    <w:basedOn w:val="1"/>
    <w:next w:val="14"/>
    <w:link w:val="58"/>
    <w:autoRedefine/>
    <w:qFormat/>
    <w:uiPriority w:val="0"/>
    <w:pPr>
      <w:spacing w:after="120"/>
    </w:pPr>
  </w:style>
  <w:style w:type="paragraph" w:styleId="14">
    <w:name w:val="List Bullet 5"/>
    <w:basedOn w:val="1"/>
    <w:autoRedefine/>
    <w:semiHidden/>
    <w:unhideWhenUsed/>
    <w:qFormat/>
    <w:uiPriority w:val="99"/>
    <w:pPr>
      <w:numPr>
        <w:ilvl w:val="0"/>
        <w:numId w:val="2"/>
      </w:numPr>
    </w:pPr>
  </w:style>
  <w:style w:type="paragraph" w:styleId="15">
    <w:name w:val="Body Text Indent"/>
    <w:basedOn w:val="1"/>
    <w:link w:val="59"/>
    <w:autoRedefine/>
    <w:qFormat/>
    <w:uiPriority w:val="0"/>
    <w:pPr>
      <w:spacing w:after="120"/>
      <w:ind w:left="420" w:leftChars="200"/>
    </w:pPr>
  </w:style>
  <w:style w:type="paragraph" w:styleId="16">
    <w:name w:val="toc 5"/>
    <w:basedOn w:val="1"/>
    <w:next w:val="1"/>
    <w:autoRedefine/>
    <w:semiHidden/>
    <w:qFormat/>
    <w:uiPriority w:val="0"/>
    <w:pPr>
      <w:ind w:left="960"/>
      <w:jc w:val="left"/>
    </w:pPr>
    <w:rPr>
      <w:rFonts w:asciiTheme="minorHAnsi" w:hAnsiTheme="minorHAnsi" w:cstheme="minorHAnsi"/>
      <w:sz w:val="18"/>
      <w:szCs w:val="18"/>
    </w:rPr>
  </w:style>
  <w:style w:type="paragraph" w:styleId="17">
    <w:name w:val="toc 3"/>
    <w:basedOn w:val="1"/>
    <w:next w:val="1"/>
    <w:autoRedefine/>
    <w:qFormat/>
    <w:uiPriority w:val="39"/>
    <w:pPr>
      <w:ind w:left="480"/>
      <w:jc w:val="left"/>
    </w:pPr>
    <w:rPr>
      <w:rFonts w:asciiTheme="minorHAnsi" w:hAnsiTheme="minorHAnsi" w:cstheme="minorHAnsi"/>
      <w:i/>
      <w:iCs/>
      <w:sz w:val="20"/>
      <w:szCs w:val="20"/>
    </w:rPr>
  </w:style>
  <w:style w:type="paragraph" w:styleId="18">
    <w:name w:val="Plain Text"/>
    <w:basedOn w:val="1"/>
    <w:link w:val="60"/>
    <w:autoRedefine/>
    <w:qFormat/>
    <w:uiPriority w:val="0"/>
    <w:rPr>
      <w:rFonts w:ascii="宋体" w:hAnsi="Courier New" w:cs="Courier New"/>
      <w:szCs w:val="21"/>
    </w:rPr>
  </w:style>
  <w:style w:type="paragraph" w:styleId="19">
    <w:name w:val="toc 8"/>
    <w:basedOn w:val="1"/>
    <w:next w:val="1"/>
    <w:autoRedefine/>
    <w:semiHidden/>
    <w:qFormat/>
    <w:uiPriority w:val="0"/>
    <w:pPr>
      <w:ind w:left="1680"/>
      <w:jc w:val="left"/>
    </w:pPr>
    <w:rPr>
      <w:rFonts w:asciiTheme="minorHAnsi" w:hAnsiTheme="minorHAnsi" w:cstheme="minorHAnsi"/>
      <w:sz w:val="18"/>
      <w:szCs w:val="18"/>
    </w:rPr>
  </w:style>
  <w:style w:type="paragraph" w:styleId="20">
    <w:name w:val="Date"/>
    <w:basedOn w:val="1"/>
    <w:next w:val="1"/>
    <w:link w:val="61"/>
    <w:autoRedefine/>
    <w:qFormat/>
    <w:uiPriority w:val="0"/>
    <w:pPr>
      <w:ind w:left="100" w:leftChars="2500"/>
    </w:pPr>
    <w:rPr>
      <w:szCs w:val="20"/>
    </w:rPr>
  </w:style>
  <w:style w:type="paragraph" w:styleId="21">
    <w:name w:val="Body Text Indent 2"/>
    <w:basedOn w:val="1"/>
    <w:link w:val="62"/>
    <w:autoRedefine/>
    <w:qFormat/>
    <w:uiPriority w:val="0"/>
    <w:pPr>
      <w:spacing w:after="120" w:line="480" w:lineRule="auto"/>
      <w:ind w:left="420" w:leftChars="200"/>
    </w:pPr>
  </w:style>
  <w:style w:type="paragraph" w:styleId="22">
    <w:name w:val="Balloon Text"/>
    <w:basedOn w:val="1"/>
    <w:link w:val="63"/>
    <w:autoRedefine/>
    <w:unhideWhenUsed/>
    <w:qFormat/>
    <w:uiPriority w:val="99"/>
    <w:rPr>
      <w:rFonts w:ascii="Calibri" w:hAnsi="Calibri"/>
      <w:sz w:val="18"/>
      <w:szCs w:val="18"/>
    </w:rPr>
  </w:style>
  <w:style w:type="paragraph" w:styleId="23">
    <w:name w:val="footer"/>
    <w:basedOn w:val="1"/>
    <w:link w:val="64"/>
    <w:autoRedefine/>
    <w:qFormat/>
    <w:uiPriority w:val="99"/>
    <w:pPr>
      <w:tabs>
        <w:tab w:val="center" w:pos="4153"/>
        <w:tab w:val="right" w:pos="8306"/>
      </w:tabs>
      <w:snapToGrid w:val="0"/>
      <w:jc w:val="left"/>
    </w:pPr>
    <w:rPr>
      <w:sz w:val="18"/>
      <w:szCs w:val="18"/>
    </w:rPr>
  </w:style>
  <w:style w:type="paragraph" w:styleId="24">
    <w:name w:val="header"/>
    <w:basedOn w:val="1"/>
    <w:link w:val="65"/>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26">
    <w:name w:val="toc 4"/>
    <w:basedOn w:val="1"/>
    <w:next w:val="1"/>
    <w:autoRedefine/>
    <w:semiHidden/>
    <w:qFormat/>
    <w:uiPriority w:val="0"/>
    <w:pPr>
      <w:ind w:left="720"/>
      <w:jc w:val="left"/>
    </w:pPr>
    <w:rPr>
      <w:rFonts w:asciiTheme="minorHAnsi" w:hAnsiTheme="minorHAnsi" w:cstheme="minorHAnsi"/>
      <w:sz w:val="18"/>
      <w:szCs w:val="18"/>
    </w:rPr>
  </w:style>
  <w:style w:type="paragraph" w:styleId="27">
    <w:name w:val="List"/>
    <w:basedOn w:val="1"/>
    <w:link w:val="124"/>
    <w:autoRedefine/>
    <w:qFormat/>
    <w:uiPriority w:val="99"/>
    <w:pPr>
      <w:ind w:left="200" w:hanging="200" w:hangingChars="200"/>
    </w:pPr>
  </w:style>
  <w:style w:type="paragraph" w:styleId="28">
    <w:name w:val="footnote text"/>
    <w:basedOn w:val="1"/>
    <w:link w:val="66"/>
    <w:autoRedefine/>
    <w:semiHidden/>
    <w:qFormat/>
    <w:uiPriority w:val="0"/>
    <w:pPr>
      <w:snapToGrid w:val="0"/>
      <w:jc w:val="left"/>
    </w:pPr>
    <w:rPr>
      <w:sz w:val="18"/>
      <w:szCs w:val="18"/>
    </w:rPr>
  </w:style>
  <w:style w:type="paragraph" w:styleId="29">
    <w:name w:val="toc 6"/>
    <w:basedOn w:val="1"/>
    <w:next w:val="1"/>
    <w:autoRedefine/>
    <w:semiHidden/>
    <w:qFormat/>
    <w:uiPriority w:val="0"/>
    <w:pPr>
      <w:ind w:left="1200"/>
      <w:jc w:val="left"/>
    </w:pPr>
    <w:rPr>
      <w:rFonts w:asciiTheme="minorHAnsi" w:hAnsiTheme="minorHAnsi" w:cstheme="minorHAnsi"/>
      <w:sz w:val="18"/>
      <w:szCs w:val="18"/>
    </w:rPr>
  </w:style>
  <w:style w:type="paragraph" w:styleId="30">
    <w:name w:val="Body Text Indent 3"/>
    <w:basedOn w:val="1"/>
    <w:link w:val="67"/>
    <w:autoRedefine/>
    <w:qFormat/>
    <w:uiPriority w:val="0"/>
    <w:pPr>
      <w:widowControl/>
      <w:spacing w:before="100" w:beforeAutospacing="1" w:after="100" w:afterAutospacing="1"/>
      <w:jc w:val="left"/>
    </w:pPr>
    <w:rPr>
      <w:rFonts w:ascii="宋体" w:hAnsi="宋体" w:cs="宋体"/>
      <w:kern w:val="0"/>
    </w:rPr>
  </w:style>
  <w:style w:type="paragraph" w:styleId="31">
    <w:name w:val="toc 2"/>
    <w:basedOn w:val="1"/>
    <w:next w:val="1"/>
    <w:autoRedefine/>
    <w:qFormat/>
    <w:uiPriority w:val="39"/>
    <w:pPr>
      <w:ind w:left="240"/>
      <w:jc w:val="left"/>
    </w:pPr>
    <w:rPr>
      <w:rFonts w:asciiTheme="minorHAnsi" w:hAnsiTheme="minorHAnsi" w:cstheme="minorHAnsi"/>
      <w:smallCaps/>
      <w:sz w:val="20"/>
      <w:szCs w:val="20"/>
    </w:rPr>
  </w:style>
  <w:style w:type="paragraph" w:styleId="32">
    <w:name w:val="toc 9"/>
    <w:basedOn w:val="1"/>
    <w:next w:val="1"/>
    <w:autoRedefine/>
    <w:semiHidden/>
    <w:qFormat/>
    <w:uiPriority w:val="0"/>
    <w:pPr>
      <w:ind w:left="1920"/>
      <w:jc w:val="left"/>
    </w:pPr>
    <w:rPr>
      <w:rFonts w:asciiTheme="minorHAnsi" w:hAnsiTheme="minorHAnsi" w:cstheme="minorHAnsi"/>
      <w:sz w:val="18"/>
      <w:szCs w:val="18"/>
    </w:rPr>
  </w:style>
  <w:style w:type="paragraph" w:styleId="33">
    <w:name w:val="HTML Preformatted"/>
    <w:basedOn w:val="1"/>
    <w:link w:val="68"/>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34">
    <w:name w:val="Normal (Web)"/>
    <w:basedOn w:val="1"/>
    <w:link w:val="92"/>
    <w:autoRedefine/>
    <w:qFormat/>
    <w:uiPriority w:val="34"/>
    <w:pPr>
      <w:widowControl/>
      <w:spacing w:before="100" w:beforeAutospacing="1" w:after="100" w:afterAutospacing="1"/>
      <w:jc w:val="left"/>
    </w:pPr>
    <w:rPr>
      <w:rFonts w:ascii="宋体" w:hAnsi="宋体"/>
      <w:kern w:val="0"/>
    </w:rPr>
  </w:style>
  <w:style w:type="paragraph" w:styleId="35">
    <w:name w:val="Title"/>
    <w:basedOn w:val="1"/>
    <w:next w:val="1"/>
    <w:link w:val="155"/>
    <w:autoRedefine/>
    <w:qFormat/>
    <w:uiPriority w:val="0"/>
    <w:pPr>
      <w:spacing w:before="240" w:after="60"/>
      <w:jc w:val="center"/>
      <w:outlineLvl w:val="0"/>
    </w:pPr>
    <w:rPr>
      <w:rFonts w:eastAsia="宋体" w:asciiTheme="majorHAnsi" w:hAnsiTheme="majorHAnsi" w:cstheme="majorBidi"/>
      <w:b/>
      <w:bCs/>
      <w:sz w:val="32"/>
      <w:szCs w:val="32"/>
    </w:rPr>
  </w:style>
  <w:style w:type="paragraph" w:styleId="36">
    <w:name w:val="annotation subject"/>
    <w:basedOn w:val="12"/>
    <w:next w:val="12"/>
    <w:link w:val="56"/>
    <w:autoRedefine/>
    <w:qFormat/>
    <w:uiPriority w:val="0"/>
    <w:rPr>
      <w:b/>
      <w:bCs/>
    </w:rPr>
  </w:style>
  <w:style w:type="paragraph" w:styleId="37">
    <w:name w:val="Body Text First Indent"/>
    <w:basedOn w:val="13"/>
    <w:link w:val="176"/>
    <w:autoRedefine/>
    <w:semiHidden/>
    <w:unhideWhenUsed/>
    <w:qFormat/>
    <w:uiPriority w:val="0"/>
    <w:pPr>
      <w:ind w:firstLine="420" w:firstLineChars="100"/>
    </w:pPr>
    <w:rPr>
      <w:kern w:val="0"/>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22"/>
    <w:rPr>
      <w:b/>
      <w:bCs/>
    </w:rPr>
  </w:style>
  <w:style w:type="character" w:styleId="42">
    <w:name w:val="page number"/>
    <w:basedOn w:val="40"/>
    <w:autoRedefine/>
    <w:qFormat/>
    <w:uiPriority w:val="0"/>
  </w:style>
  <w:style w:type="character" w:styleId="43">
    <w:name w:val="FollowedHyperlink"/>
    <w:basedOn w:val="40"/>
    <w:autoRedefine/>
    <w:semiHidden/>
    <w:unhideWhenUsed/>
    <w:qFormat/>
    <w:uiPriority w:val="0"/>
    <w:rPr>
      <w:color w:val="800080"/>
      <w:u w:val="single"/>
    </w:rPr>
  </w:style>
  <w:style w:type="character" w:styleId="44">
    <w:name w:val="Hyperlink"/>
    <w:basedOn w:val="40"/>
    <w:autoRedefine/>
    <w:qFormat/>
    <w:uiPriority w:val="99"/>
    <w:rPr>
      <w:color w:val="0000FF"/>
      <w:u w:val="single"/>
    </w:rPr>
  </w:style>
  <w:style w:type="character" w:styleId="45">
    <w:name w:val="annotation reference"/>
    <w:basedOn w:val="40"/>
    <w:autoRedefine/>
    <w:qFormat/>
    <w:uiPriority w:val="0"/>
    <w:rPr>
      <w:sz w:val="21"/>
      <w:szCs w:val="21"/>
    </w:rPr>
  </w:style>
  <w:style w:type="character" w:styleId="46">
    <w:name w:val="footnote reference"/>
    <w:basedOn w:val="40"/>
    <w:autoRedefine/>
    <w:semiHidden/>
    <w:qFormat/>
    <w:uiPriority w:val="0"/>
    <w:rPr>
      <w:vertAlign w:val="superscript"/>
    </w:rPr>
  </w:style>
  <w:style w:type="paragraph" w:customStyle="1" w:styleId="47">
    <w:name w:val="正文 首行缩进:  2 字符"/>
    <w:basedOn w:val="1"/>
    <w:autoRedefine/>
    <w:qFormat/>
    <w:uiPriority w:val="99"/>
    <w:pPr>
      <w:ind w:firstLine="579" w:firstLineChars="200"/>
    </w:pPr>
    <w:rPr>
      <w:rFonts w:cs="宋体"/>
    </w:rPr>
  </w:style>
  <w:style w:type="paragraph" w:customStyle="1" w:styleId="48">
    <w:name w:val="Default"/>
    <w:basedOn w:val="49"/>
    <w:autoRedefine/>
    <w:qFormat/>
    <w:uiPriority w:val="34"/>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9">
    <w:name w:val="标题 段落4级"/>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50">
    <w:name w:val="样式2"/>
    <w:basedOn w:val="1"/>
    <w:autoRedefine/>
    <w:qFormat/>
    <w:uiPriority w:val="34"/>
    <w:pPr>
      <w:tabs>
        <w:tab w:val="left" w:pos="432"/>
      </w:tabs>
      <w:spacing w:before="50" w:after="50" w:line="440" w:lineRule="exact"/>
    </w:pPr>
    <w:rPr>
      <w:rFonts w:eastAsia="黑体"/>
    </w:rPr>
  </w:style>
  <w:style w:type="character" w:customStyle="1" w:styleId="51">
    <w:name w:val="标题 1 字符"/>
    <w:basedOn w:val="40"/>
    <w:link w:val="2"/>
    <w:autoRedefine/>
    <w:qFormat/>
    <w:uiPriority w:val="0"/>
    <w:rPr>
      <w:rFonts w:ascii="Times New Roman" w:hAnsi="Times New Roman" w:eastAsia="仿宋_GB2312" w:cs="Times New Roman"/>
      <w:b/>
      <w:bCs/>
      <w:kern w:val="44"/>
      <w:sz w:val="32"/>
      <w:szCs w:val="44"/>
    </w:rPr>
  </w:style>
  <w:style w:type="character" w:customStyle="1" w:styleId="52">
    <w:name w:val="标题 2 字符"/>
    <w:basedOn w:val="40"/>
    <w:link w:val="3"/>
    <w:autoRedefine/>
    <w:qFormat/>
    <w:uiPriority w:val="0"/>
    <w:rPr>
      <w:rFonts w:ascii="Times New Roman" w:hAnsi="Times New Roman" w:eastAsia="仿宋_GB2312" w:cs="Times New Roman"/>
      <w:b/>
      <w:bCs/>
      <w:sz w:val="28"/>
      <w:szCs w:val="32"/>
    </w:rPr>
  </w:style>
  <w:style w:type="character" w:customStyle="1" w:styleId="53">
    <w:name w:val="标题 3 字符"/>
    <w:basedOn w:val="40"/>
    <w:link w:val="4"/>
    <w:autoRedefine/>
    <w:qFormat/>
    <w:uiPriority w:val="99"/>
    <w:rPr>
      <w:rFonts w:ascii="Times New Roman" w:hAnsi="Times New Roman" w:eastAsia="仿宋_GB2312" w:cs="Times New Roman"/>
      <w:b/>
      <w:bCs/>
      <w:sz w:val="24"/>
      <w:szCs w:val="32"/>
    </w:rPr>
  </w:style>
  <w:style w:type="character" w:customStyle="1" w:styleId="54">
    <w:name w:val="标题 4 字符"/>
    <w:basedOn w:val="40"/>
    <w:link w:val="5"/>
    <w:autoRedefine/>
    <w:qFormat/>
    <w:uiPriority w:val="0"/>
    <w:rPr>
      <w:rFonts w:ascii="Arial" w:hAnsi="Arial" w:eastAsia="黑体" w:cs="Times New Roman"/>
      <w:b/>
      <w:bCs/>
      <w:sz w:val="28"/>
      <w:szCs w:val="28"/>
    </w:rPr>
  </w:style>
  <w:style w:type="character" w:customStyle="1" w:styleId="55">
    <w:name w:val="批注文字 字符"/>
    <w:basedOn w:val="40"/>
    <w:link w:val="12"/>
    <w:autoRedefine/>
    <w:qFormat/>
    <w:uiPriority w:val="99"/>
    <w:rPr>
      <w:rFonts w:ascii="Times New Roman" w:hAnsi="Times New Roman" w:eastAsia="仿宋_GB2312" w:cs="Times New Roman"/>
      <w:sz w:val="24"/>
      <w:szCs w:val="24"/>
    </w:rPr>
  </w:style>
  <w:style w:type="character" w:customStyle="1" w:styleId="56">
    <w:name w:val="批注主题 字符"/>
    <w:basedOn w:val="55"/>
    <w:link w:val="36"/>
    <w:autoRedefine/>
    <w:qFormat/>
    <w:uiPriority w:val="0"/>
    <w:rPr>
      <w:rFonts w:ascii="Times New Roman" w:hAnsi="Times New Roman" w:eastAsia="仿宋_GB2312" w:cs="Times New Roman"/>
      <w:b/>
      <w:bCs/>
      <w:sz w:val="24"/>
      <w:szCs w:val="24"/>
    </w:rPr>
  </w:style>
  <w:style w:type="character" w:customStyle="1" w:styleId="57">
    <w:name w:val="文档结构图 字符"/>
    <w:basedOn w:val="40"/>
    <w:link w:val="10"/>
    <w:autoRedefine/>
    <w:semiHidden/>
    <w:qFormat/>
    <w:uiPriority w:val="0"/>
    <w:rPr>
      <w:rFonts w:ascii="Times New Roman" w:hAnsi="Times New Roman" w:eastAsia="仿宋_GB2312" w:cs="Times New Roman"/>
      <w:sz w:val="24"/>
      <w:szCs w:val="24"/>
      <w:shd w:val="clear" w:color="auto" w:fill="000080"/>
    </w:rPr>
  </w:style>
  <w:style w:type="character" w:customStyle="1" w:styleId="58">
    <w:name w:val="正文文本 字符"/>
    <w:basedOn w:val="40"/>
    <w:link w:val="13"/>
    <w:autoRedefine/>
    <w:qFormat/>
    <w:uiPriority w:val="0"/>
    <w:rPr>
      <w:rFonts w:ascii="Times New Roman" w:hAnsi="Times New Roman" w:eastAsia="仿宋_GB2312" w:cs="Times New Roman"/>
      <w:sz w:val="24"/>
      <w:szCs w:val="24"/>
    </w:rPr>
  </w:style>
  <w:style w:type="character" w:customStyle="1" w:styleId="59">
    <w:name w:val="正文文本缩进 字符"/>
    <w:basedOn w:val="40"/>
    <w:link w:val="15"/>
    <w:autoRedefine/>
    <w:qFormat/>
    <w:uiPriority w:val="0"/>
    <w:rPr>
      <w:rFonts w:ascii="Times New Roman" w:hAnsi="Times New Roman" w:eastAsia="仿宋_GB2312" w:cs="Times New Roman"/>
      <w:sz w:val="24"/>
      <w:szCs w:val="24"/>
    </w:rPr>
  </w:style>
  <w:style w:type="character" w:customStyle="1" w:styleId="60">
    <w:name w:val="纯文本 字符"/>
    <w:basedOn w:val="40"/>
    <w:link w:val="18"/>
    <w:autoRedefine/>
    <w:qFormat/>
    <w:uiPriority w:val="0"/>
    <w:rPr>
      <w:rFonts w:ascii="宋体" w:hAnsi="Courier New" w:eastAsia="仿宋_GB2312" w:cs="Courier New"/>
      <w:sz w:val="24"/>
      <w:szCs w:val="21"/>
    </w:rPr>
  </w:style>
  <w:style w:type="character" w:customStyle="1" w:styleId="61">
    <w:name w:val="日期 字符"/>
    <w:basedOn w:val="40"/>
    <w:link w:val="20"/>
    <w:autoRedefine/>
    <w:qFormat/>
    <w:uiPriority w:val="0"/>
    <w:rPr>
      <w:rFonts w:ascii="Times New Roman" w:hAnsi="Times New Roman" w:eastAsia="仿宋_GB2312" w:cs="Times New Roman"/>
      <w:sz w:val="24"/>
      <w:szCs w:val="20"/>
    </w:rPr>
  </w:style>
  <w:style w:type="character" w:customStyle="1" w:styleId="62">
    <w:name w:val="正文文本缩进 2 字符"/>
    <w:basedOn w:val="40"/>
    <w:link w:val="21"/>
    <w:autoRedefine/>
    <w:qFormat/>
    <w:uiPriority w:val="0"/>
    <w:rPr>
      <w:rFonts w:ascii="Times New Roman" w:hAnsi="Times New Roman" w:eastAsia="仿宋_GB2312" w:cs="Times New Roman"/>
      <w:sz w:val="24"/>
      <w:szCs w:val="24"/>
    </w:rPr>
  </w:style>
  <w:style w:type="character" w:customStyle="1" w:styleId="63">
    <w:name w:val="批注框文本 字符"/>
    <w:basedOn w:val="40"/>
    <w:link w:val="22"/>
    <w:autoRedefine/>
    <w:qFormat/>
    <w:uiPriority w:val="99"/>
    <w:rPr>
      <w:rFonts w:ascii="Calibri" w:hAnsi="Calibri" w:eastAsia="仿宋_GB2312" w:cs="Times New Roman"/>
      <w:sz w:val="18"/>
      <w:szCs w:val="18"/>
    </w:rPr>
  </w:style>
  <w:style w:type="character" w:customStyle="1" w:styleId="64">
    <w:name w:val="页脚 字符"/>
    <w:basedOn w:val="40"/>
    <w:link w:val="23"/>
    <w:autoRedefine/>
    <w:qFormat/>
    <w:uiPriority w:val="99"/>
    <w:rPr>
      <w:rFonts w:ascii="Times New Roman" w:hAnsi="Times New Roman" w:eastAsia="仿宋_GB2312" w:cs="Times New Roman"/>
      <w:sz w:val="18"/>
      <w:szCs w:val="18"/>
    </w:rPr>
  </w:style>
  <w:style w:type="character" w:customStyle="1" w:styleId="65">
    <w:name w:val="页眉 字符"/>
    <w:basedOn w:val="40"/>
    <w:link w:val="24"/>
    <w:autoRedefine/>
    <w:qFormat/>
    <w:uiPriority w:val="99"/>
    <w:rPr>
      <w:rFonts w:ascii="Times New Roman" w:hAnsi="Times New Roman" w:eastAsia="仿宋_GB2312" w:cs="Times New Roman"/>
      <w:sz w:val="18"/>
      <w:szCs w:val="18"/>
    </w:rPr>
  </w:style>
  <w:style w:type="character" w:customStyle="1" w:styleId="66">
    <w:name w:val="脚注文本 字符"/>
    <w:basedOn w:val="40"/>
    <w:link w:val="28"/>
    <w:autoRedefine/>
    <w:semiHidden/>
    <w:qFormat/>
    <w:uiPriority w:val="0"/>
    <w:rPr>
      <w:rFonts w:ascii="Times New Roman" w:hAnsi="Times New Roman" w:eastAsia="仿宋_GB2312" w:cs="Times New Roman"/>
      <w:sz w:val="18"/>
      <w:szCs w:val="18"/>
    </w:rPr>
  </w:style>
  <w:style w:type="character" w:customStyle="1" w:styleId="67">
    <w:name w:val="正文文本缩进 3 字符"/>
    <w:basedOn w:val="40"/>
    <w:link w:val="30"/>
    <w:autoRedefine/>
    <w:qFormat/>
    <w:uiPriority w:val="0"/>
    <w:rPr>
      <w:rFonts w:ascii="宋体" w:hAnsi="宋体" w:eastAsia="仿宋_GB2312" w:cs="宋体"/>
      <w:kern w:val="0"/>
      <w:sz w:val="24"/>
      <w:szCs w:val="24"/>
    </w:rPr>
  </w:style>
  <w:style w:type="character" w:customStyle="1" w:styleId="68">
    <w:name w:val="HTML 预设格式 字符"/>
    <w:basedOn w:val="40"/>
    <w:link w:val="33"/>
    <w:autoRedefine/>
    <w:qFormat/>
    <w:uiPriority w:val="99"/>
    <w:rPr>
      <w:rFonts w:ascii="宋体" w:hAnsi="宋体" w:eastAsia="宋体" w:cs="宋体"/>
      <w:kern w:val="0"/>
      <w:sz w:val="24"/>
      <w:szCs w:val="24"/>
    </w:rPr>
  </w:style>
  <w:style w:type="character" w:customStyle="1" w:styleId="69">
    <w:name w:val="apple-style-span"/>
    <w:basedOn w:val="40"/>
    <w:autoRedefine/>
    <w:qFormat/>
    <w:uiPriority w:val="0"/>
  </w:style>
  <w:style w:type="character" w:customStyle="1" w:styleId="70">
    <w:name w:val="font2001"/>
    <w:basedOn w:val="40"/>
    <w:autoRedefine/>
    <w:qFormat/>
    <w:uiPriority w:val="0"/>
    <w:rPr>
      <w:color w:val="000000"/>
      <w:sz w:val="20"/>
      <w:szCs w:val="20"/>
    </w:rPr>
  </w:style>
  <w:style w:type="character" w:customStyle="1" w:styleId="71">
    <w:name w:val="表格文字 Char"/>
    <w:basedOn w:val="40"/>
    <w:link w:val="72"/>
    <w:autoRedefine/>
    <w:qFormat/>
    <w:locked/>
    <w:uiPriority w:val="0"/>
    <w:rPr>
      <w:rFonts w:ascii="仿宋_GB2312" w:hAnsi="Arial Black" w:eastAsia="仿宋_GB2312"/>
      <w:kern w:val="44"/>
      <w:sz w:val="24"/>
    </w:rPr>
  </w:style>
  <w:style w:type="paragraph" w:customStyle="1" w:styleId="72">
    <w:name w:val="表格文字"/>
    <w:basedOn w:val="1"/>
    <w:link w:val="71"/>
    <w:autoRedefine/>
    <w:qFormat/>
    <w:uiPriority w:val="0"/>
    <w:pPr>
      <w:adjustRightInd w:val="0"/>
      <w:snapToGrid w:val="0"/>
      <w:jc w:val="center"/>
    </w:pPr>
    <w:rPr>
      <w:rFonts w:ascii="仿宋_GB2312" w:hAnsi="Arial Black" w:cstheme="minorBidi"/>
      <w:kern w:val="44"/>
      <w:szCs w:val="22"/>
    </w:rPr>
  </w:style>
  <w:style w:type="character" w:customStyle="1" w:styleId="73">
    <w:name w:val="正文缩进1"/>
    <w:basedOn w:val="40"/>
    <w:autoRedefine/>
    <w:qFormat/>
    <w:uiPriority w:val="0"/>
    <w:rPr>
      <w:rFonts w:eastAsia="宋体"/>
      <w:kern w:val="2"/>
      <w:sz w:val="24"/>
      <w:lang w:val="en-US" w:eastAsia="zh-CN" w:bidi="ar-SA"/>
    </w:rPr>
  </w:style>
  <w:style w:type="character" w:customStyle="1" w:styleId="74">
    <w:name w:val="p9l1"/>
    <w:basedOn w:val="40"/>
    <w:autoRedefine/>
    <w:qFormat/>
    <w:uiPriority w:val="0"/>
    <w:rPr>
      <w:sz w:val="18"/>
      <w:szCs w:val="18"/>
      <w:u w:val="none"/>
    </w:rPr>
  </w:style>
  <w:style w:type="character" w:customStyle="1" w:styleId="75">
    <w:name w:val="text1"/>
    <w:basedOn w:val="40"/>
    <w:autoRedefine/>
    <w:qFormat/>
    <w:uiPriority w:val="0"/>
    <w:rPr>
      <w:rFonts w:hint="default" w:ascii="ˎ̥" w:hAnsi="ˎ̥"/>
      <w:sz w:val="21"/>
      <w:szCs w:val="21"/>
    </w:rPr>
  </w:style>
  <w:style w:type="character" w:customStyle="1" w:styleId="76">
    <w:name w:val="表格的文字 Char"/>
    <w:basedOn w:val="77"/>
    <w:link w:val="79"/>
    <w:autoRedefine/>
    <w:qFormat/>
    <w:uiPriority w:val="0"/>
    <w:rPr>
      <w:rFonts w:ascii="仿宋_GB2312" w:hAnsi="宋体" w:eastAsia="仿宋_GB2312" w:cs="宋体"/>
      <w:bCs/>
      <w:sz w:val="24"/>
      <w:szCs w:val="24"/>
    </w:rPr>
  </w:style>
  <w:style w:type="character" w:customStyle="1" w:styleId="77">
    <w:name w:val="图表文字 Char"/>
    <w:link w:val="78"/>
    <w:autoRedefine/>
    <w:qFormat/>
    <w:uiPriority w:val="0"/>
    <w:rPr>
      <w:rFonts w:ascii="仿宋_GB2312" w:hAnsi="宋体" w:eastAsia="仿宋_GB2312" w:cs="宋体"/>
      <w:sz w:val="24"/>
      <w:szCs w:val="24"/>
    </w:rPr>
  </w:style>
  <w:style w:type="paragraph" w:customStyle="1" w:styleId="78">
    <w:name w:val="图表文字"/>
    <w:basedOn w:val="1"/>
    <w:link w:val="77"/>
    <w:autoRedefine/>
    <w:qFormat/>
    <w:uiPriority w:val="0"/>
    <w:pPr>
      <w:widowControl/>
      <w:jc w:val="center"/>
    </w:pPr>
    <w:rPr>
      <w:rFonts w:ascii="仿宋_GB2312" w:hAnsi="宋体" w:cs="宋体"/>
    </w:rPr>
  </w:style>
  <w:style w:type="paragraph" w:customStyle="1" w:styleId="79">
    <w:name w:val="表格的文字"/>
    <w:basedOn w:val="78"/>
    <w:link w:val="76"/>
    <w:autoRedefine/>
    <w:qFormat/>
    <w:uiPriority w:val="0"/>
    <w:pPr>
      <w:widowControl w:val="0"/>
      <w:spacing w:line="300" w:lineRule="exact"/>
    </w:pPr>
    <w:rPr>
      <w:bCs/>
      <w:sz w:val="21"/>
    </w:rPr>
  </w:style>
  <w:style w:type="character" w:customStyle="1" w:styleId="80">
    <w:name w:val="题注 字符"/>
    <w:link w:val="8"/>
    <w:autoRedefine/>
    <w:qFormat/>
    <w:uiPriority w:val="99"/>
    <w:rPr>
      <w:rFonts w:ascii="仿宋_GB2312" w:hAnsi="Times New Roman" w:eastAsia="仿宋_GB2312" w:cs="Times New Roman"/>
      <w:b/>
      <w:kern w:val="0"/>
      <w:sz w:val="28"/>
      <w:szCs w:val="28"/>
    </w:rPr>
  </w:style>
  <w:style w:type="character" w:customStyle="1" w:styleId="81">
    <w:name w:val="表标题 Char"/>
    <w:basedOn w:val="40"/>
    <w:link w:val="82"/>
    <w:autoRedefine/>
    <w:qFormat/>
    <w:locked/>
    <w:uiPriority w:val="0"/>
    <w:rPr>
      <w:rFonts w:ascii="仿宋_GB2312" w:eastAsia="仿宋_GB2312"/>
      <w:b/>
      <w:bCs/>
      <w:sz w:val="24"/>
      <w:szCs w:val="24"/>
    </w:rPr>
  </w:style>
  <w:style w:type="paragraph" w:customStyle="1" w:styleId="82">
    <w:name w:val="表标题"/>
    <w:basedOn w:val="1"/>
    <w:link w:val="81"/>
    <w:autoRedefine/>
    <w:qFormat/>
    <w:uiPriority w:val="0"/>
    <w:pPr>
      <w:spacing w:line="500" w:lineRule="exact"/>
      <w:ind w:firstLine="482" w:firstLineChars="200"/>
      <w:jc w:val="center"/>
    </w:pPr>
    <w:rPr>
      <w:rFonts w:ascii="仿宋_GB2312" w:hAnsiTheme="minorHAnsi" w:cstheme="minorBidi"/>
      <w:b/>
      <w:bCs/>
    </w:rPr>
  </w:style>
  <w:style w:type="character" w:customStyle="1" w:styleId="83">
    <w:name w:val="keyword"/>
    <w:basedOn w:val="40"/>
    <w:autoRedefine/>
    <w:qFormat/>
    <w:uiPriority w:val="0"/>
  </w:style>
  <w:style w:type="character" w:customStyle="1" w:styleId="84">
    <w:name w:val="正文缩进 字符"/>
    <w:basedOn w:val="40"/>
    <w:link w:val="7"/>
    <w:autoRedefine/>
    <w:qFormat/>
    <w:uiPriority w:val="0"/>
    <w:rPr>
      <w:rFonts w:ascii="Times New Roman" w:hAnsi="Times New Roman" w:eastAsia="仿宋_GB2312" w:cs="Times New Roman"/>
      <w:sz w:val="24"/>
      <w:szCs w:val="24"/>
    </w:rPr>
  </w:style>
  <w:style w:type="paragraph" w:customStyle="1" w:styleId="85">
    <w:name w:val="XYF1"/>
    <w:basedOn w:val="1"/>
    <w:autoRedefine/>
    <w:qFormat/>
    <w:uiPriority w:val="34"/>
    <w:pPr>
      <w:tabs>
        <w:tab w:val="left" w:pos="1080"/>
      </w:tabs>
      <w:spacing w:line="440" w:lineRule="exact"/>
      <w:ind w:firstLine="195" w:firstLineChars="195"/>
    </w:pPr>
  </w:style>
  <w:style w:type="paragraph" w:customStyle="1" w:styleId="86">
    <w:name w:val="图文框"/>
    <w:basedOn w:val="1"/>
    <w:autoRedefine/>
    <w:qFormat/>
    <w:uiPriority w:val="34"/>
    <w:pPr>
      <w:jc w:val="center"/>
    </w:pPr>
    <w:rPr>
      <w:szCs w:val="21"/>
    </w:rPr>
  </w:style>
  <w:style w:type="paragraph" w:customStyle="1" w:styleId="87">
    <w:name w:val="文本123"/>
    <w:basedOn w:val="7"/>
    <w:autoRedefine/>
    <w:qFormat/>
    <w:uiPriority w:val="34"/>
    <w:pPr>
      <w:tabs>
        <w:tab w:val="left" w:pos="360"/>
      </w:tabs>
      <w:snapToGrid w:val="0"/>
      <w:spacing w:beforeLines="20" w:line="480" w:lineRule="exact"/>
      <w:ind w:firstLine="0" w:firstLineChars="0"/>
      <w:outlineLvl w:val="7"/>
    </w:pPr>
  </w:style>
  <w:style w:type="paragraph" w:customStyle="1" w:styleId="88">
    <w:name w:val="xl25"/>
    <w:basedOn w:val="1"/>
    <w:autoRedefine/>
    <w:qFormat/>
    <w:uiPriority w:val="34"/>
    <w:pPr>
      <w:widowControl/>
      <w:pBdr>
        <w:left w:val="single" w:color="auto" w:sz="4" w:space="0"/>
        <w:right w:val="single" w:color="auto" w:sz="4" w:space="0"/>
      </w:pBdr>
      <w:spacing w:before="100" w:after="100"/>
      <w:jc w:val="center"/>
    </w:pPr>
    <w:rPr>
      <w:kern w:val="0"/>
      <w:szCs w:val="20"/>
    </w:rPr>
  </w:style>
  <w:style w:type="paragraph" w:customStyle="1" w:styleId="89">
    <w:name w:val="样式 (符号) 宋体 首行缩进:  0.93 厘米 段前: 6 磅 段后: 6 磅 行距: 固定值 18 磅1"/>
    <w:basedOn w:val="1"/>
    <w:autoRedefine/>
    <w:qFormat/>
    <w:uiPriority w:val="34"/>
    <w:pPr>
      <w:spacing w:before="160" w:after="160" w:line="320" w:lineRule="exact"/>
      <w:ind w:firstLine="527"/>
    </w:pPr>
    <w:rPr>
      <w:rFonts w:hAnsi="宋体"/>
      <w:szCs w:val="20"/>
    </w:rPr>
  </w:style>
  <w:style w:type="paragraph" w:customStyle="1" w:styleId="90">
    <w:name w:val="Char1"/>
    <w:basedOn w:val="1"/>
    <w:autoRedefine/>
    <w:qFormat/>
    <w:uiPriority w:val="34"/>
    <w:pPr>
      <w:snapToGrid w:val="0"/>
      <w:spacing w:line="360" w:lineRule="auto"/>
      <w:ind w:firstLine="200" w:firstLineChars="200"/>
    </w:pPr>
  </w:style>
  <w:style w:type="paragraph" w:customStyle="1" w:styleId="91">
    <w:name w:val="样式 列表"/>
    <w:basedOn w:val="27"/>
    <w:autoRedefine/>
    <w:qFormat/>
    <w:uiPriority w:val="34"/>
    <w:pPr>
      <w:spacing w:line="280" w:lineRule="exact"/>
      <w:ind w:left="0" w:firstLine="0" w:firstLineChars="0"/>
      <w:jc w:val="center"/>
    </w:pPr>
    <w:rPr>
      <w:rFonts w:eastAsia="方正仿宋_GBK" w:cs="宋体"/>
      <w:szCs w:val="20"/>
    </w:rPr>
  </w:style>
  <w:style w:type="character" w:customStyle="1" w:styleId="92">
    <w:name w:val="普通(网站) 字符"/>
    <w:basedOn w:val="40"/>
    <w:link w:val="34"/>
    <w:autoRedefine/>
    <w:qFormat/>
    <w:locked/>
    <w:uiPriority w:val="34"/>
    <w:rPr>
      <w:rFonts w:ascii="宋体" w:hAnsi="宋体" w:eastAsia="仿宋_GB2312" w:cs="Times New Roman"/>
      <w:kern w:val="0"/>
      <w:sz w:val="24"/>
      <w:szCs w:val="24"/>
    </w:rPr>
  </w:style>
  <w:style w:type="paragraph" w:customStyle="1" w:styleId="93">
    <w:name w:val="Char"/>
    <w:basedOn w:val="1"/>
    <w:autoRedefine/>
    <w:qFormat/>
    <w:uiPriority w:val="34"/>
  </w:style>
  <w:style w:type="paragraph" w:customStyle="1" w:styleId="94">
    <w:name w:val="章标题"/>
    <w:next w:val="1"/>
    <w:autoRedefine/>
    <w:qFormat/>
    <w:uiPriority w:val="34"/>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95">
    <w:name w:val="简单回函地址"/>
    <w:basedOn w:val="1"/>
    <w:autoRedefine/>
    <w:qFormat/>
    <w:uiPriority w:val="34"/>
  </w:style>
  <w:style w:type="paragraph" w:customStyle="1" w:styleId="96">
    <w:name w:val="Char Char Char Char Char Char Char Char Char Char Char Char Char"/>
    <w:basedOn w:val="1"/>
    <w:autoRedefine/>
    <w:qFormat/>
    <w:uiPriority w:val="0"/>
    <w:rPr>
      <w:rFonts w:ascii="Tahoma" w:hAnsi="Tahoma"/>
      <w:szCs w:val="20"/>
    </w:rPr>
  </w:style>
  <w:style w:type="paragraph" w:customStyle="1" w:styleId="97">
    <w:name w:val="样式1"/>
    <w:basedOn w:val="1"/>
    <w:autoRedefine/>
    <w:qFormat/>
    <w:uiPriority w:val="34"/>
    <w:rPr>
      <w:szCs w:val="20"/>
    </w:rPr>
  </w:style>
  <w:style w:type="paragraph" w:customStyle="1" w:styleId="98">
    <w:name w:val="xl45"/>
    <w:basedOn w:val="1"/>
    <w:autoRedefine/>
    <w:qFormat/>
    <w:uiPriority w:val="34"/>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99">
    <w:name w:val="xl26"/>
    <w:basedOn w:val="1"/>
    <w:autoRedefine/>
    <w:qFormat/>
    <w:uiPriority w:val="34"/>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Arial Unicode MS"/>
      <w:kern w:val="0"/>
    </w:rPr>
  </w:style>
  <w:style w:type="paragraph" w:customStyle="1" w:styleId="100">
    <w:name w:val="xl42"/>
    <w:basedOn w:val="1"/>
    <w:autoRedefine/>
    <w:qFormat/>
    <w:uiPriority w:val="34"/>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101">
    <w:name w:val="字元"/>
    <w:basedOn w:val="1"/>
    <w:autoRedefine/>
    <w:qFormat/>
    <w:uiPriority w:val="34"/>
  </w:style>
  <w:style w:type="paragraph" w:customStyle="1" w:styleId="102">
    <w:name w:val="图标题"/>
    <w:basedOn w:val="1"/>
    <w:autoRedefine/>
    <w:qFormat/>
    <w:uiPriority w:val="34"/>
    <w:pPr>
      <w:widowControl/>
      <w:spacing w:line="300" w:lineRule="exact"/>
    </w:pPr>
    <w:rPr>
      <w:rFonts w:ascii="仿宋_GB2312" w:hAnsi="宋体" w:cs="宋体"/>
      <w:b/>
      <w:bCs/>
      <w:kern w:val="0"/>
    </w:rPr>
  </w:style>
  <w:style w:type="paragraph" w:customStyle="1" w:styleId="103">
    <w:name w:val="xl27"/>
    <w:basedOn w:val="1"/>
    <w:autoRedefine/>
    <w:qFormat/>
    <w:uiPriority w:val="34"/>
    <w:pPr>
      <w:widowControl/>
      <w:pBdr>
        <w:bottom w:val="single" w:color="auto" w:sz="12" w:space="0"/>
      </w:pBdr>
      <w:spacing w:before="100" w:after="100"/>
      <w:jc w:val="center"/>
    </w:pPr>
    <w:rPr>
      <w:rFonts w:ascii="宋体" w:hAnsi="宋体"/>
      <w:kern w:val="0"/>
      <w:szCs w:val="20"/>
    </w:rPr>
  </w:style>
  <w:style w:type="paragraph" w:customStyle="1" w:styleId="104">
    <w:name w:val="Char Char Char Char"/>
    <w:basedOn w:val="10"/>
    <w:autoRedefine/>
    <w:qFormat/>
    <w:uiPriority w:val="34"/>
    <w:pPr>
      <w:widowControl/>
      <w:adjustRightInd w:val="0"/>
      <w:snapToGrid w:val="0"/>
      <w:spacing w:line="360" w:lineRule="auto"/>
      <w:jc w:val="left"/>
    </w:pPr>
    <w:rPr>
      <w:rFonts w:ascii="Tahoma" w:hAnsi="Tahoma" w:cs="宋体"/>
      <w:kern w:val="0"/>
    </w:rPr>
  </w:style>
  <w:style w:type="paragraph" w:customStyle="1" w:styleId="105">
    <w:name w:val="6"/>
    <w:basedOn w:val="1"/>
    <w:next w:val="18"/>
    <w:autoRedefine/>
    <w:qFormat/>
    <w:uiPriority w:val="34"/>
    <w:rPr>
      <w:rFonts w:ascii="宋体" w:hAnsi="Courier New"/>
      <w:szCs w:val="20"/>
    </w:rPr>
  </w:style>
  <w:style w:type="paragraph" w:customStyle="1" w:styleId="106">
    <w:name w:val="Char Char1 Char Char Char Char Char Char Char"/>
    <w:basedOn w:val="1"/>
    <w:next w:val="1"/>
    <w:autoRedefine/>
    <w:qFormat/>
    <w:uiPriority w:val="34"/>
    <w:pPr>
      <w:spacing w:line="360" w:lineRule="auto"/>
      <w:ind w:firstLine="200" w:firstLineChars="200"/>
    </w:pPr>
  </w:style>
  <w:style w:type="paragraph" w:customStyle="1" w:styleId="107">
    <w:name w:val="环正文"/>
    <w:basedOn w:val="1"/>
    <w:link w:val="108"/>
    <w:autoRedefine/>
    <w:qFormat/>
    <w:uiPriority w:val="0"/>
    <w:pPr>
      <w:widowControl/>
      <w:suppressAutoHyphens/>
      <w:autoSpaceDE w:val="0"/>
      <w:autoSpaceDN w:val="0"/>
      <w:adjustRightInd w:val="0"/>
      <w:snapToGrid w:val="0"/>
      <w:spacing w:line="590" w:lineRule="atLeast"/>
      <w:ind w:firstLine="524" w:firstLineChars="187"/>
      <w:textAlignment w:val="baseline"/>
    </w:pPr>
    <w:rPr>
      <w:rFonts w:ascii="宋体" w:hAnsi="宋体"/>
      <w:snapToGrid w:val="0"/>
      <w:color w:val="000000"/>
      <w:kern w:val="0"/>
      <w:sz w:val="32"/>
      <w:szCs w:val="28"/>
    </w:rPr>
  </w:style>
  <w:style w:type="character" w:customStyle="1" w:styleId="108">
    <w:name w:val="环正文 Char1"/>
    <w:basedOn w:val="40"/>
    <w:link w:val="107"/>
    <w:autoRedefine/>
    <w:qFormat/>
    <w:uiPriority w:val="0"/>
    <w:rPr>
      <w:rFonts w:ascii="宋体" w:hAnsi="宋体" w:eastAsia="仿宋_GB2312" w:cs="Times New Roman"/>
      <w:snapToGrid w:val="0"/>
      <w:color w:val="000000"/>
      <w:kern w:val="0"/>
      <w:sz w:val="32"/>
      <w:szCs w:val="28"/>
    </w:rPr>
  </w:style>
  <w:style w:type="paragraph" w:customStyle="1" w:styleId="109">
    <w:name w:val="文字"/>
    <w:basedOn w:val="1"/>
    <w:link w:val="110"/>
    <w:autoRedefine/>
    <w:qFormat/>
    <w:uiPriority w:val="0"/>
    <w:pPr>
      <w:spacing w:line="360" w:lineRule="auto"/>
      <w:ind w:firstLine="200" w:firstLineChars="200"/>
    </w:pPr>
  </w:style>
  <w:style w:type="character" w:customStyle="1" w:styleId="110">
    <w:name w:val="文字 Char"/>
    <w:basedOn w:val="40"/>
    <w:link w:val="109"/>
    <w:autoRedefine/>
    <w:qFormat/>
    <w:uiPriority w:val="0"/>
    <w:rPr>
      <w:rFonts w:ascii="Times New Roman" w:hAnsi="Times New Roman" w:eastAsia="仿宋_GB2312" w:cs="Times New Roman"/>
      <w:sz w:val="24"/>
      <w:szCs w:val="24"/>
    </w:rPr>
  </w:style>
  <w:style w:type="paragraph" w:customStyle="1" w:styleId="111">
    <w:name w:val="正文格式"/>
    <w:basedOn w:val="1"/>
    <w:autoRedefine/>
    <w:qFormat/>
    <w:uiPriority w:val="34"/>
    <w:pPr>
      <w:ind w:firstLine="560" w:firstLineChars="200"/>
    </w:pPr>
    <w:rPr>
      <w:rFonts w:eastAsia="楷体_GB2312"/>
      <w:sz w:val="28"/>
    </w:rPr>
  </w:style>
  <w:style w:type="paragraph" w:customStyle="1" w:styleId="112">
    <w:name w:val="p0"/>
    <w:basedOn w:val="1"/>
    <w:autoRedefine/>
    <w:qFormat/>
    <w:uiPriority w:val="34"/>
    <w:pPr>
      <w:widowControl/>
    </w:pPr>
    <w:rPr>
      <w:rFonts w:ascii="Tahoma" w:hAnsi="Tahoma" w:cs="Tahoma"/>
      <w:kern w:val="0"/>
      <w:szCs w:val="21"/>
    </w:rPr>
  </w:style>
  <w:style w:type="paragraph" w:customStyle="1" w:styleId="113">
    <w:name w:val="默认段落字体 Para Char Char Char Char Char Char Char Char Char Char Char Char Char"/>
    <w:basedOn w:val="1"/>
    <w:autoRedefine/>
    <w:qFormat/>
    <w:uiPriority w:val="34"/>
  </w:style>
  <w:style w:type="paragraph" w:customStyle="1" w:styleId="114">
    <w:name w:val="xl92"/>
    <w:basedOn w:val="1"/>
    <w:autoRedefine/>
    <w:qFormat/>
    <w:uiPriority w:val="34"/>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Cs w:val="20"/>
    </w:rPr>
  </w:style>
  <w:style w:type="paragraph" w:customStyle="1" w:styleId="115">
    <w:name w:val="默认段落字体 Para Char Char Char Char"/>
    <w:basedOn w:val="1"/>
    <w:autoRedefine/>
    <w:qFormat/>
    <w:uiPriority w:val="0"/>
  </w:style>
  <w:style w:type="character" w:customStyle="1" w:styleId="116">
    <w:name w:val="Char Char12"/>
    <w:basedOn w:val="40"/>
    <w:autoRedefine/>
    <w:qFormat/>
    <w:uiPriority w:val="0"/>
    <w:rPr>
      <w:rFonts w:eastAsia="方正仿宋_GBK"/>
      <w:snapToGrid w:val="0"/>
      <w:sz w:val="32"/>
      <w:lang w:val="en-US" w:eastAsia="zh-CN" w:bidi="ar-SA"/>
    </w:rPr>
  </w:style>
  <w:style w:type="paragraph" w:customStyle="1" w:styleId="117">
    <w:name w:val="二级无标题条"/>
    <w:basedOn w:val="1"/>
    <w:autoRedefine/>
    <w:qFormat/>
    <w:uiPriority w:val="34"/>
  </w:style>
  <w:style w:type="paragraph" w:customStyle="1" w:styleId="118">
    <w:name w:val="表头"/>
    <w:basedOn w:val="1"/>
    <w:autoRedefine/>
    <w:qFormat/>
    <w:uiPriority w:val="34"/>
    <w:pPr>
      <w:adjustRightInd w:val="0"/>
      <w:spacing w:line="320" w:lineRule="atLeast"/>
      <w:jc w:val="center"/>
      <w:textAlignment w:val="baseline"/>
    </w:pPr>
    <w:rPr>
      <w:rFonts w:eastAsia="黑体"/>
      <w:spacing w:val="-10"/>
      <w:kern w:val="0"/>
      <w:szCs w:val="20"/>
    </w:rPr>
  </w:style>
  <w:style w:type="paragraph" w:customStyle="1" w:styleId="119">
    <w:name w:val="表格文字-5号-中"/>
    <w:basedOn w:val="1"/>
    <w:autoRedefine/>
    <w:qFormat/>
    <w:uiPriority w:val="34"/>
    <w:pPr>
      <w:snapToGrid w:val="0"/>
      <w:spacing w:line="400" w:lineRule="exact"/>
      <w:jc w:val="center"/>
    </w:pPr>
    <w:rPr>
      <w:kern w:val="0"/>
      <w:szCs w:val="21"/>
    </w:rPr>
  </w:style>
  <w:style w:type="paragraph" w:customStyle="1" w:styleId="120">
    <w:name w:val="Char Char1 Char Char Char1 Char"/>
    <w:basedOn w:val="1"/>
    <w:autoRedefine/>
    <w:qFormat/>
    <w:uiPriority w:val="34"/>
    <w:pPr>
      <w:widowControl/>
      <w:adjustRightInd w:val="0"/>
      <w:spacing w:line="360" w:lineRule="auto"/>
      <w:jc w:val="left"/>
    </w:pPr>
    <w:rPr>
      <w:rFonts w:ascii="宋体" w:hAnsi="宋体" w:cs="宋体"/>
      <w:kern w:val="0"/>
    </w:rPr>
  </w:style>
  <w:style w:type="character" w:customStyle="1" w:styleId="121">
    <w:name w:val="apple-converted-space"/>
    <w:basedOn w:val="40"/>
    <w:autoRedefine/>
    <w:qFormat/>
    <w:uiPriority w:val="0"/>
  </w:style>
  <w:style w:type="paragraph" w:customStyle="1" w:styleId="122">
    <w:name w:val="1 Char"/>
    <w:basedOn w:val="1"/>
    <w:autoRedefine/>
    <w:qFormat/>
    <w:uiPriority w:val="34"/>
  </w:style>
  <w:style w:type="paragraph" w:customStyle="1" w:styleId="123">
    <w:name w:val="xl28"/>
    <w:basedOn w:val="1"/>
    <w:autoRedefine/>
    <w:qFormat/>
    <w:uiPriority w:val="34"/>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hAnsi="宋体" w:eastAsia="宋体"/>
      <w:kern w:val="0"/>
    </w:rPr>
  </w:style>
  <w:style w:type="character" w:customStyle="1" w:styleId="124">
    <w:name w:val="列表 字符"/>
    <w:link w:val="27"/>
    <w:autoRedefine/>
    <w:qFormat/>
    <w:uiPriority w:val="99"/>
    <w:rPr>
      <w:rFonts w:ascii="Times New Roman" w:hAnsi="Times New Roman" w:eastAsia="仿宋_GB2312" w:cs="Times New Roman"/>
      <w:sz w:val="24"/>
      <w:szCs w:val="24"/>
    </w:rPr>
  </w:style>
  <w:style w:type="paragraph" w:customStyle="1" w:styleId="125">
    <w:name w:val="样式 题注 + 首行缩进:  2 字符"/>
    <w:basedOn w:val="8"/>
    <w:autoRedefine/>
    <w:qFormat/>
    <w:uiPriority w:val="34"/>
    <w:pPr>
      <w:keepNext w:val="0"/>
      <w:widowControl w:val="0"/>
      <w:adjustRightInd/>
      <w:snapToGrid/>
      <w:spacing w:line="520" w:lineRule="exact"/>
    </w:pPr>
    <w:rPr>
      <w:rFonts w:ascii="Arial" w:hAnsi="Arial" w:eastAsia="黑体"/>
      <w:b w:val="0"/>
      <w:kern w:val="2"/>
      <w:sz w:val="24"/>
      <w:szCs w:val="20"/>
    </w:rPr>
  </w:style>
  <w:style w:type="paragraph" w:customStyle="1" w:styleId="126">
    <w:name w:val="报告书表格"/>
    <w:basedOn w:val="1"/>
    <w:link w:val="127"/>
    <w:autoRedefine/>
    <w:qFormat/>
    <w:uiPriority w:val="0"/>
    <w:pPr>
      <w:adjustRightInd w:val="0"/>
      <w:spacing w:line="400" w:lineRule="exact"/>
      <w:jc w:val="center"/>
      <w:textAlignment w:val="baseline"/>
    </w:pPr>
    <w:rPr>
      <w:kern w:val="0"/>
      <w:szCs w:val="20"/>
    </w:rPr>
  </w:style>
  <w:style w:type="character" w:customStyle="1" w:styleId="127">
    <w:name w:val="报告书表格 Char"/>
    <w:link w:val="126"/>
    <w:autoRedefine/>
    <w:qFormat/>
    <w:uiPriority w:val="0"/>
    <w:rPr>
      <w:rFonts w:ascii="Times New Roman" w:hAnsi="Times New Roman" w:eastAsia="仿宋_GB2312" w:cs="Times New Roman"/>
      <w:kern w:val="0"/>
      <w:sz w:val="24"/>
      <w:szCs w:val="20"/>
    </w:rPr>
  </w:style>
  <w:style w:type="paragraph" w:customStyle="1" w:styleId="128">
    <w:name w:val="样式4"/>
    <w:basedOn w:val="5"/>
    <w:next w:val="5"/>
    <w:autoRedefine/>
    <w:qFormat/>
    <w:uiPriority w:val="0"/>
    <w:pPr>
      <w:keepNext w:val="0"/>
      <w:keepLines w:val="0"/>
      <w:spacing w:before="0" w:after="0" w:line="360" w:lineRule="auto"/>
      <w:ind w:firstLine="200" w:firstLineChars="200"/>
      <w:jc w:val="left"/>
    </w:pPr>
    <w:rPr>
      <w:rFonts w:ascii="黑体" w:hAnsi="宋体"/>
      <w:b w:val="0"/>
    </w:rPr>
  </w:style>
  <w:style w:type="paragraph" w:customStyle="1" w:styleId="129">
    <w:name w:val="列出段落1"/>
    <w:autoRedefine/>
    <w:qFormat/>
    <w:uiPriority w:val="0"/>
    <w:pPr>
      <w:ind w:left="720"/>
    </w:pPr>
    <w:rPr>
      <w:rFonts w:ascii="Times New Roman" w:hAnsi="Times New Roman" w:eastAsia="宋体" w:cs="Times New Roman"/>
      <w:lang w:val="en-US" w:eastAsia="zh-CN" w:bidi="ar-SA"/>
    </w:rPr>
  </w:style>
  <w:style w:type="paragraph" w:customStyle="1" w:styleId="130">
    <w:name w:val="正文文本 21"/>
    <w:basedOn w:val="1"/>
    <w:autoRedefine/>
    <w:qFormat/>
    <w:uiPriority w:val="99"/>
    <w:pPr>
      <w:adjustRightInd w:val="0"/>
      <w:spacing w:after="120"/>
      <w:ind w:left="420"/>
      <w:textAlignment w:val="baseline"/>
    </w:pPr>
    <w:rPr>
      <w:rFonts w:hint="eastAsia" w:ascii="宋体" w:hAnsi="宋体" w:eastAsia="宋体"/>
      <w:szCs w:val="20"/>
    </w:rPr>
  </w:style>
  <w:style w:type="paragraph" w:customStyle="1" w:styleId="131">
    <w:name w:val="Table count"/>
    <w:autoRedefine/>
    <w:qFormat/>
    <w:uiPriority w:val="34"/>
    <w:pPr>
      <w:spacing w:before="86" w:after="86"/>
      <w:jc w:val="center"/>
    </w:pPr>
    <w:rPr>
      <w:rFonts w:ascii="Times New Roman" w:hAnsi="Times New Roman" w:eastAsia="宋体" w:cs="Times New Roman"/>
      <w:color w:val="000080"/>
      <w:lang w:val="en-US" w:eastAsia="en-US" w:bidi="ar-SA"/>
    </w:rPr>
  </w:style>
  <w:style w:type="character" w:customStyle="1" w:styleId="132">
    <w:name w:val="bititle"/>
    <w:basedOn w:val="40"/>
    <w:autoRedefine/>
    <w:qFormat/>
    <w:uiPriority w:val="0"/>
  </w:style>
  <w:style w:type="paragraph" w:customStyle="1" w:styleId="133">
    <w:name w:val="reader-word-layer"/>
    <w:basedOn w:val="1"/>
    <w:autoRedefine/>
    <w:qFormat/>
    <w:uiPriority w:val="34"/>
    <w:pPr>
      <w:widowControl/>
      <w:spacing w:before="100" w:beforeAutospacing="1" w:after="100" w:afterAutospacing="1"/>
      <w:jc w:val="left"/>
    </w:pPr>
    <w:rPr>
      <w:rFonts w:ascii="宋体" w:hAnsi="宋体" w:eastAsia="宋体" w:cs="宋体"/>
      <w:kern w:val="0"/>
    </w:rPr>
  </w:style>
  <w:style w:type="paragraph" w:customStyle="1" w:styleId="134">
    <w:name w:val="小表格"/>
    <w:basedOn w:val="1"/>
    <w:autoRedefine/>
    <w:qFormat/>
    <w:uiPriority w:val="34"/>
    <w:pPr>
      <w:widowControl/>
      <w:autoSpaceDE w:val="0"/>
      <w:autoSpaceDN w:val="0"/>
      <w:adjustRightInd w:val="0"/>
      <w:snapToGrid w:val="0"/>
      <w:spacing w:after="200"/>
      <w:jc w:val="center"/>
    </w:pPr>
    <w:rPr>
      <w:rFonts w:hint="eastAsia" w:ascii="Tahoma" w:hAnsi="Tahoma" w:eastAsia="微软雅黑"/>
      <w:kern w:val="0"/>
      <w:sz w:val="22"/>
      <w:szCs w:val="20"/>
    </w:rPr>
  </w:style>
  <w:style w:type="paragraph" w:customStyle="1" w:styleId="135">
    <w:name w:val="正文5"/>
    <w:basedOn w:val="1"/>
    <w:link w:val="136"/>
    <w:autoRedefine/>
    <w:qFormat/>
    <w:uiPriority w:val="0"/>
    <w:pPr>
      <w:widowControl/>
      <w:adjustRightInd w:val="0"/>
      <w:snapToGrid w:val="0"/>
      <w:spacing w:after="200"/>
      <w:jc w:val="left"/>
    </w:pPr>
    <w:rPr>
      <w:rFonts w:eastAsia="宋体"/>
      <w:kern w:val="0"/>
      <w:sz w:val="22"/>
      <w:szCs w:val="22"/>
    </w:rPr>
  </w:style>
  <w:style w:type="character" w:customStyle="1" w:styleId="136">
    <w:name w:val="正文5 Char"/>
    <w:basedOn w:val="40"/>
    <w:link w:val="135"/>
    <w:autoRedefine/>
    <w:qFormat/>
    <w:uiPriority w:val="0"/>
    <w:rPr>
      <w:rFonts w:ascii="Times New Roman" w:hAnsi="Times New Roman" w:eastAsia="宋体" w:cs="Times New Roman"/>
      <w:kern w:val="0"/>
      <w:sz w:val="22"/>
    </w:rPr>
  </w:style>
  <w:style w:type="paragraph" w:customStyle="1" w:styleId="13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样式 标题 3 + 四号"/>
    <w:basedOn w:val="4"/>
    <w:autoRedefine/>
    <w:qFormat/>
    <w:uiPriority w:val="34"/>
    <w:pPr>
      <w:keepNext w:val="0"/>
      <w:keepLines w:val="0"/>
      <w:widowControl/>
      <w:tabs>
        <w:tab w:val="left" w:pos="5415"/>
      </w:tabs>
      <w:autoSpaceDE w:val="0"/>
      <w:autoSpaceDN w:val="0"/>
      <w:adjustRightInd w:val="0"/>
      <w:snapToGrid w:val="0"/>
      <w:spacing w:after="200" w:line="240" w:lineRule="auto"/>
      <w:jc w:val="left"/>
      <w:outlineLvl w:val="9"/>
    </w:pPr>
    <w:rPr>
      <w:rFonts w:eastAsia="宋体"/>
      <w:b w:val="0"/>
      <w:kern w:val="0"/>
      <w:sz w:val="21"/>
      <w:szCs w:val="21"/>
    </w:rPr>
  </w:style>
  <w:style w:type="character" w:customStyle="1" w:styleId="139">
    <w:name w:val="正文 小五 Char"/>
    <w:basedOn w:val="40"/>
    <w:link w:val="140"/>
    <w:autoRedefine/>
    <w:qFormat/>
    <w:uiPriority w:val="0"/>
    <w:rPr>
      <w:rFonts w:ascii="宋体" w:hAnsi="宋体"/>
      <w:spacing w:val="-6"/>
      <w:sz w:val="18"/>
      <w:szCs w:val="18"/>
    </w:rPr>
  </w:style>
  <w:style w:type="paragraph" w:customStyle="1" w:styleId="140">
    <w:name w:val="正文 小五"/>
    <w:basedOn w:val="1"/>
    <w:link w:val="139"/>
    <w:autoRedefine/>
    <w:qFormat/>
    <w:uiPriority w:val="0"/>
    <w:pPr>
      <w:spacing w:line="270" w:lineRule="exact"/>
      <w:jc w:val="left"/>
    </w:pPr>
    <w:rPr>
      <w:rFonts w:ascii="宋体" w:hAnsi="宋体" w:eastAsiaTheme="minorEastAsia" w:cstheme="minorBidi"/>
      <w:spacing w:val="-6"/>
      <w:sz w:val="18"/>
      <w:szCs w:val="18"/>
    </w:rPr>
  </w:style>
  <w:style w:type="paragraph" w:customStyle="1" w:styleId="141">
    <w:name w:val="txt"/>
    <w:basedOn w:val="1"/>
    <w:autoRedefine/>
    <w:qFormat/>
    <w:uiPriority w:val="34"/>
    <w:pPr>
      <w:widowControl/>
      <w:spacing w:before="100" w:beforeAutospacing="1" w:after="100" w:afterAutospacing="1"/>
      <w:jc w:val="left"/>
    </w:pPr>
    <w:rPr>
      <w:rFonts w:ascii="宋体" w:hAnsi="宋体" w:eastAsia="宋体" w:cs="宋体"/>
      <w:kern w:val="0"/>
    </w:rPr>
  </w:style>
  <w:style w:type="paragraph" w:customStyle="1" w:styleId="142">
    <w:name w:val="表格文字2"/>
    <w:basedOn w:val="1"/>
    <w:autoRedefine/>
    <w:qFormat/>
    <w:uiPriority w:val="34"/>
    <w:pPr>
      <w:tabs>
        <w:tab w:val="left" w:pos="277"/>
        <w:tab w:val="left" w:pos="600"/>
        <w:tab w:val="left" w:pos="780"/>
        <w:tab w:val="left" w:pos="2517"/>
      </w:tabs>
      <w:adjustRightInd w:val="0"/>
      <w:snapToGrid w:val="0"/>
      <w:jc w:val="center"/>
      <w:textAlignment w:val="baseline"/>
    </w:pPr>
    <w:rPr>
      <w:rFonts w:eastAsia="宋体"/>
      <w:kern w:val="0"/>
      <w:sz w:val="21"/>
      <w:szCs w:val="21"/>
    </w:rPr>
  </w:style>
  <w:style w:type="paragraph" w:customStyle="1" w:styleId="143">
    <w:name w:val="Table Paragraph"/>
    <w:basedOn w:val="1"/>
    <w:autoRedefine/>
    <w:qFormat/>
    <w:uiPriority w:val="0"/>
    <w:pPr>
      <w:jc w:val="center"/>
    </w:pPr>
    <w:rPr>
      <w:rFonts w:ascii="宋体" w:hAnsi="宋体" w:eastAsia="宋体" w:cs="宋体"/>
    </w:rPr>
  </w:style>
  <w:style w:type="paragraph" w:customStyle="1" w:styleId="144">
    <w:name w:val="首行缩进"/>
    <w:basedOn w:val="1"/>
    <w:autoRedefine/>
    <w:qFormat/>
    <w:uiPriority w:val="34"/>
    <w:pPr>
      <w:adjustRightInd w:val="0"/>
      <w:snapToGrid w:val="0"/>
      <w:spacing w:line="360" w:lineRule="auto"/>
      <w:ind w:firstLine="480" w:firstLineChars="200"/>
      <w:jc w:val="left"/>
    </w:pPr>
    <w:rPr>
      <w:rFonts w:eastAsiaTheme="minorEastAsia"/>
      <w:szCs w:val="22"/>
    </w:rPr>
  </w:style>
  <w:style w:type="paragraph" w:customStyle="1" w:styleId="145">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46">
    <w:name w:val="列出段落2"/>
    <w:basedOn w:val="1"/>
    <w:autoRedefine/>
    <w:unhideWhenUsed/>
    <w:qFormat/>
    <w:uiPriority w:val="99"/>
    <w:pPr>
      <w:ind w:firstLine="420" w:firstLineChars="200"/>
    </w:pPr>
  </w:style>
  <w:style w:type="paragraph" w:customStyle="1" w:styleId="147">
    <w:name w:val="_Style 1"/>
    <w:basedOn w:val="1"/>
    <w:autoRedefine/>
    <w:qFormat/>
    <w:uiPriority w:val="34"/>
    <w:pPr>
      <w:spacing w:before="100" w:beforeAutospacing="1"/>
      <w:ind w:firstLine="420" w:firstLineChars="200"/>
    </w:pPr>
    <w:rPr>
      <w:sz w:val="28"/>
      <w:szCs w:val="28"/>
    </w:rPr>
  </w:style>
  <w:style w:type="paragraph" w:customStyle="1" w:styleId="148">
    <w:name w:val="正文首行缩进 2 New"/>
    <w:basedOn w:val="15"/>
    <w:autoRedefine/>
    <w:qFormat/>
    <w:uiPriority w:val="34"/>
    <w:pPr>
      <w:autoSpaceDE w:val="0"/>
      <w:autoSpaceDN w:val="0"/>
      <w:adjustRightInd w:val="0"/>
      <w:snapToGrid w:val="0"/>
      <w:spacing w:after="0" w:line="360" w:lineRule="auto"/>
      <w:ind w:left="0" w:leftChars="0" w:firstLine="420"/>
      <w:jc w:val="left"/>
      <w:textAlignment w:val="baseline"/>
    </w:pPr>
    <w:rPr>
      <w:rFonts w:ascii="宋体" w:hAnsi="Calibri" w:eastAsia="宋体"/>
      <w:kern w:val="0"/>
    </w:rPr>
  </w:style>
  <w:style w:type="paragraph" w:customStyle="1" w:styleId="149">
    <w:name w:val="表题"/>
    <w:basedOn w:val="27"/>
    <w:autoRedefine/>
    <w:qFormat/>
    <w:uiPriority w:val="34"/>
    <w:pPr>
      <w:ind w:left="0" w:firstLine="0" w:firstLineChars="0"/>
      <w:jc w:val="center"/>
    </w:pPr>
    <w:rPr>
      <w:rFonts w:ascii="Calibri" w:hAnsi="Calibri" w:eastAsia="宋体"/>
      <w:b/>
      <w:bCs/>
      <w:color w:val="000000"/>
      <w:kern w:val="0"/>
      <w:sz w:val="21"/>
      <w:szCs w:val="21"/>
    </w:rPr>
  </w:style>
  <w:style w:type="paragraph" w:customStyle="1" w:styleId="150">
    <w:name w:val="表文字"/>
    <w:basedOn w:val="1"/>
    <w:autoRedefine/>
    <w:qFormat/>
    <w:uiPriority w:val="34"/>
    <w:pPr>
      <w:widowControl/>
      <w:jc w:val="center"/>
    </w:pPr>
    <w:rPr>
      <w:rFonts w:ascii="Calibri" w:hAnsi="Calibri" w:eastAsia="宋体"/>
      <w:kern w:val="0"/>
      <w:sz w:val="21"/>
      <w:szCs w:val="21"/>
    </w:rPr>
  </w:style>
  <w:style w:type="character" w:customStyle="1" w:styleId="151">
    <w:name w:val="10"/>
    <w:basedOn w:val="40"/>
    <w:autoRedefine/>
    <w:qFormat/>
    <w:uiPriority w:val="0"/>
    <w:rPr>
      <w:rFonts w:hint="default" w:ascii="Calibri" w:hAnsi="Calibri" w:cs="Calibri"/>
    </w:rPr>
  </w:style>
  <w:style w:type="character" w:customStyle="1" w:styleId="152">
    <w:name w:val="15"/>
    <w:basedOn w:val="40"/>
    <w:autoRedefine/>
    <w:qFormat/>
    <w:uiPriority w:val="0"/>
    <w:rPr>
      <w:rFonts w:hint="default" w:ascii="Calibri" w:hAnsi="Calibri" w:cs="Calibri"/>
    </w:rPr>
  </w:style>
  <w:style w:type="paragraph" w:customStyle="1" w:styleId="153">
    <w:name w:val="表  格"/>
    <w:basedOn w:val="1"/>
    <w:link w:val="154"/>
    <w:autoRedefine/>
    <w:qFormat/>
    <w:uiPriority w:val="0"/>
    <w:pPr>
      <w:adjustRightInd w:val="0"/>
      <w:snapToGrid w:val="0"/>
      <w:jc w:val="center"/>
    </w:pPr>
    <w:rPr>
      <w:rFonts w:ascii="宋体" w:hAnsi="宋体" w:eastAsia="宋体"/>
      <w:color w:val="000000"/>
      <w:kern w:val="0"/>
    </w:rPr>
  </w:style>
  <w:style w:type="character" w:customStyle="1" w:styleId="154">
    <w:name w:val="表  格 Char"/>
    <w:link w:val="153"/>
    <w:autoRedefine/>
    <w:qFormat/>
    <w:uiPriority w:val="0"/>
    <w:rPr>
      <w:rFonts w:ascii="宋体" w:hAnsi="宋体" w:eastAsia="宋体" w:cs="Times New Roman"/>
      <w:color w:val="000000"/>
      <w:kern w:val="0"/>
      <w:sz w:val="24"/>
      <w:szCs w:val="24"/>
    </w:rPr>
  </w:style>
  <w:style w:type="character" w:customStyle="1" w:styleId="155">
    <w:name w:val="标题 字符"/>
    <w:basedOn w:val="40"/>
    <w:link w:val="35"/>
    <w:autoRedefine/>
    <w:qFormat/>
    <w:uiPriority w:val="0"/>
    <w:rPr>
      <w:rFonts w:eastAsia="宋体" w:asciiTheme="majorHAnsi" w:hAnsiTheme="majorHAnsi" w:cstheme="majorBidi"/>
      <w:b/>
      <w:bCs/>
      <w:sz w:val="32"/>
      <w:szCs w:val="32"/>
    </w:rPr>
  </w:style>
  <w:style w:type="paragraph" w:styleId="156">
    <w:name w:val="List Paragraph"/>
    <w:basedOn w:val="1"/>
    <w:autoRedefine/>
    <w:qFormat/>
    <w:uiPriority w:val="1"/>
    <w:pPr>
      <w:ind w:firstLine="420" w:firstLineChars="200"/>
    </w:pPr>
  </w:style>
  <w:style w:type="character" w:customStyle="1" w:styleId="157">
    <w:name w:val="表格内容 Char"/>
    <w:link w:val="158"/>
    <w:autoRedefine/>
    <w:qFormat/>
    <w:uiPriority w:val="0"/>
    <w:rPr>
      <w:rFonts w:ascii="宋体" w:hAnsi="宋体"/>
      <w:color w:val="000000"/>
      <w:szCs w:val="21"/>
    </w:rPr>
  </w:style>
  <w:style w:type="paragraph" w:customStyle="1" w:styleId="158">
    <w:name w:val="表格内容"/>
    <w:basedOn w:val="1"/>
    <w:link w:val="157"/>
    <w:autoRedefine/>
    <w:qFormat/>
    <w:uiPriority w:val="0"/>
    <w:pPr>
      <w:spacing w:line="280" w:lineRule="exact"/>
      <w:jc w:val="center"/>
    </w:pPr>
    <w:rPr>
      <w:rFonts w:ascii="宋体" w:hAnsi="宋体" w:eastAsiaTheme="minorEastAsia" w:cstheme="minorBidi"/>
      <w:color w:val="000000"/>
      <w:sz w:val="21"/>
      <w:szCs w:val="21"/>
    </w:rPr>
  </w:style>
  <w:style w:type="character" w:customStyle="1" w:styleId="159">
    <w:name w:val="样式 正文 Char"/>
    <w:link w:val="160"/>
    <w:autoRedefine/>
    <w:qFormat/>
    <w:uiPriority w:val="0"/>
    <w:rPr>
      <w:rFonts w:ascii="Times New Roman" w:hAnsi="Times New Roman" w:eastAsia="宋体" w:cs="Times New Roman"/>
      <w:sz w:val="28"/>
      <w:szCs w:val="20"/>
    </w:rPr>
  </w:style>
  <w:style w:type="paragraph" w:customStyle="1" w:styleId="160">
    <w:name w:val="样式 正文"/>
    <w:basedOn w:val="1"/>
    <w:link w:val="159"/>
    <w:autoRedefine/>
    <w:qFormat/>
    <w:uiPriority w:val="0"/>
    <w:pPr>
      <w:spacing w:line="520" w:lineRule="exact"/>
      <w:ind w:firstLine="560"/>
    </w:pPr>
    <w:rPr>
      <w:rFonts w:eastAsia="宋体"/>
      <w:sz w:val="28"/>
      <w:szCs w:val="20"/>
    </w:rPr>
  </w:style>
  <w:style w:type="paragraph" w:customStyle="1" w:styleId="161">
    <w:name w:val="表图1"/>
    <w:basedOn w:val="1"/>
    <w:autoRedefine/>
    <w:qFormat/>
    <w:uiPriority w:val="0"/>
    <w:pPr>
      <w:spacing w:line="360" w:lineRule="exact"/>
      <w:jc w:val="center"/>
    </w:pPr>
    <w:rPr>
      <w:sz w:val="21"/>
    </w:rPr>
  </w:style>
  <w:style w:type="paragraph" w:customStyle="1" w:styleId="162">
    <w:name w:val="Char Char1 Char Char Char Char"/>
    <w:basedOn w:val="1"/>
    <w:autoRedefine/>
    <w:qFormat/>
    <w:uiPriority w:val="0"/>
    <w:rPr>
      <w:rFonts w:eastAsia="宋体"/>
      <w:sz w:val="21"/>
      <w:szCs w:val="20"/>
    </w:rPr>
  </w:style>
  <w:style w:type="paragraph" w:customStyle="1" w:styleId="163">
    <w:name w:val="Char Char1 Char Char Char Char1"/>
    <w:basedOn w:val="1"/>
    <w:autoRedefine/>
    <w:qFormat/>
    <w:uiPriority w:val="0"/>
    <w:rPr>
      <w:rFonts w:eastAsia="宋体"/>
      <w:sz w:val="21"/>
      <w:szCs w:val="20"/>
    </w:rPr>
  </w:style>
  <w:style w:type="character" w:customStyle="1" w:styleId="164">
    <w:name w:val="样式8 Char"/>
    <w:basedOn w:val="40"/>
    <w:link w:val="165"/>
    <w:autoRedefine/>
    <w:qFormat/>
    <w:uiPriority w:val="0"/>
    <w:rPr>
      <w:rFonts w:eastAsia="楷体_GB2312"/>
      <w:b/>
      <w:bCs/>
      <w:sz w:val="24"/>
      <w:szCs w:val="28"/>
    </w:rPr>
  </w:style>
  <w:style w:type="paragraph" w:customStyle="1" w:styleId="165">
    <w:name w:val="样式8"/>
    <w:basedOn w:val="50"/>
    <w:link w:val="164"/>
    <w:autoRedefine/>
    <w:qFormat/>
    <w:uiPriority w:val="0"/>
    <w:pPr>
      <w:tabs>
        <w:tab w:val="clear" w:pos="432"/>
      </w:tabs>
      <w:spacing w:before="0" w:after="0" w:line="560" w:lineRule="exact"/>
      <w:ind w:firstLine="482" w:firstLineChars="200"/>
    </w:pPr>
    <w:rPr>
      <w:rFonts w:eastAsia="楷体_GB2312" w:asciiTheme="minorHAnsi" w:hAnsiTheme="minorHAnsi" w:cstheme="minorBidi"/>
      <w:b/>
      <w:bCs/>
      <w:szCs w:val="28"/>
    </w:rPr>
  </w:style>
  <w:style w:type="character" w:customStyle="1" w:styleId="166">
    <w:name w:val="search_content1"/>
    <w:autoRedefine/>
    <w:qFormat/>
    <w:uiPriority w:val="0"/>
    <w:rPr>
      <w:sz w:val="20"/>
      <w:szCs w:val="20"/>
    </w:rPr>
  </w:style>
  <w:style w:type="paragraph" w:customStyle="1" w:styleId="167">
    <w:name w:val="msolistparagraph"/>
    <w:basedOn w:val="1"/>
    <w:autoRedefine/>
    <w:qFormat/>
    <w:uiPriority w:val="0"/>
    <w:pPr>
      <w:ind w:firstLine="420" w:firstLineChars="200"/>
    </w:pPr>
    <w:rPr>
      <w:rFonts w:ascii="Calibri" w:hAnsi="Calibri" w:eastAsia="宋体"/>
      <w:sz w:val="21"/>
      <w:szCs w:val="22"/>
    </w:rPr>
  </w:style>
  <w:style w:type="paragraph" w:customStyle="1" w:styleId="168">
    <w:name w:val="Char Char1 Char Char Char Char2"/>
    <w:basedOn w:val="1"/>
    <w:autoRedefine/>
    <w:qFormat/>
    <w:uiPriority w:val="0"/>
    <w:rPr>
      <w:rFonts w:eastAsia="宋体"/>
      <w:sz w:val="21"/>
      <w:szCs w:val="20"/>
    </w:rPr>
  </w:style>
  <w:style w:type="character" w:customStyle="1" w:styleId="169">
    <w:name w:val="正文文本缩进 Char1"/>
    <w:link w:val="170"/>
    <w:autoRedefine/>
    <w:qFormat/>
    <w:locked/>
    <w:uiPriority w:val="0"/>
    <w:rPr>
      <w:rFonts w:ascii="仿宋_GB2312" w:hAnsi="宋体" w:eastAsia="仿宋_GB2312"/>
      <w:sz w:val="24"/>
    </w:rPr>
  </w:style>
  <w:style w:type="paragraph" w:customStyle="1" w:styleId="170">
    <w:name w:val="正文文本缩进1"/>
    <w:basedOn w:val="1"/>
    <w:link w:val="169"/>
    <w:autoRedefine/>
    <w:qFormat/>
    <w:uiPriority w:val="0"/>
    <w:pPr>
      <w:widowControl/>
      <w:spacing w:line="360" w:lineRule="auto"/>
      <w:ind w:firstLine="560"/>
      <w:jc w:val="left"/>
    </w:pPr>
    <w:rPr>
      <w:rFonts w:ascii="仿宋_GB2312" w:hAnsi="宋体" w:cstheme="minorBidi"/>
      <w:szCs w:val="22"/>
    </w:rPr>
  </w:style>
  <w:style w:type="character" w:customStyle="1" w:styleId="171">
    <w:name w:val="表格文字 Char Char"/>
    <w:autoRedefine/>
    <w:qFormat/>
    <w:locked/>
    <w:uiPriority w:val="0"/>
    <w:rPr>
      <w:rFonts w:ascii="仿宋_GB2312" w:hAnsi="Arial Black" w:eastAsia="仿宋_GB2312"/>
      <w:kern w:val="44"/>
      <w:sz w:val="24"/>
    </w:rPr>
  </w:style>
  <w:style w:type="paragraph" w:customStyle="1" w:styleId="172">
    <w:name w:val="表中"/>
    <w:autoRedefine/>
    <w:qFormat/>
    <w:uiPriority w:val="0"/>
    <w:pPr>
      <w:adjustRightInd w:val="0"/>
      <w:snapToGrid w:val="0"/>
      <w:jc w:val="center"/>
    </w:pPr>
    <w:rPr>
      <w:rFonts w:ascii="Times New Roman" w:hAnsi="Times New Roman" w:eastAsia="宋体" w:cs="Times New Roman"/>
      <w:kern w:val="44"/>
      <w:sz w:val="18"/>
      <w:lang w:val="en-US" w:eastAsia="zh-CN" w:bidi="ar-SA"/>
    </w:rPr>
  </w:style>
  <w:style w:type="character" w:customStyle="1" w:styleId="173">
    <w:name w:val="font01"/>
    <w:basedOn w:val="40"/>
    <w:autoRedefine/>
    <w:qFormat/>
    <w:uiPriority w:val="0"/>
    <w:rPr>
      <w:rFonts w:hint="eastAsia" w:ascii="宋体" w:hAnsi="宋体" w:eastAsia="宋体"/>
      <w:color w:val="000000"/>
      <w:sz w:val="24"/>
      <w:szCs w:val="24"/>
      <w:u w:val="none"/>
    </w:rPr>
  </w:style>
  <w:style w:type="character" w:styleId="174">
    <w:name w:val="Placeholder Text"/>
    <w:basedOn w:val="40"/>
    <w:autoRedefine/>
    <w:semiHidden/>
    <w:qFormat/>
    <w:uiPriority w:val="99"/>
    <w:rPr>
      <w:color w:val="808080"/>
    </w:rPr>
  </w:style>
  <w:style w:type="character" w:customStyle="1" w:styleId="175">
    <w:name w:val="正文文本 Char1"/>
    <w:basedOn w:val="40"/>
    <w:autoRedefine/>
    <w:semiHidden/>
    <w:qFormat/>
    <w:uiPriority w:val="99"/>
    <w:rPr>
      <w:rFonts w:ascii="Times New Roman" w:hAnsi="Times New Roman" w:eastAsia="仿宋_GB2312" w:cs="Times New Roman"/>
      <w:kern w:val="2"/>
      <w:sz w:val="24"/>
      <w:szCs w:val="24"/>
    </w:rPr>
  </w:style>
  <w:style w:type="character" w:customStyle="1" w:styleId="176">
    <w:name w:val="正文文本首行缩进 字符"/>
    <w:basedOn w:val="58"/>
    <w:link w:val="37"/>
    <w:autoRedefine/>
    <w:semiHidden/>
    <w:qFormat/>
    <w:locked/>
    <w:uiPriority w:val="0"/>
    <w:rPr>
      <w:rFonts w:ascii="Times New Roman" w:hAnsi="Times New Roman" w:eastAsia="仿宋_GB2312" w:cs="Times New Roman"/>
      <w:sz w:val="24"/>
      <w:szCs w:val="24"/>
    </w:rPr>
  </w:style>
  <w:style w:type="character" w:customStyle="1" w:styleId="177">
    <w:name w:val="批注文字 Char1"/>
    <w:basedOn w:val="40"/>
    <w:autoRedefine/>
    <w:semiHidden/>
    <w:qFormat/>
    <w:uiPriority w:val="99"/>
    <w:rPr>
      <w:rFonts w:ascii="Times New Roman" w:hAnsi="Times New Roman" w:eastAsia="仿宋_GB2312" w:cs="Times New Roman"/>
      <w:kern w:val="2"/>
      <w:sz w:val="24"/>
      <w:szCs w:val="24"/>
    </w:rPr>
  </w:style>
  <w:style w:type="character" w:customStyle="1" w:styleId="178">
    <w:name w:val="普通(网站) Char2"/>
    <w:basedOn w:val="40"/>
    <w:autoRedefine/>
    <w:semiHidden/>
    <w:qFormat/>
    <w:locked/>
    <w:uiPriority w:val="99"/>
    <w:rPr>
      <w:rFonts w:ascii="Calibri" w:hAnsi="Calibri" w:eastAsia="仿宋_GB2312" w:cs="Times New Roman"/>
      <w:kern w:val="2"/>
      <w:sz w:val="18"/>
      <w:szCs w:val="18"/>
    </w:rPr>
  </w:style>
  <w:style w:type="character" w:customStyle="1" w:styleId="179">
    <w:name w:val="文档结构图 Char1"/>
    <w:basedOn w:val="40"/>
    <w:autoRedefine/>
    <w:semiHidden/>
    <w:qFormat/>
    <w:uiPriority w:val="0"/>
    <w:rPr>
      <w:rFonts w:ascii="宋体" w:hAnsi="Times New Roman" w:eastAsia="宋体" w:cs="Times New Roman"/>
      <w:kern w:val="2"/>
      <w:sz w:val="18"/>
      <w:szCs w:val="18"/>
    </w:rPr>
  </w:style>
  <w:style w:type="character" w:customStyle="1" w:styleId="180">
    <w:name w:val="纯文本 Char1"/>
    <w:basedOn w:val="40"/>
    <w:autoRedefine/>
    <w:semiHidden/>
    <w:qFormat/>
    <w:uiPriority w:val="0"/>
    <w:rPr>
      <w:rFonts w:ascii="宋体" w:hAnsi="Courier New" w:eastAsia="宋体" w:cs="Courier New"/>
      <w:kern w:val="2"/>
      <w:sz w:val="21"/>
      <w:szCs w:val="21"/>
    </w:rPr>
  </w:style>
  <w:style w:type="character" w:customStyle="1" w:styleId="181">
    <w:name w:val="表格 Char"/>
    <w:link w:val="182"/>
    <w:autoRedefine/>
    <w:qFormat/>
    <w:locked/>
    <w:uiPriority w:val="0"/>
    <w:rPr>
      <w:rFonts w:ascii="宋体" w:hAnsi="宋体" w:eastAsia="宋体" w:cs="Times New Roman"/>
      <w:sz w:val="21"/>
    </w:rPr>
  </w:style>
  <w:style w:type="paragraph" w:customStyle="1" w:styleId="182">
    <w:name w:val="表格"/>
    <w:basedOn w:val="1"/>
    <w:link w:val="181"/>
    <w:autoRedefine/>
    <w:qFormat/>
    <w:uiPriority w:val="0"/>
    <w:pPr>
      <w:widowControl/>
      <w:snapToGrid w:val="0"/>
      <w:spacing w:line="280" w:lineRule="atLeast"/>
      <w:jc w:val="center"/>
    </w:pPr>
    <w:rPr>
      <w:rFonts w:ascii="宋体" w:hAnsi="宋体" w:eastAsia="宋体"/>
      <w:kern w:val="0"/>
      <w:sz w:val="21"/>
      <w:szCs w:val="20"/>
    </w:rPr>
  </w:style>
  <w:style w:type="paragraph" w:customStyle="1" w:styleId="183">
    <w:name w:val="标题 51"/>
    <w:basedOn w:val="1"/>
    <w:autoRedefine/>
    <w:qFormat/>
    <w:uiPriority w:val="1"/>
    <w:pPr>
      <w:autoSpaceDE w:val="0"/>
      <w:autoSpaceDN w:val="0"/>
      <w:ind w:left="1537" w:hanging="857"/>
      <w:jc w:val="left"/>
      <w:outlineLvl w:val="5"/>
    </w:pPr>
    <w:rPr>
      <w:rFonts w:ascii="宋体" w:hAnsi="宋体" w:eastAsia="宋体" w:cs="宋体"/>
      <w:b/>
      <w:bCs/>
      <w:kern w:val="0"/>
      <w:lang w:val="zh-CN" w:bidi="zh-CN"/>
    </w:rPr>
  </w:style>
  <w:style w:type="paragraph" w:customStyle="1" w:styleId="184">
    <w:name w:val="xl24"/>
    <w:basedOn w:val="1"/>
    <w:autoRedefine/>
    <w:qFormat/>
    <w:uiPriority w:val="34"/>
    <w:pPr>
      <w:widowControl/>
      <w:pBdr>
        <w:left w:val="single" w:color="auto" w:sz="4" w:space="0"/>
        <w:bottom w:val="single" w:color="auto" w:sz="4" w:space="0"/>
        <w:right w:val="single" w:color="auto" w:sz="4" w:space="0"/>
      </w:pBdr>
      <w:adjustRightInd w:val="0"/>
      <w:snapToGrid w:val="0"/>
      <w:spacing w:before="100" w:beforeAutospacing="1" w:after="100" w:afterAutospacing="1"/>
      <w:ind w:firstLine="200" w:firstLineChars="200"/>
      <w:jc w:val="center"/>
    </w:pPr>
    <w:rPr>
      <w:rFonts w:ascii="宋体" w:hAnsi="宋体" w:eastAsiaTheme="minorEastAsia"/>
      <w:kern w:val="0"/>
      <w:szCs w:val="22"/>
    </w:rPr>
  </w:style>
  <w:style w:type="paragraph" w:customStyle="1" w:styleId="185">
    <w:name w:val="样式 标题 3标题 3 Char标题 3 Char Char Char Char Char Char Char Char C...4"/>
    <w:basedOn w:val="4"/>
    <w:autoRedefine/>
    <w:qFormat/>
    <w:uiPriority w:val="34"/>
    <w:pPr>
      <w:tabs>
        <w:tab w:val="left" w:pos="720"/>
      </w:tabs>
      <w:adjustRightInd w:val="0"/>
      <w:snapToGrid w:val="0"/>
      <w:ind w:left="720" w:hanging="720" w:firstLineChars="200"/>
      <w:jc w:val="left"/>
    </w:pPr>
    <w:rPr>
      <w:rFonts w:ascii="宋体" w:hAnsi="宋体" w:eastAsiaTheme="minorEastAsia"/>
      <w:b w:val="0"/>
      <w:bCs w:val="0"/>
      <w:kern w:val="0"/>
    </w:rPr>
  </w:style>
  <w:style w:type="paragraph" w:customStyle="1" w:styleId="186">
    <w:name w:val="小四表文左齐"/>
    <w:basedOn w:val="1"/>
    <w:autoRedefine/>
    <w:qFormat/>
    <w:uiPriority w:val="34"/>
    <w:pPr>
      <w:adjustRightInd w:val="0"/>
      <w:snapToGrid w:val="0"/>
      <w:ind w:firstLine="200" w:firstLineChars="200"/>
      <w:jc w:val="center"/>
    </w:pPr>
    <w:rPr>
      <w:rFonts w:ascii="仿宋_GB2312" w:hAnsi="宋体" w:eastAsiaTheme="minorEastAsia"/>
      <w:sz w:val="28"/>
      <w:szCs w:val="22"/>
    </w:rPr>
  </w:style>
  <w:style w:type="paragraph" w:customStyle="1" w:styleId="187">
    <w:name w:val="TOC 标题1"/>
    <w:basedOn w:val="2"/>
    <w:next w:val="1"/>
    <w:autoRedefine/>
    <w:qFormat/>
    <w:uiPriority w:val="39"/>
    <w:pPr>
      <w:adjustRightInd w:val="0"/>
      <w:snapToGrid w:val="0"/>
      <w:spacing w:beforeLines="200" w:line="240" w:lineRule="auto"/>
      <w:ind w:firstLine="200" w:firstLineChars="200"/>
      <w:jc w:val="center"/>
      <w:outlineLvl w:val="9"/>
    </w:pPr>
    <w:rPr>
      <w:rFonts w:eastAsiaTheme="minorEastAsia"/>
    </w:rPr>
  </w:style>
  <w:style w:type="paragraph" w:customStyle="1" w:styleId="188">
    <w:name w:val="样式6"/>
    <w:basedOn w:val="4"/>
    <w:autoRedefine/>
    <w:qFormat/>
    <w:uiPriority w:val="34"/>
    <w:pPr>
      <w:adjustRightInd w:val="0"/>
      <w:snapToGrid w:val="0"/>
      <w:spacing w:line="240" w:lineRule="auto"/>
      <w:ind w:firstLine="200" w:firstLineChars="200"/>
      <w:jc w:val="left"/>
    </w:pPr>
    <w:rPr>
      <w:rFonts w:eastAsiaTheme="minorEastAsia"/>
      <w:sz w:val="28"/>
      <w:szCs w:val="28"/>
    </w:rPr>
  </w:style>
  <w:style w:type="paragraph" w:customStyle="1" w:styleId="189">
    <w:name w:val="样式7"/>
    <w:basedOn w:val="4"/>
    <w:autoRedefine/>
    <w:qFormat/>
    <w:uiPriority w:val="34"/>
    <w:pPr>
      <w:adjustRightInd w:val="0"/>
      <w:snapToGrid w:val="0"/>
      <w:spacing w:line="240" w:lineRule="auto"/>
      <w:ind w:firstLine="200" w:firstLineChars="200"/>
      <w:jc w:val="left"/>
    </w:pPr>
    <w:rPr>
      <w:rFonts w:eastAsiaTheme="minorEastAsia"/>
      <w:sz w:val="28"/>
    </w:rPr>
  </w:style>
  <w:style w:type="paragraph" w:customStyle="1" w:styleId="190">
    <w:name w:val="图框"/>
    <w:basedOn w:val="1"/>
    <w:autoRedefine/>
    <w:qFormat/>
    <w:uiPriority w:val="34"/>
    <w:pPr>
      <w:adjustRightInd w:val="0"/>
      <w:snapToGrid w:val="0"/>
      <w:spacing w:line="240" w:lineRule="atLeast"/>
      <w:ind w:firstLine="200" w:firstLineChars="200"/>
      <w:jc w:val="center"/>
    </w:pPr>
    <w:rPr>
      <w:rFonts w:eastAsiaTheme="minorEastAsia"/>
      <w:bCs/>
      <w:sz w:val="28"/>
      <w:szCs w:val="22"/>
    </w:rPr>
  </w:style>
  <w:style w:type="character" w:customStyle="1" w:styleId="191">
    <w:name w:val="正  文 Char"/>
    <w:link w:val="192"/>
    <w:autoRedefine/>
    <w:qFormat/>
    <w:locked/>
    <w:uiPriority w:val="0"/>
    <w:rPr>
      <w:rFonts w:ascii="Times New Roman" w:hAnsi="Times New Roman" w:cs="Times New Roman"/>
      <w:b/>
      <w:color w:val="000000"/>
      <w:sz w:val="32"/>
      <w:szCs w:val="32"/>
    </w:rPr>
  </w:style>
  <w:style w:type="paragraph" w:customStyle="1" w:styleId="192">
    <w:name w:val="正  文"/>
    <w:basedOn w:val="1"/>
    <w:link w:val="191"/>
    <w:autoRedefine/>
    <w:qFormat/>
    <w:uiPriority w:val="0"/>
    <w:pPr>
      <w:widowControl/>
      <w:adjustRightInd w:val="0"/>
      <w:snapToGrid w:val="0"/>
      <w:spacing w:beforeLines="200"/>
      <w:jc w:val="center"/>
      <w:outlineLvl w:val="0"/>
    </w:pPr>
    <w:rPr>
      <w:rFonts w:eastAsiaTheme="minorEastAsia"/>
      <w:b/>
      <w:color w:val="000000"/>
      <w:kern w:val="0"/>
      <w:sz w:val="32"/>
      <w:szCs w:val="32"/>
    </w:rPr>
  </w:style>
  <w:style w:type="paragraph" w:customStyle="1" w:styleId="193">
    <w:name w:val="标题1，"/>
    <w:basedOn w:val="4"/>
    <w:autoRedefine/>
    <w:qFormat/>
    <w:uiPriority w:val="34"/>
    <w:pPr>
      <w:adjustRightInd w:val="0"/>
      <w:snapToGrid w:val="0"/>
      <w:spacing w:before="100" w:beforeAutospacing="1" w:after="100" w:afterAutospacing="1" w:line="240" w:lineRule="auto"/>
      <w:jc w:val="left"/>
      <w:outlineLvl w:val="0"/>
    </w:pPr>
    <w:rPr>
      <w:rFonts w:eastAsiaTheme="minorEastAsia"/>
      <w:sz w:val="28"/>
    </w:rPr>
  </w:style>
  <w:style w:type="paragraph" w:customStyle="1" w:styleId="194">
    <w:name w:val="标题 2，"/>
    <w:basedOn w:val="3"/>
    <w:autoRedefine/>
    <w:qFormat/>
    <w:uiPriority w:val="34"/>
    <w:pPr>
      <w:adjustRightInd w:val="0"/>
      <w:snapToGrid w:val="0"/>
      <w:spacing w:beforeLines="50" w:line="240" w:lineRule="auto"/>
      <w:jc w:val="left"/>
    </w:pPr>
    <w:rPr>
      <w:rFonts w:eastAsiaTheme="minorEastAsia"/>
    </w:rPr>
  </w:style>
  <w:style w:type="paragraph" w:customStyle="1" w:styleId="195">
    <w:name w:val="标题 3，"/>
    <w:basedOn w:val="4"/>
    <w:autoRedefine/>
    <w:qFormat/>
    <w:uiPriority w:val="34"/>
    <w:pPr>
      <w:adjustRightInd w:val="0"/>
      <w:snapToGrid w:val="0"/>
      <w:spacing w:line="240" w:lineRule="auto"/>
      <w:ind w:firstLine="200" w:firstLineChars="200"/>
      <w:jc w:val="left"/>
    </w:pPr>
    <w:rPr>
      <w:rFonts w:eastAsiaTheme="minorEastAsia"/>
      <w:sz w:val="28"/>
    </w:rPr>
  </w:style>
  <w:style w:type="character" w:customStyle="1" w:styleId="196">
    <w:name w:val="表格内文字 Char"/>
    <w:basedOn w:val="40"/>
    <w:link w:val="197"/>
    <w:autoRedefine/>
    <w:qFormat/>
    <w:locked/>
    <w:uiPriority w:val="0"/>
    <w:rPr>
      <w:rFonts w:ascii="Times New Roman" w:hAnsi="Times New Roman" w:cs="Times New Roman"/>
      <w:kern w:val="2"/>
      <w:sz w:val="24"/>
      <w:szCs w:val="24"/>
    </w:rPr>
  </w:style>
  <w:style w:type="paragraph" w:customStyle="1" w:styleId="197">
    <w:name w:val="表格内文字"/>
    <w:basedOn w:val="1"/>
    <w:next w:val="1"/>
    <w:link w:val="196"/>
    <w:autoRedefine/>
    <w:qFormat/>
    <w:uiPriority w:val="0"/>
    <w:pPr>
      <w:tabs>
        <w:tab w:val="left" w:pos="0"/>
      </w:tabs>
      <w:adjustRightInd w:val="0"/>
      <w:snapToGrid w:val="0"/>
      <w:jc w:val="center"/>
    </w:pPr>
    <w:rPr>
      <w:rFonts w:eastAsiaTheme="minorEastAsia"/>
    </w:rPr>
  </w:style>
  <w:style w:type="paragraph" w:customStyle="1" w:styleId="198">
    <w:name w:val="样式 正文 首行缩进:  2 字符 + 首行缩进:  2 字符"/>
    <w:basedOn w:val="1"/>
    <w:autoRedefine/>
    <w:qFormat/>
    <w:uiPriority w:val="34"/>
    <w:pPr>
      <w:adjustRightInd w:val="0"/>
      <w:snapToGrid w:val="0"/>
      <w:ind w:firstLine="562" w:firstLineChars="200"/>
      <w:jc w:val="center"/>
    </w:pPr>
    <w:rPr>
      <w:rFonts w:ascii="仿宋_GB2312" w:eastAsiaTheme="minorEastAsia"/>
      <w:b/>
      <w:color w:val="000000"/>
      <w:sz w:val="28"/>
      <w:szCs w:val="28"/>
    </w:rPr>
  </w:style>
  <w:style w:type="character" w:customStyle="1" w:styleId="199">
    <w:name w:val="表  头 Char"/>
    <w:basedOn w:val="40"/>
    <w:link w:val="200"/>
    <w:autoRedefine/>
    <w:qFormat/>
    <w:locked/>
    <w:uiPriority w:val="0"/>
    <w:rPr>
      <w:rFonts w:ascii="黑体" w:hAnsi="宋体" w:eastAsia="黑体" w:cs="宋体"/>
      <w:b/>
      <w:color w:val="000000"/>
      <w:sz w:val="24"/>
    </w:rPr>
  </w:style>
  <w:style w:type="paragraph" w:customStyle="1" w:styleId="200">
    <w:name w:val="表  头"/>
    <w:basedOn w:val="1"/>
    <w:link w:val="199"/>
    <w:autoRedefine/>
    <w:qFormat/>
    <w:uiPriority w:val="0"/>
    <w:pPr>
      <w:widowControl/>
      <w:adjustRightInd w:val="0"/>
      <w:snapToGrid w:val="0"/>
      <w:spacing w:line="360" w:lineRule="auto"/>
      <w:jc w:val="center"/>
    </w:pPr>
    <w:rPr>
      <w:rFonts w:ascii="黑体" w:hAnsi="宋体" w:eastAsia="黑体" w:cs="宋体"/>
      <w:b/>
      <w:color w:val="000000"/>
      <w:kern w:val="0"/>
      <w:szCs w:val="20"/>
    </w:rPr>
  </w:style>
  <w:style w:type="character" w:customStyle="1" w:styleId="201">
    <w:name w:val="1正文 Char"/>
    <w:link w:val="202"/>
    <w:autoRedefine/>
    <w:qFormat/>
    <w:locked/>
    <w:uiPriority w:val="0"/>
    <w:rPr>
      <w:rFonts w:ascii="Times New Roman" w:hAnsi="Times New Roman" w:eastAsia="宋体" w:cs="Times New Roman"/>
      <w:kern w:val="2"/>
      <w:sz w:val="24"/>
    </w:rPr>
  </w:style>
  <w:style w:type="paragraph" w:customStyle="1" w:styleId="202">
    <w:name w:val="1正文"/>
    <w:basedOn w:val="18"/>
    <w:link w:val="201"/>
    <w:autoRedefine/>
    <w:qFormat/>
    <w:uiPriority w:val="0"/>
    <w:pPr>
      <w:spacing w:line="560" w:lineRule="exact"/>
      <w:ind w:firstLine="480" w:firstLineChars="200"/>
    </w:pPr>
    <w:rPr>
      <w:rFonts w:ascii="Times New Roman" w:hAnsi="Times New Roman" w:eastAsia="宋体" w:cs="Times New Roman"/>
      <w:szCs w:val="20"/>
    </w:rPr>
  </w:style>
  <w:style w:type="paragraph" w:customStyle="1" w:styleId="203">
    <w:name w:val="标题 31"/>
    <w:basedOn w:val="1"/>
    <w:next w:val="1"/>
    <w:autoRedefine/>
    <w:qFormat/>
    <w:uiPriority w:val="34"/>
    <w:pPr>
      <w:keepNext/>
      <w:keepLines/>
      <w:adjustRightInd w:val="0"/>
      <w:snapToGrid w:val="0"/>
      <w:spacing w:before="260" w:after="260" w:line="416" w:lineRule="atLeast"/>
      <w:outlineLvl w:val="2"/>
    </w:pPr>
    <w:rPr>
      <w:b/>
      <w:bCs/>
      <w:kern w:val="0"/>
      <w:sz w:val="32"/>
      <w:szCs w:val="32"/>
    </w:rPr>
  </w:style>
  <w:style w:type="paragraph" w:customStyle="1" w:styleId="204">
    <w:name w:val="xl67"/>
    <w:basedOn w:val="1"/>
    <w:autoRedefine/>
    <w:qFormat/>
    <w:uiPriority w:val="34"/>
    <w:pPr>
      <w:widowControl/>
      <w:pBdr>
        <w:left w:val="single" w:color="auto" w:sz="4" w:space="0"/>
      </w:pBdr>
      <w:spacing w:before="100" w:beforeAutospacing="1" w:after="100" w:afterAutospacing="1"/>
      <w:jc w:val="center"/>
    </w:pPr>
    <w:rPr>
      <w:rFonts w:ascii="仿宋_GB2312" w:hAnsi="宋体"/>
      <w:kern w:val="0"/>
    </w:rPr>
  </w:style>
  <w:style w:type="paragraph" w:customStyle="1" w:styleId="205">
    <w:name w:val="文本框"/>
    <w:basedOn w:val="1"/>
    <w:autoRedefine/>
    <w:qFormat/>
    <w:uiPriority w:val="34"/>
    <w:pPr>
      <w:adjustRightInd w:val="0"/>
      <w:snapToGrid w:val="0"/>
      <w:spacing w:line="300" w:lineRule="exact"/>
      <w:jc w:val="center"/>
    </w:pPr>
    <w:rPr>
      <w:rFonts w:eastAsia="宋体"/>
    </w:rPr>
  </w:style>
  <w:style w:type="paragraph" w:customStyle="1" w:styleId="206">
    <w:name w:val="标题 511"/>
    <w:basedOn w:val="1"/>
    <w:autoRedefine/>
    <w:qFormat/>
    <w:uiPriority w:val="1"/>
    <w:pPr>
      <w:autoSpaceDE w:val="0"/>
      <w:autoSpaceDN w:val="0"/>
      <w:ind w:left="1537" w:hanging="857"/>
      <w:jc w:val="left"/>
      <w:outlineLvl w:val="5"/>
    </w:pPr>
    <w:rPr>
      <w:rFonts w:ascii="宋体" w:hAnsi="宋体" w:eastAsia="宋体" w:cs="宋体"/>
      <w:b/>
      <w:bCs/>
      <w:kern w:val="0"/>
      <w:lang w:val="zh-CN" w:bidi="zh-CN"/>
    </w:rPr>
  </w:style>
  <w:style w:type="paragraph" w:customStyle="1" w:styleId="207">
    <w:name w:val="修订1"/>
    <w:autoRedefine/>
    <w:semiHidden/>
    <w:qFormat/>
    <w:uiPriority w:val="99"/>
    <w:rPr>
      <w:rFonts w:ascii="Times New Roman" w:hAnsi="Times New Roman" w:eastAsia="仿宋_GB2312" w:cs="Times New Roman"/>
      <w:kern w:val="2"/>
      <w:sz w:val="24"/>
      <w:szCs w:val="24"/>
      <w:lang w:val="en-US" w:eastAsia="zh-CN" w:bidi="ar-SA"/>
    </w:rPr>
  </w:style>
  <w:style w:type="paragraph" w:customStyle="1" w:styleId="208">
    <w:name w:val="Char9"/>
    <w:basedOn w:val="1"/>
    <w:autoRedefine/>
    <w:qFormat/>
    <w:uiPriority w:val="34"/>
    <w:pPr>
      <w:adjustRightInd w:val="0"/>
      <w:snapToGrid w:val="0"/>
      <w:spacing w:line="360" w:lineRule="auto"/>
      <w:ind w:firstLine="200" w:firstLineChars="200"/>
    </w:pPr>
    <w:rPr>
      <w:rFonts w:ascii="宋体" w:hAnsi="宋体" w:eastAsia="宋体" w:cs="宋体"/>
    </w:rPr>
  </w:style>
  <w:style w:type="character" w:customStyle="1" w:styleId="209">
    <w:name w:val="1表格 Char"/>
    <w:link w:val="210"/>
    <w:autoRedefine/>
    <w:qFormat/>
    <w:locked/>
    <w:uiPriority w:val="0"/>
    <w:rPr>
      <w:rFonts w:ascii="Times New Roman" w:hAnsi="Times New Roman" w:eastAsia="宋体" w:cs="宋体"/>
      <w:spacing w:val="4"/>
      <w:szCs w:val="24"/>
    </w:rPr>
  </w:style>
  <w:style w:type="paragraph" w:customStyle="1" w:styleId="210">
    <w:name w:val="1表格"/>
    <w:basedOn w:val="1"/>
    <w:link w:val="209"/>
    <w:autoRedefine/>
    <w:qFormat/>
    <w:uiPriority w:val="0"/>
    <w:pPr>
      <w:adjustRightInd w:val="0"/>
      <w:snapToGrid w:val="0"/>
      <w:jc w:val="center"/>
    </w:pPr>
    <w:rPr>
      <w:rFonts w:eastAsia="宋体" w:cs="宋体"/>
      <w:spacing w:val="4"/>
      <w:kern w:val="0"/>
      <w:sz w:val="20"/>
    </w:rPr>
  </w:style>
  <w:style w:type="character" w:customStyle="1" w:styleId="211">
    <w:name w:val="批注主题 Char1"/>
    <w:basedOn w:val="177"/>
    <w:autoRedefine/>
    <w:semiHidden/>
    <w:qFormat/>
    <w:uiPriority w:val="0"/>
    <w:rPr>
      <w:rFonts w:ascii="Times New Roman" w:hAnsi="Times New Roman" w:eastAsia="仿宋_GB2312" w:cs="Times New Roman"/>
      <w:b/>
      <w:bCs/>
      <w:kern w:val="2"/>
      <w:sz w:val="24"/>
      <w:szCs w:val="24"/>
    </w:rPr>
  </w:style>
  <w:style w:type="character" w:customStyle="1" w:styleId="212">
    <w:name w:val="正文首行缩进 Char1"/>
    <w:basedOn w:val="58"/>
    <w:autoRedefine/>
    <w:semiHidden/>
    <w:qFormat/>
    <w:uiPriority w:val="0"/>
    <w:rPr>
      <w:rFonts w:ascii="Times New Roman" w:hAnsi="Times New Roman" w:eastAsia="仿宋_GB2312" w:cs="Times New Roman"/>
      <w:kern w:val="2"/>
      <w:sz w:val="24"/>
      <w:szCs w:val="24"/>
    </w:rPr>
  </w:style>
  <w:style w:type="character" w:customStyle="1" w:styleId="213">
    <w:name w:val="日期 Char1"/>
    <w:basedOn w:val="40"/>
    <w:autoRedefine/>
    <w:semiHidden/>
    <w:qFormat/>
    <w:uiPriority w:val="0"/>
    <w:rPr>
      <w:rFonts w:ascii="Times New Roman" w:hAnsi="Times New Roman" w:eastAsia="仿宋_GB2312" w:cs="Times New Roman"/>
      <w:kern w:val="2"/>
      <w:sz w:val="24"/>
      <w:szCs w:val="24"/>
    </w:rPr>
  </w:style>
  <w:style w:type="character" w:customStyle="1" w:styleId="214">
    <w:name w:val="正文文本缩进 2 Char1"/>
    <w:basedOn w:val="40"/>
    <w:autoRedefine/>
    <w:semiHidden/>
    <w:qFormat/>
    <w:uiPriority w:val="0"/>
    <w:rPr>
      <w:rFonts w:ascii="Times New Roman" w:hAnsi="Times New Roman" w:eastAsia="仿宋_GB2312" w:cs="Times New Roman"/>
      <w:kern w:val="2"/>
      <w:sz w:val="24"/>
      <w:szCs w:val="24"/>
    </w:rPr>
  </w:style>
  <w:style w:type="character" w:customStyle="1" w:styleId="215">
    <w:name w:val="批注框文本 Char1"/>
    <w:basedOn w:val="40"/>
    <w:autoRedefine/>
    <w:semiHidden/>
    <w:qFormat/>
    <w:uiPriority w:val="99"/>
    <w:rPr>
      <w:rFonts w:hint="eastAsia" w:ascii="仿宋_GB2312" w:hAnsi="仿宋_GB2312" w:eastAsia="仿宋_GB2312" w:cs="Times New Roman"/>
      <w:kern w:val="2"/>
      <w:sz w:val="18"/>
      <w:szCs w:val="18"/>
    </w:rPr>
  </w:style>
  <w:style w:type="character" w:customStyle="1" w:styleId="216">
    <w:name w:val="页脚 Char1"/>
    <w:basedOn w:val="40"/>
    <w:autoRedefine/>
    <w:semiHidden/>
    <w:qFormat/>
    <w:uiPriority w:val="99"/>
    <w:rPr>
      <w:rFonts w:ascii="Times New Roman" w:hAnsi="Times New Roman" w:eastAsia="仿宋_GB2312" w:cs="Times New Roman"/>
      <w:kern w:val="2"/>
      <w:sz w:val="18"/>
      <w:szCs w:val="18"/>
    </w:rPr>
  </w:style>
  <w:style w:type="character" w:customStyle="1" w:styleId="217">
    <w:name w:val="页眉 Char1"/>
    <w:basedOn w:val="40"/>
    <w:autoRedefine/>
    <w:semiHidden/>
    <w:qFormat/>
    <w:uiPriority w:val="99"/>
    <w:rPr>
      <w:rFonts w:ascii="Times New Roman" w:hAnsi="Times New Roman" w:eastAsia="仿宋_GB2312" w:cs="Times New Roman"/>
      <w:kern w:val="2"/>
      <w:sz w:val="18"/>
      <w:szCs w:val="18"/>
    </w:rPr>
  </w:style>
  <w:style w:type="character" w:customStyle="1" w:styleId="218">
    <w:name w:val="脚注文本 Char1"/>
    <w:basedOn w:val="40"/>
    <w:autoRedefine/>
    <w:semiHidden/>
    <w:qFormat/>
    <w:uiPriority w:val="0"/>
    <w:rPr>
      <w:rFonts w:ascii="Times New Roman" w:hAnsi="Times New Roman" w:eastAsia="仿宋_GB2312" w:cs="Times New Roman"/>
      <w:kern w:val="2"/>
      <w:sz w:val="18"/>
      <w:szCs w:val="18"/>
    </w:rPr>
  </w:style>
  <w:style w:type="character" w:customStyle="1" w:styleId="219">
    <w:name w:val="正文文本缩进 3 Char1"/>
    <w:basedOn w:val="40"/>
    <w:autoRedefine/>
    <w:semiHidden/>
    <w:qFormat/>
    <w:uiPriority w:val="0"/>
    <w:rPr>
      <w:rFonts w:ascii="Times New Roman" w:hAnsi="Times New Roman" w:eastAsia="仿宋_GB2312" w:cs="Times New Roman"/>
      <w:kern w:val="2"/>
      <w:sz w:val="16"/>
      <w:szCs w:val="16"/>
    </w:rPr>
  </w:style>
  <w:style w:type="character" w:customStyle="1" w:styleId="220">
    <w:name w:val="标题 Char1"/>
    <w:basedOn w:val="40"/>
    <w:autoRedefine/>
    <w:qFormat/>
    <w:uiPriority w:val="0"/>
    <w:rPr>
      <w:rFonts w:eastAsia="宋体" w:asciiTheme="majorHAnsi" w:hAnsiTheme="majorHAnsi" w:cstheme="majorBidi"/>
      <w:b/>
      <w:bCs/>
      <w:kern w:val="2"/>
      <w:sz w:val="32"/>
      <w:szCs w:val="32"/>
    </w:rPr>
  </w:style>
  <w:style w:type="character" w:customStyle="1" w:styleId="221">
    <w:name w:val="正文缩进 Char1"/>
    <w:basedOn w:val="40"/>
    <w:autoRedefine/>
    <w:qFormat/>
    <w:uiPriority w:val="0"/>
    <w:rPr>
      <w:rFonts w:hint="eastAsia" w:ascii="楷体" w:hAnsi="Times New Roman" w:eastAsia="楷体" w:cs="Times New Roman"/>
      <w:sz w:val="28"/>
      <w:szCs w:val="24"/>
    </w:rPr>
  </w:style>
  <w:style w:type="character" w:customStyle="1" w:styleId="222">
    <w:name w:val="Char Char"/>
    <w:autoRedefine/>
    <w:qFormat/>
    <w:uiPriority w:val="0"/>
    <w:rPr>
      <w:rFonts w:hint="eastAsia" w:ascii="仿宋_GB2312" w:hAnsi="仿宋_GB2312" w:eastAsia="仿宋_GB2312"/>
      <w:kern w:val="2"/>
      <w:sz w:val="18"/>
      <w:szCs w:val="18"/>
    </w:rPr>
  </w:style>
  <w:style w:type="character" w:customStyle="1" w:styleId="223">
    <w:name w:val="infodetail1"/>
    <w:basedOn w:val="40"/>
    <w:autoRedefine/>
    <w:qFormat/>
    <w:uiPriority w:val="0"/>
    <w:rPr>
      <w:rFonts w:hint="default" w:ascii="ˎ̥" w:hAnsi="ˎ̥"/>
      <w:color w:val="000000"/>
      <w:sz w:val="24"/>
      <w:szCs w:val="24"/>
      <w:u w:val="none"/>
    </w:rPr>
  </w:style>
  <w:style w:type="character" w:customStyle="1" w:styleId="224">
    <w:name w:val="c-gap-right2"/>
    <w:basedOn w:val="40"/>
    <w:autoRedefine/>
    <w:qFormat/>
    <w:uiPriority w:val="0"/>
  </w:style>
  <w:style w:type="character" w:customStyle="1" w:styleId="225">
    <w:name w:val="m_21"/>
    <w:basedOn w:val="40"/>
    <w:autoRedefine/>
    <w:qFormat/>
    <w:uiPriority w:val="0"/>
  </w:style>
  <w:style w:type="character" w:customStyle="1" w:styleId="226">
    <w:name w:val="m_25"/>
    <w:basedOn w:val="40"/>
    <w:autoRedefine/>
    <w:qFormat/>
    <w:uiPriority w:val="0"/>
  </w:style>
  <w:style w:type="character" w:customStyle="1" w:styleId="227">
    <w:name w:val="m_18"/>
    <w:basedOn w:val="40"/>
    <w:autoRedefine/>
    <w:qFormat/>
    <w:uiPriority w:val="0"/>
  </w:style>
  <w:style w:type="character" w:customStyle="1" w:styleId="228">
    <w:name w:val="m_20"/>
    <w:basedOn w:val="40"/>
    <w:autoRedefine/>
    <w:qFormat/>
    <w:uiPriority w:val="0"/>
  </w:style>
  <w:style w:type="character" w:customStyle="1" w:styleId="229">
    <w:name w:val="m_17"/>
    <w:basedOn w:val="40"/>
    <w:autoRedefine/>
    <w:qFormat/>
    <w:uiPriority w:val="0"/>
  </w:style>
  <w:style w:type="character" w:customStyle="1" w:styleId="230">
    <w:name w:val="m_27"/>
    <w:basedOn w:val="40"/>
    <w:autoRedefine/>
    <w:qFormat/>
    <w:uiPriority w:val="0"/>
  </w:style>
  <w:style w:type="character" w:customStyle="1" w:styleId="231">
    <w:name w:val="m_4"/>
    <w:basedOn w:val="40"/>
    <w:autoRedefine/>
    <w:qFormat/>
    <w:uiPriority w:val="0"/>
  </w:style>
  <w:style w:type="character" w:customStyle="1" w:styleId="232">
    <w:name w:val="m_47"/>
    <w:basedOn w:val="40"/>
    <w:autoRedefine/>
    <w:qFormat/>
    <w:uiPriority w:val="0"/>
  </w:style>
  <w:style w:type="character" w:customStyle="1" w:styleId="233">
    <w:name w:val="m_12"/>
    <w:basedOn w:val="40"/>
    <w:autoRedefine/>
    <w:qFormat/>
    <w:uiPriority w:val="0"/>
  </w:style>
  <w:style w:type="character" w:customStyle="1" w:styleId="234">
    <w:name w:val="m_43"/>
    <w:basedOn w:val="40"/>
    <w:autoRedefine/>
    <w:qFormat/>
    <w:uiPriority w:val="0"/>
  </w:style>
  <w:style w:type="character" w:customStyle="1" w:styleId="235">
    <w:name w:val="m_15"/>
    <w:basedOn w:val="40"/>
    <w:autoRedefine/>
    <w:qFormat/>
    <w:uiPriority w:val="0"/>
  </w:style>
  <w:style w:type="character" w:customStyle="1" w:styleId="236">
    <w:name w:val="m_40"/>
    <w:basedOn w:val="40"/>
    <w:autoRedefine/>
    <w:qFormat/>
    <w:uiPriority w:val="0"/>
  </w:style>
  <w:style w:type="character" w:customStyle="1" w:styleId="237">
    <w:name w:val="m_37"/>
    <w:basedOn w:val="40"/>
    <w:autoRedefine/>
    <w:qFormat/>
    <w:uiPriority w:val="0"/>
  </w:style>
  <w:style w:type="character" w:customStyle="1" w:styleId="238">
    <w:name w:val="标题 2 Char8"/>
    <w:autoRedefine/>
    <w:qFormat/>
    <w:uiPriority w:val="0"/>
    <w:rPr>
      <w:rFonts w:hint="default" w:ascii="Arial" w:hAnsi="Arial" w:eastAsia="黑体" w:cs="Arial"/>
      <w:b/>
      <w:bCs/>
      <w:kern w:val="2"/>
      <w:sz w:val="32"/>
      <w:szCs w:val="32"/>
      <w:lang w:val="en-US" w:eastAsia="zh-CN" w:bidi="ar-SA"/>
    </w:rPr>
  </w:style>
  <w:style w:type="character" w:customStyle="1" w:styleId="239">
    <w:name w:val="f241"/>
    <w:basedOn w:val="40"/>
    <w:autoRedefine/>
    <w:qFormat/>
    <w:uiPriority w:val="0"/>
    <w:rPr>
      <w:spacing w:val="288"/>
      <w:sz w:val="29"/>
      <w:szCs w:val="29"/>
    </w:rPr>
  </w:style>
  <w:style w:type="character" w:customStyle="1" w:styleId="240">
    <w:name w:val="占位符文本1"/>
    <w:basedOn w:val="40"/>
    <w:autoRedefine/>
    <w:qFormat/>
    <w:uiPriority w:val="99"/>
    <w:rPr>
      <w:color w:val="808080"/>
    </w:rPr>
  </w:style>
  <w:style w:type="character" w:customStyle="1" w:styleId="241">
    <w:name w:val="font21"/>
    <w:basedOn w:val="40"/>
    <w:autoRedefine/>
    <w:qFormat/>
    <w:uiPriority w:val="0"/>
    <w:rPr>
      <w:rFonts w:hint="eastAsia" w:ascii="仿宋" w:hAnsi="仿宋" w:eastAsia="仿宋"/>
      <w:color w:val="000000"/>
      <w:sz w:val="24"/>
      <w:szCs w:val="24"/>
      <w:u w:val="none"/>
    </w:rPr>
  </w:style>
  <w:style w:type="character" w:customStyle="1" w:styleId="242">
    <w:name w:val="font11"/>
    <w:basedOn w:val="40"/>
    <w:autoRedefine/>
    <w:qFormat/>
    <w:uiPriority w:val="0"/>
    <w:rPr>
      <w:rFonts w:hint="default" w:ascii="Times New Roman" w:hAnsi="Times New Roman" w:cs="Times New Roman"/>
      <w:color w:val="000000"/>
      <w:sz w:val="24"/>
      <w:szCs w:val="24"/>
      <w:u w:val="none"/>
    </w:rPr>
  </w:style>
  <w:style w:type="character" w:customStyle="1" w:styleId="243">
    <w:name w:val="font31"/>
    <w:basedOn w:val="40"/>
    <w:autoRedefine/>
    <w:qFormat/>
    <w:uiPriority w:val="0"/>
    <w:rPr>
      <w:rFonts w:hint="default" w:ascii="Arial" w:hAnsi="Arial" w:cs="Arial"/>
      <w:color w:val="000000"/>
      <w:sz w:val="24"/>
      <w:szCs w:val="24"/>
      <w:u w:val="none"/>
    </w:rPr>
  </w:style>
  <w:style w:type="character" w:customStyle="1" w:styleId="244">
    <w:name w:val="font41"/>
    <w:basedOn w:val="40"/>
    <w:autoRedefine/>
    <w:qFormat/>
    <w:uiPriority w:val="0"/>
    <w:rPr>
      <w:rFonts w:hint="eastAsia" w:ascii="宋体" w:hAnsi="宋体" w:eastAsia="宋体"/>
      <w:color w:val="000000"/>
      <w:sz w:val="24"/>
      <w:szCs w:val="24"/>
      <w:u w:val="none"/>
    </w:rPr>
  </w:style>
  <w:style w:type="character" w:customStyle="1" w:styleId="245">
    <w:name w:val="普通(网站) Char1"/>
    <w:basedOn w:val="40"/>
    <w:autoRedefine/>
    <w:semiHidden/>
    <w:qFormat/>
    <w:locked/>
    <w:uiPriority w:val="99"/>
    <w:rPr>
      <w:rFonts w:hint="default" w:ascii="Calibri" w:hAnsi="Calibri" w:eastAsia="仿宋_GB2312" w:cs="Times New Roman"/>
      <w:kern w:val="2"/>
      <w:sz w:val="18"/>
      <w:szCs w:val="18"/>
    </w:rPr>
  </w:style>
  <w:style w:type="table" w:customStyle="1" w:styleId="246">
    <w:name w:val="Table Normal"/>
    <w:autoRedefine/>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247">
    <w:name w:val="Char Char Char1 Char Char Char Char Char Char Char Char Char Char Char Char Char Char Char Char Char Char Char"/>
    <w:basedOn w:val="1"/>
    <w:autoRedefine/>
    <w:qFormat/>
    <w:uiPriority w:val="0"/>
    <w:rPr>
      <w:rFonts w:eastAsia="宋体"/>
      <w:sz w:val="21"/>
      <w:szCs w:val="21"/>
    </w:rPr>
  </w:style>
  <w:style w:type="paragraph" w:customStyle="1" w:styleId="248">
    <w:name w:val="Char3"/>
    <w:basedOn w:val="1"/>
    <w:autoRedefine/>
    <w:qFormat/>
    <w:uiPriority w:val="0"/>
    <w:pPr>
      <w:spacing w:line="240" w:lineRule="exact"/>
      <w:ind w:firstLine="200" w:firstLineChars="200"/>
    </w:pPr>
    <w:rPr>
      <w:rFonts w:eastAsia="宋体"/>
      <w:sz w:val="28"/>
      <w:szCs w:val="28"/>
    </w:rPr>
  </w:style>
  <w:style w:type="paragraph" w:customStyle="1" w:styleId="249">
    <w:name w:val="正文2"/>
    <w:autoRedefine/>
    <w:qFormat/>
    <w:uiPriority w:val="0"/>
    <w:pPr>
      <w:jc w:val="both"/>
    </w:pPr>
    <w:rPr>
      <w:rFonts w:ascii="Calibri" w:hAnsi="Calibri" w:eastAsia="宋体" w:cs="宋体"/>
      <w:kern w:val="2"/>
      <w:sz w:val="21"/>
      <w:szCs w:val="21"/>
      <w:lang w:val="en-US" w:eastAsia="zh-CN" w:bidi="ar-SA"/>
    </w:rPr>
  </w:style>
  <w:style w:type="paragraph" w:customStyle="1" w:styleId="250">
    <w:name w:val="报告表格"/>
    <w:basedOn w:val="1"/>
    <w:autoRedefine/>
    <w:qFormat/>
    <w:uiPriority w:val="0"/>
    <w:pPr>
      <w:autoSpaceDE w:val="0"/>
      <w:autoSpaceDN w:val="0"/>
      <w:adjustRightInd w:val="0"/>
      <w:spacing w:before="40" w:after="40"/>
      <w:jc w:val="center"/>
    </w:pPr>
    <w:rPr>
      <w:rFonts w:eastAsia="宋体"/>
      <w:kern w:val="0"/>
      <w:sz w:val="21"/>
      <w:szCs w:val="20"/>
    </w:rPr>
  </w:style>
  <w:style w:type="paragraph" w:customStyle="1" w:styleId="251">
    <w:name w:val="正文 段落3级"/>
    <w:autoRedefine/>
    <w:qFormat/>
    <w:uiPriority w:val="0"/>
    <w:pPr>
      <w:keepNext/>
      <w:keepLines/>
      <w:tabs>
        <w:tab w:val="left" w:pos="7230"/>
      </w:tabs>
      <w:spacing w:beforeLines="50" w:afterLines="50" w:line="500" w:lineRule="exact"/>
      <w:outlineLvl w:val="2"/>
    </w:pPr>
    <w:rPr>
      <w:rFonts w:ascii="Times New Roman" w:hAnsi="Times New Roman" w:eastAsia="仿宋_GB2312" w:cs="Times New Roman"/>
      <w:b/>
      <w:bCs/>
      <w:kern w:val="2"/>
      <w:sz w:val="28"/>
      <w:szCs w:val="32"/>
      <w:lang w:val="en-US" w:eastAsia="zh-CN" w:bidi="ar-SA"/>
    </w:rPr>
  </w:style>
  <w:style w:type="paragraph" w:customStyle="1" w:styleId="252">
    <w:name w:val="正文 段落4级"/>
    <w:basedOn w:val="1"/>
    <w:autoRedefine/>
    <w:qFormat/>
    <w:uiPriority w:val="0"/>
    <w:pPr>
      <w:widowControl/>
      <w:spacing w:line="500" w:lineRule="exact"/>
      <w:jc w:val="left"/>
      <w:outlineLvl w:val="3"/>
    </w:pPr>
    <w:rPr>
      <w:b/>
      <w:bCs/>
      <w:szCs w:val="28"/>
    </w:rPr>
  </w:style>
  <w:style w:type="paragraph" w:customStyle="1" w:styleId="253">
    <w:name w:val="表蕊居中"/>
    <w:basedOn w:val="1"/>
    <w:autoRedefine/>
    <w:qFormat/>
    <w:uiPriority w:val="0"/>
    <w:pPr>
      <w:spacing w:line="300" w:lineRule="exact"/>
      <w:jc w:val="center"/>
    </w:pPr>
    <w:rPr>
      <w:bCs/>
      <w:color w:val="000000"/>
      <w:szCs w:val="21"/>
    </w:rPr>
  </w:style>
  <w:style w:type="paragraph" w:customStyle="1" w:styleId="254">
    <w:name w:val="小四表格"/>
    <w:basedOn w:val="1"/>
    <w:autoRedefine/>
    <w:qFormat/>
    <w:uiPriority w:val="0"/>
    <w:pPr>
      <w:keepNext/>
      <w:autoSpaceDE w:val="0"/>
      <w:autoSpaceDN w:val="0"/>
      <w:adjustRightInd w:val="0"/>
      <w:spacing w:line="480" w:lineRule="atLeast"/>
      <w:jc w:val="center"/>
    </w:pPr>
    <w:rPr>
      <w:rFonts w:eastAsia="宋体"/>
      <w:color w:val="000000"/>
      <w:szCs w:val="20"/>
    </w:rPr>
  </w:style>
  <w:style w:type="paragraph" w:customStyle="1" w:styleId="255">
    <w:name w:val="正文 文本"/>
    <w:autoRedefine/>
    <w:qFormat/>
    <w:uiPriority w:val="0"/>
    <w:pPr>
      <w:widowControl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256">
    <w:name w:val="正文lcc"/>
    <w:basedOn w:val="1"/>
    <w:autoRedefine/>
    <w:qFormat/>
    <w:uiPriority w:val="0"/>
    <w:pPr>
      <w:spacing w:line="360" w:lineRule="auto"/>
      <w:ind w:firstLine="560" w:firstLineChars="200"/>
    </w:pPr>
    <w:rPr>
      <w:rFonts w:ascii="仿宋" w:hAnsi="仿宋" w:eastAsia="仿宋" w:cs="宋体"/>
      <w:kern w:val="0"/>
    </w:rPr>
  </w:style>
  <w:style w:type="paragraph" w:customStyle="1" w:styleId="257">
    <w:name w:val="Other|1"/>
    <w:basedOn w:val="1"/>
    <w:autoRedefine/>
    <w:qFormat/>
    <w:uiPriority w:val="0"/>
    <w:pPr>
      <w:spacing w:after="140" w:line="382" w:lineRule="auto"/>
      <w:ind w:firstLine="400"/>
    </w:pPr>
    <w:rPr>
      <w:rFonts w:ascii="宋体" w:hAnsi="宋体" w:eastAsia="宋体" w:cs="宋体"/>
      <w:sz w:val="26"/>
      <w:szCs w:val="26"/>
      <w:lang w:val="zh-TW" w:eastAsia="zh-TW" w:bidi="zh-TW"/>
    </w:rPr>
  </w:style>
  <w:style w:type="paragraph" w:customStyle="1" w:styleId="258">
    <w:name w:val="Revision"/>
    <w:autoRedefine/>
    <w:hidden/>
    <w:semiHidden/>
    <w:qFormat/>
    <w:uiPriority w:val="99"/>
    <w:rPr>
      <w:rFonts w:ascii="Times New Roman" w:hAnsi="Times New Roman" w:eastAsia="仿宋_GB2312" w:cs="Times New Roman"/>
      <w:kern w:val="2"/>
      <w:sz w:val="24"/>
      <w:szCs w:val="24"/>
      <w:lang w:val="en-US" w:eastAsia="zh-CN" w:bidi="ar-SA"/>
    </w:rPr>
  </w:style>
  <w:style w:type="paragraph" w:customStyle="1" w:styleId="259">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6.png"/><Relationship Id="rId22" Type="http://schemas.openxmlformats.org/officeDocument/2006/relationships/image" Target="media/image5.wmf"/><Relationship Id="rId21" Type="http://schemas.openxmlformats.org/officeDocument/2006/relationships/oleObject" Target="embeddings/oleObject3.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3.wmf"/><Relationship Id="rId17" Type="http://schemas.openxmlformats.org/officeDocument/2006/relationships/oleObject" Target="embeddings/oleObject1.bin"/><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F7B22-3990-41D1-810A-01236609CC8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9274</Words>
  <Characters>10769</Characters>
  <Lines>436</Lines>
  <Paragraphs>122</Paragraphs>
  <TotalTime>3</TotalTime>
  <ScaleCrop>false</ScaleCrop>
  <LinksUpToDate>false</LinksUpToDate>
  <CharactersWithSpaces>10844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2018-07-20T05:37:00Z</dcterms:created>
  <dc:creator>Microsoft</dc:creator>
  <cp:lastModifiedBy>WPS_1725414627</cp:lastModifiedBy>
  <cp:lastPrinted>2023-06-26T01:00:00Z</cp:lastPrinted>
  <dcterms:modified xsi:type="dcterms:W3CDTF">2025-05-27T09:16:04Z</dcterms:modified>
  <cp:revision>362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862A5C7819714E9D881F45EF53CDDAA9</vt:lpwstr>
  </property>
  <property fmtid="{D5CDD505-2E9C-101B-9397-08002B2CF9AE}" pid="4" name="KSOSaveFontToCloudKey">
    <vt:lpwstr>438787626_cloud</vt:lpwstr>
  </property>
  <property fmtid="{D5CDD505-2E9C-101B-9397-08002B2CF9AE}" pid="5" name="KSOTemplateDocerSaveRecord">
    <vt:lpwstr>eyJoZGlkIjoiNGYxMDNkYzFkNDNlZDg1MDI3NzM3OTU5MzA3YjIxOWIiLCJ1c2VySWQiOiIxNjI5NDE2NjU3In0=</vt:lpwstr>
  </property>
</Properties>
</file>