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C2DE1">
      <w:pPr>
        <w:adjustRightInd w:val="0"/>
        <w:snapToGrid w:val="0"/>
        <w:spacing w:line="500" w:lineRule="exact"/>
        <w:jc w:val="right"/>
        <w:rPr>
          <w:rFonts w:eastAsia="宋体"/>
          <w:b/>
          <w:sz w:val="28"/>
          <w:szCs w:val="28"/>
        </w:rPr>
      </w:pPr>
      <w:r>
        <w:rPr>
          <w:rFonts w:eastAsia="宋体"/>
          <w:b/>
          <w:sz w:val="28"/>
          <w:szCs w:val="28"/>
        </w:rPr>
        <w:t>风险评估编号：</w:t>
      </w:r>
      <w:r>
        <w:rPr>
          <w:rFonts w:hint="eastAsia" w:eastAsia="宋体"/>
          <w:b/>
          <w:sz w:val="28"/>
          <w:szCs w:val="28"/>
          <w:lang w:val="en-US" w:eastAsia="zh-CN"/>
        </w:rPr>
        <w:t>NTMW</w:t>
      </w:r>
      <w:r>
        <w:rPr>
          <w:rFonts w:eastAsia="宋体"/>
          <w:b/>
          <w:sz w:val="28"/>
          <w:szCs w:val="28"/>
        </w:rPr>
        <w:t>--FXPG</w:t>
      </w:r>
    </w:p>
    <w:p w14:paraId="0F72E521">
      <w:pPr>
        <w:adjustRightInd w:val="0"/>
        <w:snapToGrid w:val="0"/>
        <w:spacing w:line="500" w:lineRule="exact"/>
        <w:jc w:val="right"/>
        <w:rPr>
          <w:rFonts w:hint="eastAsia" w:eastAsia="宋体"/>
          <w:sz w:val="28"/>
          <w:szCs w:val="28"/>
          <w:lang w:eastAsia="zh-CN"/>
        </w:rPr>
      </w:pPr>
      <w:r>
        <w:rPr>
          <w:rFonts w:eastAsia="宋体"/>
          <w:b/>
          <w:sz w:val="28"/>
          <w:szCs w:val="28"/>
        </w:rPr>
        <w:t>风险评估版本号：</w:t>
      </w:r>
      <w:r>
        <w:rPr>
          <w:rFonts w:hint="eastAsia" w:eastAsia="宋体"/>
          <w:b/>
          <w:sz w:val="28"/>
          <w:szCs w:val="28"/>
          <w:lang w:eastAsia="zh-CN"/>
        </w:rPr>
        <w:t>2025</w:t>
      </w:r>
      <w:r>
        <w:rPr>
          <w:rFonts w:eastAsia="宋体"/>
          <w:b/>
          <w:sz w:val="28"/>
          <w:szCs w:val="28"/>
        </w:rPr>
        <w:t>年</w:t>
      </w:r>
    </w:p>
    <w:p w14:paraId="3CA0344F">
      <w:pPr>
        <w:adjustRightInd w:val="0"/>
        <w:snapToGrid w:val="0"/>
        <w:spacing w:before="100" w:beforeAutospacing="1" w:after="100" w:afterAutospacing="1" w:line="360" w:lineRule="auto"/>
        <w:ind w:firstLine="480"/>
        <w:jc w:val="center"/>
        <w:rPr>
          <w:rFonts w:eastAsia="仿宋"/>
        </w:rPr>
      </w:pPr>
    </w:p>
    <w:p w14:paraId="5ADAC591">
      <w:pPr>
        <w:adjustRightInd w:val="0"/>
        <w:snapToGrid w:val="0"/>
        <w:spacing w:before="100" w:beforeAutospacing="1" w:after="100" w:afterAutospacing="1" w:line="360" w:lineRule="auto"/>
        <w:ind w:firstLine="480"/>
        <w:jc w:val="center"/>
        <w:rPr>
          <w:rFonts w:eastAsia="仿宋"/>
        </w:rPr>
      </w:pPr>
    </w:p>
    <w:p w14:paraId="7B25F608">
      <w:pPr>
        <w:adjustRightInd w:val="0"/>
        <w:snapToGrid w:val="0"/>
        <w:spacing w:before="100" w:beforeAutospacing="1" w:after="100" w:afterAutospacing="1" w:line="360" w:lineRule="auto"/>
        <w:ind w:firstLine="480"/>
        <w:jc w:val="center"/>
        <w:rPr>
          <w:rFonts w:eastAsia="仿宋"/>
        </w:rPr>
      </w:pPr>
    </w:p>
    <w:p w14:paraId="3C1CF188">
      <w:pPr>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南通名万家具有限公司</w:t>
      </w:r>
    </w:p>
    <w:p w14:paraId="77FF70C8">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52"/>
          <w:szCs w:val="52"/>
        </w:rPr>
        <w:t>突发环境事件风险评估报告</w:t>
      </w:r>
    </w:p>
    <w:p w14:paraId="35C2BB8A">
      <w:pPr>
        <w:adjustRightInd w:val="0"/>
        <w:snapToGrid w:val="0"/>
        <w:spacing w:before="100" w:beforeAutospacing="1" w:after="100" w:afterAutospacing="1" w:line="360" w:lineRule="auto"/>
        <w:ind w:firstLine="480"/>
        <w:jc w:val="center"/>
        <w:rPr>
          <w:rFonts w:eastAsia="仿宋"/>
        </w:rPr>
      </w:pPr>
    </w:p>
    <w:p w14:paraId="4A95FB22">
      <w:pPr>
        <w:adjustRightInd w:val="0"/>
        <w:snapToGrid w:val="0"/>
        <w:spacing w:before="100" w:beforeAutospacing="1" w:after="100" w:afterAutospacing="1" w:line="360" w:lineRule="auto"/>
        <w:ind w:firstLine="480"/>
        <w:jc w:val="center"/>
        <w:rPr>
          <w:rFonts w:eastAsia="仿宋"/>
        </w:rPr>
      </w:pPr>
    </w:p>
    <w:p w14:paraId="69DAD6D5">
      <w:pPr>
        <w:adjustRightInd w:val="0"/>
        <w:snapToGrid w:val="0"/>
        <w:spacing w:before="100" w:beforeAutospacing="1" w:after="100" w:afterAutospacing="1" w:line="360" w:lineRule="auto"/>
        <w:ind w:firstLine="480"/>
        <w:jc w:val="center"/>
        <w:rPr>
          <w:rFonts w:eastAsia="仿宋"/>
        </w:rPr>
      </w:pPr>
    </w:p>
    <w:p w14:paraId="532F13E1">
      <w:pPr>
        <w:adjustRightInd w:val="0"/>
        <w:snapToGrid w:val="0"/>
        <w:spacing w:before="100" w:beforeAutospacing="1" w:after="100" w:afterAutospacing="1" w:line="360" w:lineRule="auto"/>
        <w:ind w:firstLine="480"/>
        <w:jc w:val="center"/>
        <w:rPr>
          <w:rFonts w:eastAsia="仿宋"/>
        </w:rPr>
      </w:pPr>
    </w:p>
    <w:p w14:paraId="7C76ED8D">
      <w:pPr>
        <w:adjustRightInd w:val="0"/>
        <w:snapToGrid w:val="0"/>
        <w:spacing w:before="100" w:beforeAutospacing="1" w:after="100" w:afterAutospacing="1" w:line="360" w:lineRule="auto"/>
        <w:ind w:firstLine="480"/>
        <w:jc w:val="center"/>
        <w:rPr>
          <w:rFonts w:eastAsia="仿宋"/>
        </w:rPr>
      </w:pPr>
    </w:p>
    <w:p w14:paraId="54E893EB">
      <w:pPr>
        <w:adjustRightInd w:val="0"/>
        <w:snapToGrid w:val="0"/>
        <w:spacing w:before="100" w:beforeAutospacing="1" w:after="100" w:afterAutospacing="1" w:line="360" w:lineRule="auto"/>
        <w:ind w:firstLine="480"/>
        <w:jc w:val="center"/>
        <w:rPr>
          <w:rFonts w:eastAsia="仿宋"/>
        </w:rPr>
      </w:pPr>
    </w:p>
    <w:p w14:paraId="597B37D9">
      <w:pPr>
        <w:pStyle w:val="13"/>
      </w:pPr>
    </w:p>
    <w:p w14:paraId="21AE1ABA">
      <w:pPr>
        <w:pStyle w:val="13"/>
        <w:rPr>
          <w:rFonts w:eastAsia="仿宋"/>
          <w:b/>
          <w:sz w:val="28"/>
        </w:rPr>
      </w:pPr>
    </w:p>
    <w:p w14:paraId="5EF30B6A">
      <w:pPr>
        <w:pStyle w:val="13"/>
        <w:rPr>
          <w:rFonts w:eastAsia="仿宋"/>
          <w:b/>
          <w:sz w:val="28"/>
        </w:rPr>
      </w:pPr>
    </w:p>
    <w:p w14:paraId="1C4DC808">
      <w:pPr>
        <w:autoSpaceDE w:val="0"/>
        <w:autoSpaceDN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编制单位：</w:t>
      </w:r>
      <w:r>
        <w:rPr>
          <w:rFonts w:hint="eastAsia" w:ascii="宋体" w:hAnsi="宋体" w:eastAsia="宋体" w:cs="宋体"/>
          <w:b/>
          <w:bCs/>
          <w:sz w:val="32"/>
          <w:szCs w:val="32"/>
          <w:lang w:eastAsia="zh-CN"/>
        </w:rPr>
        <w:t>南通名万家具有限公司</w:t>
      </w:r>
    </w:p>
    <w:p w14:paraId="22A9E74C">
      <w:pPr>
        <w:pStyle w:val="13"/>
        <w:autoSpaceDE w:val="0"/>
        <w:autoSpaceDN w:val="0"/>
        <w:spacing w:before="11" w:line="360" w:lineRule="auto"/>
        <w:jc w:val="center"/>
        <w:rPr>
          <w:rFonts w:ascii="宋体" w:hAnsi="宋体" w:eastAsia="宋体" w:cs="宋体"/>
          <w:b/>
          <w:bCs/>
          <w:sz w:val="32"/>
          <w:szCs w:val="32"/>
          <w:lang w:bidi="zh-CN"/>
        </w:rPr>
      </w:pPr>
      <w:r>
        <w:rPr>
          <w:rFonts w:hint="eastAsia" w:ascii="宋体" w:hAnsi="宋体" w:eastAsia="宋体" w:cs="宋体"/>
          <w:b/>
          <w:bCs/>
          <w:sz w:val="32"/>
          <w:szCs w:val="32"/>
          <w:lang w:bidi="zh-CN"/>
        </w:rPr>
        <w:t>技术协助单位：南通久蓝环保科技有限公司</w:t>
      </w:r>
    </w:p>
    <w:p w14:paraId="0FC62724">
      <w:pPr>
        <w:ind w:left="835" w:right="995"/>
        <w:jc w:val="center"/>
        <w:rPr>
          <w:rFonts w:eastAsia="宋体"/>
          <w:b/>
          <w:bCs/>
          <w:sz w:val="32"/>
          <w:szCs w:val="32"/>
        </w:rPr>
      </w:pPr>
      <w:r>
        <w:rPr>
          <w:rFonts w:hint="eastAsia" w:eastAsia="宋体"/>
          <w:b/>
          <w:bCs/>
          <w:sz w:val="32"/>
          <w:szCs w:val="32"/>
          <w:lang w:val="zh-CN" w:bidi="zh-CN"/>
        </w:rPr>
        <w:t>2025</w:t>
      </w:r>
      <w:r>
        <w:rPr>
          <w:rFonts w:eastAsia="宋体"/>
          <w:b/>
          <w:bCs/>
          <w:sz w:val="32"/>
          <w:szCs w:val="32"/>
          <w:lang w:val="zh-CN" w:bidi="zh-CN"/>
        </w:rPr>
        <w:t>年</w:t>
      </w:r>
      <w:r>
        <w:rPr>
          <w:rFonts w:hint="eastAsia" w:eastAsia="宋体"/>
          <w:b/>
          <w:bCs/>
          <w:sz w:val="32"/>
          <w:szCs w:val="32"/>
          <w:lang w:val="en-US" w:bidi="zh-CN"/>
        </w:rPr>
        <w:t>5月</w:t>
      </w:r>
    </w:p>
    <w:p w14:paraId="673F5D28"/>
    <w:p w14:paraId="56390D60"/>
    <w:p w14:paraId="5697F0C0">
      <w:pPr>
        <w:adjustRightInd w:val="0"/>
        <w:snapToGrid w:val="0"/>
        <w:spacing w:before="120" w:beforeLines="50" w:after="120" w:afterLines="50" w:line="360" w:lineRule="auto"/>
        <w:ind w:firstLine="482"/>
        <w:jc w:val="center"/>
        <w:rPr>
          <w:rFonts w:eastAsia="仿宋"/>
          <w:b/>
        </w:rPr>
      </w:pPr>
    </w:p>
    <w:p w14:paraId="6FDF9B8C">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5C27469D">
      <w:pPr>
        <w:adjustRightInd w:val="0"/>
        <w:snapToGrid w:val="0"/>
        <w:spacing w:line="360" w:lineRule="auto"/>
        <w:jc w:val="center"/>
        <w:rPr>
          <w:rFonts w:ascii="宋体" w:hAnsi="宋体" w:eastAsia="宋体" w:cs="宋体"/>
          <w:sz w:val="44"/>
          <w:szCs w:val="44"/>
        </w:rPr>
      </w:pPr>
      <w:r>
        <w:rPr>
          <w:rFonts w:hint="eastAsia" w:ascii="宋体" w:hAnsi="宋体" w:eastAsia="宋体" w:cs="宋体"/>
          <w:b/>
          <w:sz w:val="44"/>
          <w:szCs w:val="44"/>
        </w:rPr>
        <w:t>目录</w:t>
      </w:r>
    </w:p>
    <w:p w14:paraId="111EECCD">
      <w:pPr>
        <w:pStyle w:val="25"/>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24"/>
          <w:szCs w:val="24"/>
        </w:rPr>
        <w:fldChar w:fldCharType="begin"/>
      </w:r>
      <w:r>
        <w:rPr>
          <w:rFonts w:hint="default" w:ascii="Times New Roman" w:hAnsi="Times New Roman" w:eastAsia="宋体" w:cs="Times New Roman"/>
          <w:b w:val="0"/>
          <w:i w:val="0"/>
          <w:iCs w:val="0"/>
          <w:sz w:val="24"/>
          <w:szCs w:val="24"/>
        </w:rPr>
        <w:instrText xml:space="preserve"> TOC \o "1-3" \h \z \u </w:instrText>
      </w:r>
      <w:r>
        <w:rPr>
          <w:rFonts w:hint="default" w:ascii="Times New Roman" w:hAnsi="Times New Roman" w:eastAsia="宋体" w:cs="Times New Roman"/>
          <w:b w:val="0"/>
          <w:i w:val="0"/>
          <w:iCs w:val="0"/>
          <w:sz w:val="24"/>
          <w:szCs w:val="24"/>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_Toc14114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_Toc14114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FDB526A">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5548B6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2ECBB1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_Toc24168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_Toc24168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6616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_Toc17579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_Toc17579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76DA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97EB4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D5A61A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_Toc4975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_Toc4975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11F568">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36D3EB2">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_Toc4383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2.5环境风险评估的一般要求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_Toc4383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9A0C64">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_Toc489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_Toc489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264A993">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DD317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822E1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_Toc23827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_Toc23827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FA6714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6754A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14BED2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_Toc28750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_Toc28750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54B49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47E12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_Toc28932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_Toc28932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CEBB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3.2.3生态环境保护目标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3EE8B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_Toc7070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3.2.4土壤环境敏感度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_Toc7070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BC2754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_Toc16295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_Toc16295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953EC1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_Toc15650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end"/>
      </w:r>
    </w:p>
    <w:p w14:paraId="72E7995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_Toc24544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_Toc24544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D8C81E">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_Toc24134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_Toc24134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CDA2D1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_Toc18085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_Toc18085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D5B1E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_Toc23680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_Toc23680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E53C26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3.5.3生产工艺过程含有风险工艺和设备情况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FAC8E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3.5.4公用辅助工程情况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FA3F1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_Toc23740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3.5.5“三废”排放及处理情况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_Toc23740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8CE3E1">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_Toc16315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_Toc16315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F38B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_Toc22281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_Toc22281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D9343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_Toc22123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_Toc22123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1D0D8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_Toc13776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_Toc13776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164E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_Toc14002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_Toc14002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08DCBE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_Toc28616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_Toc28616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DC03D8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_Toc1667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_Toc1667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8B18A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7D4208C">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_Toc10554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_Toc10554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C8A77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_Toc14852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_Toc14852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1F6A5B">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6442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71D26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_Toc18452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_Toc18452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A001EB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4F1CF7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_Toc10865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_Toc10865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CFF67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37F9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_Toc18972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_Toc18972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03A9C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_Toc19933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_Toc19933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7C3EC7A">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_Toc5392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_Toc5392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CEDBE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CBADA5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E943BB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_Toc19761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4.4.3事件情景4、5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_Toc19761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BC09A9">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_Toc24446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_Toc24446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D56927">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_Toc7996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_Toc7996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CBF5D3C">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_Toc5822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_Toc5822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2D544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_Toc31733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_Toc31733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667398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_Toc22853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_Toc22853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8EF5A20">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C8B855">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_Toc4096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_Toc4096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81ABD9">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_Toc8362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_Toc8362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BFB48D">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5D02FB">
      <w:pPr>
        <w:pStyle w:val="25"/>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_Toc22418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_Toc22418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DB3BE33">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_Toc23014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_Toc23014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14C978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_Toc14978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_Toc14978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94A8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_Toc8209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7.1.2生产工艺过程与大气环境风险控制水平（M）评估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_Toc8209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EBACE3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_Toc24236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7.1.3大气环境风险受体敏感程度（E）评估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_Toc24236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B7CC4D">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7.1.4突发大气环境事件风险等级确定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88699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_Toc7690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7.1.5突发大气环境事件风险等级表征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_Toc7690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1B268D6">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_Toc23797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7.2企业突发水环境事件风险等级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_Toc23797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D2D44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_Toc14282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7.2.1涉水风险物质数量与临界值比值（Q）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_Toc14282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B0164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_Toc30523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7.2.2生产工艺过程与水环境风险控制水平（M）评估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_Toc30523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20A3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_Toc17676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7.2.3水环境风险受体敏感程度（E）评估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_Toc17676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77C0B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7.2.4突发水环境事件风险等级确定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B434CE3">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_Toc11428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_Toc11428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CC5B345">
      <w:pPr>
        <w:pStyle w:val="31"/>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_Toc12771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7.3风险等级调整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_Toc12771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F09F7D">
      <w:pPr>
        <w:pStyle w:val="25"/>
        <w:tabs>
          <w:tab w:val="left" w:pos="420"/>
          <w:tab w:val="right" w:pos="9120"/>
        </w:tabs>
        <w:adjustRightInd w:val="0"/>
        <w:snapToGrid w:val="0"/>
        <w:spacing w:before="0" w:after="0" w:line="360" w:lineRule="exact"/>
        <w:rPr>
          <w:rFonts w:hint="default" w:ascii="Times New Roman" w:hAnsi="Times New Roman" w:eastAsia="宋体" w:cs="Times New Roman"/>
          <w:i w:val="0"/>
          <w:iCs w:val="0"/>
          <w:sz w:val="24"/>
          <w:szCs w:val="24"/>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 w:val="24"/>
          <w:szCs w:val="24"/>
        </w:rPr>
        <w:fldChar w:fldCharType="end"/>
      </w:r>
    </w:p>
    <w:p w14:paraId="7AD22B24">
      <w:pPr>
        <w:pStyle w:val="2"/>
        <w:adjustRightInd w:val="0"/>
        <w:snapToGrid w:val="0"/>
        <w:spacing w:line="500" w:lineRule="exact"/>
        <w:rPr>
          <w:rFonts w:ascii="宋体" w:hAnsi="宋体" w:eastAsia="宋体" w:cs="宋体"/>
          <w:sz w:val="24"/>
          <w:szCs w:val="24"/>
        </w:rPr>
      </w:pPr>
      <w:bookmarkStart w:id="3" w:name="_Toc26756"/>
      <w:bookmarkStart w:id="4" w:name="_Toc21200"/>
      <w:bookmarkStart w:id="5" w:name="_Toc7714"/>
      <w:bookmarkStart w:id="6" w:name="_Toc14114"/>
      <w:r>
        <w:rPr>
          <w:rFonts w:hint="eastAsia" w:ascii="宋体" w:hAnsi="宋体" w:eastAsia="宋体" w:cs="宋体"/>
          <w:sz w:val="24"/>
          <w:szCs w:val="24"/>
        </w:rPr>
        <w:t>1前言</w:t>
      </w:r>
      <w:bookmarkEnd w:id="0"/>
      <w:bookmarkEnd w:id="3"/>
      <w:bookmarkEnd w:id="4"/>
      <w:bookmarkEnd w:id="5"/>
      <w:bookmarkEnd w:id="6"/>
    </w:p>
    <w:p w14:paraId="77D00686">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1DA452A">
      <w:pPr>
        <w:widowControl/>
        <w:snapToGrid w:val="0"/>
        <w:spacing w:line="500" w:lineRule="exact"/>
        <w:ind w:firstLine="480" w:firstLineChars="200"/>
        <w:jc w:val="left"/>
        <w:rPr>
          <w:rFonts w:ascii="宋体" w:hAnsi="宋体" w:eastAsia="宋体" w:cs="宋体"/>
          <w:bCs/>
        </w:rPr>
      </w:pPr>
      <w:r>
        <w:rPr>
          <w:rFonts w:hint="eastAsia" w:ascii="宋体" w:hAnsi="宋体" w:eastAsia="宋体" w:cs="宋体"/>
          <w:bCs/>
        </w:rPr>
        <w:t>环境风险达到一定程度会很容易造成突发性的环境事件，致使环境受到污染，生态系统受到干扰，人体健康受到危害，社会财富受到损失，并造成不良社会影响。</w:t>
      </w:r>
    </w:p>
    <w:p w14:paraId="0E376398">
      <w:pPr>
        <w:widowControl/>
        <w:snapToGrid w:val="0"/>
        <w:spacing w:line="500" w:lineRule="exact"/>
        <w:ind w:firstLine="480" w:firstLineChars="200"/>
        <w:jc w:val="left"/>
        <w:rPr>
          <w:rFonts w:ascii="宋体" w:hAnsi="宋体" w:eastAsia="宋体" w:cs="宋体"/>
          <w:kern w:val="0"/>
          <w:szCs w:val="28"/>
        </w:rPr>
      </w:pPr>
      <w:r>
        <w:rPr>
          <w:rFonts w:hint="eastAsia" w:ascii="宋体" w:hAnsi="宋体" w:eastAsia="宋体" w:cs="宋体"/>
          <w:bCs/>
        </w:rPr>
        <w:t>企业存贮使用化学物质、生产工艺落后、生产设备陈旧、生产管理上的不科学性、不合理性以及化学物质未能规范安全储运等都会增加企业的环境风险概率，从而导致环境事故的发生。</w:t>
      </w:r>
    </w:p>
    <w:p w14:paraId="273BA4D2">
      <w:pPr>
        <w:widowControl/>
        <w:spacing w:line="500" w:lineRule="exact"/>
        <w:ind w:firstLine="560"/>
        <w:rPr>
          <w:rFonts w:ascii="Times New Roman" w:hAnsi="Times New Roman" w:cs="Times New Roman" w:eastAsiaTheme="minorEastAsia"/>
          <w:kern w:val="0"/>
          <w:sz w:val="24"/>
          <w:szCs w:val="24"/>
        </w:rPr>
      </w:pPr>
      <w:r>
        <w:rPr>
          <w:rFonts w:hint="eastAsia" w:ascii="宋体" w:hAnsi="宋体" w:eastAsia="宋体" w:cs="宋体"/>
          <w:kern w:val="0"/>
          <w:szCs w:val="28"/>
          <w:lang w:eastAsia="zh-CN"/>
        </w:rPr>
        <w:t>南通名万家具有限公司</w:t>
      </w:r>
      <w:r>
        <w:rPr>
          <w:rFonts w:hint="eastAsia" w:ascii="宋体" w:hAnsi="宋体" w:eastAsia="宋体" w:cs="宋体"/>
          <w:kern w:val="0"/>
          <w:szCs w:val="28"/>
        </w:rPr>
        <w:t>（以下简称“</w:t>
      </w:r>
      <w:r>
        <w:rPr>
          <w:rFonts w:hint="eastAsia" w:ascii="宋体" w:hAnsi="宋体" w:eastAsia="宋体" w:cs="宋体"/>
          <w:kern w:val="0"/>
          <w:szCs w:val="28"/>
          <w:lang w:eastAsia="zh-CN"/>
        </w:rPr>
        <w:t>名万家具</w:t>
      </w:r>
      <w:r>
        <w:rPr>
          <w:rFonts w:hint="eastAsia" w:ascii="宋体" w:hAnsi="宋体" w:eastAsia="宋体" w:cs="宋体"/>
          <w:kern w:val="0"/>
          <w:szCs w:val="28"/>
        </w:rPr>
        <w:t>”）</w:t>
      </w:r>
      <w:r>
        <w:rPr>
          <w:rFonts w:ascii="Times New Roman" w:hAnsi="Times New Roman" w:cs="Times New Roman" w:eastAsiaTheme="minorEastAsia"/>
          <w:kern w:val="0"/>
          <w:sz w:val="24"/>
          <w:szCs w:val="24"/>
        </w:rPr>
        <w:t>20</w:t>
      </w:r>
      <w:r>
        <w:rPr>
          <w:rFonts w:hint="eastAsia" w:cs="Times New Roman" w:eastAsiaTheme="minorEastAsia"/>
          <w:kern w:val="0"/>
          <w:sz w:val="24"/>
          <w:szCs w:val="24"/>
          <w:lang w:val="en-US" w:eastAsia="zh-CN"/>
        </w:rPr>
        <w:t>20</w:t>
      </w:r>
      <w:r>
        <w:rPr>
          <w:rFonts w:ascii="Times New Roman" w:hAnsi="Times New Roman" w:cs="Times New Roman" w:eastAsiaTheme="minorEastAsia"/>
          <w:kern w:val="0"/>
          <w:sz w:val="24"/>
          <w:szCs w:val="24"/>
        </w:rPr>
        <w:t>年</w:t>
      </w:r>
      <w:r>
        <w:rPr>
          <w:rFonts w:hint="eastAsia" w:cs="Times New Roman" w:eastAsiaTheme="minorEastAsia"/>
          <w:kern w:val="0"/>
          <w:sz w:val="24"/>
          <w:szCs w:val="24"/>
          <w:lang w:val="en-US" w:eastAsia="zh-CN"/>
        </w:rPr>
        <w:t>4</w:t>
      </w:r>
      <w:r>
        <w:rPr>
          <w:rFonts w:ascii="Times New Roman" w:hAnsi="Times New Roman" w:cs="Times New Roman" w:eastAsiaTheme="minorEastAsia"/>
          <w:kern w:val="0"/>
          <w:sz w:val="24"/>
          <w:szCs w:val="24"/>
        </w:rPr>
        <w:t>月，</w:t>
      </w:r>
      <w:r>
        <w:rPr>
          <w:rFonts w:hint="eastAsia" w:ascii="Times New Roman" w:hAnsi="Times New Roman" w:cs="Times New Roman" w:eastAsiaTheme="minorEastAsia"/>
          <w:kern w:val="0"/>
          <w:sz w:val="24"/>
          <w:szCs w:val="24"/>
        </w:rPr>
        <w:t>总投资</w:t>
      </w:r>
      <w:r>
        <w:rPr>
          <w:rFonts w:hint="eastAsia" w:cs="Times New Roman" w:eastAsiaTheme="minorEastAsia"/>
          <w:kern w:val="0"/>
          <w:sz w:val="24"/>
          <w:szCs w:val="24"/>
          <w:lang w:val="en-US" w:eastAsia="zh-CN"/>
        </w:rPr>
        <w:t>100</w:t>
      </w:r>
      <w:r>
        <w:rPr>
          <w:rFonts w:ascii="Times New Roman" w:hAnsi="Times New Roman" w:cs="Times New Roman" w:eastAsiaTheme="minorEastAsia"/>
          <w:kern w:val="0"/>
          <w:sz w:val="24"/>
          <w:szCs w:val="24"/>
        </w:rPr>
        <w:t>万元，位于</w:t>
      </w:r>
      <w:r>
        <w:rPr>
          <w:rFonts w:hint="eastAsia" w:cs="Times New Roman" w:eastAsiaTheme="minorEastAsia"/>
          <w:kern w:val="0"/>
          <w:sz w:val="24"/>
          <w:szCs w:val="24"/>
          <w:lang w:eastAsia="zh-CN"/>
        </w:rPr>
        <w:t>海安市老坝港滨海新区（角斜镇）锦绣路33号</w:t>
      </w:r>
      <w:r>
        <w:rPr>
          <w:rFonts w:ascii="Times New Roman" w:hAnsi="Times New Roman" w:cs="Times New Roman" w:eastAsiaTheme="minorEastAsia"/>
          <w:kern w:val="0"/>
          <w:sz w:val="24"/>
          <w:szCs w:val="24"/>
        </w:rPr>
        <w:t>，</w:t>
      </w:r>
      <w:r>
        <w:rPr>
          <w:rFonts w:hint="eastAsia" w:ascii="Times New Roman" w:hAnsi="Times New Roman" w:cs="Times New Roman" w:eastAsiaTheme="minorEastAsia"/>
          <w:kern w:val="0"/>
          <w:sz w:val="24"/>
          <w:szCs w:val="24"/>
        </w:rPr>
        <w:t>占地</w:t>
      </w:r>
      <w:r>
        <w:rPr>
          <w:rFonts w:ascii="Times New Roman" w:hAnsi="Times New Roman" w:cs="Times New Roman" w:eastAsiaTheme="minorEastAsia"/>
          <w:kern w:val="0"/>
          <w:sz w:val="24"/>
          <w:szCs w:val="24"/>
        </w:rPr>
        <w:t>面积</w:t>
      </w:r>
      <w:r>
        <w:rPr>
          <w:rFonts w:hint="eastAsia"/>
          <w:spacing w:val="-6"/>
          <w:szCs w:val="21"/>
          <w:lang w:val="en-US" w:eastAsia="zh-CN"/>
        </w:rPr>
        <w:t>8862</w:t>
      </w:r>
      <w:r>
        <w:rPr>
          <w:rFonts w:ascii="Times New Roman" w:hAnsi="Times New Roman" w:cs="Times New Roman" w:eastAsiaTheme="minorEastAsia"/>
          <w:kern w:val="0"/>
          <w:sz w:val="24"/>
          <w:szCs w:val="24"/>
          <w:highlight w:val="none"/>
        </w:rPr>
        <w:t>平方米</w:t>
      </w:r>
      <w:r>
        <w:rPr>
          <w:rFonts w:hint="eastAsia" w:ascii="Times New Roman" w:hAnsi="Times New Roman" w:cs="Times New Roman" w:eastAsiaTheme="minorEastAsia"/>
          <w:kern w:val="0"/>
          <w:sz w:val="24"/>
          <w:szCs w:val="24"/>
          <w:highlight w:val="none"/>
        </w:rPr>
        <w:t>，</w:t>
      </w:r>
      <w:r>
        <w:rPr>
          <w:rFonts w:hint="eastAsia" w:ascii="Times New Roman" w:hAnsi="Times New Roman" w:cs="Times New Roman" w:eastAsiaTheme="minorEastAsia"/>
          <w:kern w:val="0"/>
          <w:sz w:val="24"/>
          <w:szCs w:val="24"/>
        </w:rPr>
        <w:t>从事</w:t>
      </w:r>
      <w:r>
        <w:rPr>
          <w:rFonts w:hint="eastAsia" w:cs="Times New Roman" w:eastAsiaTheme="minorEastAsia"/>
          <w:kern w:val="0"/>
          <w:sz w:val="24"/>
          <w:szCs w:val="24"/>
          <w:lang w:val="en-US" w:eastAsia="zh-CN"/>
        </w:rPr>
        <w:t>办公</w:t>
      </w:r>
      <w:r>
        <w:rPr>
          <w:rFonts w:hint="eastAsia" w:ascii="Times New Roman" w:hAnsi="Times New Roman" w:cs="Times New Roman" w:eastAsiaTheme="minorEastAsia"/>
          <w:kern w:val="0"/>
          <w:sz w:val="24"/>
          <w:szCs w:val="24"/>
          <w:lang w:val="en-US" w:eastAsia="zh-CN"/>
        </w:rPr>
        <w:t>家具</w:t>
      </w:r>
      <w:r>
        <w:rPr>
          <w:rFonts w:hint="eastAsia" w:cs="Times New Roman" w:eastAsiaTheme="minorEastAsia"/>
          <w:kern w:val="0"/>
          <w:sz w:val="24"/>
          <w:szCs w:val="24"/>
          <w:lang w:val="en-US" w:eastAsia="zh-CN"/>
        </w:rPr>
        <w:t>生产</w:t>
      </w:r>
      <w:r>
        <w:rPr>
          <w:rFonts w:hint="eastAsia" w:ascii="Times New Roman" w:hAnsi="Times New Roman" w:cs="Times New Roman" w:eastAsiaTheme="minorEastAsia"/>
          <w:kern w:val="0"/>
          <w:sz w:val="24"/>
          <w:szCs w:val="24"/>
        </w:rPr>
        <w:t>。</w:t>
      </w:r>
      <w:bookmarkStart w:id="7" w:name="_Hlk51407346"/>
      <w:r>
        <w:rPr>
          <w:rFonts w:hint="eastAsia" w:cs="Times New Roman" w:eastAsiaTheme="minorEastAsia"/>
          <w:kern w:val="0"/>
          <w:sz w:val="24"/>
          <w:szCs w:val="24"/>
          <w:highlight w:val="none"/>
          <w:lang w:val="en-US" w:eastAsia="zh-CN"/>
        </w:rPr>
        <w:t>名万家具</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6</w:t>
      </w:r>
      <w:r>
        <w:rPr>
          <w:rFonts w:hint="eastAsia" w:cs="Times New Roman" w:eastAsiaTheme="minorEastAsia"/>
          <w:kern w:val="0"/>
          <w:sz w:val="24"/>
          <w:szCs w:val="24"/>
          <w:highlight w:val="none"/>
          <w:lang w:eastAsia="zh-CN"/>
        </w:rPr>
        <w:t>月</w:t>
      </w:r>
      <w:r>
        <w:rPr>
          <w:rFonts w:hint="default" w:ascii="Times New Roman" w:hAnsi="Times New Roman" w:cs="Times New Roman" w:eastAsiaTheme="minorEastAsia"/>
          <w:kern w:val="0"/>
          <w:sz w:val="24"/>
          <w:szCs w:val="24"/>
          <w:highlight w:val="none"/>
        </w:rPr>
        <w:t>委托</w:t>
      </w:r>
      <w:r>
        <w:rPr>
          <w:rFonts w:hint="eastAsia" w:cs="Times New Roman" w:eastAsiaTheme="minorEastAsia"/>
          <w:kern w:val="0"/>
          <w:sz w:val="24"/>
          <w:szCs w:val="24"/>
          <w:highlight w:val="none"/>
          <w:lang w:val="en-US" w:eastAsia="zh-CN"/>
        </w:rPr>
        <w:t>南通东晖环境科技</w:t>
      </w:r>
      <w:r>
        <w:rPr>
          <w:rFonts w:hint="default" w:ascii="Times New Roman" w:hAnsi="Times New Roman" w:cs="Times New Roman" w:eastAsiaTheme="minorEastAsia"/>
          <w:kern w:val="0"/>
          <w:sz w:val="24"/>
          <w:szCs w:val="24"/>
          <w:highlight w:val="none"/>
        </w:rPr>
        <w:t>有限公司编制《</w:t>
      </w:r>
      <w:r>
        <w:rPr>
          <w:rFonts w:hint="eastAsia" w:cs="Times New Roman" w:eastAsiaTheme="minorEastAsia"/>
          <w:kern w:val="0"/>
          <w:sz w:val="24"/>
          <w:szCs w:val="24"/>
          <w:highlight w:val="none"/>
          <w:lang w:eastAsia="zh-CN"/>
        </w:rPr>
        <w:t>南通名万家具有限公司</w:t>
      </w:r>
      <w:r>
        <w:rPr>
          <w:rFonts w:hint="eastAsia" w:cs="Times New Roman" w:eastAsiaTheme="minorEastAsia"/>
          <w:kern w:val="0"/>
          <w:sz w:val="24"/>
          <w:szCs w:val="24"/>
          <w:highlight w:val="none"/>
          <w:lang w:val="en-US" w:eastAsia="zh-CN"/>
        </w:rPr>
        <w:t>名万家具环境影响报告表</w:t>
      </w:r>
      <w:r>
        <w:rPr>
          <w:rFonts w:hint="default" w:ascii="Times New Roman" w:hAnsi="Times New Roman" w:cs="Times New Roman" w:eastAsiaTheme="minorEastAsia"/>
          <w:kern w:val="0"/>
          <w:sz w:val="24"/>
          <w:szCs w:val="24"/>
          <w:highlight w:val="none"/>
        </w:rPr>
        <w:t>》，于</w:t>
      </w:r>
      <w:r>
        <w:rPr>
          <w:rFonts w:hint="eastAsia" w:cs="Times New Roman" w:eastAsiaTheme="minorEastAsia"/>
          <w:kern w:val="0"/>
          <w:sz w:val="24"/>
          <w:szCs w:val="24"/>
          <w:highlight w:val="none"/>
          <w:lang w:eastAsia="zh-CN"/>
        </w:rPr>
        <w:t>20</w:t>
      </w:r>
      <w:r>
        <w:rPr>
          <w:rFonts w:hint="eastAsia" w:cs="Times New Roman" w:eastAsiaTheme="minorEastAsia"/>
          <w:kern w:val="0"/>
          <w:sz w:val="24"/>
          <w:szCs w:val="24"/>
          <w:highlight w:val="none"/>
          <w:lang w:val="en-US" w:eastAsia="zh-CN"/>
        </w:rPr>
        <w:t>20</w:t>
      </w:r>
      <w:r>
        <w:rPr>
          <w:rFonts w:hint="eastAsia" w:cs="Times New Roman" w:eastAsiaTheme="minorEastAsia"/>
          <w:kern w:val="0"/>
          <w:sz w:val="24"/>
          <w:szCs w:val="24"/>
          <w:highlight w:val="none"/>
          <w:lang w:eastAsia="zh-CN"/>
        </w:rPr>
        <w:t>年</w:t>
      </w:r>
      <w:r>
        <w:rPr>
          <w:rFonts w:hint="eastAsia" w:cs="Times New Roman" w:eastAsiaTheme="minorEastAsia"/>
          <w:kern w:val="0"/>
          <w:sz w:val="24"/>
          <w:szCs w:val="24"/>
          <w:highlight w:val="none"/>
          <w:lang w:val="en-US" w:eastAsia="zh-CN"/>
        </w:rPr>
        <w:t>7</w:t>
      </w:r>
      <w:r>
        <w:rPr>
          <w:rFonts w:hint="eastAsia" w:cs="Times New Roman" w:eastAsiaTheme="minorEastAsia"/>
          <w:kern w:val="0"/>
          <w:sz w:val="24"/>
          <w:szCs w:val="24"/>
          <w:highlight w:val="none"/>
          <w:lang w:eastAsia="zh-CN"/>
        </w:rPr>
        <w:t>月</w:t>
      </w:r>
      <w:r>
        <w:rPr>
          <w:rFonts w:hint="eastAsia" w:cs="Times New Roman" w:eastAsiaTheme="minorEastAsia"/>
          <w:kern w:val="0"/>
          <w:sz w:val="24"/>
          <w:szCs w:val="24"/>
          <w:highlight w:val="none"/>
          <w:lang w:val="en-US" w:eastAsia="zh-CN"/>
        </w:rPr>
        <w:t>29</w:t>
      </w:r>
      <w:r>
        <w:rPr>
          <w:rFonts w:hint="eastAsia" w:cs="Times New Roman" w:eastAsiaTheme="minorEastAsia"/>
          <w:kern w:val="0"/>
          <w:sz w:val="24"/>
          <w:szCs w:val="24"/>
          <w:highlight w:val="none"/>
          <w:lang w:eastAsia="zh-CN"/>
        </w:rPr>
        <w:t>日获得海安</w:t>
      </w:r>
      <w:r>
        <w:rPr>
          <w:rFonts w:hint="eastAsia" w:cs="Times New Roman" w:eastAsiaTheme="minorEastAsia"/>
          <w:kern w:val="0"/>
          <w:sz w:val="24"/>
          <w:szCs w:val="24"/>
          <w:highlight w:val="none"/>
          <w:lang w:val="en-US" w:eastAsia="zh-CN"/>
        </w:rPr>
        <w:t>市行政审批局审批</w:t>
      </w:r>
      <w:r>
        <w:rPr>
          <w:rFonts w:hint="eastAsia" w:cs="Times New Roman" w:eastAsiaTheme="minorEastAsia"/>
          <w:kern w:val="0"/>
          <w:sz w:val="24"/>
          <w:szCs w:val="24"/>
          <w:highlight w:val="none"/>
          <w:lang w:eastAsia="zh-CN"/>
        </w:rPr>
        <w:t>（</w:t>
      </w:r>
      <w:r>
        <w:rPr>
          <w:rFonts w:hint="eastAsia" w:cs="Times New Roman" w:eastAsiaTheme="minorEastAsia"/>
          <w:kern w:val="0"/>
          <w:sz w:val="24"/>
          <w:szCs w:val="24"/>
          <w:highlight w:val="none"/>
          <w:lang w:val="en-US" w:eastAsia="zh-CN"/>
        </w:rPr>
        <w:t>海行审投资[2020]359</w:t>
      </w:r>
      <w:r>
        <w:rPr>
          <w:rFonts w:hint="eastAsia" w:cs="Times New Roman" w:eastAsiaTheme="minorEastAsia"/>
          <w:kern w:val="0"/>
          <w:sz w:val="24"/>
          <w:szCs w:val="24"/>
          <w:highlight w:val="none"/>
          <w:lang w:eastAsia="zh-CN"/>
        </w:rPr>
        <w:t>号）</w:t>
      </w:r>
      <w:r>
        <w:rPr>
          <w:rFonts w:hint="default" w:ascii="Times New Roman" w:hAnsi="Times New Roman" w:cs="Times New Roman" w:eastAsiaTheme="minorEastAsia"/>
          <w:kern w:val="0"/>
          <w:sz w:val="24"/>
          <w:szCs w:val="24"/>
          <w:highlight w:val="none"/>
        </w:rPr>
        <w:t>。</w:t>
      </w:r>
      <w:r>
        <w:rPr>
          <w:rFonts w:hint="eastAsia" w:cs="Times New Roman" w:eastAsiaTheme="minorEastAsia"/>
          <w:kern w:val="0"/>
          <w:sz w:val="24"/>
          <w:szCs w:val="24"/>
          <w:highlight w:val="none"/>
          <w:lang w:val="en-US" w:eastAsia="zh-CN"/>
        </w:rPr>
        <w:t>名万家具</w:t>
      </w:r>
      <w:r>
        <w:rPr>
          <w:rFonts w:hint="eastAsia" w:ascii="Times New Roman" w:hAnsi="Times New Roman" w:cs="Times New Roman" w:eastAsiaTheme="minorEastAsia"/>
          <w:kern w:val="0"/>
          <w:sz w:val="24"/>
          <w:szCs w:val="24"/>
          <w:highlight w:val="none"/>
          <w:lang w:val="en-US" w:eastAsia="zh-CN"/>
        </w:rPr>
        <w:t>现有产能为</w:t>
      </w:r>
      <w:r>
        <w:rPr>
          <w:rFonts w:hint="eastAsia" w:ascii="Times New Roman" w:hAnsi="Times New Roman" w:cs="Times New Roman" w:eastAsiaTheme="minorEastAsia"/>
          <w:color w:val="auto"/>
          <w:kern w:val="0"/>
          <w:sz w:val="24"/>
          <w:szCs w:val="24"/>
          <w:highlight w:val="none"/>
          <w:lang w:val="en-US" w:eastAsia="zh-CN"/>
        </w:rPr>
        <w:t>椅子12万张、茶几800张</w:t>
      </w:r>
      <w:r>
        <w:rPr>
          <w:rFonts w:hint="eastAsia" w:ascii="Times New Roman" w:hAnsi="Times New Roman" w:cs="Times New Roman" w:eastAsiaTheme="minorEastAsia"/>
          <w:kern w:val="0"/>
          <w:sz w:val="24"/>
          <w:szCs w:val="24"/>
          <w:highlight w:val="none"/>
          <w:lang w:val="en-US" w:eastAsia="zh-CN"/>
        </w:rPr>
        <w:t>。</w:t>
      </w:r>
      <w:r>
        <w:rPr>
          <w:rFonts w:hint="default" w:ascii="Times New Roman" w:hAnsi="Times New Roman" w:cs="Times New Roman" w:eastAsiaTheme="minorEastAsia"/>
          <w:kern w:val="0"/>
          <w:sz w:val="24"/>
          <w:szCs w:val="24"/>
          <w:highlight w:val="none"/>
        </w:rPr>
        <w:t>公司目前</w:t>
      </w:r>
      <w:r>
        <w:rPr>
          <w:rFonts w:hint="eastAsia" w:ascii="Times New Roman" w:hAnsi="Times New Roman" w:cs="Times New Roman" w:eastAsiaTheme="minorEastAsia"/>
          <w:kern w:val="0"/>
          <w:sz w:val="24"/>
          <w:szCs w:val="24"/>
          <w:highlight w:val="none"/>
          <w:lang w:val="en-US" w:eastAsia="zh-CN"/>
        </w:rPr>
        <w:t>劳动定员</w:t>
      </w:r>
      <w:r>
        <w:rPr>
          <w:rFonts w:hint="eastAsia" w:cs="Times New Roman" w:eastAsiaTheme="minorEastAsia"/>
          <w:kern w:val="0"/>
          <w:sz w:val="24"/>
          <w:szCs w:val="24"/>
          <w:highlight w:val="none"/>
          <w:lang w:val="en-US" w:eastAsia="zh-CN"/>
        </w:rPr>
        <w:t>30</w:t>
      </w:r>
      <w:r>
        <w:rPr>
          <w:rFonts w:hint="default" w:ascii="Times New Roman" w:hAnsi="Times New Roman" w:cs="Times New Roman" w:eastAsiaTheme="minorEastAsia"/>
          <w:kern w:val="0"/>
          <w:sz w:val="24"/>
          <w:szCs w:val="24"/>
          <w:highlight w:val="none"/>
        </w:rPr>
        <w:t>人，实行白班制，每班工作8小时，全年运行</w:t>
      </w:r>
      <w:r>
        <w:rPr>
          <w:rFonts w:hint="eastAsia" w:ascii="Times New Roman" w:hAnsi="Times New Roman" w:cs="Times New Roman" w:eastAsiaTheme="minorEastAsia"/>
          <w:kern w:val="0"/>
          <w:sz w:val="24"/>
          <w:szCs w:val="24"/>
          <w:highlight w:val="none"/>
          <w:lang w:val="en-US" w:eastAsia="zh-CN"/>
        </w:rPr>
        <w:t>300</w:t>
      </w:r>
      <w:r>
        <w:rPr>
          <w:rFonts w:hint="default" w:ascii="Times New Roman" w:hAnsi="Times New Roman" w:cs="Times New Roman" w:eastAsiaTheme="minorEastAsia"/>
          <w:kern w:val="0"/>
          <w:sz w:val="24"/>
          <w:szCs w:val="24"/>
          <w:highlight w:val="none"/>
        </w:rPr>
        <w:t>天</w:t>
      </w:r>
      <w:r>
        <w:rPr>
          <w:rFonts w:eastAsiaTheme="minorEastAsia"/>
          <w:color w:val="auto"/>
          <w:kern w:val="0"/>
          <w:highlight w:val="none"/>
        </w:rPr>
        <w:t>。</w:t>
      </w:r>
    </w:p>
    <w:p w14:paraId="69D146C3">
      <w:pPr>
        <w:widowControl/>
        <w:adjustRightInd w:val="0"/>
        <w:snapToGrid w:val="0"/>
        <w:spacing w:line="500" w:lineRule="exact"/>
        <w:ind w:firstLine="480" w:firstLineChars="200"/>
        <w:rPr>
          <w:rFonts w:eastAsia="宋体"/>
        </w:rPr>
      </w:pPr>
      <w:r>
        <w:rPr>
          <w:rFonts w:hint="eastAsia" w:eastAsiaTheme="minorEastAsia"/>
          <w:kern w:val="0"/>
          <w:lang w:eastAsia="zh-CN"/>
        </w:rPr>
        <w:t>名万家具</w:t>
      </w:r>
      <w:r>
        <w:rPr>
          <w:rFonts w:hint="eastAsia" w:ascii="Times New Roman" w:hAnsi="Times New Roman" w:cs="Times New Roman" w:eastAsiaTheme="minorEastAsia"/>
          <w:kern w:val="0"/>
          <w:sz w:val="24"/>
          <w:szCs w:val="24"/>
          <w:lang w:val="en-US" w:eastAsia="zh-CN"/>
        </w:rPr>
        <w:t>于20</w:t>
      </w:r>
      <w:r>
        <w:rPr>
          <w:rFonts w:hint="eastAsia" w:cs="Times New Roman" w:eastAsiaTheme="minorEastAsia"/>
          <w:kern w:val="0"/>
          <w:sz w:val="24"/>
          <w:szCs w:val="24"/>
          <w:lang w:val="en-US" w:eastAsia="zh-CN"/>
        </w:rPr>
        <w:t>21</w:t>
      </w:r>
      <w:r>
        <w:rPr>
          <w:rFonts w:hint="eastAsia" w:ascii="Times New Roman" w:hAnsi="Times New Roman" w:cs="Times New Roman" w:eastAsiaTheme="minorEastAsia"/>
          <w:kern w:val="0"/>
          <w:sz w:val="24"/>
          <w:szCs w:val="24"/>
          <w:lang w:val="en-US" w:eastAsia="zh-CN"/>
        </w:rPr>
        <w:t>年首次编制完成应急预案，</w:t>
      </w:r>
      <w:r>
        <w:rPr>
          <w:rFonts w:ascii="Times New Roman" w:hAnsi="Times New Roman" w:cs="Times New Roman" w:eastAsiaTheme="minorEastAsia"/>
          <w:kern w:val="0"/>
          <w:sz w:val="24"/>
          <w:szCs w:val="24"/>
        </w:rPr>
        <w:t>并通过了</w:t>
      </w:r>
      <w:r>
        <w:rPr>
          <w:rFonts w:hint="eastAsia" w:ascii="Times New Roman" w:hAnsi="Times New Roman" w:cs="Times New Roman" w:eastAsiaTheme="minorEastAsia"/>
          <w:kern w:val="0"/>
          <w:sz w:val="24"/>
          <w:szCs w:val="24"/>
          <w:lang w:val="en-US" w:eastAsia="zh-CN"/>
        </w:rPr>
        <w:t>南通市</w:t>
      </w:r>
      <w:r>
        <w:rPr>
          <w:rFonts w:ascii="Times New Roman" w:hAnsi="Times New Roman" w:cs="Times New Roman" w:eastAsiaTheme="minorEastAsia"/>
          <w:kern w:val="0"/>
          <w:sz w:val="24"/>
          <w:szCs w:val="24"/>
        </w:rPr>
        <w:t>海安生态环境局备案</w:t>
      </w:r>
      <w:r>
        <w:rPr>
          <w:rFonts w:hint="eastAsia" w:ascii="Times New Roman" w:hAnsi="Times New Roman" w:cs="Times New Roman" w:eastAsiaTheme="minorEastAsia"/>
          <w:kern w:val="0"/>
          <w:sz w:val="24"/>
          <w:szCs w:val="24"/>
          <w:lang w:val="en-US" w:eastAsia="zh-CN"/>
        </w:rPr>
        <w:t>，</w:t>
      </w:r>
      <w:r>
        <w:rPr>
          <w:rFonts w:hint="eastAsia" w:eastAsiaTheme="minorEastAsia"/>
          <w:kern w:val="0"/>
        </w:rPr>
        <w:t>根据《企事业单位突发环境事件应急预案备案管理办法（试行）》要求至少每三年对环境应急预案进行一次回顾性评估，本次应急预案为</w:t>
      </w:r>
      <w:r>
        <w:rPr>
          <w:rFonts w:hint="eastAsia" w:eastAsiaTheme="minorEastAsia"/>
          <w:kern w:val="0"/>
          <w:lang w:val="en-US" w:eastAsia="zh-CN"/>
        </w:rPr>
        <w:t>修编</w:t>
      </w:r>
      <w:r>
        <w:rPr>
          <w:rFonts w:hint="eastAsia" w:eastAsiaTheme="minorEastAsia"/>
          <w:kern w:val="0"/>
        </w:rPr>
        <w:t>。</w:t>
      </w:r>
    </w:p>
    <w:bookmarkEnd w:id="7"/>
    <w:p w14:paraId="610FA8BC">
      <w:pPr>
        <w:adjustRightInd w:val="0"/>
        <w:snapToGrid w:val="0"/>
        <w:spacing w:line="500" w:lineRule="exact"/>
        <w:ind w:firstLine="480" w:firstLineChars="200"/>
        <w:rPr>
          <w:rFonts w:eastAsia="宋体"/>
        </w:rPr>
      </w:pPr>
      <w:r>
        <w:rPr>
          <w:rFonts w:eastAsia="宋体"/>
        </w:rPr>
        <w:t>根据《关于印发&lt;企业事业单位突发环境事件应急预案备案管理办法（试行）&gt;的通知》（环发[2015]4号）、《突发环境事件应急管理办法》（环保部令第34号）、《关于印发&lt;南通市企业事业单位突发环境事件应急预案备案管理制度&gt;的通知》（通环办[2016]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2D7B84C7">
      <w:pPr>
        <w:adjustRightInd w:val="0"/>
        <w:snapToGrid w:val="0"/>
        <w:spacing w:line="500" w:lineRule="exact"/>
        <w:ind w:firstLine="480" w:firstLineChars="200"/>
        <w:rPr>
          <w:rFonts w:ascii="宋体" w:hAnsi="宋体" w:eastAsia="宋体" w:cs="宋体"/>
        </w:rPr>
      </w:pPr>
      <w:r>
        <w:rPr>
          <w:rFonts w:eastAsia="宋体"/>
        </w:rPr>
        <w:t>公司专门成立了工作组，在对</w:t>
      </w:r>
      <w:r>
        <w:rPr>
          <w:rFonts w:hint="eastAsia" w:eastAsia="宋体"/>
        </w:rPr>
        <w:t>公司</w:t>
      </w:r>
      <w:r>
        <w:rPr>
          <w:rFonts w:eastAsia="宋体"/>
        </w:rPr>
        <w:t>生产项目进行现场勘查及相关资料收集、整理和研究的基础上，根据《企业突发环境事件风险评估指南（试行）》、《企业突发环境事件风险分级方法》（HJ941-2018）的要求，编制</w:t>
      </w:r>
      <w:r>
        <w:rPr>
          <w:rFonts w:hint="eastAsia" w:ascii="宋体" w:hAnsi="宋体" w:eastAsia="宋体" w:cs="宋体"/>
        </w:rPr>
        <w:t>完成了本风险评估报告。</w:t>
      </w:r>
    </w:p>
    <w:p w14:paraId="4D0C376E">
      <w:pPr>
        <w:pStyle w:val="2"/>
        <w:adjustRightInd w:val="0"/>
        <w:snapToGrid w:val="0"/>
        <w:spacing w:line="500" w:lineRule="exact"/>
        <w:rPr>
          <w:rFonts w:eastAsia="宋体"/>
          <w:sz w:val="24"/>
          <w:szCs w:val="24"/>
        </w:rPr>
      </w:pPr>
      <w:bookmarkStart w:id="8" w:name="_Toc8177"/>
      <w:bookmarkStart w:id="9" w:name="_Toc18595"/>
      <w:bookmarkStart w:id="10" w:name="_Toc19219"/>
      <w:bookmarkStart w:id="11" w:name="_Toc6172"/>
      <w:r>
        <w:rPr>
          <w:rFonts w:eastAsia="宋体"/>
          <w:sz w:val="24"/>
          <w:szCs w:val="24"/>
        </w:rPr>
        <w:t>2总则</w:t>
      </w:r>
      <w:bookmarkEnd w:id="8"/>
      <w:bookmarkEnd w:id="9"/>
      <w:bookmarkEnd w:id="10"/>
      <w:bookmarkEnd w:id="11"/>
    </w:p>
    <w:p w14:paraId="43A529E3">
      <w:pPr>
        <w:pStyle w:val="3"/>
        <w:adjustRightInd w:val="0"/>
        <w:snapToGrid w:val="0"/>
        <w:spacing w:line="500" w:lineRule="exact"/>
        <w:rPr>
          <w:rFonts w:eastAsia="宋体"/>
          <w:sz w:val="24"/>
          <w:szCs w:val="24"/>
        </w:rPr>
      </w:pPr>
      <w:bookmarkStart w:id="12" w:name="_Toc19570"/>
      <w:bookmarkStart w:id="13" w:name="_Toc31464"/>
      <w:bookmarkStart w:id="14" w:name="_Toc10364"/>
      <w:bookmarkStart w:id="15" w:name="_Toc20253"/>
      <w:r>
        <w:rPr>
          <w:rFonts w:eastAsia="宋体"/>
          <w:sz w:val="24"/>
          <w:szCs w:val="24"/>
        </w:rPr>
        <w:t>2.1编制原则</w:t>
      </w:r>
      <w:bookmarkEnd w:id="12"/>
      <w:bookmarkEnd w:id="13"/>
      <w:bookmarkEnd w:id="14"/>
      <w:bookmarkEnd w:id="15"/>
    </w:p>
    <w:p w14:paraId="3D239118">
      <w:pPr>
        <w:adjustRightInd w:val="0"/>
        <w:snapToGrid w:val="0"/>
        <w:spacing w:line="500" w:lineRule="exact"/>
        <w:ind w:firstLine="480" w:firstLineChars="200"/>
        <w:rPr>
          <w:rFonts w:eastAsia="宋体"/>
        </w:rPr>
      </w:pPr>
      <w:r>
        <w:rPr>
          <w:rFonts w:eastAsia="宋体"/>
        </w:rPr>
        <w:t>本评估报告的编制遵循以下几点原则：</w:t>
      </w:r>
    </w:p>
    <w:p w14:paraId="54CAE49E">
      <w:pPr>
        <w:adjustRightInd w:val="0"/>
        <w:snapToGrid w:val="0"/>
        <w:spacing w:line="500" w:lineRule="exact"/>
        <w:ind w:firstLine="480" w:firstLineChars="200"/>
        <w:rPr>
          <w:rFonts w:eastAsia="宋体"/>
        </w:rPr>
      </w:pPr>
      <w:r>
        <w:rPr>
          <w:rFonts w:eastAsia="宋体"/>
        </w:rPr>
        <w:t>（1）全面、细致地进行现状调查。</w:t>
      </w:r>
    </w:p>
    <w:p w14:paraId="0C250F06">
      <w:pPr>
        <w:adjustRightInd w:val="0"/>
        <w:snapToGrid w:val="0"/>
        <w:spacing w:line="500" w:lineRule="exact"/>
        <w:ind w:firstLine="480" w:firstLineChars="200"/>
        <w:rPr>
          <w:rFonts w:eastAsia="宋体"/>
        </w:rPr>
      </w:pPr>
      <w:r>
        <w:rPr>
          <w:rFonts w:eastAsia="宋体"/>
        </w:rPr>
        <w:t>（2）科学、客观地进行评估，如实反映企业的环境风险水平。</w:t>
      </w:r>
    </w:p>
    <w:p w14:paraId="3B465CD4">
      <w:pPr>
        <w:adjustRightInd w:val="0"/>
        <w:snapToGrid w:val="0"/>
        <w:spacing w:line="500" w:lineRule="exact"/>
        <w:ind w:firstLine="480" w:firstLineChars="200"/>
        <w:rPr>
          <w:rFonts w:eastAsia="宋体"/>
        </w:rPr>
      </w:pPr>
      <w:r>
        <w:rPr>
          <w:rFonts w:eastAsia="宋体"/>
        </w:rPr>
        <w:t>（3）对照</w:t>
      </w:r>
      <w:r>
        <w:rPr>
          <w:rFonts w:hint="eastAsia" w:eastAsia="宋体"/>
        </w:rPr>
        <w:t>《企业突发环境事件风险评估指南（试行）》、</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41AFC69">
      <w:pPr>
        <w:adjustRightInd w:val="0"/>
        <w:snapToGrid w:val="0"/>
        <w:spacing w:line="500" w:lineRule="exact"/>
        <w:ind w:firstLine="480" w:firstLineChars="200"/>
        <w:rPr>
          <w:rFonts w:eastAsia="宋体"/>
          <w:b/>
        </w:rPr>
      </w:pPr>
      <w:r>
        <w:rPr>
          <w:rFonts w:eastAsia="宋体"/>
        </w:rPr>
        <w:t>（4）评估报告的内容和格式必须符合规范要求。</w:t>
      </w:r>
    </w:p>
    <w:p w14:paraId="093BF9B5">
      <w:pPr>
        <w:pStyle w:val="3"/>
        <w:adjustRightInd w:val="0"/>
        <w:snapToGrid w:val="0"/>
        <w:spacing w:line="500" w:lineRule="exact"/>
        <w:rPr>
          <w:rFonts w:eastAsia="宋体"/>
          <w:sz w:val="24"/>
          <w:szCs w:val="24"/>
        </w:rPr>
      </w:pPr>
      <w:bookmarkStart w:id="16" w:name="_Toc21056"/>
      <w:bookmarkStart w:id="17" w:name="_Toc1839"/>
      <w:bookmarkStart w:id="18" w:name="_Toc24168"/>
      <w:bookmarkStart w:id="19" w:name="_Toc27964"/>
      <w:r>
        <w:rPr>
          <w:rFonts w:eastAsia="宋体"/>
          <w:sz w:val="24"/>
          <w:szCs w:val="24"/>
        </w:rPr>
        <w:t>2.2编制依据</w:t>
      </w:r>
      <w:bookmarkEnd w:id="16"/>
      <w:bookmarkEnd w:id="17"/>
      <w:bookmarkEnd w:id="18"/>
      <w:bookmarkEnd w:id="19"/>
    </w:p>
    <w:p w14:paraId="356804C5">
      <w:pPr>
        <w:pStyle w:val="5"/>
        <w:adjustRightInd w:val="0"/>
        <w:snapToGrid w:val="0"/>
        <w:spacing w:line="500" w:lineRule="exact"/>
        <w:rPr>
          <w:rFonts w:eastAsia="宋体"/>
          <w:szCs w:val="24"/>
        </w:rPr>
      </w:pPr>
      <w:bookmarkStart w:id="20" w:name="_Toc17579"/>
      <w:bookmarkStart w:id="21" w:name="_Toc19349"/>
      <w:bookmarkStart w:id="22" w:name="_Toc11371"/>
      <w:bookmarkStart w:id="23" w:name="_Toc28089"/>
      <w:r>
        <w:rPr>
          <w:rFonts w:eastAsia="宋体"/>
          <w:szCs w:val="24"/>
        </w:rPr>
        <w:t>2.2.1政策法规</w:t>
      </w:r>
      <w:bookmarkEnd w:id="20"/>
      <w:bookmarkEnd w:id="21"/>
      <w:bookmarkEnd w:id="22"/>
      <w:bookmarkEnd w:id="23"/>
    </w:p>
    <w:p w14:paraId="79D3195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bookmarkStart w:id="24" w:name="_Toc499034377"/>
      <w:r>
        <w:rPr>
          <w:rFonts w:hint="eastAsia" w:ascii="Times New Roman" w:hAnsi="Times New Roman" w:eastAsia="宋体" w:cs="Times New Roman"/>
        </w:rPr>
        <w:t>（1）《中华人民共和国环境保护法》（中华人民共和国第十二届全国人民代表大会常务委员会第八次会议于2014年4月24日修订通过，自2015年1月1日起施行）；</w:t>
      </w:r>
    </w:p>
    <w:p w14:paraId="45D203E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（2）《中华人民共和国突发事件应对法》（国家主席令第69号，2007年8月30日通过，2007年11月1日起施行）；</w:t>
      </w:r>
    </w:p>
    <w:p w14:paraId="6DDF52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（3）《中华人民共和国安全生产法》（中华人民共和国第十</w:t>
      </w:r>
      <w:r>
        <w:rPr>
          <w:rFonts w:hint="eastAsia" w:ascii="Times New Roman" w:hAnsi="Times New Roman" w:eastAsia="宋体" w:cs="Times New Roman"/>
          <w:lang w:val="en-US" w:eastAsia="zh-CN"/>
        </w:rPr>
        <w:t>三</w:t>
      </w:r>
      <w:r>
        <w:rPr>
          <w:rFonts w:hint="eastAsia" w:ascii="Times New Roman" w:hAnsi="Times New Roman" w:eastAsia="宋体" w:cs="Times New Roman"/>
        </w:rPr>
        <w:t>届全国人民代表大会常务委员会第</w:t>
      </w:r>
      <w:r>
        <w:rPr>
          <w:rFonts w:hint="eastAsia" w:ascii="Times New Roman" w:hAnsi="Times New Roman" w:eastAsia="宋体" w:cs="Times New Roman"/>
          <w:lang w:val="en-US" w:eastAsia="zh-CN"/>
        </w:rPr>
        <w:t>二十九</w:t>
      </w:r>
      <w:r>
        <w:rPr>
          <w:rFonts w:hint="eastAsia" w:ascii="Times New Roman" w:hAnsi="Times New Roman" w:eastAsia="宋体" w:cs="Times New Roman"/>
        </w:rPr>
        <w:t>次会议于20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日修订通过，自20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月1日起施行）；</w:t>
      </w:r>
    </w:p>
    <w:p w14:paraId="3809BA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（4）《中华人民共和国消防法》（国家主席令第6号，2009年5月1日起施行，20</w:t>
      </w:r>
      <w:r>
        <w:rPr>
          <w:rFonts w:hint="eastAsia" w:ascii="Times New Roman" w:hAnsi="Times New Roman" w:eastAsia="宋体" w:cs="Times New Roman"/>
          <w:lang w:val="en-US" w:eastAsia="zh-CN"/>
        </w:rPr>
        <w:t>21年4月29日第三次修正</w:t>
      </w:r>
      <w:r>
        <w:rPr>
          <w:rFonts w:hint="eastAsia" w:ascii="Times New Roman" w:hAnsi="Times New Roman" w:eastAsia="宋体" w:cs="Times New Roman"/>
        </w:rPr>
        <w:t>）；</w:t>
      </w:r>
    </w:p>
    <w:p w14:paraId="42AD997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（5）《化学物质安全管理条例》（</w:t>
      </w:r>
      <w:r>
        <w:rPr>
          <w:rFonts w:hint="eastAsia" w:ascii="Times New Roman" w:hAnsi="Times New Roman" w:eastAsia="宋体" w:cs="Times New Roman"/>
          <w:kern w:val="2"/>
          <w:szCs w:val="24"/>
        </w:rPr>
        <w:t>国务院令第645号，2013年12月4日修订，2013年12月7日起施行</w:t>
      </w:r>
      <w:r>
        <w:rPr>
          <w:rFonts w:hint="eastAsia" w:ascii="Times New Roman" w:hAnsi="Times New Roman" w:eastAsia="宋体" w:cs="Times New Roman"/>
        </w:rPr>
        <w:t>）；</w:t>
      </w:r>
    </w:p>
    <w:p w14:paraId="735FD9D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（6）《中华人民共和国水污染防治法》（2017年6月27日修订，2018年1月1日起施行）；</w:t>
      </w:r>
    </w:p>
    <w:p w14:paraId="67B712D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（7）《中华人民共和国环境噪声污染防治法》（国家主席令77号，2018年12月29日修改）；</w:t>
      </w:r>
    </w:p>
    <w:p w14:paraId="2068921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（8）《中华人民共和国固体废物污染环境防治法》（</w:t>
      </w:r>
      <w:r>
        <w:rPr>
          <w:rFonts w:hint="eastAsia" w:ascii="Times New Roman" w:hAnsi="Times New Roman" w:eastAsia="宋体" w:cs="Times New Roman"/>
          <w:kern w:val="2"/>
          <w:szCs w:val="24"/>
        </w:rPr>
        <w:t>2020年9月1日施行</w:t>
      </w:r>
      <w:r>
        <w:rPr>
          <w:rFonts w:hint="eastAsia" w:ascii="Times New Roman" w:hAnsi="Times New Roman" w:eastAsia="宋体" w:cs="Times New Roman"/>
        </w:rPr>
        <w:t>）；</w:t>
      </w:r>
    </w:p>
    <w:p w14:paraId="2F7A85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（9）《</w:t>
      </w:r>
      <w:r>
        <w:rPr>
          <w:rFonts w:hint="eastAsia" w:ascii="Times New Roman" w:hAnsi="Times New Roman" w:eastAsia="宋体" w:cs="Times New Roman"/>
          <w:kern w:val="2"/>
          <w:szCs w:val="24"/>
        </w:rPr>
        <w:t>中华人民共和国大气污染防治法》（国主席令十六号，2018年10月26日施行）；</w:t>
      </w:r>
    </w:p>
    <w:p w14:paraId="3D150D8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（10）《国务院关于加强环境保护重点工作的意见》（国发〔2011〕35号）；</w:t>
      </w:r>
    </w:p>
    <w:p w14:paraId="7C8715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（11）《</w:t>
      </w:r>
      <w:r>
        <w:rPr>
          <w:rFonts w:hint="eastAsia" w:ascii="Times New Roman" w:hAnsi="Times New Roman" w:eastAsia="宋体" w:cs="Times New Roman"/>
          <w:kern w:val="2"/>
          <w:szCs w:val="24"/>
        </w:rPr>
        <w:t>生产安全事故应急预</w:t>
      </w:r>
      <w:r>
        <w:rPr>
          <w:rFonts w:hint="eastAsia" w:ascii="Times New Roman" w:hAnsi="Times New Roman" w:eastAsia="宋体" w:cs="Times New Roman"/>
        </w:rPr>
        <w:t xml:space="preserve">案管理办法》（国家安全生产监督管理总局令第88号，2016年7月1日施行）； </w:t>
      </w:r>
    </w:p>
    <w:p w14:paraId="2A20A3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（12）《突发环境事件信息报告办法》（环境保护部令 第17号，2011年5月1日起施行）；</w:t>
      </w:r>
    </w:p>
    <w:p w14:paraId="2AE4FDE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（13）《突发环境事件应急管理办法》（环保部令第34号，2015年6月5日起施行）；</w:t>
      </w:r>
    </w:p>
    <w:p w14:paraId="0D8C71A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（14）《</w:t>
      </w:r>
      <w:r>
        <w:rPr>
          <w:rFonts w:hint="eastAsia" w:ascii="Times New Roman" w:hAnsi="Times New Roman" w:eastAsia="宋体" w:cs="Times New Roman"/>
          <w:lang w:val="en-US" w:eastAsia="zh-CN"/>
        </w:rPr>
        <w:t>危险化学品名录</w:t>
      </w:r>
      <w:r>
        <w:rPr>
          <w:rFonts w:hint="eastAsia" w:ascii="Times New Roman" w:hAnsi="Times New Roman" w:eastAsia="宋体" w:cs="Times New Roman"/>
        </w:rPr>
        <w:t>》（201</w:t>
      </w:r>
      <w:r>
        <w:rPr>
          <w:rFonts w:hint="eastAsia" w:ascii="Times New Roman" w:hAnsi="Times New Roman" w:eastAsia="宋体" w:cs="Times New Roman"/>
          <w:lang w:val="en-US" w:eastAsia="zh-CN"/>
        </w:rPr>
        <w:t>8</w:t>
      </w:r>
      <w:r>
        <w:rPr>
          <w:rFonts w:hint="eastAsia" w:ascii="Times New Roman" w:hAnsi="Times New Roman" w:eastAsia="宋体" w:cs="Times New Roman"/>
        </w:rPr>
        <w:t>版）；</w:t>
      </w:r>
    </w:p>
    <w:p w14:paraId="140B46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（15）《国家危险废物名录(2021年版)》（</w:t>
      </w:r>
      <w:r>
        <w:rPr>
          <w:rFonts w:hint="eastAsia" w:ascii="Times New Roman" w:hAnsi="Times New Roman" w:eastAsia="宋体" w:cs="Times New Roman"/>
          <w:lang w:val="en-US" w:eastAsia="zh-CN"/>
        </w:rPr>
        <w:t>自</w:t>
      </w:r>
      <w:r>
        <w:rPr>
          <w:rFonts w:hint="eastAsia" w:ascii="Times New Roman" w:hAnsi="Times New Roman" w:eastAsia="宋体" w:cs="Times New Roman"/>
        </w:rPr>
        <w:t>2021年1月1日起施行）；</w:t>
      </w:r>
    </w:p>
    <w:p w14:paraId="15AC8F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（16）《重点监管的化学物质名录》（2013年完整版）；</w:t>
      </w:r>
    </w:p>
    <w:p w14:paraId="7C16509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（17）《关于进一步加强环境影响评价管理防范环境风险的通知》(国家环保总局，环发〔2012〕77号)；</w:t>
      </w:r>
    </w:p>
    <w:p w14:paraId="199EA18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（18）《化学物质事故应急救援指挥导则》（AQ/T3052-2015）；</w:t>
      </w:r>
    </w:p>
    <w:p w14:paraId="2EFB1E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（19）</w:t>
      </w:r>
      <w:r>
        <w:rPr>
          <w:rFonts w:hint="eastAsia" w:ascii="Times New Roman" w:hAnsi="Times New Roman" w:eastAsia="宋体" w:cs="Times New Roman"/>
          <w:kern w:val="2"/>
          <w:sz w:val="24"/>
          <w:szCs w:val="24"/>
        </w:rPr>
        <w:t>《企事业单位和工业园区突发环境事件应急预案编制导则》（DB32/T 3795-2020）</w:t>
      </w:r>
      <w:r>
        <w:rPr>
          <w:rFonts w:hint="eastAsia" w:ascii="Times New Roman" w:hAnsi="Times New Roman" w:eastAsia="宋体" w:cs="Times New Roman"/>
        </w:rPr>
        <w:t>；</w:t>
      </w:r>
    </w:p>
    <w:p w14:paraId="31A7CAE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（20）《江苏省突发环境事件应急预案管理办法》(苏环规〔2014〕2号)；</w:t>
      </w:r>
    </w:p>
    <w:p w14:paraId="4C0B541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（21）《关于开展江苏省重点环境风险企业环境安全达标建设工作的通知》（苏环办〔2013〕321号）；</w:t>
      </w:r>
    </w:p>
    <w:p w14:paraId="3EBF7C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（22）《江苏省固体废物污染环境防治条例(修改)》（省十三届人大第二次会议，2018年3月28日）；</w:t>
      </w:r>
    </w:p>
    <w:p w14:paraId="1F436D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（23）《关于印发江苏省重点环境风险企业整治与防控方案的通知》（苏环委办〔2013〕9号）；</w:t>
      </w:r>
    </w:p>
    <w:p w14:paraId="0DA7DA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（24）《关于进一步做好全省重点环境风险企业环境安全达标建设工作的通知》（苏环办〔2014〕152号）；</w:t>
      </w:r>
    </w:p>
    <w:p w14:paraId="2BC584D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（25）《江苏省国家级生态保护红线规划》；</w:t>
      </w:r>
    </w:p>
    <w:p w14:paraId="643E8F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（26）《省政府关于印发江苏省生态空间管控区域规划的通知》（苏政发[2020]1号）；</w:t>
      </w:r>
    </w:p>
    <w:p w14:paraId="3342E50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rPr>
      </w:pPr>
      <w:r>
        <w:rPr>
          <w:rFonts w:hint="eastAsia" w:ascii="Times New Roman" w:hAnsi="Times New Roman" w:eastAsia="宋体" w:cs="Times New Roman"/>
        </w:rPr>
        <w:t>（27）《省政府关于印发江苏省“三线一单”生态环境分区管控方案的通知》（苏政发〔2020〕49号）。</w:t>
      </w:r>
    </w:p>
    <w:p w14:paraId="63387E5E">
      <w:pPr>
        <w:pStyle w:val="5"/>
        <w:adjustRightInd w:val="0"/>
        <w:snapToGrid w:val="0"/>
        <w:spacing w:line="500" w:lineRule="exact"/>
        <w:rPr>
          <w:rFonts w:eastAsia="宋体"/>
        </w:rPr>
      </w:pPr>
      <w:bookmarkStart w:id="25" w:name="_Toc3846"/>
      <w:bookmarkStart w:id="26" w:name="_Toc573"/>
      <w:bookmarkStart w:id="27" w:name="_Toc512608511"/>
      <w:bookmarkStart w:id="28" w:name="_Toc1162"/>
      <w:bookmarkStart w:id="29" w:name="_Toc31049"/>
      <w:r>
        <w:rPr>
          <w:rFonts w:eastAsia="宋体"/>
        </w:rPr>
        <w:t>2.2.2标准规范</w:t>
      </w:r>
      <w:bookmarkEnd w:id="24"/>
      <w:bookmarkEnd w:id="25"/>
      <w:bookmarkEnd w:id="26"/>
      <w:bookmarkEnd w:id="27"/>
      <w:bookmarkEnd w:id="28"/>
      <w:bookmarkEnd w:id="29"/>
    </w:p>
    <w:p w14:paraId="62BF8E75">
      <w:pPr>
        <w:adjustRightInd w:val="0"/>
        <w:snapToGrid w:val="0"/>
        <w:spacing w:line="500" w:lineRule="exact"/>
        <w:ind w:firstLine="480" w:firstLineChars="200"/>
        <w:rPr>
          <w:rFonts w:eastAsia="宋体"/>
        </w:rPr>
      </w:pPr>
      <w:r>
        <w:rPr>
          <w:rFonts w:eastAsia="宋体"/>
        </w:rPr>
        <w:t>（1）《</w:t>
      </w:r>
      <w:r>
        <w:rPr>
          <w:rFonts w:hint="eastAsia" w:eastAsia="宋体"/>
          <w:lang w:eastAsia="zh-CN"/>
        </w:rPr>
        <w:t>危险化学品重大危险源辨识</w:t>
      </w:r>
      <w:r>
        <w:rPr>
          <w:rFonts w:eastAsia="宋体"/>
        </w:rPr>
        <w:t>》（GB18218-2018）；</w:t>
      </w:r>
    </w:p>
    <w:p w14:paraId="5B36F505">
      <w:pPr>
        <w:adjustRightInd w:val="0"/>
        <w:snapToGrid w:val="0"/>
        <w:spacing w:line="500" w:lineRule="exact"/>
        <w:ind w:firstLine="480" w:firstLineChars="200"/>
        <w:rPr>
          <w:rFonts w:eastAsia="宋体"/>
        </w:rPr>
      </w:pPr>
      <w:r>
        <w:rPr>
          <w:rFonts w:eastAsia="宋体"/>
        </w:rPr>
        <w:t>（2）《化工建设项目环境保护</w:t>
      </w:r>
      <w:r>
        <w:rPr>
          <w:rFonts w:hint="eastAsia" w:eastAsia="宋体"/>
        </w:rPr>
        <w:t>工程</w:t>
      </w:r>
      <w:r>
        <w:rPr>
          <w:rFonts w:eastAsia="宋体"/>
        </w:rPr>
        <w:t>设计</w:t>
      </w:r>
      <w:r>
        <w:rPr>
          <w:rFonts w:hint="eastAsia" w:eastAsia="宋体"/>
        </w:rPr>
        <w:t>标准</w:t>
      </w:r>
      <w:r>
        <w:rPr>
          <w:rFonts w:eastAsia="宋体"/>
        </w:rPr>
        <w:t>》（</w:t>
      </w:r>
      <w:r>
        <w:rPr>
          <w:rFonts w:hint="eastAsia" w:eastAsia="宋体"/>
          <w:lang w:eastAsia="zh-CN"/>
        </w:rPr>
        <w:t>GB/T50483-2019</w:t>
      </w:r>
      <w:r>
        <w:rPr>
          <w:rFonts w:eastAsia="宋体"/>
        </w:rPr>
        <w:t>）；</w:t>
      </w:r>
    </w:p>
    <w:p w14:paraId="2E1FB83C">
      <w:pPr>
        <w:adjustRightInd w:val="0"/>
        <w:snapToGrid w:val="0"/>
        <w:spacing w:line="500" w:lineRule="exact"/>
        <w:ind w:firstLine="480" w:firstLineChars="200"/>
        <w:rPr>
          <w:rFonts w:eastAsia="宋体"/>
        </w:rPr>
      </w:pPr>
      <w:r>
        <w:rPr>
          <w:rFonts w:eastAsia="宋体"/>
        </w:rPr>
        <w:t>（3）《建筑设计防火规范》（</w:t>
      </w:r>
      <w:r>
        <w:rPr>
          <w:rFonts w:hint="eastAsia" w:eastAsia="宋体"/>
          <w:lang w:eastAsia="zh-CN"/>
        </w:rPr>
        <w:t>GB50016-2014[2018年版]</w:t>
      </w:r>
      <w:r>
        <w:rPr>
          <w:rFonts w:eastAsia="宋体"/>
        </w:rPr>
        <w:t>）；</w:t>
      </w:r>
    </w:p>
    <w:p w14:paraId="0096DF28">
      <w:pPr>
        <w:adjustRightInd w:val="0"/>
        <w:snapToGrid w:val="0"/>
        <w:spacing w:line="500" w:lineRule="exact"/>
        <w:ind w:firstLine="480" w:firstLineChars="200"/>
        <w:rPr>
          <w:rFonts w:eastAsia="宋体"/>
        </w:rPr>
      </w:pPr>
      <w:r>
        <w:rPr>
          <w:rFonts w:eastAsia="宋体"/>
        </w:rPr>
        <w:t>（4）《</w:t>
      </w:r>
      <w:r>
        <w:rPr>
          <w:rFonts w:eastAsia="宋体"/>
          <w:kern w:val="0"/>
          <w:szCs w:val="28"/>
        </w:rPr>
        <w:t>危险货物品名表》（GB12268-2012）；</w:t>
      </w:r>
    </w:p>
    <w:p w14:paraId="0A8D213F">
      <w:pPr>
        <w:adjustRightInd w:val="0"/>
        <w:snapToGrid w:val="0"/>
        <w:spacing w:line="500" w:lineRule="exact"/>
        <w:ind w:firstLine="480" w:firstLineChars="200"/>
        <w:rPr>
          <w:rFonts w:eastAsia="宋体"/>
        </w:rPr>
      </w:pPr>
      <w:r>
        <w:rPr>
          <w:rFonts w:eastAsia="宋体"/>
        </w:rPr>
        <w:t>（6）《环境影响评价技术导则地下水环境》（HJ610-2016）；</w:t>
      </w:r>
    </w:p>
    <w:p w14:paraId="4DB6865F">
      <w:pPr>
        <w:adjustRightInd w:val="0"/>
        <w:snapToGrid w:val="0"/>
        <w:spacing w:line="500" w:lineRule="exact"/>
        <w:ind w:firstLine="480" w:firstLineChars="200"/>
        <w:rPr>
          <w:rFonts w:eastAsia="宋体"/>
        </w:rPr>
      </w:pPr>
      <w:r>
        <w:rPr>
          <w:rFonts w:eastAsia="宋体"/>
        </w:rPr>
        <w:t>（7）《环境影响评价技术导则地表水环境》（HJ2.3-2018）；</w:t>
      </w:r>
    </w:p>
    <w:p w14:paraId="6A34E71E">
      <w:pPr>
        <w:adjustRightInd w:val="0"/>
        <w:snapToGrid w:val="0"/>
        <w:spacing w:line="500" w:lineRule="exact"/>
        <w:ind w:firstLine="480" w:firstLineChars="200"/>
        <w:rPr>
          <w:rFonts w:eastAsia="宋体"/>
        </w:rPr>
      </w:pPr>
      <w:r>
        <w:rPr>
          <w:rFonts w:eastAsia="宋体"/>
        </w:rPr>
        <w:t>（8）《环境影响评价技术导则大气环境》（HJ2.2-2018）；</w:t>
      </w:r>
    </w:p>
    <w:p w14:paraId="045B2D2B">
      <w:pPr>
        <w:adjustRightInd w:val="0"/>
        <w:snapToGrid w:val="0"/>
        <w:spacing w:line="500" w:lineRule="exact"/>
        <w:ind w:firstLine="480" w:firstLineChars="200"/>
        <w:rPr>
          <w:rFonts w:eastAsia="宋体"/>
        </w:rPr>
      </w:pPr>
      <w:r>
        <w:rPr>
          <w:rFonts w:eastAsia="宋体"/>
        </w:rPr>
        <w:t>（9）《建设项目环境风险评价技术导则》（HJ169-2018）；</w:t>
      </w:r>
    </w:p>
    <w:p w14:paraId="5487F5AB">
      <w:pPr>
        <w:adjustRightInd w:val="0"/>
        <w:snapToGrid w:val="0"/>
        <w:spacing w:line="500" w:lineRule="exact"/>
        <w:ind w:firstLine="480" w:firstLineChars="200"/>
        <w:rPr>
          <w:rFonts w:eastAsia="宋体"/>
        </w:rPr>
      </w:pPr>
      <w:r>
        <w:rPr>
          <w:rFonts w:eastAsia="宋体"/>
        </w:rPr>
        <w:t>（10）《危险废物贮存污染控制标准》（GB18597-20</w:t>
      </w:r>
      <w:r>
        <w:rPr>
          <w:rFonts w:hint="eastAsia" w:eastAsia="宋体"/>
          <w:lang w:val="en-US" w:eastAsia="zh-CN"/>
        </w:rPr>
        <w:t>23</w:t>
      </w:r>
      <w:r>
        <w:rPr>
          <w:rFonts w:eastAsia="宋体"/>
        </w:rPr>
        <w:t>）；</w:t>
      </w:r>
    </w:p>
    <w:p w14:paraId="0978EFFB">
      <w:pPr>
        <w:adjustRightInd w:val="0"/>
        <w:snapToGrid w:val="0"/>
        <w:spacing w:line="500" w:lineRule="exact"/>
        <w:ind w:firstLine="480" w:firstLineChars="200"/>
        <w:rPr>
          <w:rFonts w:eastAsia="宋体"/>
        </w:rPr>
      </w:pPr>
      <w:r>
        <w:rPr>
          <w:rFonts w:eastAsia="宋体"/>
        </w:rPr>
        <w:t>（11）《化学品毒性鉴定技术规范》（卫监督发〔2005〕272号）；</w:t>
      </w:r>
    </w:p>
    <w:p w14:paraId="77045AD8">
      <w:pPr>
        <w:adjustRightInd w:val="0"/>
        <w:snapToGrid w:val="0"/>
        <w:spacing w:line="500" w:lineRule="exact"/>
        <w:ind w:firstLine="480" w:firstLineChars="200"/>
        <w:rPr>
          <w:rFonts w:eastAsia="宋体"/>
        </w:rPr>
      </w:pPr>
      <w:r>
        <w:rPr>
          <w:rFonts w:eastAsia="宋体"/>
        </w:rPr>
        <w:t>（12）《重点监管的化学物质安全措施和应急处置原则》（国家安全生产监督管理总局）；</w:t>
      </w:r>
    </w:p>
    <w:p w14:paraId="0784E6E3">
      <w:pPr>
        <w:adjustRightInd w:val="0"/>
        <w:snapToGrid w:val="0"/>
        <w:spacing w:line="500" w:lineRule="exact"/>
        <w:ind w:firstLine="480" w:firstLineChars="200"/>
        <w:rPr>
          <w:rFonts w:eastAsia="宋体"/>
        </w:rPr>
      </w:pPr>
      <w:r>
        <w:rPr>
          <w:rFonts w:eastAsia="宋体"/>
        </w:rPr>
        <w:t>（13）关于印发《工业危险废物产生单位规范化管理实施指南》的通知（苏环办﹝2014﹞232号）；</w:t>
      </w:r>
    </w:p>
    <w:p w14:paraId="6375E9CB">
      <w:pPr>
        <w:adjustRightInd w:val="0"/>
        <w:snapToGrid w:val="0"/>
        <w:spacing w:line="500" w:lineRule="exact"/>
        <w:ind w:firstLine="480" w:firstLineChars="200"/>
      </w:pPr>
      <w:r>
        <w:rPr>
          <w:rFonts w:eastAsia="宋体"/>
        </w:rPr>
        <w:t>（1</w:t>
      </w:r>
      <w:r>
        <w:rPr>
          <w:rFonts w:hint="eastAsia" w:eastAsia="宋体"/>
        </w:rPr>
        <w:t>4</w:t>
      </w:r>
      <w:r>
        <w:rPr>
          <w:rFonts w:eastAsia="宋体"/>
        </w:rPr>
        <w:t>）</w:t>
      </w:r>
      <w:r>
        <w:rPr>
          <w:rFonts w:hint="eastAsia" w:ascii="宋体" w:hAnsi="宋体" w:eastAsia="宋体" w:cs="宋体"/>
        </w:rPr>
        <w:t>《省生态环境厅关于进一步加强危险废物污染防治工作的实施意见》（苏环办</w:t>
      </w:r>
      <w:r>
        <w:rPr>
          <w:rFonts w:eastAsia="宋体"/>
        </w:rPr>
        <w:t>〔2019〕327</w:t>
      </w:r>
      <w:r>
        <w:rPr>
          <w:rFonts w:hint="eastAsia" w:ascii="宋体" w:hAnsi="宋体" w:eastAsia="宋体" w:cs="宋体"/>
        </w:rPr>
        <w:t>号）；</w:t>
      </w:r>
    </w:p>
    <w:p w14:paraId="3F9829D8">
      <w:pPr>
        <w:adjustRightInd w:val="0"/>
        <w:snapToGrid w:val="0"/>
        <w:spacing w:line="500" w:lineRule="exact"/>
        <w:ind w:firstLine="480" w:firstLineChars="200"/>
        <w:rPr>
          <w:rFonts w:eastAsia="宋体"/>
        </w:rPr>
      </w:pPr>
      <w:r>
        <w:rPr>
          <w:rFonts w:eastAsia="宋体"/>
        </w:rPr>
        <w:t>（1</w:t>
      </w:r>
      <w:r>
        <w:rPr>
          <w:rFonts w:hint="eastAsia" w:eastAsia="宋体"/>
        </w:rPr>
        <w:t>5</w:t>
      </w:r>
      <w:r>
        <w:rPr>
          <w:rFonts w:eastAsia="宋体"/>
        </w:rPr>
        <w:t>）《江苏省环境安全企业建设标准（试行）》；</w:t>
      </w:r>
    </w:p>
    <w:p w14:paraId="23D15704">
      <w:pPr>
        <w:adjustRightInd w:val="0"/>
        <w:snapToGrid w:val="0"/>
        <w:spacing w:line="500" w:lineRule="exact"/>
        <w:ind w:firstLine="480" w:firstLineChars="200"/>
        <w:rPr>
          <w:rFonts w:eastAsia="宋体"/>
        </w:rPr>
      </w:pPr>
      <w:bookmarkStart w:id="30" w:name="_Hlk13477127"/>
      <w:r>
        <w:rPr>
          <w:rFonts w:eastAsia="宋体"/>
        </w:rPr>
        <w:t>（1</w:t>
      </w:r>
      <w:r>
        <w:rPr>
          <w:rFonts w:hint="eastAsia" w:eastAsia="宋体"/>
        </w:rPr>
        <w:t>6</w:t>
      </w:r>
      <w:r>
        <w:rPr>
          <w:rFonts w:eastAsia="宋体"/>
        </w:rPr>
        <w:t>）《环境应急资源调查指南(试行)》环办应急(2019)17号；</w:t>
      </w:r>
    </w:p>
    <w:bookmarkEnd w:id="30"/>
    <w:p w14:paraId="422F3D97">
      <w:pPr>
        <w:adjustRightInd w:val="0"/>
        <w:snapToGrid w:val="0"/>
        <w:spacing w:line="500" w:lineRule="exact"/>
        <w:ind w:firstLine="480" w:firstLineChars="200"/>
        <w:rPr>
          <w:rFonts w:eastAsia="宋体"/>
        </w:rPr>
      </w:pPr>
      <w:r>
        <w:rPr>
          <w:rFonts w:eastAsia="宋体"/>
        </w:rPr>
        <w:t>（1</w:t>
      </w:r>
      <w:r>
        <w:rPr>
          <w:rFonts w:hint="eastAsia" w:eastAsia="宋体"/>
        </w:rPr>
        <w:t>7</w:t>
      </w:r>
      <w:r>
        <w:rPr>
          <w:rFonts w:eastAsia="宋体"/>
        </w:rPr>
        <w:t>）《企业突发环境事件风险分级方法》（HJ941-2018）</w:t>
      </w:r>
      <w:r>
        <w:rPr>
          <w:rFonts w:hint="eastAsia" w:eastAsia="宋体"/>
        </w:rPr>
        <w:t>；</w:t>
      </w:r>
    </w:p>
    <w:p w14:paraId="462F8E9B">
      <w:pPr>
        <w:adjustRightInd w:val="0"/>
        <w:snapToGrid w:val="0"/>
        <w:spacing w:line="500" w:lineRule="exact"/>
        <w:ind w:firstLine="480" w:firstLineChars="200"/>
        <w:rPr>
          <w:rFonts w:hint="eastAsia" w:eastAsia="宋体"/>
          <w:lang w:eastAsia="zh-CN"/>
        </w:rPr>
      </w:pPr>
      <w:r>
        <w:rPr>
          <w:rFonts w:hint="eastAsia" w:eastAsia="宋体"/>
        </w:rPr>
        <w:t>（18）</w:t>
      </w:r>
      <w:r>
        <w:rPr>
          <w:rFonts w:eastAsia="宋体"/>
        </w:rPr>
        <w:t>《危险化学品安全管理条例》（</w:t>
      </w:r>
      <w:r>
        <w:rPr>
          <w:rFonts w:hint="eastAsia" w:eastAsia="宋体"/>
        </w:rPr>
        <w:t>2013年修正版</w:t>
      </w:r>
      <w:r>
        <w:rPr>
          <w:rFonts w:eastAsia="宋体"/>
        </w:rPr>
        <w:t>）；</w:t>
      </w:r>
    </w:p>
    <w:p w14:paraId="62F182FE">
      <w:pPr>
        <w:adjustRightInd w:val="0"/>
        <w:snapToGrid w:val="0"/>
        <w:spacing w:line="500" w:lineRule="exact"/>
        <w:ind w:firstLine="480" w:firstLineChars="200"/>
        <w:rPr>
          <w:rFonts w:eastAsia="宋体"/>
        </w:rPr>
      </w:pPr>
      <w:r>
        <w:rPr>
          <w:rFonts w:eastAsia="宋体"/>
        </w:rPr>
        <w:t>（</w:t>
      </w:r>
      <w:r>
        <w:rPr>
          <w:rFonts w:hint="eastAsia" w:eastAsia="宋体"/>
        </w:rPr>
        <w:t>19</w:t>
      </w:r>
      <w:r>
        <w:rPr>
          <w:rFonts w:eastAsia="宋体"/>
        </w:rPr>
        <w:t>）《危险化学品登记管理办法》（国家安全生产监督管理总局局长办公会议，2012年5月21日）</w:t>
      </w:r>
      <w:r>
        <w:rPr>
          <w:rFonts w:hint="eastAsia" w:eastAsia="宋体"/>
        </w:rPr>
        <w:t>；</w:t>
      </w:r>
    </w:p>
    <w:p w14:paraId="45D945FB">
      <w:pPr>
        <w:adjustRightInd w:val="0"/>
        <w:snapToGrid w:val="0"/>
        <w:spacing w:line="500" w:lineRule="exact"/>
        <w:ind w:firstLine="480" w:firstLineChars="200"/>
        <w:rPr>
          <w:rFonts w:eastAsia="宋体"/>
        </w:rPr>
      </w:pPr>
      <w:r>
        <w:rPr>
          <w:rFonts w:hint="eastAsia" w:eastAsia="宋体"/>
        </w:rPr>
        <w:t>（20）《</w:t>
      </w:r>
      <w:r>
        <w:rPr>
          <w:rFonts w:hint="eastAsia" w:eastAsia="宋体"/>
          <w:lang w:eastAsia="zh-CN"/>
        </w:rPr>
        <w:t>危险化学品重大危险源辨识</w:t>
      </w:r>
      <w:r>
        <w:rPr>
          <w:rFonts w:hint="eastAsia" w:eastAsia="宋体"/>
        </w:rPr>
        <w:t>》（GB18218-2018）</w:t>
      </w:r>
    </w:p>
    <w:p w14:paraId="39A05BB0">
      <w:pPr>
        <w:adjustRightInd w:val="0"/>
        <w:snapToGrid w:val="0"/>
        <w:spacing w:line="500" w:lineRule="exact"/>
        <w:ind w:firstLine="480" w:firstLineChars="200"/>
        <w:rPr>
          <w:rFonts w:eastAsia="宋体"/>
        </w:rPr>
      </w:pPr>
      <w:r>
        <w:rPr>
          <w:rFonts w:hint="eastAsia" w:eastAsia="宋体"/>
        </w:rPr>
        <w:t>（</w:t>
      </w:r>
      <w:r>
        <w:rPr>
          <w:rFonts w:eastAsia="宋体"/>
        </w:rPr>
        <w:t>2</w:t>
      </w:r>
      <w:r>
        <w:rPr>
          <w:rFonts w:hint="eastAsia" w:eastAsia="宋体"/>
        </w:rPr>
        <w:t>1）</w:t>
      </w:r>
      <w:r>
        <w:rPr>
          <w:rFonts w:eastAsia="宋体"/>
        </w:rPr>
        <w:t>《大气污染物综合排放标准》(DB32/4041-2021)</w:t>
      </w:r>
    </w:p>
    <w:p w14:paraId="0B287227">
      <w:pPr>
        <w:adjustRightInd w:val="0"/>
        <w:snapToGrid w:val="0"/>
        <w:spacing w:line="500" w:lineRule="exact"/>
        <w:ind w:firstLine="480" w:firstLineChars="200"/>
        <w:rPr>
          <w:rFonts w:eastAsia="宋体"/>
        </w:rPr>
      </w:pPr>
      <w:r>
        <w:rPr>
          <w:rFonts w:hint="eastAsia" w:eastAsia="宋体"/>
        </w:rPr>
        <w:t>（22）</w:t>
      </w:r>
      <w:r>
        <w:rPr>
          <w:rFonts w:hint="eastAsia" w:eastAsia="宋体"/>
          <w:kern w:val="2"/>
        </w:rPr>
        <w:t>《表面涂装（家具制造业）挥发性有机物排放标准》(DB32/3152-2016)</w:t>
      </w:r>
      <w:r>
        <w:rPr>
          <w:rFonts w:eastAsia="宋体"/>
        </w:rPr>
        <w:t>。</w:t>
      </w:r>
    </w:p>
    <w:p w14:paraId="14D45D1F">
      <w:pPr>
        <w:adjustRightInd w:val="0"/>
        <w:snapToGrid w:val="0"/>
        <w:spacing w:line="500" w:lineRule="exact"/>
        <w:ind w:firstLine="480" w:firstLineChars="200"/>
        <w:rPr>
          <w:rFonts w:hint="eastAsia" w:ascii="Times New Roman" w:hAnsi="Times New Roman" w:eastAsia="宋体" w:cs="Times New Roman"/>
          <w:b w:val="0"/>
          <w:bCs w:val="0"/>
          <w:i w:val="0"/>
          <w:iCs w:val="0"/>
          <w:caps w:val="0"/>
          <w:spacing w:val="0"/>
          <w:kern w:val="2"/>
          <w:sz w:val="24"/>
          <w:szCs w:val="24"/>
          <w:shd w:val="clear"/>
        </w:rPr>
      </w:pPr>
      <w:r>
        <w:rPr>
          <w:rFonts w:hint="eastAsia" w:eastAsia="宋体"/>
          <w:lang w:val="en-US" w:eastAsia="zh-CN"/>
        </w:rPr>
        <w:t>（23）</w:t>
      </w:r>
      <w:r>
        <w:rPr>
          <w:rFonts w:hint="eastAsia" w:ascii="Times New Roman" w:hAnsi="Times New Roman" w:eastAsia="宋体" w:cs="Times New Roman"/>
          <w:i w:val="0"/>
          <w:iCs w:val="0"/>
          <w:caps w:val="0"/>
          <w:spacing w:val="0"/>
          <w:sz w:val="24"/>
          <w:szCs w:val="24"/>
          <w:shd w:val="clear"/>
        </w:rPr>
        <w:t>《国务院办公厅关于印发〈突发事件应急预案管理办法的通知》国办发〔</w:t>
      </w:r>
      <w:r>
        <w:rPr>
          <w:rFonts w:hint="eastAsia" w:eastAsia="宋体" w:cs="Times New Roman"/>
          <w:i w:val="0"/>
          <w:iCs w:val="0"/>
          <w:caps w:val="0"/>
          <w:spacing w:val="0"/>
          <w:sz w:val="24"/>
          <w:szCs w:val="24"/>
          <w:shd w:val="clear"/>
          <w:lang w:eastAsia="zh-CN"/>
        </w:rPr>
        <w:t>2025</w:t>
      </w:r>
      <w:r>
        <w:rPr>
          <w:rFonts w:hint="eastAsia" w:ascii="Times New Roman" w:hAnsi="Times New Roman" w:eastAsia="宋体" w:cs="Times New Roman"/>
          <w:i w:val="0"/>
          <w:iCs w:val="0"/>
          <w:caps w:val="0"/>
          <w:spacing w:val="0"/>
          <w:sz w:val="24"/>
          <w:szCs w:val="24"/>
          <w:shd w:val="clear"/>
        </w:rPr>
        <w:t>〕5号</w:t>
      </w:r>
    </w:p>
    <w:p w14:paraId="28FF4C53">
      <w:pPr>
        <w:adjustRightInd w:val="0"/>
        <w:snapToGrid w:val="0"/>
        <w:spacing w:line="500" w:lineRule="exact"/>
        <w:ind w:firstLine="480" w:firstLineChars="200"/>
        <w:rPr>
          <w:rFonts w:hint="eastAsia" w:ascii="Times New Roman" w:hAnsi="Times New Roman" w:eastAsia="宋体" w:cs="Times New Roman"/>
          <w:caps w:val="0"/>
          <w:spacing w:val="0"/>
          <w:sz w:val="24"/>
          <w:szCs w:val="24"/>
        </w:rPr>
      </w:pPr>
      <w:r>
        <w:rPr>
          <w:rFonts w:hint="eastAsia" w:eastAsia="宋体"/>
          <w:lang w:val="en-US" w:eastAsia="zh-CN"/>
        </w:rPr>
        <w:t>（24）</w:t>
      </w:r>
      <w:r>
        <w:rPr>
          <w:rFonts w:hint="eastAsia" w:ascii="Times New Roman" w:hAnsi="Times New Roman" w:eastAsia="宋体" w:cs="Times New Roman"/>
          <w:caps w:val="0"/>
          <w:spacing w:val="0"/>
          <w:sz w:val="24"/>
          <w:szCs w:val="24"/>
          <w:shd w:val="clear"/>
        </w:rPr>
        <w:t>苏环发〔2023〕7号 关于印发《江苏省突发环境事件应急预案管理办法》的通知</w:t>
      </w:r>
    </w:p>
    <w:p w14:paraId="0E3DDC21">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（25）《消防设施通用规范》（GB55036-2022）</w:t>
      </w:r>
    </w:p>
    <w:p w14:paraId="5202280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 xml:space="preserve"> (26）《建筑防火通用规范》（GB55037-2022）</w:t>
      </w:r>
    </w:p>
    <w:p w14:paraId="321AC7F8">
      <w:pPr>
        <w:pStyle w:val="5"/>
        <w:adjustRightInd w:val="0"/>
        <w:snapToGrid w:val="0"/>
        <w:spacing w:line="500" w:lineRule="exact"/>
        <w:rPr>
          <w:rFonts w:eastAsia="宋体"/>
        </w:rPr>
      </w:pPr>
      <w:bookmarkStart w:id="31" w:name="_Toc1853"/>
      <w:bookmarkStart w:id="32" w:name="_Toc32074"/>
      <w:bookmarkStart w:id="33" w:name="_Toc3109"/>
      <w:bookmarkStart w:id="34" w:name="_Toc7977"/>
      <w:r>
        <w:rPr>
          <w:rFonts w:eastAsia="宋体"/>
        </w:rPr>
        <w:t>2.2.3其他文件</w:t>
      </w:r>
      <w:bookmarkEnd w:id="31"/>
      <w:bookmarkEnd w:id="32"/>
      <w:bookmarkEnd w:id="33"/>
      <w:bookmarkEnd w:id="34"/>
    </w:p>
    <w:p w14:paraId="4C059CC9">
      <w:pPr>
        <w:widowControl/>
        <w:adjustRightInd w:val="0"/>
        <w:snapToGrid w:val="0"/>
        <w:spacing w:line="500" w:lineRule="exact"/>
        <w:ind w:firstLine="480" w:firstLineChars="200"/>
        <w:rPr>
          <w:rFonts w:eastAsia="宋体"/>
          <w:kern w:val="0"/>
          <w:szCs w:val="28"/>
        </w:rPr>
      </w:pPr>
      <w:r>
        <w:rPr>
          <w:rFonts w:hint="eastAsia" w:eastAsiaTheme="minorEastAsia"/>
          <w:kern w:val="0"/>
          <w:lang w:eastAsia="zh-CN"/>
        </w:rPr>
        <w:t>南通名万家具有限公司</w:t>
      </w:r>
      <w:r>
        <w:rPr>
          <w:rFonts w:eastAsiaTheme="minorEastAsia"/>
          <w:kern w:val="0"/>
        </w:rPr>
        <w:t>其他文件资料。</w:t>
      </w:r>
    </w:p>
    <w:p w14:paraId="3F673FF7">
      <w:pPr>
        <w:pStyle w:val="3"/>
        <w:adjustRightInd w:val="0"/>
        <w:snapToGrid w:val="0"/>
        <w:spacing w:line="500" w:lineRule="exact"/>
        <w:rPr>
          <w:rFonts w:eastAsia="宋体"/>
          <w:sz w:val="24"/>
          <w:szCs w:val="24"/>
        </w:rPr>
      </w:pPr>
      <w:bookmarkStart w:id="35" w:name="_Toc20254"/>
      <w:bookmarkStart w:id="36" w:name="_Toc31581"/>
      <w:bookmarkStart w:id="37" w:name="_Toc4975"/>
      <w:bookmarkStart w:id="38" w:name="_Toc31986"/>
      <w:r>
        <w:rPr>
          <w:rFonts w:eastAsia="宋体"/>
          <w:sz w:val="24"/>
          <w:szCs w:val="24"/>
        </w:rPr>
        <w:t>2.3评估范围</w:t>
      </w:r>
      <w:bookmarkEnd w:id="35"/>
      <w:bookmarkEnd w:id="36"/>
      <w:bookmarkEnd w:id="37"/>
      <w:bookmarkEnd w:id="38"/>
    </w:p>
    <w:p w14:paraId="3F72DCD5">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eastAsia="宋体" w:cs="宋体"/>
          <w:color w:val="000000" w:themeColor="text1"/>
          <w:lang w:eastAsia="zh-CN"/>
          <w14:textFill>
            <w14:solidFill>
              <w14:schemeClr w14:val="tx1"/>
            </w14:solidFill>
          </w14:textFill>
        </w:rPr>
        <w:t>南通名万家具有限公司</w:t>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58294FE0">
      <w:pPr>
        <w:pStyle w:val="34"/>
        <w:widowControl w:val="0"/>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(1)公司使用的化学物质的存储、使用过程中的环境风险评估；</w:t>
      </w:r>
    </w:p>
    <w:p w14:paraId="184C4F21">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2E162D23">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(3)危险固废堆放、运输、处置中产生的环境风险评估；</w:t>
      </w:r>
    </w:p>
    <w:p w14:paraId="75C3DE36">
      <w:pPr>
        <w:pStyle w:val="34"/>
        <w:widowControl w:val="0"/>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(4)公司</w:t>
      </w:r>
      <w:r>
        <w:rPr>
          <w:rFonts w:hint="eastAsia" w:ascii="Times New Roman" w:hAnsi="Times New Roman" w:eastAsia="宋体"/>
          <w:color w:val="000000" w:themeColor="text1"/>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14:textFill>
            <w14:solidFill>
              <w14:schemeClr w14:val="tx1"/>
            </w14:solidFill>
          </w14:textFill>
        </w:rPr>
        <w:t>废气非正常排放的环境风险评估；</w:t>
      </w:r>
    </w:p>
    <w:p w14:paraId="23A70350">
      <w:pPr>
        <w:pStyle w:val="34"/>
        <w:widowControl w:val="0"/>
        <w:adjustRightInd w:val="0"/>
        <w:snapToGrid w:val="0"/>
        <w:spacing w:before="0" w:beforeAutospacing="0" w:after="0" w:afterAutospacing="0" w:line="500" w:lineRule="exact"/>
        <w:ind w:firstLine="480" w:firstLineChars="200"/>
        <w:rPr>
          <w:rFonts w:eastAsia="宋体" w:cs="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(5)公司发生事故后应急处理过程中可能对周围环境产生危害影响的环境风险评估。</w:t>
      </w:r>
    </w:p>
    <w:p w14:paraId="49BC5D36">
      <w:pPr>
        <w:pStyle w:val="3"/>
        <w:adjustRightInd w:val="0"/>
        <w:snapToGrid w:val="0"/>
        <w:spacing w:line="500" w:lineRule="exact"/>
        <w:rPr>
          <w:rFonts w:eastAsia="宋体"/>
          <w:sz w:val="24"/>
          <w:szCs w:val="24"/>
        </w:rPr>
      </w:pPr>
      <w:bookmarkStart w:id="39" w:name="_Toc26808"/>
      <w:bookmarkStart w:id="40" w:name="_Toc7104"/>
      <w:bookmarkStart w:id="41" w:name="_Toc3727"/>
      <w:bookmarkStart w:id="42" w:name="_Toc12721"/>
      <w:r>
        <w:rPr>
          <w:rFonts w:eastAsia="宋体"/>
          <w:sz w:val="24"/>
          <w:szCs w:val="24"/>
        </w:rPr>
        <w:t>2.4</w:t>
      </w:r>
      <w:r>
        <w:rPr>
          <w:rFonts w:eastAsia="宋体"/>
          <w:color w:val="000000" w:themeColor="text1"/>
          <w:sz w:val="24"/>
          <w:szCs w:val="24"/>
          <w14:textFill>
            <w14:solidFill>
              <w14:schemeClr w14:val="tx1"/>
            </w14:solidFill>
          </w14:textFill>
        </w:rPr>
        <w:t>环境风险评估程序</w:t>
      </w:r>
      <w:bookmarkEnd w:id="39"/>
      <w:bookmarkEnd w:id="40"/>
      <w:bookmarkEnd w:id="41"/>
      <w:bookmarkEnd w:id="42"/>
    </w:p>
    <w:p w14:paraId="415A8F57">
      <w:pPr>
        <w:adjustRightInd w:val="0"/>
        <w:snapToGrid w:val="0"/>
        <w:spacing w:line="500" w:lineRule="exact"/>
        <w:ind w:firstLine="480" w:firstLineChars="200"/>
        <w:rPr>
          <w:rFonts w:eastAsia="宋体"/>
        </w:rPr>
      </w:pPr>
      <w:r>
        <w:rPr>
          <w:rFonts w:hint="eastAsia" w:eastAsia="宋体"/>
          <w:color w:val="000000" w:themeColor="text1"/>
          <w:lang w:eastAsia="zh-CN"/>
          <w14:textFill>
            <w14:solidFill>
              <w14:schemeClr w14:val="tx1"/>
            </w14:solidFill>
          </w14:textFill>
        </w:rPr>
        <w:t>南通名万家具有限公司</w:t>
      </w:r>
      <w:r>
        <w:rPr>
          <w:rFonts w:eastAsia="宋体"/>
        </w:rPr>
        <w:t>突发环境事件风险评估报告的风险评估程序见图2-1所示。</w:t>
      </w:r>
    </w:p>
    <w:p w14:paraId="5B5C63F0">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E20EDB7">
      <w:pPr>
        <w:adjustRightInd w:val="0"/>
        <w:snapToGrid w:val="0"/>
        <w:spacing w:line="500" w:lineRule="exact"/>
        <w:jc w:val="center"/>
        <w:rPr>
          <w:rFonts w:eastAsia="宋体"/>
          <w:sz w:val="21"/>
          <w:szCs w:val="21"/>
        </w:rPr>
      </w:pPr>
      <w:r>
        <w:rPr>
          <w:rFonts w:eastAsia="宋体"/>
          <w:b/>
          <w:sz w:val="21"/>
          <w:szCs w:val="21"/>
        </w:rPr>
        <w:t>图2-1突发环境事件风险评估报告的风险评估程序图</w:t>
      </w:r>
    </w:p>
    <w:p w14:paraId="60A38CCE">
      <w:pPr>
        <w:pStyle w:val="3"/>
        <w:adjustRightInd w:val="0"/>
        <w:snapToGrid w:val="0"/>
        <w:spacing w:line="500" w:lineRule="exact"/>
        <w:rPr>
          <w:rFonts w:eastAsia="宋体"/>
          <w:sz w:val="24"/>
          <w:szCs w:val="24"/>
        </w:rPr>
      </w:pPr>
      <w:bookmarkStart w:id="43" w:name="_Toc4383"/>
      <w:bookmarkStart w:id="44" w:name="_Toc19560"/>
      <w:bookmarkStart w:id="45" w:name="_Toc27051"/>
      <w:r>
        <w:rPr>
          <w:rFonts w:eastAsia="宋体"/>
          <w:sz w:val="24"/>
          <w:szCs w:val="24"/>
        </w:rPr>
        <w:t>2.</w:t>
      </w:r>
      <w:r>
        <w:rPr>
          <w:rFonts w:hint="eastAsia" w:eastAsia="宋体"/>
          <w:sz w:val="24"/>
          <w:szCs w:val="24"/>
        </w:rPr>
        <w:t>5</w:t>
      </w:r>
      <w:r>
        <w:rPr>
          <w:rFonts w:eastAsia="宋体"/>
          <w:color w:val="000000" w:themeColor="text1"/>
          <w:sz w:val="24"/>
          <w:szCs w:val="24"/>
          <w14:textFill>
            <w14:solidFill>
              <w14:schemeClr w14:val="tx1"/>
            </w14:solidFill>
          </w14:textFill>
        </w:rPr>
        <w:t>环境风险评估</w:t>
      </w:r>
      <w:r>
        <w:rPr>
          <w:rFonts w:hint="eastAsia" w:eastAsia="宋体"/>
          <w:color w:val="000000" w:themeColor="text1"/>
          <w:sz w:val="24"/>
          <w:szCs w:val="24"/>
          <w14:textFill>
            <w14:solidFill>
              <w14:schemeClr w14:val="tx1"/>
            </w14:solidFill>
          </w14:textFill>
        </w:rPr>
        <w:t>的一般要求</w:t>
      </w:r>
      <w:bookmarkEnd w:id="43"/>
      <w:bookmarkEnd w:id="44"/>
      <w:bookmarkEnd w:id="45"/>
    </w:p>
    <w:p w14:paraId="7B28212F">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0050C7E0">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6E29ABF9">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66B4C44C">
      <w:pPr>
        <w:pStyle w:val="34"/>
        <w:adjustRightInd w:val="0"/>
        <w:snapToGrid w:val="0"/>
        <w:spacing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5FD34421">
      <w:pPr>
        <w:pStyle w:val="34"/>
        <w:adjustRightInd w:val="0"/>
        <w:snapToGrid w:val="0"/>
        <w:spacing w:before="0" w:beforeAutospacing="0" w:after="0" w:afterAutospacing="0" w:line="500" w:lineRule="exact"/>
        <w:ind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6A6EC48F">
      <w:pPr>
        <w:pStyle w:val="3"/>
        <w:adjustRightInd w:val="0"/>
        <w:snapToGrid w:val="0"/>
        <w:spacing w:line="500" w:lineRule="exact"/>
        <w:rPr>
          <w:rFonts w:eastAsia="宋体"/>
          <w:sz w:val="24"/>
          <w:szCs w:val="24"/>
        </w:rPr>
      </w:pPr>
      <w:bookmarkStart w:id="46" w:name="_Toc12603"/>
      <w:bookmarkStart w:id="47" w:name="_Toc9077"/>
      <w:bookmarkStart w:id="48" w:name="_Toc489"/>
      <w:r>
        <w:rPr>
          <w:rFonts w:eastAsia="宋体"/>
          <w:sz w:val="24"/>
          <w:szCs w:val="24"/>
        </w:rPr>
        <w:t>2.</w:t>
      </w:r>
      <w:r>
        <w:rPr>
          <w:rFonts w:hint="eastAsia" w:eastAsia="宋体"/>
          <w:sz w:val="24"/>
          <w:szCs w:val="24"/>
        </w:rPr>
        <w:t>6</w:t>
      </w:r>
      <w:r>
        <w:rPr>
          <w:rFonts w:hint="eastAsia" w:eastAsia="宋体"/>
          <w:color w:val="000000" w:themeColor="text1"/>
          <w:sz w:val="24"/>
          <w:szCs w:val="24"/>
          <w14:textFill>
            <w14:solidFill>
              <w14:schemeClr w14:val="tx1"/>
            </w14:solidFill>
          </w14:textFill>
        </w:rPr>
        <w:t>术语与定义</w:t>
      </w:r>
      <w:bookmarkEnd w:id="46"/>
      <w:bookmarkEnd w:id="47"/>
      <w:bookmarkEnd w:id="48"/>
    </w:p>
    <w:p w14:paraId="224ADEBB">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4BD36BC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2663F595">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70C2047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8E854DF">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6D86EF96">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3EDAAE49">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14:textFill>
            <w14:solidFill>
              <w14:schemeClr w14:val="tx1"/>
            </w14:solidFill>
          </w14:textFill>
        </w:rPr>
        <w:t>。</w:t>
      </w:r>
    </w:p>
    <w:p w14:paraId="172E58AA">
      <w:pPr>
        <w:pStyle w:val="34"/>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048E2E2E">
      <w:pPr>
        <w:pStyle w:val="34"/>
        <w:adjustRightInd w:val="0"/>
        <w:snapToGrid w:val="0"/>
        <w:spacing w:before="0" w:beforeAutospacing="0" w:after="0" w:afterAutospacing="0" w:line="500" w:lineRule="exact"/>
        <w:ind w:left="881" w:firstLine="480" w:firstLineChars="200"/>
        <w:rPr>
          <w:rFonts w:ascii="Times New Roman" w:hAnsi="Times New Roman" w:eastAsia="宋体"/>
          <w:color w:val="000000" w:themeColor="text1"/>
          <w14:textFill>
            <w14:solidFill>
              <w14:schemeClr w14:val="tx1"/>
            </w14:solidFill>
          </w14:textFill>
        </w:rPr>
      </w:pPr>
    </w:p>
    <w:p w14:paraId="5809F747">
      <w:p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0E23CA31">
      <w:pPr>
        <w:pStyle w:val="2"/>
        <w:adjustRightInd w:val="0"/>
        <w:snapToGrid w:val="0"/>
        <w:spacing w:line="500" w:lineRule="exact"/>
        <w:rPr>
          <w:rFonts w:eastAsia="宋体"/>
          <w:sz w:val="24"/>
          <w:szCs w:val="24"/>
        </w:rPr>
      </w:pPr>
      <w:bookmarkStart w:id="49" w:name="_Toc12045"/>
      <w:bookmarkStart w:id="50" w:name="_Toc2364"/>
      <w:bookmarkStart w:id="51" w:name="_Toc18151"/>
      <w:bookmarkStart w:id="52" w:name="_Toc14635"/>
      <w:r>
        <w:rPr>
          <w:rFonts w:eastAsia="宋体"/>
          <w:sz w:val="24"/>
          <w:szCs w:val="24"/>
        </w:rPr>
        <w:t>3资料准备与环境风险识别</w:t>
      </w:r>
      <w:bookmarkEnd w:id="49"/>
      <w:bookmarkEnd w:id="50"/>
      <w:bookmarkEnd w:id="51"/>
      <w:bookmarkEnd w:id="52"/>
    </w:p>
    <w:p w14:paraId="64FD1595">
      <w:pPr>
        <w:pStyle w:val="3"/>
        <w:adjustRightInd w:val="0"/>
        <w:snapToGrid w:val="0"/>
        <w:spacing w:line="500" w:lineRule="exact"/>
        <w:rPr>
          <w:rFonts w:eastAsia="宋体"/>
          <w:sz w:val="24"/>
          <w:szCs w:val="24"/>
        </w:rPr>
      </w:pPr>
      <w:bookmarkStart w:id="53" w:name="_Toc376"/>
      <w:bookmarkStart w:id="54" w:name="_Toc28482"/>
      <w:bookmarkStart w:id="55" w:name="_Toc16038"/>
      <w:bookmarkStart w:id="56" w:name="_Toc4446"/>
      <w:r>
        <w:rPr>
          <w:rFonts w:eastAsia="宋体"/>
          <w:sz w:val="24"/>
          <w:szCs w:val="24"/>
        </w:rPr>
        <w:t>3.1企业基本信息</w:t>
      </w:r>
      <w:bookmarkEnd w:id="53"/>
      <w:bookmarkEnd w:id="54"/>
      <w:bookmarkEnd w:id="55"/>
      <w:bookmarkEnd w:id="56"/>
    </w:p>
    <w:p w14:paraId="3EEEB779">
      <w:pPr>
        <w:pStyle w:val="5"/>
        <w:adjustRightInd w:val="0"/>
        <w:snapToGrid w:val="0"/>
        <w:spacing w:line="500" w:lineRule="exact"/>
        <w:rPr>
          <w:rFonts w:eastAsia="宋体"/>
          <w:szCs w:val="24"/>
        </w:rPr>
      </w:pPr>
      <w:bookmarkStart w:id="57" w:name="_Toc2782"/>
      <w:bookmarkStart w:id="58" w:name="_Toc30507"/>
      <w:bookmarkStart w:id="59" w:name="_Toc21550"/>
      <w:bookmarkStart w:id="60" w:name="_Toc23827"/>
      <w:r>
        <w:rPr>
          <w:rFonts w:eastAsia="宋体"/>
          <w:szCs w:val="24"/>
        </w:rPr>
        <w:t>3.1.1企业概况</w:t>
      </w:r>
      <w:bookmarkEnd w:id="57"/>
      <w:bookmarkEnd w:id="58"/>
      <w:bookmarkEnd w:id="59"/>
      <w:bookmarkEnd w:id="60"/>
    </w:p>
    <w:p w14:paraId="00A45902">
      <w:pPr>
        <w:widowControl/>
        <w:adjustRightInd w:val="0"/>
        <w:snapToGrid w:val="0"/>
        <w:spacing w:line="500" w:lineRule="exact"/>
        <w:ind w:firstLine="480" w:firstLineChars="200"/>
        <w:rPr>
          <w:rFonts w:ascii="宋体" w:hAnsi="宋体" w:eastAsia="宋体" w:cs="宋体"/>
          <w:kern w:val="0"/>
          <w:szCs w:val="28"/>
        </w:rPr>
      </w:pPr>
      <w:r>
        <w:rPr>
          <w:rFonts w:hint="eastAsia" w:eastAsia="宋体"/>
          <w:bCs/>
          <w:color w:val="000000"/>
          <w:highlight w:val="none"/>
          <w:lang w:eastAsia="zh-CN"/>
        </w:rPr>
        <w:t>南通名万家具有限公司</w:t>
      </w:r>
      <w:r>
        <w:rPr>
          <w:rFonts w:eastAsia="宋体"/>
          <w:bCs/>
          <w:color w:val="000000"/>
          <w:highlight w:val="none"/>
        </w:rPr>
        <w:t>成立于</w:t>
      </w:r>
      <w:r>
        <w:rPr>
          <w:rFonts w:hint="eastAsia" w:eastAsia="宋体"/>
          <w:bCs/>
          <w:color w:val="000000"/>
          <w:highlight w:val="none"/>
          <w:lang w:eastAsia="zh-CN"/>
        </w:rPr>
        <w:t>20</w:t>
      </w:r>
      <w:r>
        <w:rPr>
          <w:rFonts w:hint="eastAsia" w:eastAsia="宋体"/>
          <w:bCs/>
          <w:color w:val="000000"/>
          <w:highlight w:val="none"/>
          <w:lang w:val="en-US" w:eastAsia="zh-CN"/>
        </w:rPr>
        <w:t>20</w:t>
      </w:r>
      <w:r>
        <w:rPr>
          <w:rFonts w:hint="eastAsia" w:eastAsia="宋体"/>
          <w:bCs/>
          <w:color w:val="000000"/>
          <w:highlight w:val="none"/>
          <w:lang w:eastAsia="zh-CN"/>
        </w:rPr>
        <w:t>年</w:t>
      </w:r>
      <w:r>
        <w:rPr>
          <w:rFonts w:hint="eastAsia" w:eastAsia="宋体"/>
          <w:bCs/>
          <w:color w:val="000000"/>
          <w:highlight w:val="none"/>
          <w:lang w:val="en-US" w:eastAsia="zh-CN"/>
        </w:rPr>
        <w:t>4</w:t>
      </w:r>
      <w:r>
        <w:rPr>
          <w:rFonts w:hint="eastAsia" w:eastAsia="宋体"/>
          <w:bCs/>
          <w:color w:val="000000"/>
          <w:highlight w:val="none"/>
          <w:lang w:eastAsia="zh-CN"/>
        </w:rPr>
        <w:t>月</w:t>
      </w:r>
      <w:r>
        <w:rPr>
          <w:rFonts w:eastAsia="宋体"/>
          <w:bCs/>
          <w:color w:val="000000"/>
          <w:highlight w:val="none"/>
        </w:rPr>
        <w:t>，位于</w:t>
      </w:r>
      <w:r>
        <w:rPr>
          <w:rFonts w:hint="eastAsia" w:eastAsia="宋体"/>
          <w:bCs/>
          <w:color w:val="000000"/>
          <w:highlight w:val="none"/>
          <w:lang w:eastAsia="zh-CN"/>
        </w:rPr>
        <w:t>海安市</w:t>
      </w:r>
      <w:r>
        <w:rPr>
          <w:rFonts w:hint="default" w:ascii="Times New Roman" w:hAnsi="Times New Roman" w:eastAsia="宋体" w:cs="Times New Roman"/>
          <w:sz w:val="24"/>
          <w:szCs w:val="24"/>
        </w:rPr>
        <w:t>老坝港滨海新区（角斜镇）锦绣路33号</w:t>
      </w:r>
      <w:r>
        <w:rPr>
          <w:rFonts w:eastAsia="宋体"/>
          <w:bCs/>
          <w:color w:val="000000"/>
          <w:highlight w:val="none"/>
        </w:rPr>
        <w:t>，是一家</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cs="Times New Roman" w:eastAsiaTheme="minorEastAsia"/>
          <w:kern w:val="0"/>
          <w:sz w:val="24"/>
          <w:szCs w:val="24"/>
          <w:highlight w:val="none"/>
          <w:lang w:val="en-US" w:eastAsia="zh-CN"/>
        </w:rPr>
        <w:t>家具制造</w:t>
      </w:r>
      <w:r>
        <w:rPr>
          <w:rFonts w:eastAsia="宋体"/>
          <w:bCs/>
          <w:color w:val="000000"/>
          <w:highlight w:val="none"/>
        </w:rPr>
        <w:t>的企业。</w:t>
      </w:r>
      <w:r>
        <w:rPr>
          <w:rFonts w:hint="eastAsia" w:eastAsia="宋体"/>
          <w:bCs/>
          <w:color w:val="000000"/>
          <w:highlight w:val="none"/>
          <w:lang w:eastAsia="zh-CN"/>
        </w:rPr>
        <w:t>南通名万家具有限公司</w:t>
      </w:r>
      <w:r>
        <w:rPr>
          <w:rFonts w:eastAsia="宋体"/>
          <w:bCs/>
          <w:color w:val="000000"/>
          <w:highlight w:val="none"/>
        </w:rPr>
        <w:t>投资</w:t>
      </w:r>
      <w:r>
        <w:rPr>
          <w:rFonts w:hint="eastAsia" w:eastAsia="宋体"/>
          <w:bCs/>
          <w:color w:val="000000"/>
          <w:highlight w:val="none"/>
          <w:lang w:val="en-US" w:eastAsia="zh-CN"/>
        </w:rPr>
        <w:t>100</w:t>
      </w:r>
      <w:r>
        <w:rPr>
          <w:rFonts w:eastAsia="宋体"/>
          <w:bCs/>
          <w:color w:val="000000"/>
          <w:highlight w:val="none"/>
        </w:rPr>
        <w:t>万元建设</w:t>
      </w: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名万</w:t>
      </w:r>
      <w:r>
        <w:rPr>
          <w:rFonts w:eastAsia="宋体"/>
          <w:bCs/>
          <w:color w:val="000000"/>
          <w:highlight w:val="none"/>
        </w:rPr>
        <w:t>家具</w:t>
      </w:r>
      <w:r>
        <w:rPr>
          <w:rFonts w:hint="eastAsia" w:eastAsia="宋体"/>
          <w:bCs/>
          <w:color w:val="000000"/>
          <w:highlight w:val="none"/>
          <w:lang w:val="en-US" w:eastAsia="zh-CN"/>
        </w:rPr>
        <w:t>制造</w:t>
      </w:r>
      <w:r>
        <w:rPr>
          <w:rFonts w:eastAsia="宋体"/>
          <w:bCs/>
          <w:color w:val="000000"/>
          <w:highlight w:val="none"/>
        </w:rPr>
        <w:t>项目</w:t>
      </w:r>
      <w:r>
        <w:rPr>
          <w:rFonts w:hint="eastAsia" w:ascii="宋体" w:hAnsi="宋体" w:eastAsia="宋体" w:cs="宋体"/>
          <w:bCs/>
          <w:color w:val="000000"/>
          <w:highlight w:val="none"/>
        </w:rPr>
        <w:t>”</w:t>
      </w:r>
      <w:r>
        <w:rPr>
          <w:rFonts w:eastAsia="宋体"/>
          <w:bCs/>
          <w:color w:val="000000"/>
          <w:highlight w:val="none"/>
        </w:rPr>
        <w:t>。</w:t>
      </w:r>
      <w:r>
        <w:rPr>
          <w:rFonts w:hint="eastAsia" w:eastAsia="宋体"/>
          <w:bCs/>
          <w:color w:val="000000"/>
          <w:highlight w:val="none"/>
        </w:rPr>
        <w:t>公司</w:t>
      </w:r>
      <w:r>
        <w:rPr>
          <w:rFonts w:hint="default" w:ascii="Times New Roman" w:hAnsi="Times New Roman" w:cs="Times New Roman" w:eastAsiaTheme="minorEastAsia"/>
          <w:kern w:val="0"/>
          <w:sz w:val="24"/>
          <w:szCs w:val="24"/>
          <w:highlight w:val="none"/>
        </w:rPr>
        <w:t>占地面积</w:t>
      </w:r>
      <w:r>
        <w:rPr>
          <w:rFonts w:hint="eastAsia" w:cs="Times New Roman" w:eastAsiaTheme="minorEastAsia"/>
          <w:kern w:val="0"/>
          <w:sz w:val="24"/>
          <w:szCs w:val="24"/>
          <w:highlight w:val="none"/>
          <w:lang w:val="en-US" w:eastAsia="zh-CN"/>
        </w:rPr>
        <w:t>4431平方米</w:t>
      </w:r>
      <w:r>
        <w:rPr>
          <w:rFonts w:hint="default" w:ascii="Times New Roman" w:hAnsi="Times New Roman" w:cs="Times New Roman" w:eastAsiaTheme="minorEastAsia"/>
          <w:kern w:val="0"/>
          <w:sz w:val="24"/>
          <w:szCs w:val="24"/>
          <w:highlight w:val="none"/>
        </w:rPr>
        <w:t>，总建设面积</w:t>
      </w:r>
      <w:r>
        <w:rPr>
          <w:rFonts w:hint="eastAsia" w:cs="Times New Roman" w:eastAsiaTheme="minorEastAsia"/>
          <w:kern w:val="0"/>
          <w:sz w:val="24"/>
          <w:szCs w:val="24"/>
          <w:highlight w:val="none"/>
          <w:lang w:val="en-US" w:eastAsia="zh-CN"/>
        </w:rPr>
        <w:t>8862</w:t>
      </w:r>
      <w:r>
        <w:rPr>
          <w:rFonts w:hint="eastAsia" w:cs="Times New Roman" w:eastAsiaTheme="minorEastAsia"/>
          <w:kern w:val="0"/>
          <w:sz w:val="24"/>
          <w:szCs w:val="24"/>
          <w:highlight w:val="none"/>
          <w:lang w:eastAsia="zh-CN"/>
        </w:rPr>
        <w:t>平方米</w:t>
      </w:r>
      <w:r>
        <w:rPr>
          <w:rFonts w:eastAsia="宋体"/>
          <w:bCs/>
          <w:color w:val="000000"/>
          <w:highlight w:val="none"/>
        </w:rPr>
        <w:t>，职工</w:t>
      </w:r>
      <w:r>
        <w:rPr>
          <w:rFonts w:hint="eastAsia" w:eastAsia="宋体"/>
          <w:bCs/>
          <w:color w:val="000000"/>
          <w:highlight w:val="none"/>
          <w:lang w:val="en-US" w:eastAsia="zh-CN"/>
        </w:rPr>
        <w:t>30</w:t>
      </w:r>
      <w:r>
        <w:rPr>
          <w:rFonts w:eastAsia="宋体"/>
          <w:bCs/>
          <w:color w:val="000000"/>
          <w:highlight w:val="none"/>
        </w:rPr>
        <w:t>人，一班8h工作制，年工作300天。</w:t>
      </w:r>
      <w:r>
        <w:rPr>
          <w:rFonts w:eastAsia="宋体"/>
          <w:bCs/>
          <w:color w:val="000000"/>
        </w:rPr>
        <w:t>公司基本情况汇总见表3-1。</w:t>
      </w:r>
    </w:p>
    <w:p w14:paraId="50332DCC">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表3-1</w:t>
      </w:r>
      <w:r>
        <w:rPr>
          <w:rFonts w:hint="eastAsia" w:eastAsia="宋体"/>
          <w:b/>
          <w:szCs w:val="28"/>
          <w:lang w:eastAsia="zh-CN"/>
        </w:rPr>
        <w:t>名万家具</w:t>
      </w:r>
      <w:r>
        <w:rPr>
          <w:rFonts w:eastAsia="宋体"/>
          <w:b/>
          <w:szCs w:val="28"/>
        </w:rPr>
        <w:t>基本情况汇总表</w:t>
      </w:r>
    </w:p>
    <w:tbl>
      <w:tblPr>
        <w:tblStyle w:val="38"/>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4BF9C1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672AECA7">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0A74B17F">
            <w:pPr>
              <w:pStyle w:val="47"/>
              <w:jc w:val="center"/>
              <w:rPr>
                <w:rFonts w:ascii="Times New Roman" w:eastAsia="宋体" w:cs="Times New Roman"/>
                <w:sz w:val="21"/>
                <w:szCs w:val="21"/>
                <w:highlight w:val="none"/>
              </w:rPr>
            </w:pPr>
            <w:r>
              <w:rPr>
                <w:rFonts w:hint="eastAsia" w:ascii="Times New Roman" w:eastAsia="宋体" w:cs="Times New Roman"/>
                <w:bCs/>
                <w:sz w:val="21"/>
                <w:szCs w:val="21"/>
                <w:highlight w:val="none"/>
                <w:lang w:eastAsia="zh-CN"/>
              </w:rPr>
              <w:t>南通名万家具有限公司</w:t>
            </w:r>
          </w:p>
        </w:tc>
      </w:tr>
      <w:tr w14:paraId="6129AA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471F86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347BF66F">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bCs/>
                <w:sz w:val="21"/>
                <w:szCs w:val="21"/>
                <w:highlight w:val="none"/>
                <w:lang w:eastAsia="zh-CN"/>
              </w:rPr>
              <w:t>海安市老坝港滨海新区（角斜镇）锦绣路33号</w:t>
            </w:r>
          </w:p>
        </w:tc>
        <w:tc>
          <w:tcPr>
            <w:tcW w:w="2054" w:type="dxa"/>
            <w:tcBorders>
              <w:top w:val="single" w:color="000000" w:sz="4" w:space="0"/>
              <w:left w:val="single" w:color="000000" w:sz="4" w:space="0"/>
              <w:bottom w:val="single" w:color="000000" w:sz="4" w:space="0"/>
              <w:right w:val="single" w:color="000000" w:sz="4" w:space="0"/>
            </w:tcBorders>
            <w:vAlign w:val="center"/>
          </w:tcPr>
          <w:p w14:paraId="7331D248">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7BCE4CD9">
            <w:pPr>
              <w:pStyle w:val="47"/>
              <w:jc w:val="center"/>
              <w:rPr>
                <w:rFonts w:hint="default" w:ascii="Times New Roman" w:eastAsia="宋体" w:cs="Times New Roman"/>
                <w:sz w:val="21"/>
                <w:szCs w:val="21"/>
                <w:highlight w:val="none"/>
                <w:lang w:val="en-US"/>
              </w:rPr>
            </w:pPr>
            <w:r>
              <w:rPr>
                <w:rFonts w:ascii="Times New Roman" w:eastAsia="宋体" w:cs="Times New Roman"/>
                <w:sz w:val="21"/>
                <w:szCs w:val="21"/>
                <w:highlight w:val="none"/>
              </w:rPr>
              <w:t>海安市</w:t>
            </w:r>
            <w:r>
              <w:rPr>
                <w:rFonts w:hint="eastAsia" w:ascii="Times New Roman" w:eastAsia="宋体" w:cs="Times New Roman"/>
                <w:sz w:val="21"/>
                <w:szCs w:val="21"/>
                <w:highlight w:val="none"/>
                <w:lang w:val="en-US" w:eastAsia="zh-CN"/>
              </w:rPr>
              <w:t>老坝港滨海新区</w:t>
            </w:r>
          </w:p>
        </w:tc>
      </w:tr>
      <w:tr w14:paraId="60E874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796ABC3">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4D13281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556244D8">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78467FD8">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角斜</w:t>
            </w:r>
            <w:r>
              <w:rPr>
                <w:rFonts w:ascii="Times New Roman" w:eastAsia="宋体" w:cs="Times New Roman"/>
                <w:sz w:val="21"/>
                <w:szCs w:val="21"/>
                <w:highlight w:val="none"/>
              </w:rPr>
              <w:t>镇</w:t>
            </w:r>
          </w:p>
        </w:tc>
      </w:tr>
      <w:tr w14:paraId="5FD851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068787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19DA2413">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val="en-US" w:eastAsia="zh-CN"/>
              </w:rPr>
              <w:t>韩仁敏</w:t>
            </w:r>
          </w:p>
        </w:tc>
        <w:tc>
          <w:tcPr>
            <w:tcW w:w="2054" w:type="dxa"/>
            <w:tcBorders>
              <w:top w:val="single" w:color="000000" w:sz="4" w:space="0"/>
              <w:left w:val="single" w:color="000000" w:sz="4" w:space="0"/>
              <w:bottom w:val="single" w:color="000000" w:sz="4" w:space="0"/>
              <w:right w:val="single" w:color="000000" w:sz="4" w:space="0"/>
            </w:tcBorders>
            <w:vAlign w:val="center"/>
          </w:tcPr>
          <w:p w14:paraId="68536F19">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19BF4961">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w:t>
            </w:r>
          </w:p>
        </w:tc>
      </w:tr>
      <w:tr w14:paraId="33C351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4EB3A7A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087277F2">
            <w:pPr>
              <w:pStyle w:val="47"/>
              <w:jc w:val="center"/>
              <w:rPr>
                <w:rFonts w:hint="default" w:ascii="Times New Roman" w:eastAsia="宋体" w:cs="Times New Roman"/>
                <w:sz w:val="21"/>
                <w:szCs w:val="21"/>
                <w:highlight w:val="none"/>
                <w:lang w:val="en-US" w:eastAsia="zh-CN"/>
              </w:rPr>
            </w:pPr>
            <w:r>
              <w:rPr>
                <w:rFonts w:hint="default" w:ascii="Times New Roman" w:eastAsia="宋体" w:cs="Times New Roman"/>
                <w:sz w:val="21"/>
                <w:szCs w:val="21"/>
                <w:highlight w:val="none"/>
                <w:lang w:val="en-US" w:eastAsia="zh-CN"/>
              </w:rPr>
              <w:t>91320621MA215N0E65</w:t>
            </w:r>
          </w:p>
        </w:tc>
        <w:tc>
          <w:tcPr>
            <w:tcW w:w="2054" w:type="dxa"/>
            <w:tcBorders>
              <w:top w:val="single" w:color="000000" w:sz="4" w:space="0"/>
              <w:left w:val="single" w:color="000000" w:sz="4" w:space="0"/>
              <w:bottom w:val="single" w:color="000000" w:sz="4" w:space="0"/>
              <w:right w:val="single" w:color="000000" w:sz="4" w:space="0"/>
            </w:tcBorders>
            <w:vAlign w:val="center"/>
          </w:tcPr>
          <w:p w14:paraId="7F7B5106">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邮政编码</w:t>
            </w:r>
          </w:p>
        </w:tc>
        <w:tc>
          <w:tcPr>
            <w:tcW w:w="2000" w:type="dxa"/>
            <w:tcBorders>
              <w:top w:val="single" w:color="000000" w:sz="4" w:space="0"/>
              <w:left w:val="single" w:color="000000" w:sz="4" w:space="0"/>
              <w:bottom w:val="single" w:color="000000" w:sz="4" w:space="0"/>
              <w:right w:val="single" w:color="000000" w:sz="12" w:space="0"/>
            </w:tcBorders>
            <w:vAlign w:val="center"/>
          </w:tcPr>
          <w:p w14:paraId="1712FFD9">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226600</w:t>
            </w:r>
          </w:p>
        </w:tc>
      </w:tr>
      <w:tr w14:paraId="1938C5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9F8EFBD">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589D081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w:t>
            </w:r>
          </w:p>
        </w:tc>
        <w:tc>
          <w:tcPr>
            <w:tcW w:w="2054" w:type="dxa"/>
            <w:tcBorders>
              <w:top w:val="single" w:color="000000" w:sz="4" w:space="0"/>
              <w:left w:val="single" w:color="000000" w:sz="4" w:space="0"/>
              <w:bottom w:val="single" w:color="000000" w:sz="4" w:space="0"/>
              <w:right w:val="single" w:color="000000" w:sz="4" w:space="0"/>
            </w:tcBorders>
            <w:vAlign w:val="center"/>
          </w:tcPr>
          <w:p w14:paraId="34AD57E3">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45BB0B2A">
            <w:pPr>
              <w:pStyle w:val="47"/>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val="en-US" w:eastAsia="zh-CN"/>
              </w:rPr>
              <w:t>30</w:t>
            </w:r>
            <w:r>
              <w:rPr>
                <w:rFonts w:hint="eastAsia" w:ascii="Times New Roman" w:eastAsia="宋体" w:cs="Times New Roman"/>
                <w:sz w:val="21"/>
                <w:szCs w:val="21"/>
                <w:highlight w:val="none"/>
                <w:lang w:eastAsia="zh-CN"/>
              </w:rPr>
              <w:t>人</w:t>
            </w:r>
          </w:p>
        </w:tc>
      </w:tr>
      <w:tr w14:paraId="23FEBB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FF0699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1D414BA0">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小</w:t>
            </w:r>
            <w:r>
              <w:rPr>
                <w:rFonts w:ascii="Times New Roman" w:eastAsia="宋体" w:cs="Times New Roman"/>
                <w:sz w:val="21"/>
                <w:szCs w:val="21"/>
                <w:highlight w:val="none"/>
              </w:rPr>
              <w:t>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38DD9B6A">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占地面积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1736015D">
            <w:pPr>
              <w:pStyle w:val="47"/>
              <w:jc w:val="center"/>
              <w:rPr>
                <w:rFonts w:ascii="Times New Roman" w:eastAsia="宋体" w:cs="Times New Roman"/>
                <w:sz w:val="21"/>
                <w:szCs w:val="21"/>
                <w:highlight w:val="none"/>
              </w:rPr>
            </w:pPr>
            <w:r>
              <w:rPr>
                <w:rFonts w:hint="eastAsia" w:ascii="Times New Roman" w:cs="仿宋_GB2312"/>
                <w:kern w:val="0"/>
                <w:sz w:val="21"/>
                <w:szCs w:val="24"/>
                <w:highlight w:val="none"/>
                <w:lang w:val="en-US" w:eastAsia="zh-CN"/>
              </w:rPr>
              <w:t>4431</w:t>
            </w:r>
            <w:r>
              <w:rPr>
                <w:rFonts w:ascii="Times New Roman" w:eastAsia="宋体" w:cs="Times New Roman"/>
                <w:sz w:val="21"/>
                <w:szCs w:val="21"/>
                <w:highlight w:val="none"/>
              </w:rPr>
              <w:t>m</w:t>
            </w:r>
            <w:r>
              <w:rPr>
                <w:rFonts w:ascii="Times New Roman" w:eastAsia="宋体" w:cs="Times New Roman"/>
                <w:sz w:val="21"/>
                <w:szCs w:val="21"/>
                <w:highlight w:val="none"/>
                <w:vertAlign w:val="superscript"/>
              </w:rPr>
              <w:t>2</w:t>
            </w:r>
          </w:p>
        </w:tc>
      </w:tr>
      <w:tr w14:paraId="5B705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A6545D0">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669EE792">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lang w:val="en-US" w:eastAsia="zh-CN"/>
              </w:rPr>
              <w:t>白胚椅子、白胚茶几</w:t>
            </w:r>
            <w:r>
              <w:rPr>
                <w:rFonts w:ascii="Times New Roman" w:eastAsia="宋体" w:cs="Times New Roman"/>
                <w:sz w:val="21"/>
                <w:szCs w:val="21"/>
                <w:highlight w:val="none"/>
              </w:rPr>
              <w:t>、</w:t>
            </w:r>
            <w:r>
              <w:rPr>
                <w:rFonts w:hint="eastAsia" w:ascii="Times New Roman" w:eastAsia="宋体" w:cs="Times New Roman"/>
                <w:sz w:val="21"/>
                <w:szCs w:val="21"/>
                <w:highlight w:val="none"/>
                <w:lang w:val="en-US" w:eastAsia="zh-CN"/>
              </w:rPr>
              <w:t>水性</w:t>
            </w:r>
            <w:r>
              <w:rPr>
                <w:rFonts w:ascii="Times New Roman" w:eastAsia="宋体" w:cs="Times New Roman"/>
                <w:sz w:val="21"/>
                <w:szCs w:val="21"/>
                <w:highlight w:val="none"/>
              </w:rPr>
              <w:t>漆等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0EAB9F7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13B36771">
            <w:pPr>
              <w:pStyle w:val="47"/>
              <w:jc w:val="center"/>
              <w:rPr>
                <w:rFonts w:hint="eastAsia" w:ascii="Times New Roman" w:eastAsia="宋体" w:cs="Times New Roman"/>
                <w:sz w:val="21"/>
                <w:szCs w:val="21"/>
                <w:highlight w:val="none"/>
                <w:lang w:val="en-US" w:eastAsia="zh-CN"/>
              </w:rPr>
            </w:pPr>
            <w:r>
              <w:rPr>
                <w:rFonts w:ascii="Times New Roman" w:eastAsia="宋体" w:cs="Times New Roman"/>
                <w:sz w:val="21"/>
                <w:szCs w:val="21"/>
                <w:highlight w:val="none"/>
              </w:rPr>
              <w:t>C21</w:t>
            </w:r>
            <w:r>
              <w:rPr>
                <w:rFonts w:hint="eastAsia" w:ascii="Times New Roman" w:eastAsia="宋体" w:cs="Times New Roman"/>
                <w:sz w:val="21"/>
                <w:szCs w:val="21"/>
                <w:highlight w:val="none"/>
                <w:lang w:val="en-US" w:eastAsia="zh-CN"/>
              </w:rPr>
              <w:t>10</w:t>
            </w:r>
            <w:r>
              <w:rPr>
                <w:rFonts w:ascii="Times New Roman" w:eastAsia="宋体" w:cs="Times New Roman"/>
                <w:sz w:val="21"/>
                <w:szCs w:val="21"/>
                <w:highlight w:val="none"/>
              </w:rPr>
              <w:t>家具制造</w:t>
            </w:r>
            <w:r>
              <w:rPr>
                <w:rFonts w:hint="eastAsia" w:ascii="Times New Roman" w:eastAsia="宋体" w:cs="Times New Roman"/>
                <w:sz w:val="21"/>
                <w:szCs w:val="21"/>
                <w:highlight w:val="none"/>
                <w:lang w:val="en-US" w:eastAsia="zh-CN"/>
              </w:rPr>
              <w:t>业</w:t>
            </w:r>
          </w:p>
        </w:tc>
      </w:tr>
      <w:tr w14:paraId="3CC71D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809B20D">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36672620">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椅子、茶几</w:t>
            </w:r>
          </w:p>
        </w:tc>
        <w:tc>
          <w:tcPr>
            <w:tcW w:w="2054" w:type="dxa"/>
            <w:tcBorders>
              <w:top w:val="single" w:color="000000" w:sz="4" w:space="0"/>
              <w:left w:val="single" w:color="000000" w:sz="4" w:space="0"/>
              <w:bottom w:val="single" w:color="000000" w:sz="4" w:space="0"/>
              <w:right w:val="single" w:color="000000" w:sz="4" w:space="0"/>
            </w:tcBorders>
            <w:vAlign w:val="center"/>
          </w:tcPr>
          <w:p w14:paraId="7D9A753E">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7F738C31">
            <w:pPr>
              <w:pStyle w:val="47"/>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120.</w:t>
            </w:r>
            <w:r>
              <w:rPr>
                <w:rFonts w:hint="eastAsia" w:ascii="Times New Roman"/>
                <w:sz w:val="21"/>
                <w:highlight w:val="none"/>
                <w:lang w:val="en-US" w:eastAsia="zh-CN"/>
              </w:rPr>
              <w:t>941847</w:t>
            </w:r>
          </w:p>
        </w:tc>
      </w:tr>
      <w:tr w14:paraId="64243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3F8419F">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15D8F98B">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张保玉</w:t>
            </w:r>
          </w:p>
        </w:tc>
        <w:tc>
          <w:tcPr>
            <w:tcW w:w="2054" w:type="dxa"/>
            <w:tcBorders>
              <w:top w:val="single" w:color="000000" w:sz="4" w:space="0"/>
              <w:left w:val="single" w:color="000000" w:sz="4" w:space="0"/>
              <w:bottom w:val="single" w:color="000000" w:sz="4" w:space="0"/>
              <w:right w:val="single" w:color="000000" w:sz="4" w:space="0"/>
            </w:tcBorders>
            <w:vAlign w:val="center"/>
          </w:tcPr>
          <w:p w14:paraId="3D8ECC3B">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0B159C09">
            <w:pPr>
              <w:pStyle w:val="47"/>
              <w:jc w:val="center"/>
              <w:rPr>
                <w:rFonts w:hint="default" w:ascii="Times New Roman" w:eastAsia="宋体" w:cs="Times New Roman"/>
                <w:sz w:val="21"/>
                <w:szCs w:val="21"/>
                <w:highlight w:val="none"/>
                <w:lang w:val="en-US"/>
              </w:rPr>
            </w:pPr>
            <w:r>
              <w:rPr>
                <w:rFonts w:hint="eastAsia" w:ascii="Times New Roman" w:hAnsi="Times New Roman"/>
                <w:sz w:val="21"/>
                <w:highlight w:val="none"/>
                <w:lang w:eastAsia="zh-CN"/>
              </w:rPr>
              <w:t>32.</w:t>
            </w:r>
            <w:r>
              <w:rPr>
                <w:rFonts w:hint="eastAsia" w:ascii="Times New Roman"/>
                <w:sz w:val="21"/>
                <w:highlight w:val="none"/>
                <w:lang w:val="en-US" w:eastAsia="zh-CN"/>
              </w:rPr>
              <w:t>641797</w:t>
            </w:r>
          </w:p>
        </w:tc>
      </w:tr>
      <w:tr w14:paraId="54BBF6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0BB0A74">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1C450979">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13812673899</w:t>
            </w:r>
          </w:p>
        </w:tc>
        <w:tc>
          <w:tcPr>
            <w:tcW w:w="2054" w:type="dxa"/>
            <w:tcBorders>
              <w:top w:val="single" w:color="000000" w:sz="4" w:space="0"/>
              <w:left w:val="single" w:color="000000" w:sz="4" w:space="0"/>
              <w:bottom w:val="single" w:color="000000" w:sz="4" w:space="0"/>
              <w:right w:val="single" w:color="000000" w:sz="4" w:space="0"/>
            </w:tcBorders>
            <w:vAlign w:val="center"/>
          </w:tcPr>
          <w:p w14:paraId="4A105311">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000" w:type="dxa"/>
            <w:tcBorders>
              <w:top w:val="single" w:color="000000" w:sz="4" w:space="0"/>
              <w:left w:val="single" w:color="000000" w:sz="4" w:space="0"/>
              <w:bottom w:val="single" w:color="000000" w:sz="4" w:space="0"/>
              <w:right w:val="single" w:color="000000" w:sz="12" w:space="0"/>
            </w:tcBorders>
            <w:vAlign w:val="center"/>
          </w:tcPr>
          <w:p w14:paraId="066202D6">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r w14:paraId="6371AF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12" w:space="0"/>
              <w:right w:val="single" w:color="000000" w:sz="4" w:space="0"/>
            </w:tcBorders>
            <w:vAlign w:val="center"/>
          </w:tcPr>
          <w:p w14:paraId="609E439B">
            <w:pPr>
              <w:pStyle w:val="47"/>
              <w:jc w:val="center"/>
              <w:rPr>
                <w:rFonts w:ascii="Times New Roman" w:eastAsia="宋体" w:cs="Times New Roman"/>
                <w:sz w:val="21"/>
                <w:szCs w:val="21"/>
                <w:highlight w:val="none"/>
              </w:rPr>
            </w:pPr>
            <w:r>
              <w:rPr>
                <w:rFonts w:ascii="Times New Roman" w:eastAsia="宋体" w:cs="Times New Roman"/>
                <w:sz w:val="21"/>
                <w:szCs w:val="21"/>
                <w:highlight w:val="none"/>
              </w:rPr>
              <w:t>建厂日期</w:t>
            </w:r>
          </w:p>
        </w:tc>
        <w:tc>
          <w:tcPr>
            <w:tcW w:w="3454" w:type="dxa"/>
            <w:tcBorders>
              <w:top w:val="single" w:color="000000" w:sz="4" w:space="0"/>
              <w:left w:val="single" w:color="000000" w:sz="4" w:space="0"/>
              <w:bottom w:val="single" w:color="000000" w:sz="12" w:space="0"/>
              <w:right w:val="single" w:color="000000" w:sz="4" w:space="0"/>
            </w:tcBorders>
            <w:vAlign w:val="center"/>
          </w:tcPr>
          <w:p w14:paraId="06AC312F">
            <w:pPr>
              <w:pStyle w:val="47"/>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租赁闲置厂房</w:t>
            </w:r>
          </w:p>
        </w:tc>
        <w:tc>
          <w:tcPr>
            <w:tcW w:w="2054" w:type="dxa"/>
            <w:tcBorders>
              <w:top w:val="single" w:color="000000" w:sz="4" w:space="0"/>
              <w:left w:val="single" w:color="000000" w:sz="4" w:space="0"/>
              <w:bottom w:val="single" w:color="000000" w:sz="12" w:space="0"/>
              <w:right w:val="single" w:color="000000" w:sz="4" w:space="0"/>
            </w:tcBorders>
            <w:vAlign w:val="center"/>
          </w:tcPr>
          <w:p w14:paraId="765A509B">
            <w:pPr>
              <w:pStyle w:val="47"/>
              <w:jc w:val="center"/>
              <w:rPr>
                <w:rFonts w:ascii="Times New Roman" w:eastAsia="宋体" w:cs="Times New Roman"/>
                <w:sz w:val="21"/>
                <w:szCs w:val="21"/>
                <w:highlight w:val="none"/>
              </w:rPr>
            </w:pPr>
            <w:r>
              <w:rPr>
                <w:rFonts w:hint="eastAsia" w:ascii="Times New Roman" w:eastAsia="宋体" w:cs="Times New Roman"/>
                <w:sz w:val="21"/>
                <w:szCs w:val="21"/>
                <w:highlight w:val="none"/>
              </w:rPr>
              <w:t>调试</w:t>
            </w:r>
            <w:r>
              <w:rPr>
                <w:rFonts w:ascii="Times New Roman" w:eastAsia="宋体" w:cs="Times New Roman"/>
                <w:sz w:val="21"/>
                <w:szCs w:val="21"/>
                <w:highlight w:val="none"/>
              </w:rPr>
              <w:t>日期</w:t>
            </w:r>
          </w:p>
        </w:tc>
        <w:tc>
          <w:tcPr>
            <w:tcW w:w="2000" w:type="dxa"/>
            <w:tcBorders>
              <w:top w:val="single" w:color="000000" w:sz="4" w:space="0"/>
              <w:left w:val="single" w:color="000000" w:sz="4" w:space="0"/>
              <w:bottom w:val="single" w:color="000000" w:sz="12" w:space="0"/>
              <w:right w:val="single" w:color="000000" w:sz="12" w:space="0"/>
            </w:tcBorders>
            <w:vAlign w:val="center"/>
          </w:tcPr>
          <w:p w14:paraId="1B926921">
            <w:pPr>
              <w:pStyle w:val="47"/>
              <w:jc w:val="center"/>
              <w:rPr>
                <w:rFonts w:hint="default" w:ascii="Times New Roman" w:eastAsia="宋体" w:cs="Times New Roman"/>
                <w:sz w:val="21"/>
                <w:szCs w:val="21"/>
                <w:highlight w:val="none"/>
                <w:lang w:val="en-US" w:eastAsia="zh-CN"/>
              </w:rPr>
            </w:pPr>
            <w:r>
              <w:rPr>
                <w:rFonts w:ascii="Times New Roman" w:eastAsia="宋体" w:cs="Times New Roman"/>
                <w:sz w:val="21"/>
                <w:szCs w:val="21"/>
                <w:highlight w:val="none"/>
              </w:rPr>
              <w:t>20</w:t>
            </w:r>
            <w:r>
              <w:rPr>
                <w:rFonts w:hint="eastAsia" w:ascii="Times New Roman" w:eastAsia="宋体" w:cs="Times New Roman"/>
                <w:sz w:val="21"/>
                <w:szCs w:val="21"/>
                <w:highlight w:val="none"/>
                <w:lang w:val="en-US" w:eastAsia="zh-CN"/>
              </w:rPr>
              <w:t>20.8</w:t>
            </w:r>
          </w:p>
        </w:tc>
      </w:tr>
    </w:tbl>
    <w:p w14:paraId="124F450E">
      <w:pPr>
        <w:adjustRightInd w:val="0"/>
        <w:snapToGrid w:val="0"/>
        <w:spacing w:line="500" w:lineRule="exact"/>
        <w:ind w:firstLine="480" w:firstLineChars="200"/>
        <w:jc w:val="left"/>
        <w:rPr>
          <w:rFonts w:eastAsia="宋体"/>
        </w:rPr>
      </w:pPr>
      <w:r>
        <w:rPr>
          <w:rFonts w:eastAsia="宋体"/>
        </w:rPr>
        <w:t>公司具体</w:t>
      </w:r>
      <w:r>
        <w:rPr>
          <w:rFonts w:hint="eastAsia" w:eastAsia="宋体"/>
        </w:rPr>
        <w:t>环评</w:t>
      </w:r>
      <w:r>
        <w:rPr>
          <w:rFonts w:eastAsia="宋体"/>
        </w:rPr>
        <w:t>情况见表3-2。</w:t>
      </w:r>
    </w:p>
    <w:p w14:paraId="197ADA10">
      <w:pPr>
        <w:widowControl/>
        <w:tabs>
          <w:tab w:val="left" w:pos="1815"/>
          <w:tab w:val="left" w:pos="1845"/>
        </w:tabs>
        <w:adjustRightInd w:val="0"/>
        <w:snapToGrid w:val="0"/>
        <w:spacing w:line="500" w:lineRule="exact"/>
        <w:ind w:firstLine="562"/>
        <w:jc w:val="center"/>
        <w:rPr>
          <w:rFonts w:eastAsia="宋体"/>
          <w:b/>
          <w:szCs w:val="28"/>
        </w:rPr>
      </w:pPr>
      <w:r>
        <w:rPr>
          <w:rFonts w:eastAsia="宋体"/>
          <w:b/>
          <w:szCs w:val="28"/>
        </w:rPr>
        <w:t>表3-2</w:t>
      </w:r>
      <w:r>
        <w:rPr>
          <w:rFonts w:hint="eastAsia" w:eastAsia="宋体"/>
          <w:b/>
          <w:szCs w:val="28"/>
        </w:rPr>
        <w:t>环评收情况</w:t>
      </w:r>
    </w:p>
    <w:tbl>
      <w:tblPr>
        <w:tblStyle w:val="3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6C6FB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650ABB8A">
            <w:pPr>
              <w:widowControl/>
              <w:adjustRightInd w:val="0"/>
              <w:snapToGrid w:val="0"/>
              <w:jc w:val="center"/>
              <w:rPr>
                <w:rFonts w:eastAsia="宋体"/>
                <w:sz w:val="21"/>
                <w:szCs w:val="21"/>
              </w:rPr>
            </w:pPr>
            <w:r>
              <w:rPr>
                <w:rFonts w:eastAsia="宋体"/>
                <w:sz w:val="21"/>
                <w:szCs w:val="21"/>
              </w:rPr>
              <w:t>项目</w:t>
            </w:r>
          </w:p>
        </w:tc>
        <w:tc>
          <w:tcPr>
            <w:tcW w:w="2574" w:type="pct"/>
            <w:gridSpan w:val="2"/>
            <w:tcBorders>
              <w:tl2br w:val="nil"/>
              <w:tr2bl w:val="nil"/>
            </w:tcBorders>
            <w:shd w:val="clear" w:color="auto" w:fill="auto"/>
            <w:vAlign w:val="center"/>
          </w:tcPr>
          <w:p w14:paraId="09DFB3BE">
            <w:pPr>
              <w:widowControl/>
              <w:adjustRightInd w:val="0"/>
              <w:snapToGrid w:val="0"/>
              <w:jc w:val="center"/>
              <w:rPr>
                <w:rFonts w:eastAsia="宋体"/>
                <w:sz w:val="21"/>
                <w:szCs w:val="21"/>
              </w:rPr>
            </w:pPr>
            <w:r>
              <w:rPr>
                <w:rFonts w:hint="eastAsia" w:eastAsia="宋体"/>
                <w:sz w:val="21"/>
                <w:szCs w:val="21"/>
              </w:rPr>
              <w:t>环评</w:t>
            </w:r>
            <w:r>
              <w:rPr>
                <w:rFonts w:eastAsia="宋体"/>
                <w:sz w:val="21"/>
                <w:szCs w:val="21"/>
              </w:rPr>
              <w:t>批复情况</w:t>
            </w:r>
          </w:p>
        </w:tc>
      </w:tr>
      <w:tr w14:paraId="50164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DAA2C2E">
            <w:pPr>
              <w:widowControl/>
              <w:adjustRightInd w:val="0"/>
              <w:snapToGrid w:val="0"/>
              <w:jc w:val="center"/>
              <w:rPr>
                <w:rFonts w:eastAsia="宋体"/>
                <w:sz w:val="21"/>
                <w:szCs w:val="21"/>
              </w:rPr>
            </w:pPr>
          </w:p>
        </w:tc>
        <w:tc>
          <w:tcPr>
            <w:tcW w:w="1117" w:type="pct"/>
            <w:tcBorders>
              <w:tl2br w:val="nil"/>
              <w:tr2bl w:val="nil"/>
            </w:tcBorders>
            <w:shd w:val="clear" w:color="auto" w:fill="auto"/>
            <w:vAlign w:val="center"/>
          </w:tcPr>
          <w:p w14:paraId="5201230E">
            <w:pPr>
              <w:widowControl/>
              <w:adjustRightInd w:val="0"/>
              <w:snapToGrid w:val="0"/>
              <w:jc w:val="center"/>
              <w:rPr>
                <w:rFonts w:eastAsia="宋体"/>
                <w:sz w:val="21"/>
                <w:szCs w:val="21"/>
              </w:rPr>
            </w:pPr>
            <w:r>
              <w:rPr>
                <w:rFonts w:eastAsia="宋体"/>
                <w:sz w:val="21"/>
                <w:szCs w:val="21"/>
              </w:rPr>
              <w:t>审批单位</w:t>
            </w:r>
          </w:p>
        </w:tc>
        <w:tc>
          <w:tcPr>
            <w:tcW w:w="1456" w:type="pct"/>
            <w:tcBorders>
              <w:tl2br w:val="nil"/>
              <w:tr2bl w:val="nil"/>
            </w:tcBorders>
            <w:shd w:val="clear" w:color="auto" w:fill="auto"/>
            <w:vAlign w:val="center"/>
          </w:tcPr>
          <w:p w14:paraId="6ACB4028">
            <w:pPr>
              <w:widowControl/>
              <w:adjustRightInd w:val="0"/>
              <w:snapToGrid w:val="0"/>
              <w:jc w:val="center"/>
              <w:rPr>
                <w:rFonts w:eastAsia="宋体"/>
                <w:sz w:val="21"/>
                <w:szCs w:val="21"/>
              </w:rPr>
            </w:pPr>
            <w:r>
              <w:rPr>
                <w:rFonts w:eastAsia="宋体"/>
                <w:sz w:val="21"/>
                <w:szCs w:val="21"/>
              </w:rPr>
              <w:t>审批文号</w:t>
            </w:r>
          </w:p>
        </w:tc>
      </w:tr>
      <w:tr w14:paraId="3F77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2E629428">
            <w:pPr>
              <w:widowControl/>
              <w:adjustRightInd w:val="0"/>
              <w:snapToGrid w:val="0"/>
              <w:jc w:val="center"/>
              <w:rPr>
                <w:rFonts w:eastAsia="宋体"/>
                <w:sz w:val="21"/>
                <w:szCs w:val="21"/>
              </w:rPr>
            </w:pPr>
            <w:r>
              <w:rPr>
                <w:rFonts w:hint="eastAsia" w:eastAsia="宋体"/>
                <w:sz w:val="21"/>
                <w:szCs w:val="21"/>
                <w:lang w:eastAsia="zh-CN"/>
              </w:rPr>
              <w:t>南通名万家具有限公司木质家具制造</w:t>
            </w:r>
            <w:r>
              <w:rPr>
                <w:rFonts w:hint="eastAsia" w:eastAsia="宋体"/>
                <w:sz w:val="21"/>
                <w:szCs w:val="21"/>
                <w:lang w:val="en-US" w:eastAsia="zh-CN"/>
              </w:rPr>
              <w:t>项目</w:t>
            </w:r>
          </w:p>
        </w:tc>
        <w:tc>
          <w:tcPr>
            <w:tcW w:w="1117" w:type="pct"/>
            <w:tcBorders>
              <w:tl2br w:val="nil"/>
              <w:tr2bl w:val="nil"/>
            </w:tcBorders>
            <w:shd w:val="clear" w:color="auto" w:fill="auto"/>
            <w:vAlign w:val="center"/>
          </w:tcPr>
          <w:p w14:paraId="40CFFEDB">
            <w:pPr>
              <w:widowControl/>
              <w:adjustRightInd w:val="0"/>
              <w:snapToGrid w:val="0"/>
              <w:jc w:val="center"/>
              <w:rPr>
                <w:rFonts w:eastAsia="宋体"/>
                <w:sz w:val="21"/>
                <w:szCs w:val="21"/>
              </w:rPr>
            </w:pPr>
            <w:r>
              <w:rPr>
                <w:rFonts w:eastAsia="宋体"/>
                <w:sz w:val="21"/>
                <w:szCs w:val="21"/>
              </w:rPr>
              <w:t>海安</w:t>
            </w:r>
            <w:r>
              <w:rPr>
                <w:rFonts w:hint="eastAsia" w:eastAsia="宋体"/>
                <w:sz w:val="21"/>
                <w:szCs w:val="21"/>
                <w:lang w:val="en-US" w:eastAsia="zh-CN"/>
              </w:rPr>
              <w:t>市</w:t>
            </w:r>
            <w:r>
              <w:rPr>
                <w:rFonts w:eastAsia="宋体"/>
                <w:sz w:val="21"/>
                <w:szCs w:val="21"/>
              </w:rPr>
              <w:t>行政审批局</w:t>
            </w:r>
          </w:p>
        </w:tc>
        <w:tc>
          <w:tcPr>
            <w:tcW w:w="1456" w:type="pct"/>
            <w:tcBorders>
              <w:tl2br w:val="nil"/>
              <w:tr2bl w:val="nil"/>
            </w:tcBorders>
            <w:shd w:val="clear" w:color="auto" w:fill="auto"/>
            <w:vAlign w:val="center"/>
          </w:tcPr>
          <w:p w14:paraId="1A9E47BF">
            <w:pPr>
              <w:widowControl/>
              <w:adjustRightInd w:val="0"/>
              <w:snapToGrid w:val="0"/>
              <w:jc w:val="center"/>
              <w:rPr>
                <w:rFonts w:hint="eastAsia" w:eastAsia="宋体"/>
                <w:sz w:val="21"/>
                <w:szCs w:val="21"/>
                <w:lang w:eastAsia="zh-CN"/>
              </w:rPr>
            </w:pPr>
            <w:r>
              <w:rPr>
                <w:rFonts w:hint="eastAsia" w:eastAsia="宋体"/>
                <w:sz w:val="21"/>
                <w:szCs w:val="21"/>
                <w:highlight w:val="none"/>
                <w:lang w:eastAsia="zh-CN"/>
              </w:rPr>
              <w:t>海</w:t>
            </w:r>
            <w:r>
              <w:rPr>
                <w:rFonts w:hint="eastAsia" w:eastAsia="宋体"/>
                <w:sz w:val="21"/>
                <w:szCs w:val="21"/>
                <w:highlight w:val="none"/>
                <w:lang w:val="en-US" w:eastAsia="zh-CN"/>
              </w:rPr>
              <w:t>行审投资[2020]359号</w:t>
            </w:r>
          </w:p>
        </w:tc>
      </w:tr>
    </w:tbl>
    <w:p w14:paraId="0DDD7010">
      <w:pPr>
        <w:pStyle w:val="5"/>
        <w:adjustRightInd w:val="0"/>
        <w:snapToGrid w:val="0"/>
        <w:spacing w:line="500" w:lineRule="exact"/>
        <w:jc w:val="left"/>
        <w:rPr>
          <w:rFonts w:eastAsia="宋体"/>
        </w:rPr>
      </w:pPr>
      <w:bookmarkStart w:id="61" w:name="_Toc21080"/>
      <w:bookmarkStart w:id="62" w:name="_Toc12964"/>
      <w:bookmarkStart w:id="63" w:name="_Toc496887104"/>
      <w:bookmarkStart w:id="64" w:name="_Toc16743"/>
      <w:bookmarkStart w:id="65" w:name="_Toc510092931"/>
      <w:bookmarkStart w:id="66" w:name="_Toc16237"/>
      <w:r>
        <w:rPr>
          <w:rFonts w:eastAsia="宋体"/>
        </w:rPr>
        <w:t>3.1.2自然环境</w:t>
      </w:r>
      <w:bookmarkEnd w:id="61"/>
      <w:bookmarkEnd w:id="62"/>
      <w:bookmarkEnd w:id="63"/>
      <w:bookmarkEnd w:id="64"/>
      <w:bookmarkEnd w:id="65"/>
      <w:bookmarkEnd w:id="66"/>
    </w:p>
    <w:p w14:paraId="0F9FAA4C">
      <w:pPr>
        <w:pStyle w:val="17"/>
        <w:spacing w:line="500" w:lineRule="exact"/>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eastAsia="zh-CN"/>
          <w14:textFill>
            <w14:solidFill>
              <w14:schemeClr w14:val="tx1"/>
            </w14:solidFill>
          </w14:textFill>
        </w:rPr>
        <w:t>老坝港滨海新区</w:t>
      </w:r>
      <w:r>
        <w:rPr>
          <w:rFonts w:ascii="Times New Roman" w:hAnsi="Times New Roman" w:eastAsia="宋体" w:cs="Times New Roman"/>
          <w:color w:val="000000" w:themeColor="text1"/>
          <w:szCs w:val="24"/>
          <w14:textFill>
            <w14:solidFill>
              <w14:schemeClr w14:val="tx1"/>
            </w14:solidFill>
          </w14:textFill>
        </w:rPr>
        <w:t>，具体位置见附图。</w:t>
      </w:r>
    </w:p>
    <w:p w14:paraId="61CD7C29">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1）地理位置：海安市地处江苏省中南部，地处北纬32°32′～32°43′</w:t>
      </w:r>
      <w:r>
        <w:rPr>
          <w:rFonts w:hint="eastAsia" w:ascii="Times New Roman" w:hAnsi="Times New Roman" w:eastAsia="宋体" w:cs="Times New Roman"/>
          <w:color w:val="000000" w:themeColor="text1"/>
          <w:szCs w:val="24"/>
          <w14:textFill>
            <w14:solidFill>
              <w14:schemeClr w14:val="tx1"/>
            </w14:solidFill>
          </w14:textFill>
        </w:rPr>
        <w:t>，东经</w:t>
      </w:r>
      <w:r>
        <w:rPr>
          <w:rFonts w:ascii="Times New Roman" w:hAnsi="Times New Roman" w:eastAsia="宋体" w:cs="Times New Roman"/>
          <w:color w:val="000000" w:themeColor="text1"/>
          <w:szCs w:val="24"/>
          <w14:textFill>
            <w14:solidFill>
              <w14:schemeClr w14:val="tx1"/>
            </w14:solidFill>
          </w14:textFill>
        </w:rPr>
        <w:t>120°12′～120°53′，坐落于长江三角洲东北翼，西接姜堰市，东临南黄海，北接东台市，南与泰兴市、如皋市、如东县毗连，地理位置优越。204国道、328国道和202省道贯穿全境，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环港北河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6ADCE070">
      <w:pPr>
        <w:adjustRightInd w:val="0"/>
        <w:snapToGrid w:val="0"/>
        <w:spacing w:line="500" w:lineRule="exact"/>
        <w:ind w:firstLine="480" w:firstLineChars="200"/>
        <w:rPr>
          <w:rFonts w:eastAsia="宋体"/>
          <w:kern w:val="0"/>
        </w:rPr>
      </w:pPr>
      <w:r>
        <w:rPr>
          <w:rFonts w:eastAsia="宋体"/>
          <w:kern w:val="0"/>
        </w:rPr>
        <w:t>2）地形地貌</w:t>
      </w:r>
    </w:p>
    <w:p w14:paraId="00C0629E">
      <w:pPr>
        <w:adjustRightInd w:val="0"/>
        <w:snapToGrid w:val="0"/>
        <w:spacing w:line="500" w:lineRule="exact"/>
        <w:ind w:firstLine="480" w:firstLineChars="200"/>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6米，西北部圩田地带和东北沿海地带地势较低，中部和南部地势略高。地面高程自南向北由6.0米降至1.6米，全县由平原和圩洼构成，分别占总面积的78.3%和21.7%。</w:t>
      </w:r>
    </w:p>
    <w:p w14:paraId="7AD02636">
      <w:pPr>
        <w:adjustRightInd w:val="0"/>
        <w:snapToGrid w:val="0"/>
        <w:spacing w:line="500" w:lineRule="exact"/>
        <w:ind w:firstLine="480" w:firstLineChars="200"/>
        <w:rPr>
          <w:rFonts w:eastAsia="宋体"/>
          <w:kern w:val="0"/>
        </w:rPr>
      </w:pPr>
      <w:r>
        <w:rPr>
          <w:rFonts w:eastAsia="宋体"/>
          <w:kern w:val="0"/>
        </w:rPr>
        <w:t>3）地质</w:t>
      </w:r>
    </w:p>
    <w:p w14:paraId="1AE9F9E1">
      <w:pPr>
        <w:adjustRightInd w:val="0"/>
        <w:snapToGrid w:val="0"/>
        <w:spacing w:line="500" w:lineRule="exact"/>
        <w:ind w:firstLine="480" w:firstLineChars="200"/>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1992］160号）”，确定海安市50年超过概率10%的烈度值为Ⅵ度。</w:t>
      </w:r>
    </w:p>
    <w:p w14:paraId="7BA865E0">
      <w:pPr>
        <w:pStyle w:val="13"/>
        <w:spacing w:after="0" w:line="500" w:lineRule="exact"/>
        <w:ind w:firstLine="480" w:firstLineChars="200"/>
        <w:rPr>
          <w:rFonts w:eastAsia="宋体"/>
          <w:kern w:val="0"/>
        </w:rPr>
      </w:pPr>
      <w:r>
        <w:rPr>
          <w:rFonts w:eastAsia="宋体"/>
          <w:kern w:val="0"/>
        </w:rPr>
        <w:t>4）土壤</w:t>
      </w:r>
    </w:p>
    <w:p w14:paraId="7BB481F2">
      <w:pPr>
        <w:pStyle w:val="17"/>
        <w:snapToGrid w:val="0"/>
        <w:spacing w:line="500" w:lineRule="exact"/>
        <w:ind w:firstLine="480" w:firstLineChars="200"/>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60%，粘粒含量占15%~20%，表层中有机质含量1.66%、全氮含量0.123%、全磷含量0.141%、全钾含量3.23%。</w:t>
      </w:r>
    </w:p>
    <w:p w14:paraId="3A31F281">
      <w:pPr>
        <w:adjustRightInd w:val="0"/>
        <w:snapToGrid w:val="0"/>
        <w:spacing w:line="500" w:lineRule="exact"/>
        <w:ind w:firstLine="480" w:firstLineChars="200"/>
        <w:rPr>
          <w:rFonts w:eastAsia="宋体"/>
          <w:kern w:val="0"/>
        </w:rPr>
      </w:pPr>
      <w:r>
        <w:rPr>
          <w:rFonts w:eastAsia="宋体"/>
          <w:kern w:val="0"/>
        </w:rPr>
        <w:t>5）气象</w:t>
      </w:r>
    </w:p>
    <w:p w14:paraId="263CE22F">
      <w:pPr>
        <w:adjustRightInd w:val="0"/>
        <w:snapToGrid w:val="0"/>
        <w:spacing w:line="500" w:lineRule="exact"/>
        <w:ind w:firstLine="480" w:firstLineChars="200"/>
        <w:rPr>
          <w:rFonts w:eastAsia="宋体"/>
          <w:kern w:val="0"/>
        </w:rPr>
      </w:pPr>
      <w:r>
        <w:rPr>
          <w:rFonts w:eastAsia="宋体"/>
          <w:kern w:val="0"/>
        </w:rPr>
        <w:t>海安市位于北亚热带湿润季风气候区，四季分明。多年平均气温14.6℃。</w:t>
      </w:r>
      <w:r>
        <w:rPr>
          <w:rFonts w:hint="eastAsia" w:eastAsia="宋体"/>
          <w:kern w:val="0"/>
          <w:lang w:eastAsia="zh-CN"/>
        </w:rPr>
        <w:t>10月</w:t>
      </w:r>
      <w:r>
        <w:rPr>
          <w:rFonts w:eastAsia="宋体"/>
          <w:kern w:val="0"/>
        </w:rPr>
        <w:t>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0AADC120">
      <w:pPr>
        <w:adjustRightInd w:val="0"/>
        <w:snapToGrid w:val="0"/>
        <w:spacing w:line="500" w:lineRule="exact"/>
        <w:ind w:firstLine="480" w:firstLineChars="200"/>
        <w:rPr>
          <w:rFonts w:eastAsia="宋体"/>
          <w:kern w:val="0"/>
        </w:rPr>
      </w:pPr>
      <w:r>
        <w:rPr>
          <w:rFonts w:eastAsia="宋体"/>
          <w:kern w:val="0"/>
        </w:rPr>
        <w:t>常年主导风向为东南风，风频9％。4～8月主导风向为东南风，2～</w:t>
      </w:r>
      <w:r>
        <w:rPr>
          <w:rFonts w:hint="eastAsia" w:eastAsia="宋体"/>
          <w:kern w:val="0"/>
          <w:lang w:eastAsia="zh-CN"/>
        </w:rPr>
        <w:t>10月</w:t>
      </w:r>
      <w:r>
        <w:rPr>
          <w:rFonts w:eastAsia="宋体"/>
          <w:kern w:val="0"/>
        </w:rPr>
        <w:t>和9～10月主导风向为东北风，1</w:t>
      </w:r>
      <w:r>
        <w:rPr>
          <w:rFonts w:hint="eastAsia" w:eastAsia="宋体"/>
          <w:kern w:val="0"/>
          <w:lang w:eastAsia="zh-CN"/>
        </w:rPr>
        <w:t>10月</w:t>
      </w:r>
      <w:r>
        <w:rPr>
          <w:rFonts w:eastAsia="宋体"/>
          <w:kern w:val="0"/>
        </w:rPr>
        <w:t>至翌年</w:t>
      </w:r>
      <w:r>
        <w:rPr>
          <w:rFonts w:hint="eastAsia" w:eastAsia="宋体"/>
          <w:kern w:val="0"/>
          <w:lang w:eastAsia="zh-CN"/>
        </w:rPr>
        <w:t>10月</w:t>
      </w:r>
      <w:r>
        <w:rPr>
          <w:rFonts w:eastAsia="宋体"/>
          <w:kern w:val="0"/>
        </w:rPr>
        <w:t>为北风和西北风，年平均风速2.9m/s，最大风速13.4m/s。</w:t>
      </w:r>
    </w:p>
    <w:p w14:paraId="0C9FF655">
      <w:pPr>
        <w:adjustRightInd w:val="0"/>
        <w:snapToGrid w:val="0"/>
        <w:spacing w:line="500" w:lineRule="exact"/>
        <w:ind w:firstLine="480" w:firstLineChars="200"/>
        <w:rPr>
          <w:rFonts w:ascii="宋体" w:hAnsi="宋体" w:eastAsia="宋体" w:cs="宋体"/>
          <w:kern w:val="0"/>
          <w:szCs w:val="28"/>
        </w:rPr>
      </w:pPr>
      <w:r>
        <w:rPr>
          <w:rFonts w:eastAsia="宋体"/>
          <w:kern w:val="0"/>
        </w:rPr>
        <w:t>海安全年风玫瑰图，见图3-1。</w:t>
      </w:r>
    </w:p>
    <w:p w14:paraId="1E8CD497">
      <w:pPr>
        <w:spacing w:line="360" w:lineRule="auto"/>
        <w:ind w:firstLine="561"/>
        <w:jc w:val="center"/>
        <w:rPr>
          <w:rFonts w:ascii="宋体" w:hAnsi="宋体" w:eastAsia="宋体" w:cs="宋体"/>
        </w:rPr>
      </w:pPr>
      <w:r>
        <w:rPr>
          <w:rFonts w:hint="eastAsia" w:ascii="宋体" w:hAnsi="宋体" w:eastAsia="宋体" w:cs="宋体"/>
          <w:b/>
          <w:bCs/>
          <w:color w:val="FF0000"/>
        </w:rPr>
        <w:drawing>
          <wp:anchor distT="0" distB="0" distL="114300" distR="114300" simplePos="0" relativeHeight="251659264" behindDoc="0" locked="0" layoutInCell="1" allowOverlap="1">
            <wp:simplePos x="0" y="0"/>
            <wp:positionH relativeFrom="column">
              <wp:posOffset>1586230</wp:posOffset>
            </wp:positionH>
            <wp:positionV relativeFrom="paragraph">
              <wp:posOffset>86360</wp:posOffset>
            </wp:positionV>
            <wp:extent cx="2828925" cy="3886200"/>
            <wp:effectExtent l="0" t="0" r="571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46AA853D">
      <w:pPr>
        <w:adjustRightInd w:val="0"/>
        <w:snapToGrid w:val="0"/>
        <w:spacing w:line="500" w:lineRule="exact"/>
        <w:ind w:firstLine="561"/>
        <w:jc w:val="center"/>
        <w:rPr>
          <w:rFonts w:eastAsia="宋体"/>
          <w:b/>
          <w:bCs/>
        </w:rPr>
      </w:pPr>
      <w:r>
        <w:rPr>
          <w:rFonts w:eastAsia="宋体"/>
          <w:b/>
          <w:bCs/>
        </w:rPr>
        <w:t>图3-1海安全年风玫瑰图</w:t>
      </w:r>
    </w:p>
    <w:p w14:paraId="0945B7D5">
      <w:pPr>
        <w:adjustRightInd w:val="0"/>
        <w:snapToGrid w:val="0"/>
        <w:spacing w:line="500" w:lineRule="exact"/>
        <w:ind w:firstLine="480" w:firstLineChars="200"/>
        <w:rPr>
          <w:rFonts w:eastAsia="宋体"/>
        </w:rPr>
      </w:pPr>
      <w:r>
        <w:rPr>
          <w:rFonts w:eastAsia="宋体"/>
        </w:rPr>
        <w:t>6）水文</w:t>
      </w:r>
    </w:p>
    <w:p w14:paraId="31AD3B1D">
      <w:pPr>
        <w:adjustRightInd w:val="0"/>
        <w:snapToGrid w:val="0"/>
        <w:spacing w:line="500" w:lineRule="exact"/>
        <w:ind w:firstLine="480" w:firstLineChars="200"/>
        <w:rPr>
          <w:rFonts w:eastAsia="宋体"/>
        </w:rPr>
      </w:pPr>
      <w:r>
        <w:rPr>
          <w:rFonts w:eastAsia="宋体"/>
        </w:rPr>
        <w:t>海安市西向来水来自姜黄河各支流及新北凌河等，南向来水来自长江引水。</w:t>
      </w:r>
    </w:p>
    <w:p w14:paraId="4AB74619">
      <w:pPr>
        <w:adjustRightInd w:val="0"/>
        <w:snapToGrid w:val="0"/>
        <w:spacing w:line="500" w:lineRule="exact"/>
        <w:ind w:firstLine="480" w:firstLineChars="200"/>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3C5F55D5">
      <w:pPr>
        <w:adjustRightInd w:val="0"/>
        <w:snapToGrid w:val="0"/>
        <w:spacing w:line="500" w:lineRule="exact"/>
        <w:ind w:firstLine="480" w:firstLineChars="200"/>
        <w:rPr>
          <w:rFonts w:eastAsia="宋体"/>
        </w:rPr>
      </w:pPr>
      <w:r>
        <w:rPr>
          <w:rFonts w:eastAsia="宋体"/>
        </w:rPr>
        <w:t>（</w:t>
      </w:r>
      <w:r>
        <w:rPr>
          <w:rFonts w:hint="eastAsia" w:eastAsia="宋体"/>
        </w:rPr>
        <w:t>A</w:t>
      </w:r>
      <w:r>
        <w:rPr>
          <w:rFonts w:eastAsia="宋体"/>
        </w:rPr>
        <w:t>）长江水系</w:t>
      </w:r>
    </w:p>
    <w:p w14:paraId="0F64B6CC">
      <w:pPr>
        <w:adjustRightInd w:val="0"/>
        <w:snapToGrid w:val="0"/>
        <w:spacing w:line="500" w:lineRule="exact"/>
        <w:ind w:firstLine="480" w:firstLineChars="200"/>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如海运河、北凌河、丁堡河等河道，兼起着调度引江水源的作用。</w:t>
      </w:r>
    </w:p>
    <w:p w14:paraId="664825D4">
      <w:pPr>
        <w:adjustRightInd w:val="0"/>
        <w:snapToGrid w:val="0"/>
        <w:spacing w:line="500" w:lineRule="exact"/>
        <w:ind w:firstLine="480" w:firstLineChars="200"/>
        <w:rPr>
          <w:rFonts w:eastAsia="宋体"/>
        </w:rPr>
      </w:pPr>
      <w:r>
        <w:rPr>
          <w:rFonts w:eastAsia="宋体"/>
        </w:rPr>
        <w:t>栟茶运河由泰州市塔子里入境，由西往东，途径海安市雅周、营溪、仁桥、城东、</w:t>
      </w:r>
      <w:r>
        <w:rPr>
          <w:rFonts w:hint="eastAsia" w:eastAsia="宋体"/>
          <w:lang w:eastAsia="zh-CN"/>
        </w:rPr>
        <w:t>环港北河</w:t>
      </w:r>
      <w:r>
        <w:rPr>
          <w:rFonts w:eastAsia="宋体"/>
        </w:rPr>
        <w:t>、西场、李堡镇、角斜镇等8个乡镇。出境经如东小洋口入海。是海安市高沙土片和河东盐碱片东区的主要干河，境内总长度53.64公里，沿河两岸有不少工业废水及生活废水排入，污染较重的</w:t>
      </w:r>
      <w:r>
        <w:rPr>
          <w:rFonts w:hint="eastAsia" w:eastAsia="宋体"/>
          <w:lang w:eastAsia="zh-CN"/>
        </w:rPr>
        <w:t>环港北河</w:t>
      </w:r>
      <w:r>
        <w:rPr>
          <w:rFonts w:eastAsia="宋体"/>
        </w:rPr>
        <w:t>在城东镇出境时，与拼茶运河交汇，也对其水质产生一定影响。</w:t>
      </w:r>
    </w:p>
    <w:p w14:paraId="528A3688">
      <w:pPr>
        <w:adjustRightInd w:val="0"/>
        <w:snapToGrid w:val="0"/>
        <w:spacing w:line="500" w:lineRule="exact"/>
        <w:ind w:firstLine="480" w:firstLineChars="200"/>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33364061">
      <w:pPr>
        <w:adjustRightInd w:val="0"/>
        <w:snapToGrid w:val="0"/>
        <w:spacing w:line="500" w:lineRule="exact"/>
        <w:ind w:firstLine="480" w:firstLineChars="200"/>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环港北河</w:t>
      </w:r>
      <w:r>
        <w:rPr>
          <w:rFonts w:eastAsia="宋体"/>
          <w:kern w:val="0"/>
        </w:rPr>
        <w:t>的补水河，水流方向基本由南向北，沿河工业污染源较少。如海运河、焦港河主要功能为工业和农业用水。</w:t>
      </w:r>
    </w:p>
    <w:p w14:paraId="32FA4F1C">
      <w:pPr>
        <w:adjustRightInd w:val="0"/>
        <w:snapToGrid w:val="0"/>
        <w:spacing w:line="500" w:lineRule="exact"/>
        <w:ind w:firstLine="480" w:firstLineChars="200"/>
        <w:rPr>
          <w:rFonts w:eastAsia="宋体"/>
        </w:rPr>
      </w:pPr>
      <w:r>
        <w:rPr>
          <w:rFonts w:eastAsia="宋体"/>
        </w:rPr>
        <w:t>（</w:t>
      </w:r>
      <w:r>
        <w:rPr>
          <w:rFonts w:hint="eastAsia" w:eastAsia="宋体"/>
        </w:rPr>
        <w:t>B</w:t>
      </w:r>
      <w:r>
        <w:rPr>
          <w:rFonts w:eastAsia="宋体"/>
        </w:rPr>
        <w:t>）淮河水系</w:t>
      </w:r>
    </w:p>
    <w:p w14:paraId="0043BB49">
      <w:pPr>
        <w:adjustRightInd w:val="0"/>
        <w:snapToGrid w:val="0"/>
        <w:spacing w:line="500" w:lineRule="exact"/>
        <w:ind w:firstLine="480" w:firstLineChars="200"/>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，平均水位1.34m，最高水位3.57m，最低水位0.32m。主要河流有新北凌河、通榆运河、串场河等。新北凌河为江水北调引水骨干河道，通榆运河、串场河为输水骨干河道。</w:t>
      </w:r>
    </w:p>
    <w:p w14:paraId="6AE33A92">
      <w:pPr>
        <w:pStyle w:val="4"/>
        <w:adjustRightInd w:val="0"/>
        <w:snapToGrid w:val="0"/>
        <w:spacing w:line="500" w:lineRule="exact"/>
        <w:ind w:firstLine="480"/>
        <w:rPr>
          <w:rFonts w:eastAsia="宋体"/>
        </w:rPr>
      </w:pPr>
      <w:r>
        <w:rPr>
          <w:rFonts w:hint="eastAsia" w:eastAsia="宋体"/>
          <w:lang w:eastAsia="zh-CN"/>
        </w:rPr>
        <w:t>新通扬河</w:t>
      </w:r>
      <w:r>
        <w:rPr>
          <w:rFonts w:eastAsia="宋体"/>
        </w:rPr>
        <w:t>——通榆运河，</w:t>
      </w:r>
      <w:r>
        <w:rPr>
          <w:rFonts w:hint="eastAsia" w:eastAsia="宋体"/>
          <w:lang w:eastAsia="zh-CN"/>
        </w:rPr>
        <w:t>新通扬河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w:t>
      </w:r>
      <w:r>
        <w:rPr>
          <w:rFonts w:hint="eastAsia" w:eastAsia="宋体"/>
          <w:lang w:eastAsia="zh-CN"/>
        </w:rPr>
        <w:t>新通扬河</w:t>
      </w:r>
      <w:r>
        <w:rPr>
          <w:rFonts w:eastAsia="宋体"/>
        </w:rPr>
        <w:t>——通榆运河是海安境内主要水路交通通道，同时也是海安境内工业、农业、城镇饮用水源。</w:t>
      </w:r>
    </w:p>
    <w:p w14:paraId="62D9B9B2">
      <w:pPr>
        <w:pStyle w:val="4"/>
        <w:adjustRightInd w:val="0"/>
        <w:snapToGrid w:val="0"/>
        <w:spacing w:line="500" w:lineRule="exact"/>
        <w:ind w:firstLine="480"/>
        <w:rPr>
          <w:rFonts w:eastAsia="宋体"/>
        </w:rPr>
      </w:pPr>
      <w:r>
        <w:rPr>
          <w:rFonts w:hint="eastAsia" w:eastAsia="宋体"/>
        </w:rPr>
        <w:t>（C）</w:t>
      </w:r>
      <w:r>
        <w:rPr>
          <w:rFonts w:eastAsia="宋体"/>
        </w:rPr>
        <w:t>水源保护区</w:t>
      </w:r>
    </w:p>
    <w:p w14:paraId="78758E60">
      <w:pPr>
        <w:pStyle w:val="4"/>
        <w:adjustRightInd w:val="0"/>
        <w:snapToGrid w:val="0"/>
        <w:spacing w:line="500" w:lineRule="exact"/>
        <w:ind w:firstLine="480"/>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3D287C37">
      <w:pPr>
        <w:pStyle w:val="4"/>
        <w:adjustRightInd w:val="0"/>
        <w:snapToGrid w:val="0"/>
        <w:spacing w:line="500" w:lineRule="exact"/>
        <w:ind w:firstLine="48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7）生态环境</w:t>
      </w:r>
    </w:p>
    <w:p w14:paraId="62E93F32">
      <w:pPr>
        <w:pStyle w:val="17"/>
        <w:snapToGrid w:val="0"/>
        <w:spacing w:line="500" w:lineRule="exact"/>
        <w:ind w:firstLine="480" w:firstLineChars="200"/>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0B65CA22">
      <w:pPr>
        <w:pStyle w:val="5"/>
        <w:adjustRightInd w:val="0"/>
        <w:snapToGrid w:val="0"/>
        <w:spacing w:line="500" w:lineRule="exact"/>
        <w:rPr>
          <w:rFonts w:eastAsia="宋体"/>
        </w:rPr>
      </w:pPr>
      <w:bookmarkStart w:id="67" w:name="_Toc24036"/>
      <w:bookmarkStart w:id="68" w:name="_Toc23991"/>
      <w:bookmarkStart w:id="69" w:name="_Toc6990"/>
      <w:bookmarkStart w:id="70" w:name="_Toc496887105"/>
      <w:bookmarkStart w:id="71" w:name="_Toc20763"/>
      <w:bookmarkStart w:id="72" w:name="_Toc510092932"/>
      <w:r>
        <w:rPr>
          <w:rFonts w:eastAsia="宋体"/>
        </w:rPr>
        <w:t>3.1.3环境功能区划及环境质量</w:t>
      </w:r>
      <w:bookmarkEnd w:id="67"/>
      <w:bookmarkEnd w:id="68"/>
      <w:bookmarkEnd w:id="69"/>
      <w:bookmarkEnd w:id="70"/>
      <w:bookmarkEnd w:id="71"/>
      <w:bookmarkEnd w:id="72"/>
    </w:p>
    <w:p w14:paraId="48168486">
      <w:pPr>
        <w:numPr>
          <w:ilvl w:val="0"/>
          <w:numId w:val="3"/>
        </w:numPr>
        <w:adjustRightInd w:val="0"/>
        <w:snapToGrid w:val="0"/>
        <w:spacing w:line="500" w:lineRule="exact"/>
        <w:ind w:firstLine="480" w:firstLineChars="200"/>
        <w:rPr>
          <w:rFonts w:ascii="宋体" w:hAnsi="宋体" w:eastAsia="宋体" w:cs="宋体"/>
        </w:rPr>
      </w:pPr>
      <w:r>
        <w:rPr>
          <w:rFonts w:hint="eastAsia" w:ascii="宋体" w:hAnsi="宋体" w:eastAsia="宋体" w:cs="宋体"/>
        </w:rPr>
        <w:t>环境质量标准</w:t>
      </w:r>
    </w:p>
    <w:p w14:paraId="6DF78834">
      <w:pPr>
        <w:pStyle w:val="17"/>
        <w:snapToGrid w:val="0"/>
        <w:spacing w:line="500" w:lineRule="exact"/>
        <w:ind w:firstLine="480" w:firstLineChars="200"/>
        <w:rPr>
          <w:rFonts w:ascii="Times New Roman" w:hAnsi="Times New Roman" w:eastAsia="宋体" w:cs="Times New Roman"/>
          <w:szCs w:val="24"/>
        </w:rPr>
      </w:pPr>
      <w:r>
        <w:rPr>
          <w:rFonts w:hint="eastAsia" w:ascii="Times New Roman" w:hAnsi="Times New Roman" w:eastAsia="宋体" w:cs="Times New Roman"/>
          <w:szCs w:val="24"/>
          <w:lang w:eastAsia="zh-CN"/>
        </w:rPr>
        <w:t>名万家具</w:t>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rPr>
        <w:t>-3</w:t>
      </w:r>
      <w:r>
        <w:rPr>
          <w:rFonts w:ascii="Times New Roman" w:hAnsi="Times New Roman" w:eastAsia="宋体" w:cs="Times New Roman"/>
          <w:szCs w:val="24"/>
        </w:rPr>
        <w:t>。</w:t>
      </w:r>
    </w:p>
    <w:p w14:paraId="55AB014F">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-3</w:t>
      </w:r>
      <w:r>
        <w:rPr>
          <w:rFonts w:hint="eastAsia" w:eastAsia="宋体"/>
          <w:b/>
          <w:color w:val="000000" w:themeColor="text1"/>
          <w:highlight w:val="none"/>
          <w:lang w:eastAsia="zh-CN"/>
          <w14:textFill>
            <w14:solidFill>
              <w14:schemeClr w14:val="tx1"/>
            </w14:solidFill>
          </w14:textFill>
        </w:rPr>
        <w:t>名万家具</w:t>
      </w:r>
      <w:r>
        <w:rPr>
          <w:rFonts w:eastAsia="宋体"/>
          <w:b/>
          <w:color w:val="000000" w:themeColor="text1"/>
          <w:highlight w:val="none"/>
          <w14:textFill>
            <w14:solidFill>
              <w14:schemeClr w14:val="tx1"/>
            </w14:solidFill>
          </w14:textFill>
        </w:rPr>
        <w:t>所在地</w:t>
      </w:r>
      <w:r>
        <w:rPr>
          <w:rFonts w:eastAsia="宋体"/>
          <w:b/>
          <w:color w:val="000000" w:themeColor="text1"/>
          <w14:textFill>
            <w14:solidFill>
              <w14:schemeClr w14:val="tx1"/>
            </w14:solidFill>
          </w14:textFill>
        </w:rPr>
        <w:t>环境功能区划</w:t>
      </w:r>
    </w:p>
    <w:tbl>
      <w:tblPr>
        <w:tblStyle w:val="38"/>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5D7E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BAC45A3">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4BD90154">
            <w:pPr>
              <w:adjustRightInd w:val="0"/>
              <w:snapToGrid w:val="0"/>
              <w:jc w:val="center"/>
              <w:rPr>
                <w:rFonts w:eastAsia="宋体"/>
                <w:b/>
                <w:sz w:val="21"/>
                <w:szCs w:val="21"/>
              </w:rPr>
            </w:pPr>
            <w:r>
              <w:rPr>
                <w:rFonts w:hint="eastAsia" w:eastAsia="宋体"/>
                <w:b/>
                <w:sz w:val="21"/>
                <w:szCs w:val="21"/>
              </w:rPr>
              <w:t>功能区划</w:t>
            </w:r>
          </w:p>
        </w:tc>
        <w:tc>
          <w:tcPr>
            <w:tcW w:w="4930" w:type="dxa"/>
            <w:tcBorders>
              <w:tl2br w:val="nil"/>
              <w:tr2bl w:val="nil"/>
            </w:tcBorders>
            <w:vAlign w:val="center"/>
          </w:tcPr>
          <w:p w14:paraId="691F846B">
            <w:pPr>
              <w:adjustRightInd w:val="0"/>
              <w:snapToGrid w:val="0"/>
              <w:jc w:val="center"/>
              <w:rPr>
                <w:rFonts w:eastAsia="宋体"/>
                <w:b/>
                <w:sz w:val="21"/>
                <w:szCs w:val="21"/>
              </w:rPr>
            </w:pPr>
            <w:r>
              <w:rPr>
                <w:rFonts w:eastAsia="宋体"/>
                <w:b/>
                <w:sz w:val="21"/>
                <w:szCs w:val="21"/>
              </w:rPr>
              <w:t>环境功能要求</w:t>
            </w:r>
          </w:p>
        </w:tc>
      </w:tr>
      <w:tr w14:paraId="61267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331A2DC2">
            <w:pPr>
              <w:pStyle w:val="142"/>
              <w:rPr>
                <w:sz w:val="21"/>
              </w:rPr>
            </w:pPr>
            <w:r>
              <w:rPr>
                <w:sz w:val="21"/>
              </w:rPr>
              <w:t>环境空气</w:t>
            </w:r>
          </w:p>
        </w:tc>
        <w:tc>
          <w:tcPr>
            <w:tcW w:w="2770" w:type="dxa"/>
            <w:tcBorders>
              <w:tl2br w:val="nil"/>
              <w:tr2bl w:val="nil"/>
            </w:tcBorders>
            <w:vAlign w:val="center"/>
          </w:tcPr>
          <w:p w14:paraId="5E41B58C">
            <w:pPr>
              <w:pStyle w:val="142"/>
              <w:rPr>
                <w:sz w:val="21"/>
              </w:rPr>
            </w:pPr>
            <w:r>
              <w:rPr>
                <w:sz w:val="21"/>
              </w:rPr>
              <w:t>工业区、居住、工商文教、农村地区</w:t>
            </w:r>
          </w:p>
        </w:tc>
        <w:tc>
          <w:tcPr>
            <w:tcW w:w="4930" w:type="dxa"/>
            <w:tcBorders>
              <w:tl2br w:val="nil"/>
              <w:tr2bl w:val="nil"/>
            </w:tcBorders>
            <w:vAlign w:val="center"/>
          </w:tcPr>
          <w:p w14:paraId="5423E526">
            <w:pPr>
              <w:adjustRightInd w:val="0"/>
              <w:snapToGrid w:val="0"/>
              <w:jc w:val="left"/>
              <w:rPr>
                <w:rFonts w:eastAsia="宋体"/>
                <w:sz w:val="21"/>
                <w:szCs w:val="21"/>
              </w:rPr>
            </w:pPr>
            <w:r>
              <w:rPr>
                <w:rFonts w:eastAsia="宋体"/>
                <w:sz w:val="21"/>
                <w:szCs w:val="21"/>
              </w:rPr>
              <w:t>《环境空气质量标准》（GB3095-2012）中二级标准</w:t>
            </w:r>
          </w:p>
        </w:tc>
      </w:tr>
      <w:tr w14:paraId="77C0C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15A47A03">
            <w:pPr>
              <w:pStyle w:val="142"/>
              <w:rPr>
                <w:sz w:val="21"/>
              </w:rPr>
            </w:pPr>
            <w:r>
              <w:rPr>
                <w:sz w:val="21"/>
              </w:rPr>
              <w:t>地表水</w:t>
            </w:r>
          </w:p>
        </w:tc>
        <w:tc>
          <w:tcPr>
            <w:tcW w:w="2770" w:type="dxa"/>
            <w:tcBorders>
              <w:tl2br w:val="nil"/>
              <w:tr2bl w:val="nil"/>
            </w:tcBorders>
            <w:vAlign w:val="center"/>
          </w:tcPr>
          <w:p w14:paraId="117E4867">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环港北河</w:t>
            </w:r>
          </w:p>
        </w:tc>
        <w:tc>
          <w:tcPr>
            <w:tcW w:w="4930" w:type="dxa"/>
            <w:vMerge w:val="restart"/>
            <w:tcBorders>
              <w:tl2br w:val="nil"/>
              <w:tr2bl w:val="nil"/>
            </w:tcBorders>
            <w:vAlign w:val="center"/>
          </w:tcPr>
          <w:p w14:paraId="27B7F3AE">
            <w:pPr>
              <w:adjustRightInd w:val="0"/>
              <w:snapToGrid w:val="0"/>
              <w:jc w:val="left"/>
              <w:rPr>
                <w:sz w:val="21"/>
              </w:rPr>
            </w:pPr>
            <w:r>
              <w:rPr>
                <w:rFonts w:eastAsia="宋体"/>
                <w:sz w:val="21"/>
                <w:szCs w:val="21"/>
              </w:rPr>
              <w:t>《地表水环境质量标准》（GB3838-2002）</w:t>
            </w:r>
            <w:r>
              <w:rPr>
                <w:rFonts w:hint="default" w:ascii="Times New Roman" w:hAnsi="Times New Roman" w:eastAsia="微软雅黑" w:cs="Times New Roman"/>
                <w:sz w:val="21"/>
                <w:szCs w:val="21"/>
              </w:rPr>
              <w:t>Ⅳ</w:t>
            </w:r>
            <w:r>
              <w:rPr>
                <w:rFonts w:eastAsia="宋体"/>
                <w:sz w:val="21"/>
                <w:szCs w:val="21"/>
              </w:rPr>
              <w:t>类标准</w:t>
            </w:r>
          </w:p>
        </w:tc>
      </w:tr>
      <w:tr w14:paraId="5EBE2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72FB949A">
            <w:pPr>
              <w:pStyle w:val="142"/>
            </w:pPr>
          </w:p>
        </w:tc>
        <w:tc>
          <w:tcPr>
            <w:tcW w:w="2770" w:type="dxa"/>
            <w:tcBorders>
              <w:tl2br w:val="nil"/>
              <w:tr2bl w:val="nil"/>
            </w:tcBorders>
            <w:vAlign w:val="center"/>
          </w:tcPr>
          <w:p w14:paraId="17911899">
            <w:pPr>
              <w:adjustRightInd w:val="0"/>
              <w:snapToGrid w:val="0"/>
              <w:jc w:val="center"/>
              <w:rPr>
                <w:rFonts w:hint="eastAsia" w:ascii="Times New Roman" w:hAnsi="Times New Roman" w:eastAsia="宋体" w:cs="Times New Roman"/>
                <w:kern w:val="2"/>
                <w:sz w:val="21"/>
                <w:szCs w:val="24"/>
                <w:lang w:val="en-US" w:eastAsia="zh-CN" w:bidi="ar-SA"/>
              </w:rPr>
            </w:pPr>
            <w:r>
              <w:rPr>
                <w:rFonts w:hint="eastAsia" w:eastAsia="宋体"/>
                <w:sz w:val="21"/>
                <w:szCs w:val="21"/>
              </w:rPr>
              <w:t>环港南河</w:t>
            </w:r>
          </w:p>
        </w:tc>
        <w:tc>
          <w:tcPr>
            <w:tcW w:w="4930" w:type="dxa"/>
            <w:vMerge w:val="continue"/>
            <w:tcBorders>
              <w:tl2br w:val="nil"/>
              <w:tr2bl w:val="nil"/>
            </w:tcBorders>
            <w:vAlign w:val="center"/>
          </w:tcPr>
          <w:p w14:paraId="18F945E5">
            <w:pPr>
              <w:pStyle w:val="142"/>
              <w:rPr>
                <w:sz w:val="21"/>
              </w:rPr>
            </w:pPr>
          </w:p>
        </w:tc>
      </w:tr>
      <w:tr w14:paraId="239ED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48613AB">
            <w:pPr>
              <w:pStyle w:val="142"/>
              <w:rPr>
                <w:sz w:val="21"/>
              </w:rPr>
            </w:pPr>
          </w:p>
        </w:tc>
        <w:tc>
          <w:tcPr>
            <w:tcW w:w="2770" w:type="dxa"/>
            <w:tcBorders>
              <w:tl2br w:val="nil"/>
              <w:tr2bl w:val="nil"/>
            </w:tcBorders>
            <w:vAlign w:val="center"/>
          </w:tcPr>
          <w:p w14:paraId="6A9F9ECF">
            <w:pPr>
              <w:adjustRightInd w:val="0"/>
              <w:snapToGrid w:val="0"/>
              <w:jc w:val="center"/>
              <w:rPr>
                <w:rFonts w:ascii="Times New Roman" w:hAnsi="Times New Roman" w:eastAsia="仿宋_GB2312" w:cs="Times New Roman"/>
                <w:kern w:val="2"/>
                <w:sz w:val="21"/>
                <w:szCs w:val="24"/>
                <w:lang w:val="en-US" w:eastAsia="zh-CN" w:bidi="ar-SA"/>
              </w:rPr>
            </w:pPr>
            <w:r>
              <w:rPr>
                <w:rFonts w:hint="eastAsia" w:eastAsia="宋体"/>
                <w:sz w:val="21"/>
                <w:szCs w:val="21"/>
              </w:rPr>
              <w:t>安港河</w:t>
            </w:r>
          </w:p>
        </w:tc>
        <w:tc>
          <w:tcPr>
            <w:tcW w:w="4930" w:type="dxa"/>
            <w:vMerge w:val="continue"/>
            <w:tcBorders>
              <w:tl2br w:val="nil"/>
              <w:tr2bl w:val="nil"/>
            </w:tcBorders>
            <w:vAlign w:val="center"/>
          </w:tcPr>
          <w:p w14:paraId="0CF0A511">
            <w:pPr>
              <w:pStyle w:val="142"/>
              <w:rPr>
                <w:sz w:val="21"/>
              </w:rPr>
            </w:pPr>
          </w:p>
        </w:tc>
      </w:tr>
      <w:tr w14:paraId="65862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5A3EF267">
            <w:pPr>
              <w:pStyle w:val="142"/>
              <w:rPr>
                <w:sz w:val="21"/>
              </w:rPr>
            </w:pPr>
            <w:r>
              <w:rPr>
                <w:sz w:val="21"/>
              </w:rPr>
              <w:t>声环境</w:t>
            </w:r>
          </w:p>
        </w:tc>
        <w:tc>
          <w:tcPr>
            <w:tcW w:w="2770" w:type="dxa"/>
            <w:tcBorders>
              <w:tl2br w:val="nil"/>
              <w:tr2bl w:val="nil"/>
            </w:tcBorders>
            <w:vAlign w:val="center"/>
          </w:tcPr>
          <w:p w14:paraId="06507051">
            <w:pPr>
              <w:pStyle w:val="142"/>
              <w:rPr>
                <w:sz w:val="21"/>
              </w:rPr>
            </w:pPr>
            <w:r>
              <w:rPr>
                <w:rFonts w:hint="eastAsia"/>
                <w:sz w:val="21"/>
              </w:rPr>
              <w:t>项目厂界</w:t>
            </w:r>
          </w:p>
        </w:tc>
        <w:tc>
          <w:tcPr>
            <w:tcW w:w="4930" w:type="dxa"/>
            <w:tcBorders>
              <w:tl2br w:val="nil"/>
              <w:tr2bl w:val="nil"/>
            </w:tcBorders>
            <w:vAlign w:val="center"/>
          </w:tcPr>
          <w:p w14:paraId="690E4A25">
            <w:pPr>
              <w:adjustRightInd w:val="0"/>
              <w:snapToGrid w:val="0"/>
              <w:jc w:val="left"/>
              <w:rPr>
                <w:rFonts w:eastAsia="宋体"/>
                <w:sz w:val="21"/>
                <w:szCs w:val="21"/>
              </w:rPr>
            </w:pPr>
            <w:r>
              <w:rPr>
                <w:rFonts w:eastAsia="宋体"/>
                <w:sz w:val="21"/>
                <w:szCs w:val="21"/>
              </w:rPr>
              <w:t>《声环境质量标准》(GB3096—2008)</w:t>
            </w:r>
            <w:r>
              <w:rPr>
                <w:rFonts w:hint="eastAsia" w:eastAsia="宋体"/>
                <w:sz w:val="21"/>
                <w:szCs w:val="21"/>
              </w:rPr>
              <w:t>3</w:t>
            </w:r>
            <w:r>
              <w:rPr>
                <w:rFonts w:eastAsia="宋体"/>
                <w:sz w:val="21"/>
                <w:szCs w:val="21"/>
              </w:rPr>
              <w:t>类标准</w:t>
            </w:r>
          </w:p>
        </w:tc>
      </w:tr>
      <w:tr w14:paraId="60776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restart"/>
            <w:tcBorders>
              <w:tl2br w:val="nil"/>
              <w:tr2bl w:val="nil"/>
            </w:tcBorders>
            <w:vAlign w:val="center"/>
          </w:tcPr>
          <w:p w14:paraId="065A85B0">
            <w:pPr>
              <w:pStyle w:val="142"/>
              <w:rPr>
                <w:sz w:val="21"/>
              </w:rPr>
            </w:pPr>
            <w:r>
              <w:rPr>
                <w:rFonts w:hint="eastAsia"/>
                <w:sz w:val="21"/>
              </w:rPr>
              <w:t>生态环境</w:t>
            </w:r>
          </w:p>
        </w:tc>
        <w:tc>
          <w:tcPr>
            <w:tcW w:w="2770" w:type="dxa"/>
            <w:tcBorders>
              <w:tl2br w:val="nil"/>
              <w:tr2bl w:val="nil"/>
            </w:tcBorders>
            <w:vAlign w:val="center"/>
          </w:tcPr>
          <w:p w14:paraId="270D03E7">
            <w:pPr>
              <w:adjustRightInd w:val="0"/>
              <w:snapToGrid w:val="0"/>
              <w:jc w:val="center"/>
              <w:rPr>
                <w:rFonts w:hint="eastAsia" w:ascii="Times New Roman" w:eastAsia="宋体"/>
                <w:sz w:val="21"/>
                <w:szCs w:val="21"/>
                <w:lang w:val="en-US" w:eastAsia="zh-CN"/>
              </w:rPr>
            </w:pPr>
            <w:r>
              <w:rPr>
                <w:rFonts w:hint="eastAsia" w:ascii="Times New Roman" w:eastAsia="宋体"/>
                <w:sz w:val="21"/>
                <w:szCs w:val="21"/>
                <w:lang w:val="en-US" w:eastAsia="zh-CN"/>
              </w:rPr>
              <w:t>小洋口国家级海洋公园</w:t>
            </w:r>
          </w:p>
        </w:tc>
        <w:tc>
          <w:tcPr>
            <w:tcW w:w="4930" w:type="dxa"/>
            <w:tcBorders>
              <w:tl2br w:val="nil"/>
              <w:tr2bl w:val="nil"/>
            </w:tcBorders>
            <w:vAlign w:val="center"/>
          </w:tcPr>
          <w:p w14:paraId="62C532A5">
            <w:pPr>
              <w:adjustRightInd w:val="0"/>
              <w:snapToGrid w:val="0"/>
              <w:jc w:val="left"/>
              <w:rPr>
                <w:rFonts w:hint="default" w:eastAsia="宋体"/>
                <w:sz w:val="21"/>
                <w:szCs w:val="21"/>
                <w:lang w:val="en-US" w:eastAsia="zh-CN"/>
              </w:rPr>
            </w:pPr>
            <w:r>
              <w:rPr>
                <w:rFonts w:hint="eastAsia" w:eastAsia="宋体"/>
                <w:sz w:val="21"/>
                <w:szCs w:val="21"/>
                <w:lang w:val="en-US" w:eastAsia="zh-CN"/>
              </w:rPr>
              <w:t>自然与人文景观保护</w:t>
            </w:r>
          </w:p>
        </w:tc>
      </w:tr>
      <w:tr w14:paraId="5FB2B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vMerge w:val="continue"/>
            <w:tcBorders>
              <w:tl2br w:val="nil"/>
              <w:tr2bl w:val="nil"/>
            </w:tcBorders>
            <w:vAlign w:val="center"/>
          </w:tcPr>
          <w:p w14:paraId="69107E58">
            <w:pPr>
              <w:pStyle w:val="142"/>
              <w:rPr>
                <w:sz w:val="21"/>
              </w:rPr>
            </w:pPr>
          </w:p>
        </w:tc>
        <w:tc>
          <w:tcPr>
            <w:tcW w:w="2770" w:type="dxa"/>
            <w:tcBorders>
              <w:tl2br w:val="nil"/>
              <w:tr2bl w:val="nil"/>
            </w:tcBorders>
            <w:vAlign w:val="center"/>
          </w:tcPr>
          <w:p w14:paraId="61AEDD9C">
            <w:pPr>
              <w:adjustRightInd w:val="0"/>
              <w:snapToGrid w:val="0"/>
              <w:jc w:val="center"/>
              <w:rPr>
                <w:rFonts w:hint="eastAsia" w:ascii="Times New Roman" w:eastAsia="宋体"/>
                <w:sz w:val="21"/>
                <w:szCs w:val="21"/>
              </w:rPr>
            </w:pPr>
            <w:r>
              <w:rPr>
                <w:rFonts w:hint="eastAsia" w:ascii="Times New Roman" w:eastAsia="宋体"/>
                <w:sz w:val="21"/>
                <w:szCs w:val="21"/>
                <w:lang w:val="en-US" w:eastAsia="zh-CN"/>
              </w:rPr>
              <w:t>李堡</w:t>
            </w:r>
            <w:r>
              <w:rPr>
                <w:rFonts w:hint="eastAsia" w:ascii="Times New Roman" w:eastAsia="宋体"/>
                <w:sz w:val="21"/>
                <w:szCs w:val="21"/>
              </w:rPr>
              <w:t>镇蚕桑种质资源保护区</w:t>
            </w:r>
          </w:p>
        </w:tc>
        <w:tc>
          <w:tcPr>
            <w:tcW w:w="4930" w:type="dxa"/>
            <w:tcBorders>
              <w:tl2br w:val="nil"/>
              <w:tr2bl w:val="nil"/>
            </w:tcBorders>
            <w:vAlign w:val="center"/>
          </w:tcPr>
          <w:p w14:paraId="107C60E1">
            <w:pPr>
              <w:adjustRightInd w:val="0"/>
              <w:snapToGrid w:val="0"/>
              <w:jc w:val="left"/>
              <w:rPr>
                <w:rFonts w:eastAsia="宋体"/>
                <w:sz w:val="21"/>
                <w:szCs w:val="21"/>
              </w:rPr>
            </w:pPr>
            <w:r>
              <w:rPr>
                <w:rFonts w:hint="eastAsia" w:eastAsia="宋体"/>
                <w:sz w:val="21"/>
                <w:szCs w:val="21"/>
              </w:rPr>
              <w:t>种质资源保护</w:t>
            </w:r>
          </w:p>
        </w:tc>
      </w:tr>
    </w:tbl>
    <w:p w14:paraId="3E9C52EB">
      <w:pPr>
        <w:adjustRightInd w:val="0"/>
        <w:snapToGrid w:val="0"/>
        <w:spacing w:line="500" w:lineRule="exact"/>
        <w:ind w:firstLine="480" w:firstLineChars="200"/>
        <w:rPr>
          <w:rFonts w:eastAsia="宋体"/>
        </w:rPr>
      </w:pPr>
      <w:r>
        <w:rPr>
          <w:rFonts w:eastAsia="宋体"/>
        </w:rPr>
        <w:t>（2）环境质量现状</w:t>
      </w:r>
    </w:p>
    <w:p w14:paraId="364EB71E">
      <w:pPr>
        <w:adjustRightInd w:val="0"/>
        <w:snapToGrid w:val="0"/>
        <w:spacing w:line="500" w:lineRule="exact"/>
        <w:ind w:firstLine="480" w:firstLineChars="200"/>
        <w:rPr>
          <w:rFonts w:eastAsia="宋体"/>
        </w:rPr>
      </w:pPr>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 16 个国家考核断面，均达到或优于《地表水环境质量标准》(GB3838-2002)Ⅲ类标准。55 个省考以上断面中碾砣港闸、聚南大桥、营船港闸、通吕二号桥等 19 个断面水质符合工类标准，孙窑大桥、嫩江路桥、新江海河桥、团结新大杯等 36 个断面水质符合Ⅲ类标准，优亚类比例 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 年，南通市省控以上23 个地下水区域监测点位，水质达Ⅲ类的6个，满足IV类标准的 14 个，水质为V类的3个，分别占比 26.1%、60.9%、13.0%，与 2022 年相比，地下水水质总体有所好转,IV类及以上水质占比为 87.0%,增加 13.3 个百分点相应V类比例减少 13.3 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 年，南通市近岸海域达或优于《海水水质标准》(GB3097-1997)二类标准面积比例为 87.5%，达三类标准面积比例为 4.2%，达四类标准面积比例为 2.6%，劣四类标准面积比例为 5.7%。优良(一、二类)标准面积比例比上年增加 0.3 个百分点，劣四类标准面积比例比上年增加 1.7 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 年南通市共监测 96 个国家网土壤环境监测点，包括 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 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773CC1F6">
      <w:pPr>
        <w:pStyle w:val="3"/>
        <w:adjustRightInd w:val="0"/>
        <w:snapToGrid w:val="0"/>
        <w:spacing w:line="480" w:lineRule="exact"/>
        <w:rPr>
          <w:rFonts w:eastAsia="宋体"/>
          <w:sz w:val="24"/>
          <w:szCs w:val="24"/>
        </w:rPr>
      </w:pPr>
      <w:r>
        <w:rPr>
          <w:rFonts w:hint="eastAsia" w:ascii="Times New Roman" w:hAnsi="Times New Roman" w:eastAsia="宋体" w:cs="Times New Roman"/>
          <w:b w:val="0"/>
          <w:bCs w:val="0"/>
          <w:kern w:val="2"/>
          <w:sz w:val="24"/>
          <w:szCs w:val="24"/>
          <w:lang w:val="en-US" w:eastAsia="zh-CN" w:bidi="ar-SA"/>
        </w:rPr>
        <w:t>2023 年南通市生态质量指数为 53.51，类别为“三类”，各县(市、区)生态质量指数介于 44.83~58.28 之间。南通市共有7 个县(市、区)参与生态质量评价，其中如东、启东、海安为二类”，通州、崇川、海门、如皋为“三类”。2023 年南通全市除启东、海门、通州上升 0.60、0.23 和 0.18 外，其余 4个区县 EOI 均下降;其中如皋、海安、如东、崇川 EOI 下降分别为-1.01、-0.73、-0.53 和-0.03。由于生物多样性指数全省统一值各县区该指标无差别;崇川生态胁迫指数最高，为100;如东生态格局指数最高，为 37.31;海安生态功能指数最高，为 83.23</w:t>
      </w:r>
      <w:r>
        <w:rPr>
          <w:rFonts w:hint="eastAsia" w:eastAsia="宋体" w:cs="Times New Roman"/>
          <w:b w:val="0"/>
          <w:bCs w:val="0"/>
          <w:kern w:val="2"/>
          <w:sz w:val="24"/>
          <w:szCs w:val="24"/>
          <w:lang w:val="en-US" w:eastAsia="zh-CN" w:bidi="ar-SA"/>
        </w:rPr>
        <w:t>。</w:t>
      </w:r>
      <w:bookmarkStart w:id="73" w:name="_Toc28750"/>
      <w:bookmarkStart w:id="74" w:name="_Toc23710"/>
      <w:bookmarkStart w:id="75" w:name="_Toc17812"/>
      <w:bookmarkStart w:id="76" w:name="_Toc5947"/>
    </w:p>
    <w:p w14:paraId="021C8245">
      <w:pPr>
        <w:pStyle w:val="3"/>
        <w:adjustRightInd w:val="0"/>
        <w:snapToGrid w:val="0"/>
        <w:spacing w:line="480" w:lineRule="exact"/>
        <w:rPr>
          <w:rFonts w:eastAsia="宋体"/>
          <w:sz w:val="24"/>
          <w:szCs w:val="24"/>
        </w:rPr>
      </w:pPr>
      <w:r>
        <w:rPr>
          <w:rFonts w:eastAsia="宋体"/>
          <w:sz w:val="24"/>
          <w:szCs w:val="24"/>
        </w:rPr>
        <w:t>3.2企业周边环境风险受体情况</w:t>
      </w:r>
      <w:bookmarkEnd w:id="73"/>
      <w:bookmarkEnd w:id="74"/>
      <w:bookmarkEnd w:id="75"/>
      <w:bookmarkEnd w:id="76"/>
    </w:p>
    <w:p w14:paraId="38E8F8DB">
      <w:pPr>
        <w:pStyle w:val="5"/>
        <w:adjustRightInd w:val="0"/>
        <w:snapToGrid w:val="0"/>
        <w:spacing w:line="480" w:lineRule="exact"/>
        <w:rPr>
          <w:rFonts w:eastAsia="宋体"/>
          <w:szCs w:val="24"/>
        </w:rPr>
      </w:pPr>
      <w:bookmarkStart w:id="77" w:name="_Toc4629"/>
      <w:bookmarkStart w:id="78" w:name="_Toc16476"/>
      <w:bookmarkStart w:id="79" w:name="_Toc8985"/>
      <w:bookmarkStart w:id="80" w:name="_Toc32178"/>
      <w:r>
        <w:rPr>
          <w:rFonts w:eastAsia="宋体"/>
          <w:szCs w:val="24"/>
        </w:rPr>
        <w:t>3.2.1大气环境风险受体</w:t>
      </w:r>
      <w:bookmarkEnd w:id="77"/>
      <w:bookmarkEnd w:id="78"/>
      <w:bookmarkEnd w:id="79"/>
      <w:bookmarkEnd w:id="80"/>
    </w:p>
    <w:p w14:paraId="25E98E1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lang w:eastAsia="zh-CN"/>
        </w:rPr>
        <w:t>名万家具</w:t>
      </w:r>
      <w:r>
        <w:rPr>
          <w:rFonts w:eastAsia="宋体"/>
        </w:rPr>
        <w:t>位于</w:t>
      </w:r>
      <w:r>
        <w:rPr>
          <w:rFonts w:hint="eastAsia" w:eastAsia="宋体"/>
          <w:lang w:eastAsia="zh-CN"/>
        </w:rPr>
        <w:t>海安市老坝港滨海新区（角斜镇）锦绣路33号</w:t>
      </w:r>
      <w:r>
        <w:rPr>
          <w:rFonts w:eastAsia="宋体"/>
        </w:rPr>
        <w:t>，</w:t>
      </w:r>
      <w:r>
        <w:rPr>
          <w:rFonts w:hint="eastAsia" w:eastAsia="宋体"/>
          <w:lang w:eastAsia="zh-CN"/>
        </w:rPr>
        <w:t>名万家具</w:t>
      </w:r>
      <w:r>
        <w:rPr>
          <w:rFonts w:eastAsia="宋体"/>
          <w:color w:val="000000" w:themeColor="text1"/>
          <w14:textFill>
            <w14:solidFill>
              <w14:schemeClr w14:val="tx1"/>
            </w14:solidFill>
          </w14:textFill>
        </w:rPr>
        <w:t>周围环境详见附</w:t>
      </w:r>
      <w:r>
        <w:rPr>
          <w:rFonts w:hint="eastAsia" w:eastAsia="宋体"/>
          <w:color w:val="000000" w:themeColor="text1"/>
          <w14:textFill>
            <w14:solidFill>
              <w14:schemeClr w14:val="tx1"/>
            </w14:solidFill>
          </w14:textFill>
        </w:rPr>
        <w:t>图</w:t>
      </w:r>
      <w:r>
        <w:rPr>
          <w:rFonts w:eastAsia="宋体"/>
          <w:color w:val="000000" w:themeColor="text1"/>
          <w14:textFill>
            <w14:solidFill>
              <w14:schemeClr w14:val="tx1"/>
            </w14:solidFill>
          </w14:textFill>
        </w:rPr>
        <w:t>。</w:t>
      </w:r>
    </w:p>
    <w:p w14:paraId="7AB090B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企业周边</w:t>
      </w:r>
      <w:r>
        <w:rPr>
          <w:rFonts w:hint="eastAsia" w:eastAsia="宋体"/>
          <w:color w:val="000000" w:themeColor="text1"/>
          <w14:textFill>
            <w14:solidFill>
              <w14:schemeClr w14:val="tx1"/>
            </w14:solidFill>
          </w14:textFill>
        </w:rPr>
        <w:t>500m、</w:t>
      </w:r>
      <w:r>
        <w:rPr>
          <w:rFonts w:eastAsia="宋体"/>
          <w:color w:val="000000" w:themeColor="text1"/>
          <w14:textFill>
            <w14:solidFill>
              <w14:schemeClr w14:val="tx1"/>
            </w14:solidFill>
          </w14:textFill>
        </w:rPr>
        <w:t>5公里范围内大气环境风险受体情况见表</w:t>
      </w:r>
      <w:r>
        <w:rPr>
          <w:rFonts w:hint="eastAsia" w:eastAsia="宋体"/>
          <w:color w:val="000000" w:themeColor="text1"/>
          <w14:textFill>
            <w14:solidFill>
              <w14:schemeClr w14:val="tx1"/>
            </w14:solidFill>
          </w14:textFill>
        </w:rPr>
        <w:t>3-4、</w:t>
      </w:r>
      <w:r>
        <w:rPr>
          <w:rFonts w:eastAsia="宋体"/>
          <w:color w:val="000000" w:themeColor="text1"/>
          <w14:textFill>
            <w14:solidFill>
              <w14:schemeClr w14:val="tx1"/>
            </w14:solidFill>
          </w14:textFill>
        </w:rPr>
        <w:t>3-</w:t>
      </w:r>
      <w:r>
        <w:rPr>
          <w:rFonts w:hint="eastAsia" w:eastAsia="宋体"/>
          <w:color w:val="000000" w:themeColor="text1"/>
          <w14:textFill>
            <w14:solidFill>
              <w14:schemeClr w14:val="tx1"/>
            </w14:solidFill>
          </w14:textFill>
        </w:rPr>
        <w:t>5</w:t>
      </w:r>
      <w:r>
        <w:rPr>
          <w:rFonts w:eastAsia="宋体"/>
          <w:color w:val="000000" w:themeColor="text1"/>
          <w14:textFill>
            <w14:solidFill>
              <w14:schemeClr w14:val="tx1"/>
            </w14:solidFill>
          </w14:textFill>
        </w:rPr>
        <w:t>。</w:t>
      </w:r>
    </w:p>
    <w:p w14:paraId="40B0C6CB">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4</w:t>
      </w:r>
      <w:r>
        <w:rPr>
          <w:rFonts w:hint="eastAsia" w:eastAsia="宋体"/>
          <w:b/>
          <w:bCs/>
          <w:color w:val="000000" w:themeColor="text1"/>
          <w:lang w:eastAsia="zh-CN"/>
          <w14:textFill>
            <w14:solidFill>
              <w14:schemeClr w14:val="tx1"/>
            </w14:solidFill>
          </w14:textFill>
        </w:rPr>
        <w:t>名万家具</w:t>
      </w:r>
      <w:r>
        <w:rPr>
          <w:rFonts w:eastAsia="宋体"/>
          <w:b/>
          <w:bCs/>
          <w:color w:val="000000" w:themeColor="text1"/>
          <w:highlight w:val="none"/>
          <w14:textFill>
            <w14:solidFill>
              <w14:schemeClr w14:val="tx1"/>
            </w14:solidFill>
          </w14:textFill>
        </w:rPr>
        <w:t>周</w:t>
      </w:r>
      <w:r>
        <w:rPr>
          <w:rFonts w:hint="eastAsia" w:eastAsia="宋体"/>
          <w:b/>
          <w:bCs/>
          <w:color w:val="000000" w:themeColor="text1"/>
          <w:highlight w:val="none"/>
          <w14:textFill>
            <w14:solidFill>
              <w14:schemeClr w14:val="tx1"/>
            </w14:solidFill>
          </w14:textFill>
        </w:rPr>
        <w:t>边</w:t>
      </w:r>
      <w:r>
        <w:rPr>
          <w:rFonts w:eastAsia="宋体"/>
          <w:b/>
          <w:bCs/>
          <w:color w:val="000000" w:themeColor="text1"/>
          <w:highlight w:val="none"/>
          <w14:textFill>
            <w14:solidFill>
              <w14:schemeClr w14:val="tx1"/>
            </w14:solidFill>
          </w14:textFill>
        </w:rPr>
        <w:t>500m</w:t>
      </w:r>
      <w:r>
        <w:rPr>
          <w:rFonts w:hint="eastAsia" w:eastAsia="宋体"/>
          <w:b/>
          <w:bCs/>
          <w:color w:val="000000" w:themeColor="text1"/>
          <w:highlight w:val="none"/>
          <w14:textFill>
            <w14:solidFill>
              <w14:schemeClr w14:val="tx1"/>
            </w14:solidFill>
          </w14:textFill>
        </w:rPr>
        <w:t>范</w:t>
      </w:r>
      <w:r>
        <w:rPr>
          <w:rFonts w:eastAsia="宋体"/>
          <w:b/>
          <w:bCs/>
          <w:color w:val="000000" w:themeColor="text1"/>
          <w:highlight w:val="none"/>
          <w14:textFill>
            <w14:solidFill>
              <w14:schemeClr w14:val="tx1"/>
            </w14:solidFill>
          </w14:textFill>
        </w:rPr>
        <w:t>围内</w:t>
      </w:r>
      <w:r>
        <w:rPr>
          <w:rFonts w:eastAsia="宋体"/>
          <w:b/>
          <w:bCs/>
          <w:color w:val="000000" w:themeColor="text1"/>
          <w14:textFill>
            <w14:solidFill>
              <w14:schemeClr w14:val="tx1"/>
            </w14:solidFill>
          </w14:textFill>
        </w:rPr>
        <w:t>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537"/>
        <w:gridCol w:w="1674"/>
        <w:gridCol w:w="987"/>
        <w:gridCol w:w="991"/>
        <w:gridCol w:w="1159"/>
        <w:gridCol w:w="1574"/>
        <w:gridCol w:w="1839"/>
      </w:tblGrid>
      <w:tr w14:paraId="0090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restart"/>
            <w:tcBorders>
              <w:tl2br w:val="nil"/>
              <w:tr2bl w:val="nil"/>
            </w:tcBorders>
            <w:vAlign w:val="center"/>
          </w:tcPr>
          <w:p w14:paraId="4534E9C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798852D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178" w:type="pct"/>
            <w:gridSpan w:val="2"/>
            <w:tcBorders>
              <w:tl2br w:val="nil"/>
              <w:tr2bl w:val="nil"/>
            </w:tcBorders>
            <w:vAlign w:val="center"/>
          </w:tcPr>
          <w:p w14:paraId="47CAF6F1">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526" w:type="pct"/>
            <w:vMerge w:val="restart"/>
            <w:tcBorders>
              <w:tl2br w:val="nil"/>
              <w:tr2bl w:val="nil"/>
            </w:tcBorders>
            <w:vAlign w:val="center"/>
          </w:tcPr>
          <w:p w14:paraId="0B0CCD07">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527" w:type="pct"/>
            <w:vMerge w:val="restart"/>
            <w:tcBorders>
              <w:tl2br w:val="nil"/>
              <w:tr2bl w:val="nil"/>
            </w:tcBorders>
            <w:vAlign w:val="center"/>
          </w:tcPr>
          <w:p w14:paraId="3F2FFE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618" w:type="pct"/>
            <w:vMerge w:val="restart"/>
            <w:tcBorders>
              <w:tl2br w:val="nil"/>
              <w:tr2bl w:val="nil"/>
            </w:tcBorders>
            <w:vAlign w:val="center"/>
          </w:tcPr>
          <w:p w14:paraId="5628B77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839" w:type="pct"/>
            <w:vMerge w:val="restart"/>
            <w:tcBorders>
              <w:tl2br w:val="nil"/>
              <w:tr2bl w:val="nil"/>
            </w:tcBorders>
            <w:vAlign w:val="center"/>
          </w:tcPr>
          <w:p w14:paraId="5CB3A50E">
            <w:pPr>
              <w:pStyle w:val="47"/>
              <w:jc w:val="center"/>
              <w:rPr>
                <w:rFonts w:ascii="Times New Roman" w:eastAsia="宋体" w:cs="Times New Roman"/>
                <w:b/>
                <w:bCs/>
                <w:color w:val="auto"/>
                <w:sz w:val="21"/>
                <w:szCs w:val="21"/>
              </w:rPr>
            </w:pPr>
            <w:r>
              <w:rPr>
                <w:rFonts w:hint="eastAsia" w:ascii="Times New Roman" w:eastAsia="宋体" w:cs="Times New Roman"/>
                <w:b/>
                <w:bCs/>
                <w:color w:val="auto"/>
                <w:sz w:val="21"/>
                <w:szCs w:val="21"/>
              </w:rPr>
              <w:t>联系方式</w:t>
            </w:r>
          </w:p>
        </w:tc>
        <w:tc>
          <w:tcPr>
            <w:tcW w:w="980" w:type="pct"/>
            <w:vMerge w:val="restart"/>
            <w:tcBorders>
              <w:tl2br w:val="nil"/>
              <w:tr2bl w:val="nil"/>
            </w:tcBorders>
            <w:vAlign w:val="center"/>
          </w:tcPr>
          <w:p w14:paraId="4ECBEE7A">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7F52A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4810A8A8">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1B0618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892" w:type="pct"/>
            <w:tcBorders>
              <w:tl2br w:val="nil"/>
              <w:tr2bl w:val="nil"/>
            </w:tcBorders>
            <w:vAlign w:val="center"/>
          </w:tcPr>
          <w:p w14:paraId="132A79A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526" w:type="pct"/>
            <w:vMerge w:val="continue"/>
            <w:tcBorders>
              <w:tl2br w:val="nil"/>
              <w:tr2bl w:val="nil"/>
            </w:tcBorders>
            <w:vAlign w:val="center"/>
          </w:tcPr>
          <w:p w14:paraId="376F8616">
            <w:pPr>
              <w:pStyle w:val="47"/>
              <w:jc w:val="center"/>
              <w:rPr>
                <w:rFonts w:ascii="Times New Roman" w:eastAsia="宋体" w:cs="Times New Roman"/>
                <w:color w:val="auto"/>
                <w:sz w:val="21"/>
                <w:szCs w:val="21"/>
              </w:rPr>
            </w:pPr>
          </w:p>
        </w:tc>
        <w:tc>
          <w:tcPr>
            <w:tcW w:w="527" w:type="pct"/>
            <w:vMerge w:val="continue"/>
            <w:tcBorders>
              <w:tl2br w:val="nil"/>
              <w:tr2bl w:val="nil"/>
            </w:tcBorders>
            <w:vAlign w:val="center"/>
          </w:tcPr>
          <w:p w14:paraId="7D4EA5BF">
            <w:pPr>
              <w:pStyle w:val="47"/>
              <w:jc w:val="center"/>
              <w:rPr>
                <w:rFonts w:ascii="Times New Roman" w:eastAsia="宋体" w:cs="Times New Roman"/>
                <w:color w:val="auto"/>
                <w:sz w:val="21"/>
                <w:szCs w:val="21"/>
              </w:rPr>
            </w:pPr>
          </w:p>
        </w:tc>
        <w:tc>
          <w:tcPr>
            <w:tcW w:w="618" w:type="pct"/>
            <w:vMerge w:val="continue"/>
            <w:tcBorders>
              <w:tl2br w:val="nil"/>
              <w:tr2bl w:val="nil"/>
            </w:tcBorders>
            <w:vAlign w:val="center"/>
          </w:tcPr>
          <w:p w14:paraId="184FC552">
            <w:pPr>
              <w:pStyle w:val="47"/>
              <w:jc w:val="center"/>
              <w:rPr>
                <w:rFonts w:ascii="Times New Roman" w:eastAsia="宋体" w:cs="Times New Roman"/>
                <w:color w:val="auto"/>
                <w:sz w:val="21"/>
                <w:szCs w:val="21"/>
              </w:rPr>
            </w:pPr>
          </w:p>
        </w:tc>
        <w:tc>
          <w:tcPr>
            <w:tcW w:w="839" w:type="pct"/>
            <w:vMerge w:val="continue"/>
            <w:tcBorders>
              <w:tl2br w:val="nil"/>
              <w:tr2bl w:val="nil"/>
            </w:tcBorders>
            <w:vAlign w:val="center"/>
          </w:tcPr>
          <w:p w14:paraId="4C97966E">
            <w:pPr>
              <w:pStyle w:val="47"/>
              <w:jc w:val="center"/>
              <w:rPr>
                <w:rFonts w:ascii="Times New Roman" w:eastAsia="宋体" w:cs="Times New Roman"/>
                <w:color w:val="auto"/>
                <w:sz w:val="21"/>
                <w:szCs w:val="21"/>
              </w:rPr>
            </w:pPr>
          </w:p>
        </w:tc>
        <w:tc>
          <w:tcPr>
            <w:tcW w:w="980" w:type="pct"/>
            <w:vMerge w:val="continue"/>
            <w:tcBorders>
              <w:tl2br w:val="nil"/>
              <w:tr2bl w:val="nil"/>
            </w:tcBorders>
            <w:vAlign w:val="center"/>
          </w:tcPr>
          <w:p w14:paraId="544A96A6">
            <w:pPr>
              <w:pStyle w:val="47"/>
              <w:jc w:val="center"/>
              <w:rPr>
                <w:rFonts w:ascii="Times New Roman" w:eastAsia="宋体" w:cs="Times New Roman"/>
                <w:color w:val="auto"/>
                <w:sz w:val="21"/>
                <w:szCs w:val="21"/>
              </w:rPr>
            </w:pPr>
          </w:p>
        </w:tc>
      </w:tr>
      <w:tr w14:paraId="2EE93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vMerge w:val="continue"/>
            <w:tcBorders>
              <w:tl2br w:val="nil"/>
              <w:tr2bl w:val="nil"/>
            </w:tcBorders>
            <w:vAlign w:val="center"/>
          </w:tcPr>
          <w:p w14:paraId="7E61637E">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8736C5E">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892" w:type="pct"/>
            <w:tcBorders>
              <w:tl2br w:val="nil"/>
              <w:tr2bl w:val="nil"/>
            </w:tcBorders>
            <w:vAlign w:val="center"/>
          </w:tcPr>
          <w:p w14:paraId="4B7EF3B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526" w:type="pct"/>
            <w:tcBorders>
              <w:tl2br w:val="nil"/>
              <w:tr2bl w:val="nil"/>
            </w:tcBorders>
            <w:vAlign w:val="center"/>
          </w:tcPr>
          <w:p w14:paraId="436E4E2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F5A679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618" w:type="pct"/>
            <w:tcBorders>
              <w:tl2br w:val="nil"/>
              <w:tr2bl w:val="nil"/>
            </w:tcBorders>
            <w:vAlign w:val="center"/>
          </w:tcPr>
          <w:p w14:paraId="53DCDF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333EB6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15896209198</w:t>
            </w:r>
          </w:p>
        </w:tc>
        <w:tc>
          <w:tcPr>
            <w:tcW w:w="980" w:type="pct"/>
            <w:vMerge w:val="restart"/>
            <w:tcBorders>
              <w:tl2br w:val="nil"/>
              <w:tr2bl w:val="nil"/>
            </w:tcBorders>
            <w:vAlign w:val="center"/>
          </w:tcPr>
          <w:p w14:paraId="528A5F30">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E7B5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99841F0">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3165AD0">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892" w:type="pct"/>
            <w:tcBorders>
              <w:tl2br w:val="nil"/>
              <w:tr2bl w:val="nil"/>
            </w:tcBorders>
            <w:vAlign w:val="center"/>
          </w:tcPr>
          <w:p w14:paraId="4FE60EF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526" w:type="pct"/>
            <w:tcBorders>
              <w:tl2br w:val="nil"/>
              <w:tr2bl w:val="nil"/>
            </w:tcBorders>
            <w:vAlign w:val="center"/>
          </w:tcPr>
          <w:p w14:paraId="53F5443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94B840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618" w:type="pct"/>
            <w:tcBorders>
              <w:tl2br w:val="nil"/>
              <w:tr2bl w:val="nil"/>
            </w:tcBorders>
            <w:vAlign w:val="center"/>
          </w:tcPr>
          <w:p w14:paraId="5AEBBFB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C8AE2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0513-88937388</w:t>
            </w:r>
          </w:p>
        </w:tc>
        <w:tc>
          <w:tcPr>
            <w:tcW w:w="980" w:type="pct"/>
            <w:vMerge w:val="continue"/>
            <w:tcBorders>
              <w:tl2br w:val="nil"/>
              <w:tr2bl w:val="nil"/>
            </w:tcBorders>
            <w:vAlign w:val="center"/>
          </w:tcPr>
          <w:p w14:paraId="37E484FC">
            <w:pPr>
              <w:pStyle w:val="47"/>
              <w:jc w:val="center"/>
              <w:rPr>
                <w:rFonts w:ascii="Times New Roman" w:eastAsia="宋体" w:cs="Times New Roman"/>
                <w:color w:val="auto"/>
                <w:sz w:val="21"/>
                <w:szCs w:val="21"/>
              </w:rPr>
            </w:pPr>
          </w:p>
        </w:tc>
      </w:tr>
      <w:tr w14:paraId="2949B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5C7479AD">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320CB90">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892" w:type="pct"/>
            <w:tcBorders>
              <w:tl2br w:val="nil"/>
              <w:tr2bl w:val="nil"/>
            </w:tcBorders>
            <w:vAlign w:val="center"/>
          </w:tcPr>
          <w:p w14:paraId="3D360BB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526" w:type="pct"/>
            <w:tcBorders>
              <w:tl2br w:val="nil"/>
              <w:tr2bl w:val="nil"/>
            </w:tcBorders>
            <w:vAlign w:val="center"/>
          </w:tcPr>
          <w:p w14:paraId="3053171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52B9F52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618" w:type="pct"/>
            <w:tcBorders>
              <w:tl2br w:val="nil"/>
              <w:tr2bl w:val="nil"/>
            </w:tcBorders>
            <w:vAlign w:val="center"/>
          </w:tcPr>
          <w:p w14:paraId="14BBF3A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5F48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15026660117</w:t>
            </w:r>
          </w:p>
        </w:tc>
        <w:tc>
          <w:tcPr>
            <w:tcW w:w="980" w:type="pct"/>
            <w:vMerge w:val="continue"/>
            <w:tcBorders>
              <w:tl2br w:val="nil"/>
              <w:tr2bl w:val="nil"/>
            </w:tcBorders>
            <w:vAlign w:val="center"/>
          </w:tcPr>
          <w:p w14:paraId="5670EC70">
            <w:pPr>
              <w:pStyle w:val="47"/>
              <w:jc w:val="center"/>
              <w:rPr>
                <w:rFonts w:ascii="Times New Roman" w:eastAsia="宋体" w:cs="Times New Roman"/>
                <w:color w:val="auto"/>
                <w:sz w:val="21"/>
                <w:szCs w:val="21"/>
              </w:rPr>
            </w:pPr>
          </w:p>
        </w:tc>
      </w:tr>
      <w:tr w14:paraId="4DC02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356CC4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A92679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892" w:type="pct"/>
            <w:tcBorders>
              <w:tl2br w:val="nil"/>
              <w:tr2bl w:val="nil"/>
            </w:tcBorders>
            <w:vAlign w:val="center"/>
          </w:tcPr>
          <w:p w14:paraId="451B550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526" w:type="pct"/>
            <w:tcBorders>
              <w:tl2br w:val="nil"/>
              <w:tr2bl w:val="nil"/>
            </w:tcBorders>
            <w:vAlign w:val="center"/>
          </w:tcPr>
          <w:p w14:paraId="2D262DE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2B2EE9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618" w:type="pct"/>
            <w:tcBorders>
              <w:tl2br w:val="nil"/>
              <w:tr2bl w:val="nil"/>
            </w:tcBorders>
            <w:vAlign w:val="center"/>
          </w:tcPr>
          <w:p w14:paraId="03B87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F509E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13862965588</w:t>
            </w:r>
          </w:p>
        </w:tc>
        <w:tc>
          <w:tcPr>
            <w:tcW w:w="980" w:type="pct"/>
            <w:vMerge w:val="continue"/>
            <w:tcBorders>
              <w:tl2br w:val="nil"/>
              <w:tr2bl w:val="nil"/>
            </w:tcBorders>
            <w:vAlign w:val="center"/>
          </w:tcPr>
          <w:p w14:paraId="494E6140">
            <w:pPr>
              <w:pStyle w:val="47"/>
              <w:jc w:val="center"/>
              <w:rPr>
                <w:rFonts w:ascii="Times New Roman" w:eastAsia="宋体" w:cs="Times New Roman"/>
                <w:color w:val="auto"/>
                <w:sz w:val="21"/>
                <w:szCs w:val="21"/>
              </w:rPr>
            </w:pPr>
          </w:p>
        </w:tc>
      </w:tr>
      <w:tr w14:paraId="3595C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E7B29DF">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1B903D23">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892" w:type="pct"/>
            <w:tcBorders>
              <w:tl2br w:val="nil"/>
              <w:tr2bl w:val="nil"/>
            </w:tcBorders>
            <w:vAlign w:val="center"/>
          </w:tcPr>
          <w:p w14:paraId="47B7B1F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526" w:type="pct"/>
            <w:tcBorders>
              <w:tl2br w:val="nil"/>
              <w:tr2bl w:val="nil"/>
            </w:tcBorders>
            <w:vAlign w:val="center"/>
          </w:tcPr>
          <w:p w14:paraId="08E05F8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3F36F1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1FCAD58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1E71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18914358169</w:t>
            </w:r>
          </w:p>
        </w:tc>
        <w:tc>
          <w:tcPr>
            <w:tcW w:w="980" w:type="pct"/>
            <w:vMerge w:val="continue"/>
            <w:tcBorders>
              <w:tl2br w:val="nil"/>
              <w:tr2bl w:val="nil"/>
            </w:tcBorders>
            <w:vAlign w:val="center"/>
          </w:tcPr>
          <w:p w14:paraId="39E64C40">
            <w:pPr>
              <w:pStyle w:val="47"/>
              <w:jc w:val="center"/>
              <w:rPr>
                <w:rFonts w:ascii="Times New Roman" w:eastAsia="宋体" w:cs="Times New Roman"/>
                <w:color w:val="auto"/>
                <w:sz w:val="21"/>
                <w:szCs w:val="21"/>
              </w:rPr>
            </w:pPr>
          </w:p>
        </w:tc>
      </w:tr>
      <w:tr w14:paraId="50E3C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FB56EF8">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7AEA2989">
            <w:pPr>
              <w:pStyle w:val="47"/>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892" w:type="pct"/>
            <w:tcBorders>
              <w:tl2br w:val="nil"/>
              <w:tr2bl w:val="nil"/>
            </w:tcBorders>
            <w:vAlign w:val="center"/>
          </w:tcPr>
          <w:p w14:paraId="64D5A14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526" w:type="pct"/>
            <w:tcBorders>
              <w:tl2br w:val="nil"/>
              <w:tr2bl w:val="nil"/>
            </w:tcBorders>
            <w:vAlign w:val="center"/>
          </w:tcPr>
          <w:p w14:paraId="6A9E19B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276BEFA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618" w:type="pct"/>
            <w:tcBorders>
              <w:tl2br w:val="nil"/>
              <w:tr2bl w:val="nil"/>
            </w:tcBorders>
            <w:vAlign w:val="center"/>
          </w:tcPr>
          <w:p w14:paraId="7311448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24BB9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13429207072</w:t>
            </w:r>
          </w:p>
        </w:tc>
        <w:tc>
          <w:tcPr>
            <w:tcW w:w="980" w:type="pct"/>
            <w:vMerge w:val="continue"/>
            <w:tcBorders>
              <w:tl2br w:val="nil"/>
              <w:tr2bl w:val="nil"/>
            </w:tcBorders>
            <w:vAlign w:val="center"/>
          </w:tcPr>
          <w:p w14:paraId="203BF52E">
            <w:pPr>
              <w:pStyle w:val="47"/>
              <w:jc w:val="center"/>
              <w:rPr>
                <w:rFonts w:ascii="Times New Roman" w:eastAsia="宋体" w:cs="Times New Roman"/>
                <w:color w:val="auto"/>
                <w:sz w:val="21"/>
                <w:szCs w:val="21"/>
              </w:rPr>
            </w:pPr>
          </w:p>
        </w:tc>
      </w:tr>
      <w:tr w14:paraId="5C4B2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A564C4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04CCA60E">
            <w:pPr>
              <w:pStyle w:val="47"/>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892" w:type="pct"/>
            <w:tcBorders>
              <w:tl2br w:val="nil"/>
              <w:tr2bl w:val="nil"/>
            </w:tcBorders>
            <w:vAlign w:val="center"/>
          </w:tcPr>
          <w:p w14:paraId="3752C5C0">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526" w:type="pct"/>
            <w:tcBorders>
              <w:tl2br w:val="nil"/>
              <w:tr2bl w:val="nil"/>
            </w:tcBorders>
            <w:vAlign w:val="center"/>
          </w:tcPr>
          <w:p w14:paraId="22E5208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6F59932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618" w:type="pct"/>
            <w:tcBorders>
              <w:tl2br w:val="nil"/>
              <w:tr2bl w:val="nil"/>
            </w:tcBorders>
            <w:vAlign w:val="center"/>
          </w:tcPr>
          <w:p w14:paraId="5D9283A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458E91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13814845343</w:t>
            </w:r>
          </w:p>
        </w:tc>
        <w:tc>
          <w:tcPr>
            <w:tcW w:w="980" w:type="pct"/>
            <w:vMerge w:val="continue"/>
            <w:tcBorders>
              <w:tl2br w:val="nil"/>
              <w:tr2bl w:val="nil"/>
            </w:tcBorders>
            <w:vAlign w:val="center"/>
          </w:tcPr>
          <w:p w14:paraId="39FAE004">
            <w:pPr>
              <w:pStyle w:val="47"/>
              <w:jc w:val="center"/>
              <w:rPr>
                <w:rFonts w:ascii="Times New Roman" w:eastAsia="宋体" w:cs="Times New Roman"/>
                <w:color w:val="auto"/>
                <w:sz w:val="21"/>
                <w:szCs w:val="21"/>
              </w:rPr>
            </w:pPr>
          </w:p>
        </w:tc>
      </w:tr>
      <w:tr w14:paraId="17799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223FA172">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746073C">
            <w:pPr>
              <w:pStyle w:val="47"/>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892" w:type="pct"/>
            <w:tcBorders>
              <w:tl2br w:val="nil"/>
              <w:tr2bl w:val="nil"/>
            </w:tcBorders>
            <w:vAlign w:val="center"/>
          </w:tcPr>
          <w:p w14:paraId="724C69E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526" w:type="pct"/>
            <w:tcBorders>
              <w:tl2br w:val="nil"/>
              <w:tr2bl w:val="nil"/>
            </w:tcBorders>
            <w:vAlign w:val="center"/>
          </w:tcPr>
          <w:p w14:paraId="6D24156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527" w:type="pct"/>
            <w:tcBorders>
              <w:tl2br w:val="nil"/>
              <w:tr2bl w:val="nil"/>
            </w:tcBorders>
            <w:vAlign w:val="center"/>
          </w:tcPr>
          <w:p w14:paraId="101DEB92">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72F52AE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694D3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18521085856</w:t>
            </w:r>
          </w:p>
        </w:tc>
        <w:tc>
          <w:tcPr>
            <w:tcW w:w="980" w:type="pct"/>
            <w:vMerge w:val="continue"/>
            <w:tcBorders>
              <w:tl2br w:val="nil"/>
              <w:tr2bl w:val="nil"/>
            </w:tcBorders>
            <w:vAlign w:val="center"/>
          </w:tcPr>
          <w:p w14:paraId="07EC541F">
            <w:pPr>
              <w:pStyle w:val="47"/>
              <w:jc w:val="center"/>
              <w:rPr>
                <w:rFonts w:ascii="Times New Roman" w:eastAsia="宋体" w:cs="Times New Roman"/>
                <w:color w:val="auto"/>
                <w:sz w:val="21"/>
                <w:szCs w:val="21"/>
              </w:rPr>
            </w:pPr>
          </w:p>
        </w:tc>
      </w:tr>
      <w:tr w14:paraId="7223F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7B2627F9">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3B59BED1">
            <w:pPr>
              <w:pStyle w:val="47"/>
              <w:jc w:val="center"/>
              <w:rPr>
                <w:rFonts w:ascii="Times New Roman" w:eastAsia="宋体" w:cs="Times New Roman"/>
                <w:color w:val="auto"/>
                <w:sz w:val="21"/>
                <w:szCs w:val="21"/>
              </w:rPr>
            </w:pPr>
            <w:r>
              <w:rPr>
                <w:rFonts w:hint="eastAsia" w:ascii="Times New Roman" w:eastAsia="宋体" w:cs="Times New Roman"/>
                <w:color w:val="auto"/>
                <w:sz w:val="21"/>
                <w:szCs w:val="21"/>
              </w:rPr>
              <w:t>9</w:t>
            </w:r>
          </w:p>
        </w:tc>
        <w:tc>
          <w:tcPr>
            <w:tcW w:w="892" w:type="pct"/>
            <w:tcBorders>
              <w:tl2br w:val="nil"/>
              <w:tr2bl w:val="nil"/>
            </w:tcBorders>
            <w:vAlign w:val="center"/>
          </w:tcPr>
          <w:p w14:paraId="69D9012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526" w:type="pct"/>
            <w:tcBorders>
              <w:tl2br w:val="nil"/>
              <w:tr2bl w:val="nil"/>
            </w:tcBorders>
            <w:vAlign w:val="center"/>
          </w:tcPr>
          <w:p w14:paraId="4398865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527" w:type="pct"/>
            <w:tcBorders>
              <w:tl2br w:val="nil"/>
              <w:tr2bl w:val="nil"/>
            </w:tcBorders>
            <w:vAlign w:val="center"/>
          </w:tcPr>
          <w:p w14:paraId="6522CDE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618" w:type="pct"/>
            <w:tcBorders>
              <w:tl2br w:val="nil"/>
              <w:tr2bl w:val="nil"/>
            </w:tcBorders>
            <w:vAlign w:val="center"/>
          </w:tcPr>
          <w:p w14:paraId="408DAB9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7ECCD6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eastAsia="宋体" w:cs="Times New Roman"/>
                <w:sz w:val="21"/>
                <w:szCs w:val="21"/>
                <w:vertAlign w:val="baseline"/>
                <w:lang w:val="en-US" w:eastAsia="zh-CN" w:bidi="ar-SA"/>
              </w:rPr>
              <w:t>13651870085</w:t>
            </w:r>
          </w:p>
        </w:tc>
        <w:tc>
          <w:tcPr>
            <w:tcW w:w="980" w:type="pct"/>
            <w:vMerge w:val="continue"/>
            <w:tcBorders>
              <w:tl2br w:val="nil"/>
              <w:tr2bl w:val="nil"/>
            </w:tcBorders>
            <w:vAlign w:val="center"/>
          </w:tcPr>
          <w:p w14:paraId="212789AA">
            <w:pPr>
              <w:pStyle w:val="47"/>
              <w:jc w:val="center"/>
              <w:rPr>
                <w:rFonts w:ascii="Times New Roman" w:eastAsia="宋体" w:cs="Times New Roman"/>
                <w:color w:val="auto"/>
                <w:sz w:val="21"/>
                <w:szCs w:val="21"/>
              </w:rPr>
            </w:pPr>
          </w:p>
        </w:tc>
      </w:tr>
      <w:tr w14:paraId="319F6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3F1EC087">
            <w:pPr>
              <w:pStyle w:val="47"/>
              <w:jc w:val="center"/>
              <w:rPr>
                <w:rFonts w:ascii="Times New Roman" w:eastAsia="宋体" w:cs="Times New Roman"/>
                <w:color w:val="auto"/>
                <w:sz w:val="21"/>
                <w:szCs w:val="21"/>
              </w:rPr>
            </w:pPr>
          </w:p>
        </w:tc>
        <w:tc>
          <w:tcPr>
            <w:tcW w:w="286" w:type="pct"/>
            <w:tcBorders>
              <w:tl2br w:val="nil"/>
              <w:tr2bl w:val="nil"/>
            </w:tcBorders>
            <w:vAlign w:val="center"/>
          </w:tcPr>
          <w:p w14:paraId="6062525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10</w:t>
            </w:r>
          </w:p>
        </w:tc>
        <w:tc>
          <w:tcPr>
            <w:tcW w:w="892" w:type="pct"/>
            <w:tcBorders>
              <w:tl2br w:val="nil"/>
              <w:tr2bl w:val="nil"/>
            </w:tcBorders>
            <w:vAlign w:val="center"/>
          </w:tcPr>
          <w:p w14:paraId="56BFBDBD">
            <w:pPr>
              <w:widowControl/>
              <w:jc w:val="center"/>
              <w:rPr>
                <w:rFonts w:hint="eastAsia"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526" w:type="pct"/>
            <w:tcBorders>
              <w:tl2br w:val="nil"/>
              <w:tr2bl w:val="nil"/>
            </w:tcBorders>
            <w:vAlign w:val="center"/>
          </w:tcPr>
          <w:p w14:paraId="7C90F5B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527" w:type="pct"/>
            <w:tcBorders>
              <w:tl2br w:val="nil"/>
              <w:tr2bl w:val="nil"/>
            </w:tcBorders>
            <w:vAlign w:val="center"/>
          </w:tcPr>
          <w:p w14:paraId="778584D1">
            <w:pPr>
              <w:widowControl/>
              <w:jc w:val="center"/>
              <w:rPr>
                <w:rFonts w:hint="default"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18" w:type="pct"/>
            <w:tcBorders>
              <w:tl2br w:val="nil"/>
              <w:tr2bl w:val="nil"/>
            </w:tcBorders>
            <w:vAlign w:val="center"/>
          </w:tcPr>
          <w:p w14:paraId="0D0F8F3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1000</w:t>
            </w:r>
            <w:r>
              <w:rPr>
                <w:rFonts w:hint="default" w:ascii="Times New Roman" w:hAnsi="Times New Roman" w:eastAsia="宋体" w:cs="Times New Roman"/>
                <w:color w:val="auto"/>
                <w:sz w:val="21"/>
                <w:szCs w:val="21"/>
              </w:rPr>
              <w:t>人</w:t>
            </w:r>
          </w:p>
        </w:tc>
        <w:tc>
          <w:tcPr>
            <w:tcW w:w="839" w:type="pct"/>
            <w:tcBorders>
              <w:tl2br w:val="nil"/>
              <w:tr2bl w:val="nil"/>
            </w:tcBorders>
            <w:vAlign w:val="center"/>
          </w:tcPr>
          <w:p w14:paraId="5D7F5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s="Times New Roman"/>
                <w:sz w:val="21"/>
                <w:szCs w:val="21"/>
                <w:vertAlign w:val="baseline"/>
                <w:lang w:val="en-US" w:eastAsia="zh-CN" w:bidi="ar-SA"/>
              </w:rPr>
            </w:pPr>
            <w:r>
              <w:rPr>
                <w:rFonts w:hint="eastAsia" w:eastAsia="宋体" w:cs="Times New Roman"/>
                <w:sz w:val="21"/>
                <w:szCs w:val="21"/>
                <w:vertAlign w:val="baseline"/>
                <w:lang w:val="en-US" w:eastAsia="zh-CN" w:bidi="ar-SA"/>
              </w:rPr>
              <w:t>/</w:t>
            </w:r>
          </w:p>
        </w:tc>
        <w:tc>
          <w:tcPr>
            <w:tcW w:w="980" w:type="pct"/>
            <w:vMerge w:val="continue"/>
            <w:tcBorders>
              <w:tl2br w:val="nil"/>
              <w:tr2bl w:val="nil"/>
            </w:tcBorders>
            <w:vAlign w:val="center"/>
          </w:tcPr>
          <w:p w14:paraId="20453AB6">
            <w:pPr>
              <w:pStyle w:val="47"/>
              <w:jc w:val="center"/>
              <w:rPr>
                <w:rFonts w:ascii="Times New Roman" w:eastAsia="宋体" w:cs="Times New Roman"/>
                <w:color w:val="auto"/>
                <w:sz w:val="21"/>
                <w:szCs w:val="21"/>
              </w:rPr>
            </w:pPr>
          </w:p>
        </w:tc>
      </w:tr>
      <w:tr w14:paraId="61F2C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pct"/>
            <w:vMerge w:val="continue"/>
            <w:tcBorders>
              <w:tl2br w:val="nil"/>
              <w:tr2bl w:val="nil"/>
            </w:tcBorders>
            <w:vAlign w:val="center"/>
          </w:tcPr>
          <w:p w14:paraId="63AC5C7E">
            <w:pPr>
              <w:pStyle w:val="47"/>
              <w:jc w:val="center"/>
              <w:rPr>
                <w:rFonts w:ascii="Times New Roman" w:eastAsia="宋体" w:cs="Times New Roman"/>
                <w:color w:val="auto"/>
                <w:sz w:val="21"/>
                <w:szCs w:val="21"/>
              </w:rPr>
            </w:pPr>
          </w:p>
        </w:tc>
        <w:tc>
          <w:tcPr>
            <w:tcW w:w="2232" w:type="pct"/>
            <w:gridSpan w:val="4"/>
            <w:tcBorders>
              <w:tl2br w:val="nil"/>
              <w:tr2bl w:val="nil"/>
            </w:tcBorders>
            <w:vAlign w:val="center"/>
          </w:tcPr>
          <w:p w14:paraId="7FFB8BB3">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618" w:type="pct"/>
            <w:tcBorders>
              <w:tl2br w:val="nil"/>
              <w:tr2bl w:val="nil"/>
            </w:tcBorders>
            <w:vAlign w:val="center"/>
          </w:tcPr>
          <w:p w14:paraId="2465938E">
            <w:pPr>
              <w:pStyle w:val="47"/>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rPr>
              <w:t>1</w:t>
            </w:r>
            <w:r>
              <w:rPr>
                <w:rFonts w:hint="eastAsia" w:ascii="Times New Roman" w:eastAsia="宋体" w:cs="Times New Roman"/>
                <w:color w:val="auto"/>
                <w:sz w:val="21"/>
                <w:szCs w:val="21"/>
                <w:lang w:val="en-US" w:eastAsia="zh-CN"/>
              </w:rPr>
              <w:t>670</w:t>
            </w:r>
          </w:p>
        </w:tc>
        <w:tc>
          <w:tcPr>
            <w:tcW w:w="839" w:type="pct"/>
            <w:tcBorders>
              <w:tl2br w:val="nil"/>
              <w:tr2bl w:val="nil"/>
            </w:tcBorders>
            <w:vAlign w:val="center"/>
          </w:tcPr>
          <w:p w14:paraId="54CFE59A">
            <w:pPr>
              <w:pStyle w:val="47"/>
              <w:jc w:val="center"/>
              <w:rPr>
                <w:rFonts w:ascii="Times New Roman" w:eastAsia="宋体" w:cs="Times New Roman"/>
                <w:color w:val="auto"/>
                <w:sz w:val="21"/>
                <w:szCs w:val="21"/>
              </w:rPr>
            </w:pPr>
            <w:r>
              <w:rPr>
                <w:rFonts w:hint="eastAsia" w:ascii="Times New Roman" w:eastAsia="宋体" w:cs="Times New Roman"/>
                <w:color w:val="auto"/>
                <w:sz w:val="21"/>
                <w:szCs w:val="21"/>
              </w:rPr>
              <w:t>/</w:t>
            </w:r>
          </w:p>
        </w:tc>
        <w:tc>
          <w:tcPr>
            <w:tcW w:w="980" w:type="pct"/>
            <w:vMerge w:val="continue"/>
            <w:tcBorders>
              <w:tl2br w:val="nil"/>
              <w:tr2bl w:val="nil"/>
            </w:tcBorders>
            <w:vAlign w:val="center"/>
          </w:tcPr>
          <w:p w14:paraId="72D7CE64">
            <w:pPr>
              <w:pStyle w:val="47"/>
              <w:jc w:val="center"/>
              <w:rPr>
                <w:rFonts w:ascii="Times New Roman" w:eastAsia="宋体" w:cs="Times New Roman"/>
                <w:color w:val="auto"/>
                <w:sz w:val="21"/>
                <w:szCs w:val="21"/>
              </w:rPr>
            </w:pPr>
          </w:p>
        </w:tc>
      </w:tr>
    </w:tbl>
    <w:p w14:paraId="03BEC636">
      <w:pPr>
        <w:adjustRightInd w:val="0"/>
        <w:snapToGrid w:val="0"/>
        <w:spacing w:line="480" w:lineRule="exact"/>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表3-</w:t>
      </w:r>
      <w:r>
        <w:rPr>
          <w:rFonts w:hint="eastAsia" w:eastAsia="宋体"/>
          <w:b/>
          <w:bCs/>
          <w:color w:val="000000" w:themeColor="text1"/>
          <w14:textFill>
            <w14:solidFill>
              <w14:schemeClr w14:val="tx1"/>
            </w14:solidFill>
          </w14:textFill>
        </w:rPr>
        <w:t>5</w:t>
      </w:r>
      <w:r>
        <w:rPr>
          <w:rFonts w:hint="eastAsia" w:eastAsia="宋体"/>
          <w:b/>
          <w:bCs/>
          <w:color w:val="000000" w:themeColor="text1"/>
          <w:lang w:eastAsia="zh-CN"/>
          <w14:textFill>
            <w14:solidFill>
              <w14:schemeClr w14:val="tx1"/>
            </w14:solidFill>
          </w14:textFill>
        </w:rPr>
        <w:t>名万家具</w:t>
      </w:r>
      <w:r>
        <w:rPr>
          <w:rFonts w:eastAsia="宋体"/>
          <w:b/>
          <w:bCs/>
          <w:color w:val="000000" w:themeColor="text1"/>
          <w:highlight w:val="none"/>
          <w14:textFill>
            <w14:solidFill>
              <w14:schemeClr w14:val="tx1"/>
            </w14:solidFill>
          </w14:textFill>
        </w:rPr>
        <w:t>周边5公里范</w:t>
      </w:r>
      <w:r>
        <w:rPr>
          <w:rFonts w:eastAsia="宋体"/>
          <w:b/>
          <w:bCs/>
          <w:color w:val="000000" w:themeColor="text1"/>
          <w14:textFill>
            <w14:solidFill>
              <w14:schemeClr w14:val="tx1"/>
            </w14:solidFill>
          </w14:textFill>
        </w:rPr>
        <w:t>围内大气环境风险受体</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689"/>
        <w:gridCol w:w="2058"/>
        <w:gridCol w:w="1231"/>
        <w:gridCol w:w="1216"/>
        <w:gridCol w:w="1441"/>
        <w:gridCol w:w="1942"/>
      </w:tblGrid>
      <w:tr w14:paraId="0578B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restart"/>
            <w:tcBorders>
              <w:tl2br w:val="nil"/>
              <w:tr2bl w:val="nil"/>
            </w:tcBorders>
            <w:vAlign w:val="center"/>
          </w:tcPr>
          <w:p w14:paraId="14D4677C">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w:t>
            </w:r>
          </w:p>
          <w:p w14:paraId="0876E568">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要素</w:t>
            </w:r>
          </w:p>
        </w:tc>
        <w:tc>
          <w:tcPr>
            <w:tcW w:w="1464" w:type="pct"/>
            <w:gridSpan w:val="2"/>
            <w:tcBorders>
              <w:tl2br w:val="nil"/>
              <w:tr2bl w:val="nil"/>
            </w:tcBorders>
            <w:vAlign w:val="center"/>
          </w:tcPr>
          <w:p w14:paraId="6DB80C15">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环境保护对象名称</w:t>
            </w:r>
          </w:p>
        </w:tc>
        <w:tc>
          <w:tcPr>
            <w:tcW w:w="656" w:type="pct"/>
            <w:vMerge w:val="restart"/>
            <w:tcBorders>
              <w:tl2br w:val="nil"/>
              <w:tr2bl w:val="nil"/>
            </w:tcBorders>
            <w:vAlign w:val="center"/>
          </w:tcPr>
          <w:p w14:paraId="5320642D">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方位</w:t>
            </w:r>
          </w:p>
        </w:tc>
        <w:tc>
          <w:tcPr>
            <w:tcW w:w="647" w:type="pct"/>
            <w:vMerge w:val="restart"/>
            <w:tcBorders>
              <w:tl2br w:val="nil"/>
              <w:tr2bl w:val="nil"/>
            </w:tcBorders>
            <w:vAlign w:val="center"/>
          </w:tcPr>
          <w:p w14:paraId="52037822">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距项目厂界最近距离（m）</w:t>
            </w:r>
          </w:p>
        </w:tc>
        <w:tc>
          <w:tcPr>
            <w:tcW w:w="768" w:type="pct"/>
            <w:vMerge w:val="restart"/>
            <w:tcBorders>
              <w:tl2br w:val="nil"/>
              <w:tr2bl w:val="nil"/>
            </w:tcBorders>
            <w:vAlign w:val="center"/>
          </w:tcPr>
          <w:p w14:paraId="7398C1B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规模（人）</w:t>
            </w:r>
          </w:p>
        </w:tc>
        <w:tc>
          <w:tcPr>
            <w:tcW w:w="1035" w:type="pct"/>
            <w:vMerge w:val="restart"/>
            <w:tcBorders>
              <w:tl2br w:val="nil"/>
              <w:tr2bl w:val="nil"/>
            </w:tcBorders>
            <w:vAlign w:val="center"/>
          </w:tcPr>
          <w:p w14:paraId="3A24AD3B">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环境功能</w:t>
            </w:r>
          </w:p>
        </w:tc>
      </w:tr>
      <w:tr w14:paraId="11B46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5726B0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8DC623F">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序号</w:t>
            </w:r>
          </w:p>
        </w:tc>
        <w:tc>
          <w:tcPr>
            <w:tcW w:w="1097" w:type="pct"/>
            <w:tcBorders>
              <w:tl2br w:val="nil"/>
              <w:tr2bl w:val="nil"/>
            </w:tcBorders>
            <w:vAlign w:val="center"/>
          </w:tcPr>
          <w:p w14:paraId="1E752014">
            <w:pPr>
              <w:pStyle w:val="47"/>
              <w:jc w:val="center"/>
              <w:rPr>
                <w:rFonts w:ascii="Times New Roman" w:eastAsia="宋体" w:cs="Times New Roman"/>
                <w:b/>
                <w:bCs/>
                <w:color w:val="auto"/>
                <w:sz w:val="21"/>
                <w:szCs w:val="21"/>
              </w:rPr>
            </w:pPr>
            <w:r>
              <w:rPr>
                <w:rFonts w:ascii="Times New Roman" w:eastAsia="宋体" w:cs="Times New Roman"/>
                <w:b/>
                <w:bCs/>
                <w:color w:val="auto"/>
                <w:sz w:val="21"/>
                <w:szCs w:val="21"/>
              </w:rPr>
              <w:t>敏感点</w:t>
            </w:r>
          </w:p>
        </w:tc>
        <w:tc>
          <w:tcPr>
            <w:tcW w:w="656" w:type="pct"/>
            <w:vMerge w:val="continue"/>
            <w:tcBorders>
              <w:tl2br w:val="nil"/>
              <w:tr2bl w:val="nil"/>
            </w:tcBorders>
            <w:vAlign w:val="center"/>
          </w:tcPr>
          <w:p w14:paraId="2A3DBE89">
            <w:pPr>
              <w:pStyle w:val="47"/>
              <w:jc w:val="center"/>
              <w:rPr>
                <w:rFonts w:ascii="Times New Roman" w:eastAsia="宋体" w:cs="Times New Roman"/>
                <w:color w:val="auto"/>
                <w:sz w:val="21"/>
                <w:szCs w:val="21"/>
              </w:rPr>
            </w:pPr>
          </w:p>
        </w:tc>
        <w:tc>
          <w:tcPr>
            <w:tcW w:w="647" w:type="pct"/>
            <w:vMerge w:val="continue"/>
            <w:tcBorders>
              <w:tl2br w:val="nil"/>
              <w:tr2bl w:val="nil"/>
            </w:tcBorders>
            <w:vAlign w:val="center"/>
          </w:tcPr>
          <w:p w14:paraId="0B189772">
            <w:pPr>
              <w:pStyle w:val="47"/>
              <w:jc w:val="center"/>
              <w:rPr>
                <w:rFonts w:ascii="Times New Roman" w:eastAsia="宋体" w:cs="Times New Roman"/>
                <w:color w:val="auto"/>
                <w:sz w:val="21"/>
                <w:szCs w:val="21"/>
              </w:rPr>
            </w:pPr>
          </w:p>
        </w:tc>
        <w:tc>
          <w:tcPr>
            <w:tcW w:w="768" w:type="pct"/>
            <w:vMerge w:val="continue"/>
            <w:tcBorders>
              <w:tl2br w:val="nil"/>
              <w:tr2bl w:val="nil"/>
            </w:tcBorders>
            <w:vAlign w:val="center"/>
          </w:tcPr>
          <w:p w14:paraId="51522A95">
            <w:pPr>
              <w:pStyle w:val="47"/>
              <w:jc w:val="center"/>
              <w:rPr>
                <w:rFonts w:ascii="Times New Roman" w:eastAsia="宋体" w:cs="Times New Roman"/>
                <w:color w:val="auto"/>
                <w:sz w:val="21"/>
                <w:szCs w:val="21"/>
              </w:rPr>
            </w:pPr>
          </w:p>
        </w:tc>
        <w:tc>
          <w:tcPr>
            <w:tcW w:w="1035" w:type="pct"/>
            <w:vMerge w:val="continue"/>
            <w:tcBorders>
              <w:tl2br w:val="nil"/>
              <w:tr2bl w:val="nil"/>
            </w:tcBorders>
            <w:vAlign w:val="center"/>
          </w:tcPr>
          <w:p w14:paraId="7E892BC1">
            <w:pPr>
              <w:pStyle w:val="47"/>
              <w:jc w:val="center"/>
              <w:rPr>
                <w:rFonts w:ascii="Times New Roman" w:eastAsia="宋体" w:cs="Times New Roman"/>
                <w:color w:val="auto"/>
                <w:sz w:val="21"/>
                <w:szCs w:val="21"/>
              </w:rPr>
            </w:pPr>
          </w:p>
        </w:tc>
      </w:tr>
      <w:tr w14:paraId="456DF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B553A7E">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DF3CC74">
            <w:pPr>
              <w:pStyle w:val="47"/>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1097" w:type="pct"/>
            <w:tcBorders>
              <w:tl2br w:val="nil"/>
              <w:tr2bl w:val="nil"/>
            </w:tcBorders>
            <w:vAlign w:val="center"/>
          </w:tcPr>
          <w:p w14:paraId="1A620B1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南通斐梵富实木业有限公司</w:t>
            </w:r>
          </w:p>
        </w:tc>
        <w:tc>
          <w:tcPr>
            <w:tcW w:w="656" w:type="pct"/>
            <w:tcBorders>
              <w:tl2br w:val="nil"/>
              <w:tr2bl w:val="nil"/>
            </w:tcBorders>
            <w:vAlign w:val="center"/>
          </w:tcPr>
          <w:p w14:paraId="4E5C473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C64924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20</w:t>
            </w:r>
          </w:p>
        </w:tc>
        <w:tc>
          <w:tcPr>
            <w:tcW w:w="768" w:type="pct"/>
            <w:tcBorders>
              <w:tl2br w:val="nil"/>
              <w:tr2bl w:val="nil"/>
            </w:tcBorders>
            <w:vAlign w:val="center"/>
          </w:tcPr>
          <w:p w14:paraId="565851B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120</w:t>
            </w:r>
            <w:r>
              <w:rPr>
                <w:rFonts w:hint="default" w:ascii="Times New Roman" w:hAnsi="Times New Roman" w:eastAsia="宋体" w:cs="Times New Roman"/>
                <w:color w:val="auto"/>
                <w:sz w:val="21"/>
                <w:szCs w:val="21"/>
              </w:rPr>
              <w:t>人</w:t>
            </w:r>
          </w:p>
        </w:tc>
        <w:tc>
          <w:tcPr>
            <w:tcW w:w="1035" w:type="pct"/>
            <w:vMerge w:val="restart"/>
            <w:tcBorders>
              <w:tl2br w:val="nil"/>
              <w:tr2bl w:val="nil"/>
            </w:tcBorders>
            <w:vAlign w:val="center"/>
          </w:tcPr>
          <w:p w14:paraId="4F7F9B62">
            <w:pPr>
              <w:pStyle w:val="47"/>
              <w:jc w:val="center"/>
              <w:rPr>
                <w:rFonts w:ascii="Times New Roman" w:eastAsia="宋体" w:cs="Times New Roman"/>
                <w:color w:val="auto"/>
                <w:sz w:val="21"/>
                <w:szCs w:val="21"/>
              </w:rPr>
            </w:pPr>
            <w:r>
              <w:rPr>
                <w:rFonts w:ascii="Times New Roman" w:eastAsia="宋体" w:cs="Times New Roman"/>
                <w:color w:val="auto"/>
                <w:sz w:val="21"/>
                <w:szCs w:val="21"/>
              </w:rPr>
              <w:t>《环境空气质量标准》（GB3095-2012）中的二级标准</w:t>
            </w:r>
          </w:p>
        </w:tc>
      </w:tr>
      <w:tr w14:paraId="36F6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4FB958CA">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3C3FBB9">
            <w:pPr>
              <w:pStyle w:val="47"/>
              <w:jc w:val="center"/>
              <w:rPr>
                <w:rFonts w:ascii="Times New Roman" w:eastAsia="宋体" w:cs="Times New Roman"/>
                <w:color w:val="auto"/>
                <w:sz w:val="21"/>
                <w:szCs w:val="21"/>
              </w:rPr>
            </w:pPr>
            <w:r>
              <w:rPr>
                <w:rFonts w:ascii="Times New Roman" w:eastAsia="宋体" w:cs="Times New Roman"/>
                <w:color w:val="auto"/>
                <w:sz w:val="21"/>
                <w:szCs w:val="21"/>
              </w:rPr>
              <w:t>2</w:t>
            </w:r>
          </w:p>
        </w:tc>
        <w:tc>
          <w:tcPr>
            <w:tcW w:w="1097" w:type="pct"/>
            <w:tcBorders>
              <w:tl2br w:val="nil"/>
              <w:tr2bl w:val="nil"/>
            </w:tcBorders>
            <w:vAlign w:val="center"/>
          </w:tcPr>
          <w:p w14:paraId="60A0B70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伟业木制品包装材料海安有限公司</w:t>
            </w:r>
          </w:p>
        </w:tc>
        <w:tc>
          <w:tcPr>
            <w:tcW w:w="656" w:type="pct"/>
            <w:tcBorders>
              <w:tl2br w:val="nil"/>
              <w:tr2bl w:val="nil"/>
            </w:tcBorders>
            <w:vAlign w:val="center"/>
          </w:tcPr>
          <w:p w14:paraId="3E92E7F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24405A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260</w:t>
            </w:r>
          </w:p>
        </w:tc>
        <w:tc>
          <w:tcPr>
            <w:tcW w:w="768" w:type="pct"/>
            <w:tcBorders>
              <w:tl2br w:val="nil"/>
              <w:tr2bl w:val="nil"/>
            </w:tcBorders>
            <w:vAlign w:val="center"/>
          </w:tcPr>
          <w:p w14:paraId="29EC8F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CF0C5B6">
            <w:pPr>
              <w:pStyle w:val="47"/>
              <w:jc w:val="center"/>
              <w:rPr>
                <w:rFonts w:ascii="Times New Roman" w:eastAsia="宋体" w:cs="Times New Roman"/>
                <w:color w:val="auto"/>
                <w:sz w:val="21"/>
                <w:szCs w:val="21"/>
              </w:rPr>
            </w:pPr>
          </w:p>
        </w:tc>
      </w:tr>
      <w:tr w14:paraId="751EA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46E41BD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7380124">
            <w:pPr>
              <w:pStyle w:val="47"/>
              <w:jc w:val="center"/>
              <w:rPr>
                <w:rFonts w:ascii="Times New Roman" w:eastAsia="宋体" w:cs="Times New Roman"/>
                <w:color w:val="auto"/>
                <w:sz w:val="21"/>
                <w:szCs w:val="21"/>
              </w:rPr>
            </w:pPr>
            <w:r>
              <w:rPr>
                <w:rFonts w:ascii="Times New Roman" w:eastAsia="宋体" w:cs="Times New Roman"/>
                <w:color w:val="auto"/>
                <w:sz w:val="21"/>
                <w:szCs w:val="21"/>
              </w:rPr>
              <w:t>3</w:t>
            </w:r>
          </w:p>
        </w:tc>
        <w:tc>
          <w:tcPr>
            <w:tcW w:w="1097" w:type="pct"/>
            <w:tcBorders>
              <w:tl2br w:val="nil"/>
              <w:tr2bl w:val="nil"/>
            </w:tcBorders>
            <w:vAlign w:val="center"/>
          </w:tcPr>
          <w:p w14:paraId="63FE3A7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龙湛木业海安有限公司</w:t>
            </w:r>
          </w:p>
        </w:tc>
        <w:tc>
          <w:tcPr>
            <w:tcW w:w="656" w:type="pct"/>
            <w:tcBorders>
              <w:tl2br w:val="nil"/>
              <w:tr2bl w:val="nil"/>
            </w:tcBorders>
            <w:vAlign w:val="center"/>
          </w:tcPr>
          <w:p w14:paraId="7900F0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328B2A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440</w:t>
            </w:r>
          </w:p>
        </w:tc>
        <w:tc>
          <w:tcPr>
            <w:tcW w:w="768" w:type="pct"/>
            <w:tcBorders>
              <w:tl2br w:val="nil"/>
              <w:tr2bl w:val="nil"/>
            </w:tcBorders>
            <w:vAlign w:val="center"/>
          </w:tcPr>
          <w:p w14:paraId="5DFE05E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C14CDCC">
            <w:pPr>
              <w:pStyle w:val="47"/>
              <w:jc w:val="center"/>
              <w:rPr>
                <w:rFonts w:ascii="Times New Roman" w:eastAsia="宋体" w:cs="Times New Roman"/>
                <w:color w:val="auto"/>
                <w:sz w:val="21"/>
                <w:szCs w:val="21"/>
              </w:rPr>
            </w:pPr>
          </w:p>
        </w:tc>
      </w:tr>
      <w:tr w14:paraId="0BCCB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F667F9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99387B3">
            <w:pPr>
              <w:pStyle w:val="47"/>
              <w:jc w:val="center"/>
              <w:rPr>
                <w:rFonts w:ascii="Times New Roman" w:eastAsia="宋体" w:cs="Times New Roman"/>
                <w:color w:val="auto"/>
                <w:sz w:val="21"/>
                <w:szCs w:val="21"/>
              </w:rPr>
            </w:pPr>
            <w:r>
              <w:rPr>
                <w:rFonts w:ascii="Times New Roman" w:eastAsia="宋体" w:cs="Times New Roman"/>
                <w:color w:val="auto"/>
                <w:sz w:val="21"/>
                <w:szCs w:val="21"/>
              </w:rPr>
              <w:t>4</w:t>
            </w:r>
          </w:p>
        </w:tc>
        <w:tc>
          <w:tcPr>
            <w:tcW w:w="1097" w:type="pct"/>
            <w:tcBorders>
              <w:tl2br w:val="nil"/>
              <w:tr2bl w:val="nil"/>
            </w:tcBorders>
            <w:vAlign w:val="center"/>
          </w:tcPr>
          <w:p w14:paraId="49913414">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海安金锐达家具有限公司</w:t>
            </w:r>
          </w:p>
        </w:tc>
        <w:tc>
          <w:tcPr>
            <w:tcW w:w="656" w:type="pct"/>
            <w:tcBorders>
              <w:tl2br w:val="nil"/>
              <w:tr2bl w:val="nil"/>
            </w:tcBorders>
            <w:vAlign w:val="center"/>
          </w:tcPr>
          <w:p w14:paraId="79FD4A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5E6F3C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360</w:t>
            </w:r>
          </w:p>
        </w:tc>
        <w:tc>
          <w:tcPr>
            <w:tcW w:w="768" w:type="pct"/>
            <w:tcBorders>
              <w:tl2br w:val="nil"/>
              <w:tr2bl w:val="nil"/>
            </w:tcBorders>
            <w:vAlign w:val="center"/>
          </w:tcPr>
          <w:p w14:paraId="452E640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53DAB74">
            <w:pPr>
              <w:pStyle w:val="47"/>
              <w:jc w:val="center"/>
              <w:rPr>
                <w:rFonts w:ascii="Times New Roman" w:eastAsia="宋体" w:cs="Times New Roman"/>
                <w:color w:val="auto"/>
                <w:sz w:val="21"/>
                <w:szCs w:val="21"/>
              </w:rPr>
            </w:pPr>
          </w:p>
        </w:tc>
      </w:tr>
      <w:tr w14:paraId="2B4C6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AD52016">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0A94EA7">
            <w:pPr>
              <w:pStyle w:val="47"/>
              <w:jc w:val="center"/>
              <w:rPr>
                <w:rFonts w:ascii="Times New Roman" w:eastAsia="宋体" w:cs="Times New Roman"/>
                <w:color w:val="auto"/>
                <w:sz w:val="21"/>
                <w:szCs w:val="21"/>
              </w:rPr>
            </w:pPr>
            <w:r>
              <w:rPr>
                <w:rFonts w:ascii="Times New Roman" w:eastAsia="宋体" w:cs="Times New Roman"/>
                <w:color w:val="auto"/>
                <w:sz w:val="21"/>
                <w:szCs w:val="21"/>
              </w:rPr>
              <w:t>5</w:t>
            </w:r>
          </w:p>
        </w:tc>
        <w:tc>
          <w:tcPr>
            <w:tcW w:w="1097" w:type="pct"/>
            <w:tcBorders>
              <w:tl2br w:val="nil"/>
              <w:tr2bl w:val="nil"/>
            </w:tcBorders>
            <w:vAlign w:val="center"/>
          </w:tcPr>
          <w:p w14:paraId="74B5ECC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江苏特易家具有限公司</w:t>
            </w:r>
          </w:p>
        </w:tc>
        <w:tc>
          <w:tcPr>
            <w:tcW w:w="656" w:type="pct"/>
            <w:tcBorders>
              <w:tl2br w:val="nil"/>
              <w:tr2bl w:val="nil"/>
            </w:tcBorders>
            <w:vAlign w:val="center"/>
          </w:tcPr>
          <w:p w14:paraId="79920F0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4B185A2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489192C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36A6738">
            <w:pPr>
              <w:pStyle w:val="47"/>
              <w:jc w:val="center"/>
              <w:rPr>
                <w:rFonts w:ascii="Times New Roman" w:eastAsia="宋体" w:cs="Times New Roman"/>
                <w:color w:val="auto"/>
                <w:sz w:val="21"/>
                <w:szCs w:val="21"/>
              </w:rPr>
            </w:pPr>
          </w:p>
        </w:tc>
      </w:tr>
      <w:tr w14:paraId="3370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279941F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F0022E0">
            <w:pPr>
              <w:pStyle w:val="47"/>
              <w:jc w:val="center"/>
              <w:rPr>
                <w:rFonts w:ascii="Times New Roman" w:eastAsia="宋体" w:cs="Times New Roman"/>
                <w:color w:val="auto"/>
                <w:sz w:val="21"/>
                <w:szCs w:val="21"/>
              </w:rPr>
            </w:pPr>
            <w:r>
              <w:rPr>
                <w:rFonts w:ascii="Times New Roman" w:eastAsia="宋体" w:cs="Times New Roman"/>
                <w:color w:val="auto"/>
                <w:sz w:val="21"/>
                <w:szCs w:val="21"/>
              </w:rPr>
              <w:t>6</w:t>
            </w:r>
          </w:p>
        </w:tc>
        <w:tc>
          <w:tcPr>
            <w:tcW w:w="1097" w:type="pct"/>
            <w:tcBorders>
              <w:tl2br w:val="nil"/>
              <w:tr2bl w:val="nil"/>
            </w:tcBorders>
            <w:vAlign w:val="center"/>
          </w:tcPr>
          <w:p w14:paraId="0F6B50E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南通弘毅家具有限公司</w:t>
            </w:r>
          </w:p>
        </w:tc>
        <w:tc>
          <w:tcPr>
            <w:tcW w:w="656" w:type="pct"/>
            <w:tcBorders>
              <w:tl2br w:val="nil"/>
              <w:tr2bl w:val="nil"/>
            </w:tcBorders>
            <w:vAlign w:val="center"/>
          </w:tcPr>
          <w:p w14:paraId="2C781B5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08F0EB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400</w:t>
            </w:r>
          </w:p>
        </w:tc>
        <w:tc>
          <w:tcPr>
            <w:tcW w:w="768" w:type="pct"/>
            <w:tcBorders>
              <w:tl2br w:val="nil"/>
              <w:tr2bl w:val="nil"/>
            </w:tcBorders>
            <w:vAlign w:val="center"/>
          </w:tcPr>
          <w:p w14:paraId="73AAE27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7CCAF5E">
            <w:pPr>
              <w:pStyle w:val="47"/>
              <w:jc w:val="center"/>
              <w:rPr>
                <w:rFonts w:ascii="Times New Roman" w:eastAsia="宋体" w:cs="Times New Roman"/>
                <w:color w:val="auto"/>
                <w:sz w:val="21"/>
                <w:szCs w:val="21"/>
              </w:rPr>
            </w:pPr>
          </w:p>
        </w:tc>
      </w:tr>
      <w:tr w14:paraId="36D8C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D0B6A5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1A06644">
            <w:pPr>
              <w:pStyle w:val="47"/>
              <w:jc w:val="center"/>
              <w:rPr>
                <w:rFonts w:ascii="Times New Roman" w:eastAsia="宋体" w:cs="Times New Roman"/>
                <w:color w:val="auto"/>
                <w:sz w:val="21"/>
                <w:szCs w:val="21"/>
              </w:rPr>
            </w:pPr>
            <w:r>
              <w:rPr>
                <w:rFonts w:ascii="Times New Roman" w:eastAsia="宋体" w:cs="Times New Roman"/>
                <w:color w:val="auto"/>
                <w:sz w:val="21"/>
                <w:szCs w:val="21"/>
              </w:rPr>
              <w:t>7</w:t>
            </w:r>
          </w:p>
        </w:tc>
        <w:tc>
          <w:tcPr>
            <w:tcW w:w="1097" w:type="pct"/>
            <w:tcBorders>
              <w:tl2br w:val="nil"/>
              <w:tr2bl w:val="nil"/>
            </w:tcBorders>
            <w:vAlign w:val="center"/>
          </w:tcPr>
          <w:p w14:paraId="370FFA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江苏木林阁家具有限公司</w:t>
            </w:r>
          </w:p>
        </w:tc>
        <w:tc>
          <w:tcPr>
            <w:tcW w:w="656" w:type="pct"/>
            <w:tcBorders>
              <w:tl2br w:val="nil"/>
              <w:tr2bl w:val="nil"/>
            </w:tcBorders>
            <w:vAlign w:val="center"/>
          </w:tcPr>
          <w:p w14:paraId="5FF7015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03B25B5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390</w:t>
            </w:r>
          </w:p>
        </w:tc>
        <w:tc>
          <w:tcPr>
            <w:tcW w:w="768" w:type="pct"/>
            <w:tcBorders>
              <w:tl2br w:val="nil"/>
              <w:tr2bl w:val="nil"/>
            </w:tcBorders>
            <w:vAlign w:val="center"/>
          </w:tcPr>
          <w:p w14:paraId="4EA3D2C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8026FE1">
            <w:pPr>
              <w:pStyle w:val="47"/>
              <w:jc w:val="center"/>
              <w:rPr>
                <w:rFonts w:ascii="Times New Roman" w:eastAsia="宋体" w:cs="Times New Roman"/>
                <w:color w:val="auto"/>
                <w:sz w:val="21"/>
                <w:szCs w:val="21"/>
              </w:rPr>
            </w:pPr>
          </w:p>
        </w:tc>
      </w:tr>
      <w:tr w14:paraId="7F8E7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EE6D7A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302FBB8">
            <w:pPr>
              <w:pStyle w:val="47"/>
              <w:jc w:val="center"/>
              <w:rPr>
                <w:rFonts w:ascii="Times New Roman" w:eastAsia="宋体" w:cs="Times New Roman"/>
                <w:color w:val="auto"/>
                <w:sz w:val="21"/>
                <w:szCs w:val="21"/>
              </w:rPr>
            </w:pPr>
            <w:r>
              <w:rPr>
                <w:rFonts w:ascii="Times New Roman" w:eastAsia="宋体" w:cs="Times New Roman"/>
                <w:color w:val="auto"/>
                <w:sz w:val="21"/>
                <w:szCs w:val="21"/>
              </w:rPr>
              <w:t>8</w:t>
            </w:r>
          </w:p>
        </w:tc>
        <w:tc>
          <w:tcPr>
            <w:tcW w:w="1097" w:type="pct"/>
            <w:tcBorders>
              <w:tl2br w:val="nil"/>
              <w:tr2bl w:val="nil"/>
            </w:tcBorders>
            <w:vAlign w:val="center"/>
          </w:tcPr>
          <w:p w14:paraId="448B98B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江苏澳仕卡家具有限公司</w:t>
            </w:r>
          </w:p>
        </w:tc>
        <w:tc>
          <w:tcPr>
            <w:tcW w:w="656" w:type="pct"/>
            <w:tcBorders>
              <w:tl2br w:val="nil"/>
              <w:tr2bl w:val="nil"/>
            </w:tcBorders>
            <w:vAlign w:val="center"/>
          </w:tcPr>
          <w:p w14:paraId="2C0205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43EFFA8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1C938A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7A83890D">
            <w:pPr>
              <w:pStyle w:val="47"/>
              <w:jc w:val="center"/>
              <w:rPr>
                <w:rFonts w:ascii="Times New Roman" w:eastAsia="宋体" w:cs="Times New Roman"/>
                <w:color w:val="auto"/>
                <w:sz w:val="21"/>
                <w:szCs w:val="21"/>
              </w:rPr>
            </w:pPr>
          </w:p>
        </w:tc>
      </w:tr>
      <w:tr w14:paraId="0D6B3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7A56281">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65384F">
            <w:pPr>
              <w:pStyle w:val="47"/>
              <w:jc w:val="center"/>
              <w:rPr>
                <w:rFonts w:ascii="Times New Roman" w:eastAsia="宋体" w:cs="Times New Roman"/>
                <w:color w:val="auto"/>
                <w:sz w:val="21"/>
                <w:szCs w:val="21"/>
              </w:rPr>
            </w:pPr>
            <w:r>
              <w:rPr>
                <w:rFonts w:ascii="Times New Roman" w:eastAsia="宋体" w:cs="Times New Roman"/>
                <w:color w:val="auto"/>
                <w:sz w:val="21"/>
                <w:szCs w:val="21"/>
              </w:rPr>
              <w:t>9</w:t>
            </w:r>
          </w:p>
        </w:tc>
        <w:tc>
          <w:tcPr>
            <w:tcW w:w="1097" w:type="pct"/>
            <w:tcBorders>
              <w:tl2br w:val="nil"/>
              <w:tr2bl w:val="nil"/>
            </w:tcBorders>
            <w:vAlign w:val="center"/>
          </w:tcPr>
          <w:p w14:paraId="6DFA79A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江苏鼎锃科技有限公司</w:t>
            </w:r>
          </w:p>
        </w:tc>
        <w:tc>
          <w:tcPr>
            <w:tcW w:w="656" w:type="pct"/>
            <w:tcBorders>
              <w:tl2br w:val="nil"/>
              <w:tr2bl w:val="nil"/>
            </w:tcBorders>
            <w:vAlign w:val="center"/>
          </w:tcPr>
          <w:p w14:paraId="2EA4A1B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9C0CE8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350</w:t>
            </w:r>
          </w:p>
        </w:tc>
        <w:tc>
          <w:tcPr>
            <w:tcW w:w="768" w:type="pct"/>
            <w:tcBorders>
              <w:tl2br w:val="nil"/>
              <w:tr2bl w:val="nil"/>
            </w:tcBorders>
            <w:vAlign w:val="center"/>
          </w:tcPr>
          <w:p w14:paraId="0AE607F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4A9A23">
            <w:pPr>
              <w:pStyle w:val="47"/>
              <w:jc w:val="center"/>
              <w:rPr>
                <w:rFonts w:ascii="Times New Roman" w:eastAsia="宋体" w:cs="Times New Roman"/>
                <w:color w:val="auto"/>
                <w:sz w:val="21"/>
                <w:szCs w:val="21"/>
              </w:rPr>
            </w:pPr>
          </w:p>
        </w:tc>
      </w:tr>
      <w:tr w14:paraId="6A479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53ECE49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A806C3C">
            <w:pPr>
              <w:pStyle w:val="47"/>
              <w:jc w:val="center"/>
              <w:rPr>
                <w:rFonts w:ascii="Times New Roman" w:eastAsia="宋体" w:cs="Times New Roman"/>
                <w:color w:val="auto"/>
                <w:sz w:val="21"/>
                <w:szCs w:val="21"/>
              </w:rPr>
            </w:pPr>
            <w:r>
              <w:rPr>
                <w:rFonts w:ascii="Times New Roman" w:eastAsia="宋体" w:cs="Times New Roman"/>
                <w:color w:val="auto"/>
                <w:sz w:val="21"/>
                <w:szCs w:val="21"/>
              </w:rPr>
              <w:t>10</w:t>
            </w:r>
          </w:p>
        </w:tc>
        <w:tc>
          <w:tcPr>
            <w:tcW w:w="1097" w:type="pct"/>
            <w:tcBorders>
              <w:tl2br w:val="nil"/>
              <w:tr2bl w:val="nil"/>
            </w:tcBorders>
            <w:vAlign w:val="center"/>
          </w:tcPr>
          <w:p w14:paraId="428B369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苏州木居圣磊家具有限公司</w:t>
            </w:r>
          </w:p>
        </w:tc>
        <w:tc>
          <w:tcPr>
            <w:tcW w:w="656" w:type="pct"/>
            <w:tcBorders>
              <w:tl2br w:val="nil"/>
              <w:tr2bl w:val="nil"/>
            </w:tcBorders>
            <w:vAlign w:val="center"/>
          </w:tcPr>
          <w:p w14:paraId="6E35E31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6217D69">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520</w:t>
            </w:r>
          </w:p>
        </w:tc>
        <w:tc>
          <w:tcPr>
            <w:tcW w:w="768" w:type="pct"/>
            <w:tcBorders>
              <w:tl2br w:val="nil"/>
              <w:tr2bl w:val="nil"/>
            </w:tcBorders>
            <w:vAlign w:val="center"/>
          </w:tcPr>
          <w:p w14:paraId="1E1CD8F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3121F094">
            <w:pPr>
              <w:pStyle w:val="47"/>
              <w:jc w:val="center"/>
              <w:rPr>
                <w:rFonts w:ascii="Times New Roman" w:eastAsia="宋体" w:cs="Times New Roman"/>
                <w:color w:val="auto"/>
                <w:sz w:val="21"/>
                <w:szCs w:val="21"/>
              </w:rPr>
            </w:pPr>
          </w:p>
        </w:tc>
      </w:tr>
      <w:tr w14:paraId="6F6E0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01DB9DB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CD466B4">
            <w:pPr>
              <w:pStyle w:val="47"/>
              <w:jc w:val="center"/>
              <w:rPr>
                <w:rFonts w:ascii="Times New Roman" w:eastAsia="宋体" w:cs="Times New Roman"/>
                <w:color w:val="auto"/>
                <w:sz w:val="21"/>
                <w:szCs w:val="21"/>
              </w:rPr>
            </w:pPr>
            <w:r>
              <w:rPr>
                <w:rFonts w:ascii="Times New Roman" w:eastAsia="宋体" w:cs="Times New Roman"/>
                <w:color w:val="auto"/>
                <w:sz w:val="21"/>
                <w:szCs w:val="21"/>
              </w:rPr>
              <w:t>11</w:t>
            </w:r>
          </w:p>
        </w:tc>
        <w:tc>
          <w:tcPr>
            <w:tcW w:w="1097" w:type="pct"/>
            <w:tcBorders>
              <w:tl2br w:val="nil"/>
              <w:tr2bl w:val="nil"/>
            </w:tcBorders>
            <w:vAlign w:val="center"/>
          </w:tcPr>
          <w:p w14:paraId="288B01E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江苏欧岭户外用品有限公司</w:t>
            </w:r>
          </w:p>
        </w:tc>
        <w:tc>
          <w:tcPr>
            <w:tcW w:w="656" w:type="pct"/>
            <w:tcBorders>
              <w:tl2br w:val="nil"/>
              <w:tr2bl w:val="nil"/>
            </w:tcBorders>
            <w:vAlign w:val="center"/>
          </w:tcPr>
          <w:p w14:paraId="2C95FDD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EC7190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550</w:t>
            </w:r>
          </w:p>
        </w:tc>
        <w:tc>
          <w:tcPr>
            <w:tcW w:w="768" w:type="pct"/>
            <w:tcBorders>
              <w:tl2br w:val="nil"/>
              <w:tr2bl w:val="nil"/>
            </w:tcBorders>
            <w:vAlign w:val="center"/>
          </w:tcPr>
          <w:p w14:paraId="723A6AC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0CFEB075">
            <w:pPr>
              <w:pStyle w:val="47"/>
              <w:jc w:val="center"/>
              <w:rPr>
                <w:rFonts w:ascii="Times New Roman" w:eastAsia="宋体" w:cs="Times New Roman"/>
                <w:color w:val="auto"/>
                <w:sz w:val="21"/>
                <w:szCs w:val="21"/>
              </w:rPr>
            </w:pPr>
          </w:p>
        </w:tc>
      </w:tr>
      <w:tr w14:paraId="690FE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3D2943D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278A02F">
            <w:pPr>
              <w:pStyle w:val="47"/>
              <w:jc w:val="center"/>
              <w:rPr>
                <w:rFonts w:ascii="Times New Roman" w:eastAsia="宋体" w:cs="Times New Roman"/>
                <w:color w:val="auto"/>
                <w:sz w:val="21"/>
                <w:szCs w:val="21"/>
              </w:rPr>
            </w:pPr>
            <w:r>
              <w:rPr>
                <w:rFonts w:ascii="Times New Roman" w:eastAsia="宋体" w:cs="Times New Roman"/>
                <w:color w:val="auto"/>
                <w:sz w:val="21"/>
                <w:szCs w:val="21"/>
              </w:rPr>
              <w:t>12</w:t>
            </w:r>
          </w:p>
        </w:tc>
        <w:tc>
          <w:tcPr>
            <w:tcW w:w="1097" w:type="pct"/>
            <w:tcBorders>
              <w:tl2br w:val="nil"/>
              <w:tr2bl w:val="nil"/>
            </w:tcBorders>
            <w:vAlign w:val="center"/>
          </w:tcPr>
          <w:p w14:paraId="4264BFA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江苏昌有顺心家具有限公司</w:t>
            </w:r>
          </w:p>
        </w:tc>
        <w:tc>
          <w:tcPr>
            <w:tcW w:w="656" w:type="pct"/>
            <w:tcBorders>
              <w:tl2br w:val="nil"/>
              <w:tr2bl w:val="nil"/>
            </w:tcBorders>
            <w:vAlign w:val="center"/>
          </w:tcPr>
          <w:p w14:paraId="31F6A06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22A9290">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530</w:t>
            </w:r>
          </w:p>
        </w:tc>
        <w:tc>
          <w:tcPr>
            <w:tcW w:w="768" w:type="pct"/>
            <w:tcBorders>
              <w:tl2br w:val="nil"/>
              <w:tr2bl w:val="nil"/>
            </w:tcBorders>
            <w:vAlign w:val="center"/>
          </w:tcPr>
          <w:p w14:paraId="3E6B394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4132630">
            <w:pPr>
              <w:pStyle w:val="47"/>
              <w:jc w:val="center"/>
              <w:rPr>
                <w:rFonts w:ascii="Times New Roman" w:eastAsia="宋体" w:cs="Times New Roman"/>
                <w:color w:val="auto"/>
                <w:sz w:val="21"/>
                <w:szCs w:val="21"/>
              </w:rPr>
            </w:pPr>
          </w:p>
        </w:tc>
      </w:tr>
      <w:tr w14:paraId="067FE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7" w:type="pct"/>
            <w:vMerge w:val="continue"/>
            <w:tcBorders>
              <w:tl2br w:val="nil"/>
              <w:tr2bl w:val="nil"/>
            </w:tcBorders>
            <w:vAlign w:val="center"/>
          </w:tcPr>
          <w:p w14:paraId="4CE3314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209ED5D7">
            <w:pPr>
              <w:pStyle w:val="47"/>
              <w:jc w:val="center"/>
              <w:rPr>
                <w:rFonts w:ascii="Times New Roman" w:eastAsia="宋体" w:cs="Times New Roman"/>
                <w:color w:val="auto"/>
                <w:sz w:val="21"/>
                <w:szCs w:val="21"/>
              </w:rPr>
            </w:pPr>
            <w:r>
              <w:rPr>
                <w:rFonts w:ascii="Times New Roman" w:eastAsia="宋体" w:cs="Times New Roman"/>
                <w:color w:val="auto"/>
                <w:sz w:val="21"/>
                <w:szCs w:val="21"/>
              </w:rPr>
              <w:t>13</w:t>
            </w:r>
          </w:p>
        </w:tc>
        <w:tc>
          <w:tcPr>
            <w:tcW w:w="1097" w:type="pct"/>
            <w:tcBorders>
              <w:tl2br w:val="nil"/>
              <w:tr2bl w:val="nil"/>
            </w:tcBorders>
            <w:vAlign w:val="center"/>
          </w:tcPr>
          <w:p w14:paraId="73C5373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江苏远怡家具有限公司</w:t>
            </w:r>
          </w:p>
        </w:tc>
        <w:tc>
          <w:tcPr>
            <w:tcW w:w="656" w:type="pct"/>
            <w:tcBorders>
              <w:tl2br w:val="nil"/>
              <w:tr2bl w:val="nil"/>
            </w:tcBorders>
            <w:vAlign w:val="center"/>
          </w:tcPr>
          <w:p w14:paraId="141A811B">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0638CAD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510</w:t>
            </w:r>
          </w:p>
        </w:tc>
        <w:tc>
          <w:tcPr>
            <w:tcW w:w="768" w:type="pct"/>
            <w:tcBorders>
              <w:tl2br w:val="nil"/>
              <w:tr2bl w:val="nil"/>
            </w:tcBorders>
            <w:vAlign w:val="center"/>
          </w:tcPr>
          <w:p w14:paraId="79D2204D">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7E0623F">
            <w:pPr>
              <w:pStyle w:val="47"/>
              <w:jc w:val="center"/>
              <w:rPr>
                <w:rFonts w:ascii="Times New Roman" w:eastAsia="宋体" w:cs="Times New Roman"/>
                <w:color w:val="auto"/>
                <w:sz w:val="21"/>
                <w:szCs w:val="21"/>
              </w:rPr>
            </w:pPr>
          </w:p>
        </w:tc>
      </w:tr>
      <w:tr w14:paraId="3AB55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14:paraId="6F752B3B">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CDA12E6">
            <w:pPr>
              <w:pStyle w:val="47"/>
              <w:jc w:val="center"/>
              <w:rPr>
                <w:rFonts w:ascii="Times New Roman" w:eastAsia="宋体" w:cs="Times New Roman"/>
                <w:color w:val="auto"/>
                <w:sz w:val="21"/>
                <w:szCs w:val="21"/>
              </w:rPr>
            </w:pPr>
            <w:r>
              <w:rPr>
                <w:rFonts w:ascii="Times New Roman" w:eastAsia="宋体" w:cs="Times New Roman"/>
                <w:color w:val="auto"/>
                <w:sz w:val="21"/>
                <w:szCs w:val="21"/>
              </w:rPr>
              <w:t>14</w:t>
            </w:r>
          </w:p>
        </w:tc>
        <w:tc>
          <w:tcPr>
            <w:tcW w:w="1097" w:type="pct"/>
            <w:tcBorders>
              <w:tl2br w:val="nil"/>
              <w:tr2bl w:val="nil"/>
            </w:tcBorders>
            <w:vAlign w:val="center"/>
          </w:tcPr>
          <w:p w14:paraId="303F7D2E">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江苏泰瑞安家具有限公司</w:t>
            </w:r>
          </w:p>
        </w:tc>
        <w:tc>
          <w:tcPr>
            <w:tcW w:w="656" w:type="pct"/>
            <w:tcBorders>
              <w:tl2br w:val="nil"/>
              <w:tr2bl w:val="nil"/>
            </w:tcBorders>
            <w:vAlign w:val="center"/>
          </w:tcPr>
          <w:p w14:paraId="17EEBF6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0901890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640</w:t>
            </w:r>
          </w:p>
        </w:tc>
        <w:tc>
          <w:tcPr>
            <w:tcW w:w="768" w:type="pct"/>
            <w:tcBorders>
              <w:tl2br w:val="nil"/>
              <w:tr2bl w:val="nil"/>
            </w:tcBorders>
            <w:vAlign w:val="center"/>
          </w:tcPr>
          <w:p w14:paraId="35A9A47C">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3C4DCDE">
            <w:pPr>
              <w:pStyle w:val="47"/>
              <w:jc w:val="center"/>
              <w:rPr>
                <w:rFonts w:ascii="Times New Roman" w:eastAsia="宋体" w:cs="Times New Roman"/>
                <w:color w:val="auto"/>
                <w:sz w:val="21"/>
                <w:szCs w:val="21"/>
              </w:rPr>
            </w:pPr>
          </w:p>
        </w:tc>
      </w:tr>
      <w:tr w14:paraId="1018F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6A5563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E5EA55E">
            <w:pPr>
              <w:pStyle w:val="47"/>
              <w:jc w:val="center"/>
              <w:rPr>
                <w:rFonts w:ascii="Times New Roman" w:eastAsia="宋体" w:cs="Times New Roman"/>
                <w:color w:val="auto"/>
                <w:sz w:val="21"/>
                <w:szCs w:val="21"/>
              </w:rPr>
            </w:pPr>
            <w:r>
              <w:rPr>
                <w:rFonts w:ascii="Times New Roman" w:eastAsia="宋体" w:cs="Times New Roman"/>
                <w:color w:val="auto"/>
                <w:sz w:val="21"/>
                <w:szCs w:val="21"/>
              </w:rPr>
              <w:t>15</w:t>
            </w:r>
          </w:p>
        </w:tc>
        <w:tc>
          <w:tcPr>
            <w:tcW w:w="1097" w:type="pct"/>
            <w:tcBorders>
              <w:tl2br w:val="nil"/>
              <w:tr2bl w:val="nil"/>
            </w:tcBorders>
            <w:vAlign w:val="center"/>
          </w:tcPr>
          <w:p w14:paraId="1D85843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海安金团展具有限公司</w:t>
            </w:r>
          </w:p>
        </w:tc>
        <w:tc>
          <w:tcPr>
            <w:tcW w:w="656" w:type="pct"/>
            <w:tcBorders>
              <w:tl2br w:val="nil"/>
              <w:tr2bl w:val="nil"/>
            </w:tcBorders>
            <w:vAlign w:val="center"/>
          </w:tcPr>
          <w:p w14:paraId="4733D3D5">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t>
            </w:r>
          </w:p>
        </w:tc>
        <w:tc>
          <w:tcPr>
            <w:tcW w:w="647" w:type="pct"/>
            <w:tcBorders>
              <w:tl2br w:val="nil"/>
              <w:tr2bl w:val="nil"/>
            </w:tcBorders>
            <w:vAlign w:val="center"/>
          </w:tcPr>
          <w:p w14:paraId="25CF3B68">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650</w:t>
            </w:r>
          </w:p>
        </w:tc>
        <w:tc>
          <w:tcPr>
            <w:tcW w:w="768" w:type="pct"/>
            <w:tcBorders>
              <w:tl2br w:val="nil"/>
              <w:tr2bl w:val="nil"/>
            </w:tcBorders>
            <w:vAlign w:val="center"/>
          </w:tcPr>
          <w:p w14:paraId="38B1918A">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B58E44">
            <w:pPr>
              <w:pStyle w:val="47"/>
              <w:jc w:val="center"/>
              <w:rPr>
                <w:rFonts w:ascii="Times New Roman" w:eastAsia="宋体" w:cs="Times New Roman"/>
                <w:color w:val="auto"/>
                <w:sz w:val="21"/>
                <w:szCs w:val="21"/>
              </w:rPr>
            </w:pPr>
          </w:p>
        </w:tc>
      </w:tr>
      <w:tr w14:paraId="3117D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084EA67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5768DD4">
            <w:pPr>
              <w:pStyle w:val="47"/>
              <w:jc w:val="center"/>
              <w:rPr>
                <w:rFonts w:ascii="Times New Roman" w:eastAsia="宋体" w:cs="Times New Roman"/>
                <w:color w:val="auto"/>
                <w:sz w:val="21"/>
                <w:szCs w:val="21"/>
              </w:rPr>
            </w:pPr>
            <w:r>
              <w:rPr>
                <w:rFonts w:ascii="Times New Roman" w:eastAsia="宋体" w:cs="Times New Roman"/>
                <w:color w:val="auto"/>
                <w:sz w:val="21"/>
                <w:szCs w:val="21"/>
              </w:rPr>
              <w:t>16</w:t>
            </w:r>
          </w:p>
        </w:tc>
        <w:tc>
          <w:tcPr>
            <w:tcW w:w="1097" w:type="pct"/>
            <w:tcBorders>
              <w:tl2br w:val="nil"/>
              <w:tr2bl w:val="nil"/>
            </w:tcBorders>
            <w:vAlign w:val="center"/>
          </w:tcPr>
          <w:p w14:paraId="0A0BE143">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江苏君诺家居海安有限公司</w:t>
            </w:r>
          </w:p>
        </w:tc>
        <w:tc>
          <w:tcPr>
            <w:tcW w:w="656" w:type="pct"/>
            <w:tcBorders>
              <w:tl2br w:val="nil"/>
              <w:tr2bl w:val="nil"/>
            </w:tcBorders>
            <w:vAlign w:val="center"/>
          </w:tcPr>
          <w:p w14:paraId="57F02B2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929418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770</w:t>
            </w:r>
          </w:p>
        </w:tc>
        <w:tc>
          <w:tcPr>
            <w:tcW w:w="768" w:type="pct"/>
            <w:tcBorders>
              <w:tl2br w:val="nil"/>
              <w:tr2bl w:val="nil"/>
            </w:tcBorders>
            <w:vAlign w:val="center"/>
          </w:tcPr>
          <w:p w14:paraId="405E03F6">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50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1AC6742">
            <w:pPr>
              <w:pStyle w:val="47"/>
              <w:jc w:val="center"/>
              <w:rPr>
                <w:rFonts w:ascii="Times New Roman" w:eastAsia="宋体" w:cs="Times New Roman"/>
                <w:color w:val="auto"/>
                <w:sz w:val="21"/>
                <w:szCs w:val="21"/>
              </w:rPr>
            </w:pPr>
          </w:p>
        </w:tc>
      </w:tr>
      <w:tr w14:paraId="37841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8C8E64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CCD2F7A">
            <w:pPr>
              <w:pStyle w:val="47"/>
              <w:jc w:val="center"/>
              <w:rPr>
                <w:rFonts w:ascii="Times New Roman" w:eastAsia="宋体" w:cs="Times New Roman"/>
                <w:color w:val="auto"/>
                <w:sz w:val="21"/>
                <w:szCs w:val="21"/>
              </w:rPr>
            </w:pPr>
            <w:r>
              <w:rPr>
                <w:rFonts w:ascii="Times New Roman" w:eastAsia="宋体" w:cs="Times New Roman"/>
                <w:color w:val="auto"/>
                <w:sz w:val="21"/>
                <w:szCs w:val="21"/>
              </w:rPr>
              <w:t>17</w:t>
            </w:r>
          </w:p>
        </w:tc>
        <w:tc>
          <w:tcPr>
            <w:tcW w:w="1097" w:type="pct"/>
            <w:tcBorders>
              <w:tl2br w:val="nil"/>
              <w:tr2bl w:val="nil"/>
            </w:tcBorders>
            <w:vAlign w:val="center"/>
          </w:tcPr>
          <w:p w14:paraId="238B8F5F">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南通名万家具有限公司</w:t>
            </w:r>
          </w:p>
        </w:tc>
        <w:tc>
          <w:tcPr>
            <w:tcW w:w="656" w:type="pct"/>
            <w:tcBorders>
              <w:tl2br w:val="nil"/>
              <w:tr2bl w:val="nil"/>
            </w:tcBorders>
            <w:vAlign w:val="center"/>
          </w:tcPr>
          <w:p w14:paraId="6CFA8FC7">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D5FE104">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900</w:t>
            </w:r>
          </w:p>
        </w:tc>
        <w:tc>
          <w:tcPr>
            <w:tcW w:w="768" w:type="pct"/>
            <w:tcBorders>
              <w:tl2br w:val="nil"/>
              <w:tr2bl w:val="nil"/>
            </w:tcBorders>
            <w:vAlign w:val="center"/>
          </w:tcPr>
          <w:p w14:paraId="38450BD1">
            <w:pPr>
              <w:widowControl/>
              <w:jc w:val="center"/>
              <w:rPr>
                <w:rFonts w:hint="default"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60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8FCABFF">
            <w:pPr>
              <w:pStyle w:val="47"/>
              <w:jc w:val="center"/>
              <w:rPr>
                <w:rFonts w:ascii="Times New Roman" w:eastAsia="宋体" w:cs="Times New Roman"/>
                <w:color w:val="auto"/>
                <w:sz w:val="21"/>
                <w:szCs w:val="21"/>
              </w:rPr>
            </w:pPr>
          </w:p>
        </w:tc>
      </w:tr>
      <w:tr w14:paraId="07422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9FFA75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125D925B">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70B7757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三昌家具海安有限公司</w:t>
            </w:r>
          </w:p>
        </w:tc>
        <w:tc>
          <w:tcPr>
            <w:tcW w:w="656" w:type="pct"/>
            <w:tcBorders>
              <w:tl2br w:val="nil"/>
              <w:tr2bl w:val="nil"/>
            </w:tcBorders>
            <w:vAlign w:val="center"/>
          </w:tcPr>
          <w:p w14:paraId="262BDAE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916F1F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720</w:t>
            </w:r>
          </w:p>
        </w:tc>
        <w:tc>
          <w:tcPr>
            <w:tcW w:w="768" w:type="pct"/>
            <w:tcBorders>
              <w:tl2br w:val="nil"/>
              <w:tr2bl w:val="nil"/>
            </w:tcBorders>
            <w:vAlign w:val="center"/>
          </w:tcPr>
          <w:p w14:paraId="07FC31D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80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38423DA">
            <w:pPr>
              <w:pStyle w:val="47"/>
              <w:jc w:val="center"/>
              <w:rPr>
                <w:rFonts w:ascii="Times New Roman" w:eastAsia="宋体" w:cs="Times New Roman"/>
                <w:color w:val="auto"/>
                <w:sz w:val="21"/>
                <w:szCs w:val="21"/>
              </w:rPr>
            </w:pPr>
          </w:p>
        </w:tc>
      </w:tr>
      <w:tr w14:paraId="6489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F80CA4D">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A9477B0">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31398F2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江苏东晨朴境家具有限公司</w:t>
            </w:r>
          </w:p>
        </w:tc>
        <w:tc>
          <w:tcPr>
            <w:tcW w:w="656" w:type="pct"/>
            <w:tcBorders>
              <w:tl2br w:val="nil"/>
              <w:tr2bl w:val="nil"/>
            </w:tcBorders>
            <w:vAlign w:val="center"/>
          </w:tcPr>
          <w:p w14:paraId="2D02765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974DB3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874</w:t>
            </w:r>
          </w:p>
        </w:tc>
        <w:tc>
          <w:tcPr>
            <w:tcW w:w="768" w:type="pct"/>
            <w:tcBorders>
              <w:tl2br w:val="nil"/>
              <w:tr2bl w:val="nil"/>
            </w:tcBorders>
            <w:vAlign w:val="center"/>
          </w:tcPr>
          <w:p w14:paraId="1F66981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6C16F08E">
            <w:pPr>
              <w:pStyle w:val="47"/>
              <w:jc w:val="center"/>
              <w:rPr>
                <w:rFonts w:ascii="Times New Roman" w:eastAsia="宋体" w:cs="Times New Roman"/>
                <w:color w:val="auto"/>
                <w:sz w:val="21"/>
                <w:szCs w:val="21"/>
              </w:rPr>
            </w:pPr>
          </w:p>
        </w:tc>
      </w:tr>
      <w:tr w14:paraId="6EFCC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1A36B063">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5D101B29">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0A7EEAB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瑞杰新材料科技有限公司</w:t>
            </w:r>
          </w:p>
        </w:tc>
        <w:tc>
          <w:tcPr>
            <w:tcW w:w="656" w:type="pct"/>
            <w:tcBorders>
              <w:tl2br w:val="nil"/>
              <w:tr2bl w:val="nil"/>
            </w:tcBorders>
            <w:vAlign w:val="center"/>
          </w:tcPr>
          <w:p w14:paraId="291BE4F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5E0B2F9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950</w:t>
            </w:r>
          </w:p>
        </w:tc>
        <w:tc>
          <w:tcPr>
            <w:tcW w:w="768" w:type="pct"/>
            <w:tcBorders>
              <w:tl2br w:val="nil"/>
              <w:tr2bl w:val="nil"/>
            </w:tcBorders>
            <w:vAlign w:val="center"/>
          </w:tcPr>
          <w:p w14:paraId="49DD448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70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FB2509B">
            <w:pPr>
              <w:pStyle w:val="47"/>
              <w:jc w:val="center"/>
              <w:rPr>
                <w:rFonts w:ascii="Times New Roman" w:eastAsia="宋体" w:cs="Times New Roman"/>
                <w:color w:val="auto"/>
                <w:sz w:val="21"/>
                <w:szCs w:val="21"/>
              </w:rPr>
            </w:pPr>
          </w:p>
        </w:tc>
      </w:tr>
      <w:tr w14:paraId="59808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5384630">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3AAFD846">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5F256E1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安普达家具工业园</w:t>
            </w:r>
          </w:p>
        </w:tc>
        <w:tc>
          <w:tcPr>
            <w:tcW w:w="656" w:type="pct"/>
            <w:tcBorders>
              <w:tl2br w:val="nil"/>
              <w:tr2bl w:val="nil"/>
            </w:tcBorders>
            <w:vAlign w:val="center"/>
          </w:tcPr>
          <w:p w14:paraId="18BA1F9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3C812E7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1700</w:t>
            </w:r>
          </w:p>
        </w:tc>
        <w:tc>
          <w:tcPr>
            <w:tcW w:w="768" w:type="pct"/>
            <w:tcBorders>
              <w:tl2br w:val="nil"/>
              <w:tr2bl w:val="nil"/>
            </w:tcBorders>
            <w:vAlign w:val="center"/>
          </w:tcPr>
          <w:p w14:paraId="1C30D06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300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52CFCC19">
            <w:pPr>
              <w:pStyle w:val="47"/>
              <w:jc w:val="center"/>
              <w:rPr>
                <w:rFonts w:ascii="Times New Roman" w:eastAsia="宋体" w:cs="Times New Roman"/>
                <w:color w:val="auto"/>
                <w:sz w:val="21"/>
                <w:szCs w:val="21"/>
              </w:rPr>
            </w:pPr>
          </w:p>
        </w:tc>
      </w:tr>
      <w:tr w14:paraId="10002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5D9CCAD8">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E71085">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5149E44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金港嘉园</w:t>
            </w:r>
          </w:p>
        </w:tc>
        <w:tc>
          <w:tcPr>
            <w:tcW w:w="656" w:type="pct"/>
            <w:tcBorders>
              <w:tl2br w:val="nil"/>
              <w:tr2bl w:val="nil"/>
            </w:tcBorders>
            <w:vAlign w:val="center"/>
          </w:tcPr>
          <w:p w14:paraId="2D41487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62C983B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1800</w:t>
            </w:r>
          </w:p>
        </w:tc>
        <w:tc>
          <w:tcPr>
            <w:tcW w:w="768" w:type="pct"/>
            <w:tcBorders>
              <w:tl2br w:val="nil"/>
              <w:tr2bl w:val="nil"/>
            </w:tcBorders>
            <w:vAlign w:val="center"/>
          </w:tcPr>
          <w:p w14:paraId="4CA1373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000000"/>
                <w:kern w:val="0"/>
                <w:sz w:val="21"/>
                <w:szCs w:val="21"/>
                <w:vertAlign w:val="baseline"/>
                <w:lang w:val="en-US" w:eastAsia="zh-CN" w:bidi="ar-SA"/>
              </w:rPr>
              <w:t>2000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48A1BBDA">
            <w:pPr>
              <w:pStyle w:val="47"/>
              <w:jc w:val="center"/>
              <w:rPr>
                <w:rFonts w:ascii="Times New Roman" w:eastAsia="宋体" w:cs="Times New Roman"/>
                <w:color w:val="auto"/>
                <w:sz w:val="21"/>
                <w:szCs w:val="21"/>
              </w:rPr>
            </w:pPr>
          </w:p>
        </w:tc>
      </w:tr>
      <w:tr w14:paraId="78CB7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682307D4">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C0D84D6">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2595013A">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好石界江苏海安市文化科技产业园</w:t>
            </w:r>
          </w:p>
        </w:tc>
        <w:tc>
          <w:tcPr>
            <w:tcW w:w="656" w:type="pct"/>
            <w:tcBorders>
              <w:tl2br w:val="nil"/>
              <w:tr2bl w:val="nil"/>
            </w:tcBorders>
            <w:vAlign w:val="center"/>
          </w:tcPr>
          <w:p w14:paraId="6E1CF603">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16BA6C0C">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2200</w:t>
            </w:r>
          </w:p>
        </w:tc>
        <w:tc>
          <w:tcPr>
            <w:tcW w:w="768" w:type="pct"/>
            <w:tcBorders>
              <w:tl2br w:val="nil"/>
              <w:tr2bl w:val="nil"/>
            </w:tcBorders>
            <w:vAlign w:val="center"/>
          </w:tcPr>
          <w:p w14:paraId="50DA01AD">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1200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1180A7B5">
            <w:pPr>
              <w:pStyle w:val="47"/>
              <w:jc w:val="center"/>
              <w:rPr>
                <w:rFonts w:ascii="Times New Roman" w:eastAsia="宋体" w:cs="Times New Roman"/>
                <w:color w:val="auto"/>
                <w:sz w:val="21"/>
                <w:szCs w:val="21"/>
              </w:rPr>
            </w:pPr>
          </w:p>
        </w:tc>
      </w:tr>
      <w:tr w14:paraId="01BA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7462BAD9">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74344460">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267AEC2B">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河垦村</w:t>
            </w:r>
          </w:p>
        </w:tc>
        <w:tc>
          <w:tcPr>
            <w:tcW w:w="656" w:type="pct"/>
            <w:tcBorders>
              <w:tl2br w:val="nil"/>
              <w:tr2bl w:val="nil"/>
            </w:tcBorders>
            <w:vAlign w:val="center"/>
          </w:tcPr>
          <w:p w14:paraId="58997209">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408C3B4E">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4600</w:t>
            </w:r>
          </w:p>
        </w:tc>
        <w:tc>
          <w:tcPr>
            <w:tcW w:w="768" w:type="pct"/>
            <w:tcBorders>
              <w:tl2br w:val="nil"/>
              <w:tr2bl w:val="nil"/>
            </w:tcBorders>
            <w:vAlign w:val="center"/>
          </w:tcPr>
          <w:p w14:paraId="78FF8E58">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约1000人</w:t>
            </w:r>
          </w:p>
        </w:tc>
        <w:tc>
          <w:tcPr>
            <w:tcW w:w="1035" w:type="pct"/>
            <w:vMerge w:val="continue"/>
            <w:tcBorders>
              <w:tl2br w:val="nil"/>
              <w:tr2bl w:val="nil"/>
            </w:tcBorders>
            <w:vAlign w:val="center"/>
          </w:tcPr>
          <w:p w14:paraId="6230EB57">
            <w:pPr>
              <w:pStyle w:val="47"/>
              <w:jc w:val="center"/>
              <w:rPr>
                <w:rFonts w:ascii="Times New Roman" w:eastAsia="宋体" w:cs="Times New Roman"/>
                <w:color w:val="auto"/>
                <w:sz w:val="21"/>
                <w:szCs w:val="21"/>
              </w:rPr>
            </w:pPr>
          </w:p>
        </w:tc>
      </w:tr>
      <w:tr w14:paraId="05242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1DA325D2">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4D82D431">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65A079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sz w:val="21"/>
                <w:szCs w:val="21"/>
                <w:vertAlign w:val="baseline"/>
                <w:lang w:val="en-US" w:eastAsia="zh-CN" w:bidi="ar-SA"/>
              </w:rPr>
              <w:t>中洋河豚庄园</w:t>
            </w:r>
          </w:p>
        </w:tc>
        <w:tc>
          <w:tcPr>
            <w:tcW w:w="656" w:type="pct"/>
            <w:tcBorders>
              <w:tl2br w:val="nil"/>
              <w:tr2bl w:val="nil"/>
            </w:tcBorders>
            <w:vAlign w:val="center"/>
          </w:tcPr>
          <w:p w14:paraId="0BE3E52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SW</w:t>
            </w:r>
          </w:p>
        </w:tc>
        <w:tc>
          <w:tcPr>
            <w:tcW w:w="647" w:type="pct"/>
            <w:tcBorders>
              <w:tl2br w:val="nil"/>
              <w:tr2bl w:val="nil"/>
            </w:tcBorders>
            <w:vAlign w:val="center"/>
          </w:tcPr>
          <w:p w14:paraId="29E38652">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3800</w:t>
            </w:r>
          </w:p>
        </w:tc>
        <w:tc>
          <w:tcPr>
            <w:tcW w:w="768" w:type="pct"/>
            <w:tcBorders>
              <w:tl2br w:val="nil"/>
              <w:tr2bl w:val="nil"/>
            </w:tcBorders>
            <w:vAlign w:val="center"/>
          </w:tcPr>
          <w:p w14:paraId="3B0F53C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约500人</w:t>
            </w:r>
          </w:p>
        </w:tc>
        <w:tc>
          <w:tcPr>
            <w:tcW w:w="1035" w:type="pct"/>
            <w:vMerge w:val="continue"/>
            <w:tcBorders>
              <w:tl2br w:val="nil"/>
              <w:tr2bl w:val="nil"/>
            </w:tcBorders>
            <w:vAlign w:val="center"/>
          </w:tcPr>
          <w:p w14:paraId="3A9CBE7F">
            <w:pPr>
              <w:pStyle w:val="47"/>
              <w:jc w:val="center"/>
              <w:rPr>
                <w:rFonts w:ascii="Times New Roman" w:eastAsia="宋体" w:cs="Times New Roman"/>
                <w:color w:val="auto"/>
                <w:sz w:val="21"/>
                <w:szCs w:val="21"/>
              </w:rPr>
            </w:pPr>
          </w:p>
        </w:tc>
      </w:tr>
      <w:tr w14:paraId="6ABCD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C34856C">
            <w:pPr>
              <w:pStyle w:val="47"/>
              <w:jc w:val="center"/>
              <w:rPr>
                <w:rFonts w:ascii="Times New Roman" w:eastAsia="宋体" w:cs="Times New Roman"/>
                <w:color w:val="auto"/>
                <w:sz w:val="21"/>
                <w:szCs w:val="21"/>
              </w:rPr>
            </w:pPr>
          </w:p>
        </w:tc>
        <w:tc>
          <w:tcPr>
            <w:tcW w:w="367" w:type="pct"/>
            <w:tcBorders>
              <w:tl2br w:val="nil"/>
              <w:tr2bl w:val="nil"/>
            </w:tcBorders>
            <w:vAlign w:val="center"/>
          </w:tcPr>
          <w:p w14:paraId="650594CB">
            <w:pPr>
              <w:pStyle w:val="47"/>
              <w:jc w:val="center"/>
              <w:rPr>
                <w:rFonts w:ascii="Times New Roman" w:eastAsia="宋体" w:cs="Times New Roman"/>
                <w:color w:val="auto"/>
                <w:sz w:val="21"/>
                <w:szCs w:val="21"/>
              </w:rPr>
            </w:pPr>
          </w:p>
        </w:tc>
        <w:tc>
          <w:tcPr>
            <w:tcW w:w="1097" w:type="pct"/>
            <w:tcBorders>
              <w:tl2br w:val="nil"/>
              <w:tr2bl w:val="nil"/>
            </w:tcBorders>
            <w:vAlign w:val="center"/>
          </w:tcPr>
          <w:p w14:paraId="0F6718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auto"/>
                <w:sz w:val="21"/>
                <w:szCs w:val="21"/>
                <w:lang w:val="en-US" w:eastAsia="zh-CN"/>
              </w:rPr>
              <w:t>东部家具创业孵化园</w:t>
            </w:r>
          </w:p>
        </w:tc>
        <w:tc>
          <w:tcPr>
            <w:tcW w:w="656" w:type="pct"/>
            <w:tcBorders>
              <w:tl2br w:val="nil"/>
              <w:tr2bl w:val="nil"/>
            </w:tcBorders>
            <w:vAlign w:val="center"/>
          </w:tcPr>
          <w:p w14:paraId="73C7BA81">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647" w:type="pct"/>
            <w:tcBorders>
              <w:tl2br w:val="nil"/>
              <w:tr2bl w:val="nil"/>
            </w:tcBorders>
            <w:vAlign w:val="center"/>
          </w:tcPr>
          <w:p w14:paraId="03833A86">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eastAsia" w:eastAsia="宋体" w:cs="Times New Roman"/>
                <w:color w:val="000000"/>
                <w:kern w:val="0"/>
                <w:sz w:val="21"/>
                <w:szCs w:val="21"/>
                <w:vertAlign w:val="baseline"/>
                <w:lang w:val="en-US" w:eastAsia="zh-CN" w:bidi="ar-SA"/>
              </w:rPr>
              <w:t>/</w:t>
            </w:r>
          </w:p>
        </w:tc>
        <w:tc>
          <w:tcPr>
            <w:tcW w:w="768" w:type="pct"/>
            <w:tcBorders>
              <w:tl2br w:val="nil"/>
              <w:tr2bl w:val="nil"/>
            </w:tcBorders>
            <w:vAlign w:val="center"/>
          </w:tcPr>
          <w:p w14:paraId="6E8051FF">
            <w:pPr>
              <w:widowControl/>
              <w:jc w:val="center"/>
              <w:rPr>
                <w:rFonts w:hint="eastAsia" w:ascii="Times New Roman" w:hAnsi="Times New Roman" w:eastAsia="宋体" w:cs="Times New Roman"/>
                <w:color w:val="000000"/>
                <w:kern w:val="0"/>
                <w:sz w:val="21"/>
                <w:szCs w:val="21"/>
                <w:vertAlign w:val="baseline"/>
                <w:lang w:val="en-US" w:eastAsia="zh-CN" w:bidi="ar-SA"/>
              </w:rPr>
            </w:pPr>
            <w:r>
              <w:rPr>
                <w:rFonts w:hint="default" w:ascii="Times New Roman" w:hAnsi="Times New Roman" w:eastAsia="宋体" w:cs="Times New Roman"/>
                <w:color w:val="auto"/>
                <w:sz w:val="21"/>
                <w:szCs w:val="21"/>
              </w:rPr>
              <w:t>约</w:t>
            </w:r>
            <w:r>
              <w:rPr>
                <w:rFonts w:hint="eastAsia" w:eastAsia="宋体" w:cs="Times New Roman"/>
                <w:color w:val="auto"/>
                <w:sz w:val="21"/>
                <w:szCs w:val="21"/>
                <w:lang w:val="en-US" w:eastAsia="zh-CN"/>
              </w:rPr>
              <w:t>1000</w:t>
            </w:r>
            <w:r>
              <w:rPr>
                <w:rFonts w:hint="default" w:ascii="Times New Roman" w:hAnsi="Times New Roman" w:eastAsia="宋体" w:cs="Times New Roman"/>
                <w:color w:val="auto"/>
                <w:sz w:val="21"/>
                <w:szCs w:val="21"/>
              </w:rPr>
              <w:t>人</w:t>
            </w:r>
          </w:p>
        </w:tc>
        <w:tc>
          <w:tcPr>
            <w:tcW w:w="1035" w:type="pct"/>
            <w:vMerge w:val="continue"/>
            <w:tcBorders>
              <w:tl2br w:val="nil"/>
              <w:tr2bl w:val="nil"/>
            </w:tcBorders>
            <w:vAlign w:val="center"/>
          </w:tcPr>
          <w:p w14:paraId="2F9FD472">
            <w:pPr>
              <w:pStyle w:val="47"/>
              <w:jc w:val="center"/>
              <w:rPr>
                <w:rFonts w:ascii="Times New Roman" w:eastAsia="宋体" w:cs="Times New Roman"/>
                <w:color w:val="auto"/>
                <w:sz w:val="21"/>
                <w:szCs w:val="21"/>
              </w:rPr>
            </w:pPr>
          </w:p>
        </w:tc>
      </w:tr>
      <w:tr w14:paraId="49942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Merge w:val="continue"/>
            <w:tcBorders>
              <w:tl2br w:val="nil"/>
              <w:tr2bl w:val="nil"/>
            </w:tcBorders>
            <w:vAlign w:val="center"/>
          </w:tcPr>
          <w:p w14:paraId="32DBD97F">
            <w:pPr>
              <w:pStyle w:val="47"/>
              <w:jc w:val="center"/>
              <w:rPr>
                <w:rFonts w:ascii="Times New Roman" w:eastAsia="宋体" w:cs="Times New Roman"/>
                <w:color w:val="auto"/>
                <w:sz w:val="21"/>
                <w:szCs w:val="21"/>
              </w:rPr>
            </w:pPr>
          </w:p>
        </w:tc>
        <w:tc>
          <w:tcPr>
            <w:tcW w:w="2768" w:type="pct"/>
            <w:gridSpan w:val="4"/>
            <w:tcBorders>
              <w:tl2br w:val="nil"/>
              <w:tr2bl w:val="nil"/>
            </w:tcBorders>
            <w:vAlign w:val="center"/>
          </w:tcPr>
          <w:p w14:paraId="78F24541">
            <w:pPr>
              <w:pStyle w:val="47"/>
              <w:jc w:val="center"/>
              <w:rPr>
                <w:rFonts w:ascii="Times New Roman" w:eastAsia="宋体" w:cs="Times New Roman"/>
                <w:color w:val="auto"/>
                <w:sz w:val="21"/>
                <w:szCs w:val="21"/>
              </w:rPr>
            </w:pPr>
            <w:r>
              <w:rPr>
                <w:rFonts w:ascii="Times New Roman" w:eastAsia="宋体" w:cs="Times New Roman"/>
                <w:color w:val="auto"/>
                <w:sz w:val="21"/>
                <w:szCs w:val="21"/>
              </w:rPr>
              <w:t>总计人数</w:t>
            </w:r>
          </w:p>
        </w:tc>
        <w:tc>
          <w:tcPr>
            <w:tcW w:w="768" w:type="pct"/>
            <w:tcBorders>
              <w:tl2br w:val="nil"/>
              <w:tr2bl w:val="nil"/>
            </w:tcBorders>
            <w:vAlign w:val="center"/>
          </w:tcPr>
          <w:p w14:paraId="73697E12">
            <w:pPr>
              <w:pStyle w:val="47"/>
              <w:jc w:val="center"/>
              <w:rPr>
                <w:rFonts w:ascii="Times New Roman" w:eastAsia="宋体" w:cs="Times New Roman"/>
                <w:color w:val="auto"/>
                <w:sz w:val="21"/>
                <w:szCs w:val="21"/>
              </w:rPr>
            </w:pPr>
            <w:r>
              <w:rPr>
                <w:rFonts w:ascii="Times New Roman" w:eastAsia="宋体" w:cs="Times New Roman"/>
                <w:color w:val="auto"/>
                <w:sz w:val="21"/>
                <w:szCs w:val="21"/>
              </w:rPr>
              <w:t>约</w:t>
            </w:r>
            <w:r>
              <w:rPr>
                <w:rFonts w:hint="eastAsia" w:ascii="Times New Roman" w:eastAsia="宋体" w:cs="Times New Roman"/>
                <w:color w:val="auto"/>
                <w:sz w:val="21"/>
                <w:szCs w:val="21"/>
                <w:lang w:val="en-US" w:eastAsia="zh-CN"/>
              </w:rPr>
              <w:t>7630</w:t>
            </w:r>
            <w:r>
              <w:rPr>
                <w:rFonts w:ascii="Times New Roman" w:eastAsia="宋体" w:cs="Times New Roman"/>
                <w:color w:val="auto"/>
                <w:sz w:val="21"/>
                <w:szCs w:val="21"/>
              </w:rPr>
              <w:t>人</w:t>
            </w:r>
          </w:p>
        </w:tc>
        <w:tc>
          <w:tcPr>
            <w:tcW w:w="1035" w:type="pct"/>
            <w:vMerge w:val="continue"/>
            <w:tcBorders>
              <w:tl2br w:val="nil"/>
              <w:tr2bl w:val="nil"/>
            </w:tcBorders>
            <w:vAlign w:val="center"/>
          </w:tcPr>
          <w:p w14:paraId="70C8BAB6">
            <w:pPr>
              <w:pStyle w:val="47"/>
              <w:jc w:val="center"/>
              <w:rPr>
                <w:rFonts w:ascii="Times New Roman" w:eastAsia="宋体" w:cs="Times New Roman"/>
                <w:color w:val="auto"/>
                <w:sz w:val="21"/>
                <w:szCs w:val="21"/>
              </w:rPr>
            </w:pPr>
          </w:p>
        </w:tc>
      </w:tr>
    </w:tbl>
    <w:p w14:paraId="6E2902FF">
      <w:pPr>
        <w:pStyle w:val="5"/>
        <w:adjustRightInd w:val="0"/>
        <w:snapToGrid w:val="0"/>
        <w:spacing w:line="500" w:lineRule="exact"/>
        <w:rPr>
          <w:rFonts w:eastAsia="宋体"/>
          <w:color w:val="000000" w:themeColor="text1"/>
          <w14:textFill>
            <w14:solidFill>
              <w14:schemeClr w14:val="tx1"/>
            </w14:solidFill>
          </w14:textFill>
        </w:rPr>
      </w:pPr>
      <w:bookmarkStart w:id="81" w:name="_Toc28932"/>
      <w:bookmarkStart w:id="82" w:name="_Toc16025"/>
      <w:bookmarkStart w:id="83" w:name="_Toc24780"/>
      <w:bookmarkStart w:id="84" w:name="_Toc3725"/>
      <w:bookmarkStart w:id="85" w:name="_Toc510092935"/>
      <w:r>
        <w:rPr>
          <w:rFonts w:eastAsia="宋体"/>
          <w:color w:val="000000" w:themeColor="text1"/>
          <w14:textFill>
            <w14:solidFill>
              <w14:schemeClr w14:val="tx1"/>
            </w14:solidFill>
          </w14:textFill>
        </w:rPr>
        <w:t>3.2.2水环境风险受体</w:t>
      </w:r>
      <w:bookmarkEnd w:id="81"/>
      <w:bookmarkEnd w:id="82"/>
      <w:bookmarkEnd w:id="83"/>
      <w:bookmarkEnd w:id="84"/>
      <w:bookmarkEnd w:id="85"/>
    </w:p>
    <w:p w14:paraId="7917F80E">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3.2.2.1</w:t>
      </w:r>
      <w:r>
        <w:rPr>
          <w:rFonts w:eastAsia="宋体"/>
          <w:b/>
          <w:bCs/>
          <w:color w:val="000000" w:themeColor="text1"/>
          <w14:textFill>
            <w14:solidFill>
              <w14:schemeClr w14:val="tx1"/>
            </w14:solidFill>
          </w14:textFill>
        </w:rPr>
        <w:t>地表水环境</w:t>
      </w:r>
    </w:p>
    <w:p w14:paraId="3684A2C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建设项目实行雨污分流、清污分流。</w:t>
      </w:r>
      <w:r>
        <w:rPr>
          <w:rFonts w:hint="eastAsia" w:ascii="Times New Roman" w:hAnsi="Times New Roman" w:cs="Times New Roman" w:eastAsiaTheme="minorEastAsia"/>
          <w:sz w:val="24"/>
          <w:szCs w:val="24"/>
        </w:rPr>
        <w:t>雨水经雨水管网</w:t>
      </w:r>
      <w:r>
        <w:rPr>
          <w:rFonts w:hint="eastAsia" w:ascii="Times New Roman" w:hAnsi="Times New Roman" w:cs="Times New Roman" w:eastAsiaTheme="minorEastAsia"/>
          <w:sz w:val="24"/>
          <w:szCs w:val="24"/>
          <w:lang w:val="en-US" w:eastAsia="zh-CN"/>
        </w:rPr>
        <w:t>就近排入周边水体</w:t>
      </w:r>
      <w:r>
        <w:rPr>
          <w:rFonts w:hint="eastAsia"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水喷淋废水经气浮絮凝沉淀处理达标后循环使用，不外排</w:t>
      </w:r>
      <w:r>
        <w:rPr>
          <w:rFonts w:hint="eastAsia" w:eastAsia="宋体"/>
          <w:color w:val="000000" w:themeColor="text1"/>
          <w:lang w:val="en-US" w:eastAsia="zh-CN"/>
          <w14:textFill>
            <w14:solidFill>
              <w14:schemeClr w14:val="tx1"/>
            </w14:solidFill>
          </w14:textFill>
        </w:rPr>
        <w:t>；生活污水经化粪池预处理达接管要求后，经园区污水管网接管进</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进行集中处理，处理达标后排入环港南河。</w:t>
      </w:r>
    </w:p>
    <w:p w14:paraId="30B2F33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公司位于南通市</w:t>
      </w:r>
      <w:r>
        <w:rPr>
          <w:rFonts w:hint="eastAsia" w:eastAsia="宋体"/>
          <w:color w:val="000000" w:themeColor="text1"/>
          <w:lang w:eastAsia="zh-CN"/>
          <w14:textFill>
            <w14:solidFill>
              <w14:schemeClr w14:val="tx1"/>
            </w14:solidFill>
          </w14:textFill>
        </w:rPr>
        <w:t>海安市老坝港滨海新区（角斜镇）锦绣路33号</w:t>
      </w:r>
      <w:r>
        <w:rPr>
          <w:rFonts w:eastAsia="宋体"/>
          <w:color w:val="000000" w:themeColor="text1"/>
          <w14:textFill>
            <w14:solidFill>
              <w14:schemeClr w14:val="tx1"/>
            </w14:solidFill>
          </w14:textFill>
        </w:rPr>
        <w:t>，根据调查，公司周边及下游10km范围内水环境风险受体分布详见表3</w:t>
      </w:r>
      <w:r>
        <w:rPr>
          <w:rFonts w:hint="eastAsia" w:eastAsia="宋体"/>
          <w:color w:val="000000" w:themeColor="text1"/>
          <w14:textFill>
            <w14:solidFill>
              <w14:schemeClr w14:val="tx1"/>
            </w14:solidFill>
          </w14:textFill>
        </w:rPr>
        <w:t>-6</w:t>
      </w:r>
      <w:r>
        <w:rPr>
          <w:rFonts w:eastAsia="宋体"/>
          <w:color w:val="000000" w:themeColor="text1"/>
          <w14:textFill>
            <w14:solidFill>
              <w14:schemeClr w14:val="tx1"/>
            </w14:solidFill>
          </w14:textFill>
        </w:rPr>
        <w:t>和水系图。</w:t>
      </w:r>
    </w:p>
    <w:p w14:paraId="1E30BE3B">
      <w:pPr>
        <w:adjustRightInd w:val="0"/>
        <w:snapToGrid w:val="0"/>
        <w:spacing w:line="500" w:lineRule="exact"/>
        <w:jc w:val="center"/>
        <w:rPr>
          <w:rFonts w:eastAsia="宋体"/>
          <w:b/>
          <w:bCs/>
        </w:rPr>
      </w:pPr>
      <w:r>
        <w:rPr>
          <w:rFonts w:eastAsia="宋体"/>
          <w:b/>
          <w:bCs/>
        </w:rPr>
        <w:t>表3-</w:t>
      </w:r>
      <w:r>
        <w:rPr>
          <w:rFonts w:hint="eastAsia" w:eastAsia="宋体"/>
          <w:b/>
          <w:bCs/>
        </w:rPr>
        <w:t>6</w:t>
      </w:r>
      <w:r>
        <w:rPr>
          <w:rFonts w:eastAsia="宋体"/>
          <w:b/>
          <w:bCs/>
        </w:rPr>
        <w:t>公司周边水环境敏感目标（10公里）</w:t>
      </w:r>
    </w:p>
    <w:tbl>
      <w:tblPr>
        <w:tblStyle w:val="38"/>
        <w:tblW w:w="54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40"/>
        <w:gridCol w:w="776"/>
        <w:gridCol w:w="1102"/>
        <w:gridCol w:w="605"/>
        <w:gridCol w:w="3925"/>
      </w:tblGrid>
      <w:tr w14:paraId="20D26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10" w:type="pct"/>
            <w:tcBorders>
              <w:tl2br w:val="nil"/>
              <w:tr2bl w:val="nil"/>
            </w:tcBorders>
            <w:vAlign w:val="center"/>
          </w:tcPr>
          <w:p w14:paraId="184E37F3">
            <w:pPr>
              <w:widowControl/>
              <w:adjustRightInd w:val="0"/>
              <w:snapToGrid w:val="0"/>
              <w:jc w:val="center"/>
              <w:rPr>
                <w:rFonts w:eastAsia="宋体"/>
                <w:sz w:val="21"/>
                <w:szCs w:val="21"/>
              </w:rPr>
            </w:pPr>
            <w:r>
              <w:rPr>
                <w:rFonts w:eastAsia="宋体"/>
                <w:sz w:val="21"/>
                <w:szCs w:val="21"/>
              </w:rPr>
              <w:t>水环境敏感目标</w:t>
            </w:r>
          </w:p>
        </w:tc>
        <w:tc>
          <w:tcPr>
            <w:tcW w:w="386" w:type="pct"/>
            <w:tcBorders>
              <w:tl2br w:val="nil"/>
              <w:tr2bl w:val="nil"/>
            </w:tcBorders>
            <w:vAlign w:val="center"/>
          </w:tcPr>
          <w:p w14:paraId="5BE123C7">
            <w:pPr>
              <w:widowControl/>
              <w:adjustRightInd w:val="0"/>
              <w:snapToGrid w:val="0"/>
              <w:jc w:val="center"/>
              <w:rPr>
                <w:rFonts w:eastAsia="宋体"/>
                <w:sz w:val="21"/>
                <w:szCs w:val="21"/>
              </w:rPr>
            </w:pPr>
            <w:r>
              <w:rPr>
                <w:rFonts w:eastAsia="宋体"/>
                <w:sz w:val="21"/>
                <w:szCs w:val="21"/>
              </w:rPr>
              <w:t>方位</w:t>
            </w:r>
          </w:p>
        </w:tc>
        <w:tc>
          <w:tcPr>
            <w:tcW w:w="548" w:type="pct"/>
            <w:tcBorders>
              <w:tl2br w:val="nil"/>
              <w:tr2bl w:val="nil"/>
            </w:tcBorders>
            <w:vAlign w:val="center"/>
          </w:tcPr>
          <w:p w14:paraId="0CF401BA">
            <w:pPr>
              <w:widowControl/>
              <w:adjustRightInd w:val="0"/>
              <w:snapToGrid w:val="0"/>
              <w:jc w:val="center"/>
              <w:rPr>
                <w:rFonts w:eastAsia="宋体"/>
                <w:sz w:val="21"/>
                <w:szCs w:val="21"/>
              </w:rPr>
            </w:pPr>
            <w:r>
              <w:rPr>
                <w:rFonts w:eastAsia="宋体"/>
                <w:sz w:val="21"/>
                <w:szCs w:val="21"/>
              </w:rPr>
              <w:t>距离（m）</w:t>
            </w:r>
          </w:p>
        </w:tc>
        <w:tc>
          <w:tcPr>
            <w:tcW w:w="301" w:type="pct"/>
            <w:tcBorders>
              <w:tl2br w:val="nil"/>
              <w:tr2bl w:val="nil"/>
            </w:tcBorders>
            <w:vAlign w:val="center"/>
          </w:tcPr>
          <w:p w14:paraId="094D8F80">
            <w:pPr>
              <w:widowControl/>
              <w:adjustRightInd w:val="0"/>
              <w:snapToGrid w:val="0"/>
              <w:jc w:val="center"/>
              <w:rPr>
                <w:rFonts w:eastAsia="宋体"/>
                <w:sz w:val="21"/>
                <w:szCs w:val="21"/>
              </w:rPr>
            </w:pPr>
            <w:r>
              <w:rPr>
                <w:rFonts w:eastAsia="宋体"/>
                <w:sz w:val="21"/>
                <w:szCs w:val="21"/>
              </w:rPr>
              <w:t>规模</w:t>
            </w:r>
          </w:p>
        </w:tc>
        <w:tc>
          <w:tcPr>
            <w:tcW w:w="1952" w:type="pct"/>
            <w:tcBorders>
              <w:tl2br w:val="nil"/>
              <w:tr2bl w:val="nil"/>
            </w:tcBorders>
            <w:vAlign w:val="center"/>
          </w:tcPr>
          <w:p w14:paraId="5B71AD21">
            <w:pPr>
              <w:widowControl/>
              <w:adjustRightInd w:val="0"/>
              <w:snapToGrid w:val="0"/>
              <w:jc w:val="center"/>
              <w:rPr>
                <w:rFonts w:eastAsia="宋体"/>
                <w:sz w:val="21"/>
                <w:szCs w:val="21"/>
              </w:rPr>
            </w:pPr>
            <w:r>
              <w:rPr>
                <w:rFonts w:eastAsia="宋体"/>
                <w:sz w:val="21"/>
                <w:szCs w:val="21"/>
              </w:rPr>
              <w:t>环境功能</w:t>
            </w:r>
          </w:p>
        </w:tc>
      </w:tr>
      <w:tr w14:paraId="47C6C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5C36EC4E">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环港北河</w:t>
            </w:r>
          </w:p>
        </w:tc>
        <w:tc>
          <w:tcPr>
            <w:tcW w:w="386" w:type="pct"/>
            <w:vAlign w:val="center"/>
          </w:tcPr>
          <w:p w14:paraId="545DC8C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N</w:t>
            </w:r>
          </w:p>
        </w:tc>
        <w:tc>
          <w:tcPr>
            <w:tcW w:w="548" w:type="pct"/>
            <w:vAlign w:val="center"/>
          </w:tcPr>
          <w:p w14:paraId="1D9A4378">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64</w:t>
            </w:r>
          </w:p>
        </w:tc>
        <w:tc>
          <w:tcPr>
            <w:tcW w:w="301" w:type="pct"/>
            <w:vAlign w:val="center"/>
          </w:tcPr>
          <w:p w14:paraId="193E83B1">
            <w:pPr>
              <w:widowControl/>
              <w:adjustRightInd w:val="0"/>
              <w:snapToGrid w:val="0"/>
              <w:jc w:val="center"/>
              <w:rPr>
                <w:rFonts w:eastAsia="宋体"/>
                <w:sz w:val="21"/>
                <w:szCs w:val="21"/>
              </w:rPr>
            </w:pPr>
            <w:r>
              <w:rPr>
                <w:rFonts w:eastAsia="宋体"/>
                <w:sz w:val="21"/>
                <w:szCs w:val="21"/>
              </w:rPr>
              <w:t>小河</w:t>
            </w:r>
          </w:p>
        </w:tc>
        <w:tc>
          <w:tcPr>
            <w:tcW w:w="1952" w:type="pct"/>
            <w:vMerge w:val="restart"/>
            <w:vAlign w:val="center"/>
          </w:tcPr>
          <w:p w14:paraId="77B551A8">
            <w:pPr>
              <w:tabs>
                <w:tab w:val="left" w:pos="1021"/>
              </w:tabs>
              <w:adjustRightInd w:val="0"/>
              <w:snapToGrid w:val="0"/>
              <w:jc w:val="center"/>
              <w:textAlignment w:val="auto"/>
              <w:rPr>
                <w:rFonts w:eastAsia="宋体"/>
                <w:sz w:val="21"/>
                <w:szCs w:val="21"/>
              </w:rPr>
            </w:pPr>
            <w:r>
              <w:rPr>
                <w:rFonts w:eastAsia="宋体"/>
                <w:bCs/>
                <w:sz w:val="21"/>
                <w:szCs w:val="21"/>
              </w:rPr>
              <w:t>《地表水环境质量标准》（GB3838-2002）中</w:t>
            </w:r>
            <w:r>
              <w:rPr>
                <w:rFonts w:hint="default"/>
                <w:szCs w:val="21"/>
                <w:lang w:val="en-US"/>
              </w:rPr>
              <w:t>Ⅳ</w:t>
            </w:r>
            <w:r>
              <w:rPr>
                <w:rFonts w:eastAsia="宋体"/>
                <w:bCs/>
                <w:sz w:val="21"/>
                <w:szCs w:val="21"/>
              </w:rPr>
              <w:t>类标准</w:t>
            </w:r>
          </w:p>
        </w:tc>
      </w:tr>
      <w:tr w14:paraId="38F3F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193328A2">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环港南河</w:t>
            </w:r>
          </w:p>
        </w:tc>
        <w:tc>
          <w:tcPr>
            <w:tcW w:w="386" w:type="pct"/>
            <w:vAlign w:val="center"/>
          </w:tcPr>
          <w:p w14:paraId="3326C0AD">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S</w:t>
            </w:r>
          </w:p>
        </w:tc>
        <w:tc>
          <w:tcPr>
            <w:tcW w:w="548" w:type="pct"/>
            <w:vAlign w:val="center"/>
          </w:tcPr>
          <w:p w14:paraId="0A1E3F55">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1400</w:t>
            </w:r>
          </w:p>
        </w:tc>
        <w:tc>
          <w:tcPr>
            <w:tcW w:w="301" w:type="pct"/>
            <w:vAlign w:val="center"/>
          </w:tcPr>
          <w:p w14:paraId="0FC65DC5">
            <w:pPr>
              <w:adjustRightInd w:val="0"/>
              <w:snapToGrid w:val="0"/>
              <w:jc w:val="center"/>
              <w:textAlignment w:val="baseline"/>
              <w:rPr>
                <w:rFonts w:eastAsia="宋体"/>
                <w:sz w:val="21"/>
                <w:szCs w:val="21"/>
              </w:rPr>
            </w:pPr>
            <w:r>
              <w:rPr>
                <w:rFonts w:eastAsia="宋体"/>
                <w:sz w:val="21"/>
                <w:szCs w:val="21"/>
              </w:rPr>
              <w:t>小河</w:t>
            </w:r>
          </w:p>
        </w:tc>
        <w:tc>
          <w:tcPr>
            <w:tcW w:w="1952" w:type="pct"/>
            <w:vMerge w:val="continue"/>
            <w:vAlign w:val="center"/>
          </w:tcPr>
          <w:p w14:paraId="3A9B9739">
            <w:pPr>
              <w:adjustRightInd w:val="0"/>
              <w:snapToGrid w:val="0"/>
              <w:jc w:val="center"/>
              <w:textAlignment w:val="baseline"/>
              <w:rPr>
                <w:rFonts w:eastAsia="宋体"/>
                <w:sz w:val="21"/>
                <w:szCs w:val="21"/>
              </w:rPr>
            </w:pPr>
          </w:p>
        </w:tc>
      </w:tr>
      <w:tr w14:paraId="4082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10" w:type="pct"/>
            <w:vAlign w:val="center"/>
          </w:tcPr>
          <w:p w14:paraId="613A5E8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安港河</w:t>
            </w:r>
          </w:p>
        </w:tc>
        <w:tc>
          <w:tcPr>
            <w:tcW w:w="386" w:type="pct"/>
            <w:vAlign w:val="center"/>
          </w:tcPr>
          <w:p w14:paraId="04D65BF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E</w:t>
            </w:r>
          </w:p>
        </w:tc>
        <w:tc>
          <w:tcPr>
            <w:tcW w:w="548" w:type="pct"/>
            <w:vAlign w:val="center"/>
          </w:tcPr>
          <w:p w14:paraId="1803658A">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rPr>
              <w:t>130</w:t>
            </w:r>
          </w:p>
        </w:tc>
        <w:tc>
          <w:tcPr>
            <w:tcW w:w="301" w:type="pct"/>
            <w:vAlign w:val="center"/>
          </w:tcPr>
          <w:p w14:paraId="404D930F">
            <w:pPr>
              <w:widowControl/>
              <w:adjustRightInd w:val="0"/>
              <w:snapToGrid w:val="0"/>
              <w:jc w:val="center"/>
              <w:rPr>
                <w:rFonts w:eastAsia="宋体"/>
                <w:sz w:val="21"/>
                <w:szCs w:val="21"/>
              </w:rPr>
            </w:pPr>
            <w:r>
              <w:rPr>
                <w:rFonts w:eastAsia="宋体"/>
                <w:sz w:val="21"/>
                <w:szCs w:val="21"/>
              </w:rPr>
              <w:t>小河</w:t>
            </w:r>
          </w:p>
        </w:tc>
        <w:tc>
          <w:tcPr>
            <w:tcW w:w="1952" w:type="pct"/>
            <w:vMerge w:val="continue"/>
            <w:vAlign w:val="center"/>
          </w:tcPr>
          <w:p w14:paraId="37B1211D">
            <w:pPr>
              <w:adjustRightInd w:val="0"/>
              <w:snapToGrid w:val="0"/>
              <w:jc w:val="center"/>
              <w:textAlignment w:val="baseline"/>
              <w:rPr>
                <w:rFonts w:eastAsia="宋体"/>
                <w:sz w:val="21"/>
                <w:szCs w:val="21"/>
              </w:rPr>
            </w:pPr>
          </w:p>
        </w:tc>
      </w:tr>
    </w:tbl>
    <w:p w14:paraId="5EADDC5F">
      <w:pPr>
        <w:adjustRightInd w:val="0"/>
        <w:snapToGrid w:val="0"/>
        <w:spacing w:line="500" w:lineRule="exact"/>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3.2.2.2</w:t>
      </w:r>
      <w:r>
        <w:rPr>
          <w:rFonts w:eastAsia="宋体"/>
          <w:b/>
          <w:bCs/>
          <w:color w:val="000000" w:themeColor="text1"/>
          <w14:textFill>
            <w14:solidFill>
              <w14:schemeClr w14:val="tx1"/>
            </w14:solidFill>
          </w14:textFill>
        </w:rPr>
        <w:t>地下水环境</w:t>
      </w:r>
    </w:p>
    <w:p w14:paraId="78AF941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根据海安市地质资料，公司所在地岩土层厚度大于1米，渗透系数10</w:t>
      </w:r>
      <w:r>
        <w:rPr>
          <w:rFonts w:eastAsia="宋体"/>
          <w:color w:val="000000" w:themeColor="text1"/>
          <w:vertAlign w:val="superscript"/>
          <w14:textFill>
            <w14:solidFill>
              <w14:schemeClr w14:val="tx1"/>
            </w14:solidFill>
          </w14:textFill>
        </w:rPr>
        <w:t>-7</w:t>
      </w:r>
      <w:r>
        <w:rPr>
          <w:rFonts w:eastAsia="宋体"/>
          <w:color w:val="000000" w:themeColor="text1"/>
          <w14:textFill>
            <w14:solidFill>
              <w14:schemeClr w14:val="tx1"/>
            </w14:solidFill>
          </w14:textFill>
        </w:rPr>
        <w:t>﹤K≤10</w:t>
      </w:r>
      <w:r>
        <w:rPr>
          <w:rFonts w:eastAsia="宋体"/>
          <w:color w:val="000000" w:themeColor="text1"/>
          <w:vertAlign w:val="superscript"/>
          <w14:textFill>
            <w14:solidFill>
              <w14:schemeClr w14:val="tx1"/>
            </w14:solidFill>
          </w14:textFill>
        </w:rPr>
        <w:t>-4</w:t>
      </w:r>
      <w:r>
        <w:rPr>
          <w:rFonts w:eastAsia="宋体"/>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等其它环境敏感区，周边居民饮用水来自市政自来水管网。</w:t>
      </w:r>
    </w:p>
    <w:p w14:paraId="101F0BAA">
      <w:pPr>
        <w:adjustRightInd w:val="0"/>
        <w:snapToGrid w:val="0"/>
        <w:spacing w:line="500" w:lineRule="exact"/>
        <w:outlineLvl w:val="2"/>
        <w:rPr>
          <w:rFonts w:eastAsia="宋体"/>
          <w:b/>
          <w:bCs/>
          <w:color w:val="000000" w:themeColor="text1"/>
          <w14:textFill>
            <w14:solidFill>
              <w14:schemeClr w14:val="tx1"/>
            </w14:solidFill>
          </w14:textFill>
        </w:rPr>
      </w:pPr>
      <w:bookmarkStart w:id="86" w:name="3.2.4生态环境保护目标"/>
      <w:bookmarkEnd w:id="86"/>
      <w:bookmarkStart w:id="87" w:name="_Toc21141"/>
      <w:bookmarkStart w:id="88" w:name="_Toc30336"/>
      <w:bookmarkStart w:id="89" w:name="_Toc8521"/>
      <w:r>
        <w:rPr>
          <w:rFonts w:hint="eastAsia" w:eastAsia="宋体"/>
          <w:b/>
          <w:bCs/>
          <w:color w:val="000000" w:themeColor="text1"/>
          <w14:textFill>
            <w14:solidFill>
              <w14:schemeClr w14:val="tx1"/>
            </w14:solidFill>
          </w14:textFill>
        </w:rPr>
        <w:t>3.2.3</w:t>
      </w:r>
      <w:r>
        <w:rPr>
          <w:rFonts w:eastAsia="宋体"/>
          <w:b/>
          <w:bCs/>
          <w:color w:val="000000" w:themeColor="text1"/>
          <w14:textFill>
            <w14:solidFill>
              <w14:schemeClr w14:val="tx1"/>
            </w14:solidFill>
          </w14:textFill>
        </w:rPr>
        <w:t>生态环境保护目标</w:t>
      </w:r>
      <w:bookmarkEnd w:id="87"/>
      <w:bookmarkEnd w:id="88"/>
      <w:bookmarkEnd w:id="89"/>
    </w:p>
    <w:p w14:paraId="3A8E4B9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①生态保护红线</w:t>
      </w:r>
    </w:p>
    <w:p w14:paraId="69966AB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74B2CA4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项目选址位于海安市老坝港滨海新区（角斜镇）锦绣路33号，位于海安市与如东县交界位置，根据《省政府关于印发江苏省生态红线区域保护规划的通知》（苏政发[2013]113号），距离本项目最近的生态红线保护区为如东县小洋口国家级海洋公园。小洋口国家级海洋公园保护区总面积34.33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，其中一级管控区面积21.25km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，二级管控区面积13.08km</w:t>
      </w:r>
      <w:r>
        <w:rPr>
          <w:rFonts w:hint="eastAsia" w:eastAsia="宋体"/>
          <w:color w:val="000000" w:themeColor="text1"/>
          <w:vertAlign w:val="superscript"/>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主导生态功能为自然与人文景观保护。本项目距离小洋口国家级海洋公园约5.8km，不在管控区范围内。因此，本项目评价范围不涉及生态红线保护区域，不会导致生态红线区域生态服务功能下降。本项目符合江苏省生态红线区域保护规划。</w:t>
      </w:r>
    </w:p>
    <w:p w14:paraId="5ED4DE98">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②符合产业政策</w:t>
      </w:r>
    </w:p>
    <w:p w14:paraId="45F2C6D9">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建设项目属于于[C2110]木质家具制造，对照《产业结构调整指导目录（201</w:t>
      </w:r>
      <w:r>
        <w:rPr>
          <w:rFonts w:hint="eastAsia" w:eastAsia="宋体"/>
          <w:color w:val="000000" w:themeColor="text1"/>
          <w14:textFill>
            <w14:solidFill>
              <w14:schemeClr w14:val="tx1"/>
            </w14:solidFill>
          </w14:textFill>
        </w:rPr>
        <w:t>9</w:t>
      </w:r>
      <w:r>
        <w:rPr>
          <w:rFonts w:eastAsia="宋体"/>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2FA3EE0C">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因此，本项目符合国家和地方产业政策。</w:t>
      </w:r>
    </w:p>
    <w:p w14:paraId="507926E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③</w:t>
      </w:r>
      <w:r>
        <w:rPr>
          <w:rFonts w:eastAsia="宋体"/>
          <w:color w:val="000000" w:themeColor="text1"/>
          <w14:textFill>
            <w14:solidFill>
              <w14:schemeClr w14:val="tx1"/>
            </w14:solidFill>
          </w14:textFill>
        </w:rPr>
        <w:t>环保措施及达标排放</w:t>
      </w:r>
    </w:p>
    <w:p w14:paraId="006819B2">
      <w:pPr>
        <w:adjustRightInd w:val="0"/>
        <w:snapToGrid w:val="0"/>
        <w:spacing w:line="500" w:lineRule="exact"/>
        <w:ind w:firstLine="480" w:firstLineChars="200"/>
        <w:rPr>
          <w:rFonts w:hint="eastAsia"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废水：建设项目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。其中，水喷淋废水经气浮絮凝沉淀处理达标后循环使用，不外排；生活污水经化粪池预处理达到接管标准后排入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33BECC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eastAsia="宋体"/>
          <w:color w:val="000000" w:themeColor="text1"/>
          <w14:textFill>
            <w14:solidFill>
              <w14:schemeClr w14:val="tx1"/>
            </w14:solidFill>
          </w14:textFill>
        </w:rPr>
        <w:t>废气：</w:t>
      </w:r>
      <w:r>
        <w:rPr>
          <w:rFonts w:hint="eastAsia" w:eastAsia="宋体" w:cs="Times New Roman"/>
          <w:color w:val="000000" w:themeColor="text1"/>
          <w:sz w:val="24"/>
          <w:szCs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highlight w:val="none"/>
          <w14:textFill>
            <w14:solidFill>
              <w14:schemeClr w14:val="tx1"/>
            </w14:solidFill>
          </w14:textFill>
        </w:rPr>
        <w:t>有组织废气主要为木工粉尘、</w:t>
      </w:r>
      <w:r>
        <w:rPr>
          <w:rFonts w:hint="eastAsia" w:eastAsia="宋体" w:cs="Times New Roman"/>
          <w:color w:val="000000" w:themeColor="text1"/>
          <w:sz w:val="24"/>
          <w:szCs w:val="24"/>
          <w:highlight w:val="none"/>
          <w:lang w:val="en-US" w:eastAsia="zh-CN"/>
          <w14:textFill>
            <w14:solidFill>
              <w14:schemeClr w14:val="tx1"/>
            </w14:solidFill>
          </w14:textFill>
        </w:rPr>
        <w:t>漆雾、有机废气、打磨粉尘</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木工</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w:t>
      </w:r>
      <w:r>
        <w:rPr>
          <w:rFonts w:hint="eastAsia" w:eastAsia="宋体" w:cs="Times New Roman"/>
          <w:color w:val="000000" w:themeColor="text1"/>
          <w:sz w:val="24"/>
          <w:szCs w:val="24"/>
          <w:highlight w:val="none"/>
          <w:lang w:val="en-US" w:eastAsia="zh-CN"/>
          <w14:textFill>
            <w14:solidFill>
              <w14:schemeClr w14:val="tx1"/>
            </w14:solidFill>
          </w14:textFill>
        </w:rPr>
        <w:t>袋式除尘器装置收集</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5#</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高空排放；调漆、喷漆及晾干过程中产生的</w:t>
      </w:r>
      <w:r>
        <w:rPr>
          <w:rFonts w:hint="eastAsia" w:eastAsia="宋体" w:cs="Times New Roman"/>
          <w:color w:val="000000" w:themeColor="text1"/>
          <w:sz w:val="24"/>
          <w:szCs w:val="24"/>
          <w:highlight w:val="none"/>
          <w:lang w:val="en-US" w:eastAsia="zh-CN"/>
          <w14:textFill>
            <w14:solidFill>
              <w14:schemeClr w14:val="tx1"/>
            </w14:solidFill>
          </w14:textFill>
        </w:rPr>
        <w:t>漆雾、有机废气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水旋柜+除雾器+二级</w:t>
      </w:r>
      <w:r>
        <w:rPr>
          <w:rFonts w:hint="default" w:ascii="Times New Roman" w:hAnsi="Times New Roman" w:eastAsia="宋体" w:cs="Times New Roman"/>
          <w:color w:val="000000" w:themeColor="text1"/>
          <w:sz w:val="24"/>
          <w:szCs w:val="24"/>
          <w:highlight w:val="none"/>
          <w14:textFill>
            <w14:solidFill>
              <w14:schemeClr w14:val="tx1"/>
            </w14:solidFill>
          </w14:textFill>
        </w:rPr>
        <w:t>活性炭吸附处理后经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eastAsia="宋体" w:cs="Times New Roman"/>
          <w:color w:val="000000" w:themeColor="text1"/>
          <w:sz w:val="24"/>
          <w:szCs w:val="24"/>
          <w:highlight w:val="none"/>
          <w:lang w:eastAsia="zh-CN"/>
          <w14:textFill>
            <w14:solidFill>
              <w14:schemeClr w14:val="tx1"/>
            </w14:solidFill>
          </w14:textFill>
        </w:rPr>
        <w:t>（活性炭填充量为</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eastAsia" w:eastAsia="宋体" w:cs="Times New Roman"/>
          <w:color w:val="000000" w:themeColor="text1"/>
          <w:sz w:val="24"/>
          <w:szCs w:val="24"/>
          <w:highlight w:val="none"/>
          <w:lang w:eastAsia="zh-CN"/>
          <w14:textFill>
            <w14:solidFill>
              <w14:schemeClr w14:val="tx1"/>
            </w14:solidFill>
          </w14:textFill>
        </w:rPr>
        <w:t>t，</w:t>
      </w:r>
      <w:r>
        <w:rPr>
          <w:rFonts w:hint="eastAsia" w:eastAsia="宋体" w:cs="Times New Roman"/>
          <w:color w:val="000000" w:themeColor="text1"/>
          <w:sz w:val="24"/>
          <w:szCs w:val="24"/>
          <w:highlight w:val="none"/>
          <w:lang w:val="en-US" w:eastAsia="zh-CN"/>
          <w14:textFill>
            <w14:solidFill>
              <w14:schemeClr w14:val="tx1"/>
            </w14:solidFill>
          </w14:textFill>
        </w:rPr>
        <w:t>碘值为800，装填厚度为1.2m，更换周期为2个月</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打磨粉尘经干式打磨柜处理后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p>
    <w:p w14:paraId="721DA1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噪声：本项目噪声主要是</w:t>
      </w:r>
      <w:r>
        <w:rPr>
          <w:rFonts w:hint="eastAsia" w:eastAsia="宋体"/>
          <w:color w:val="000000" w:themeColor="text1"/>
          <w:lang w:val="en-US" w:eastAsia="zh-CN"/>
          <w14:textFill>
            <w14:solidFill>
              <w14:schemeClr w14:val="tx1"/>
            </w14:solidFill>
          </w14:textFill>
        </w:rPr>
        <w:t>为各类生产设备。建设项目通过选用低噪声设备、基础减振、厂房隔声、合理布局，设备摆放距厂界不低于十米、厂区周围设立绿化带、加强设备维护以及厂区绿化等措施</w:t>
      </w:r>
      <w:r>
        <w:rPr>
          <w:rFonts w:eastAsia="宋体"/>
          <w:color w:val="000000" w:themeColor="text1"/>
          <w14:textFill>
            <w14:solidFill>
              <w14:schemeClr w14:val="tx1"/>
            </w14:solidFill>
          </w14:textFill>
        </w:rPr>
        <w:t>。</w:t>
      </w:r>
    </w:p>
    <w:p w14:paraId="3551E2BB">
      <w:pPr>
        <w:adjustRightInd w:val="0"/>
        <w:snapToGrid w:val="0"/>
        <w:spacing w:line="500" w:lineRule="exact"/>
        <w:ind w:firstLine="480" w:firstLineChars="200"/>
      </w:pPr>
      <w:r>
        <w:rPr>
          <w:rFonts w:eastAsia="宋体"/>
          <w:color w:val="000000" w:themeColor="text1"/>
          <w14:textFill>
            <w14:solidFill>
              <w14:schemeClr w14:val="tx1"/>
            </w14:solidFill>
          </w14:textFill>
        </w:rPr>
        <w:t>固体废物：本项目</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废木料、除尘器粉尘、废皮革</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漆渣</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废包装桶，包装桶</w:t>
      </w:r>
      <w:r>
        <w:rPr>
          <w:rFonts w:hint="eastAsia" w:eastAsia="宋体"/>
          <w:color w:val="000000" w:themeColor="text1"/>
          <w:lang w:val="en-US" w:eastAsia="zh-CN"/>
          <w14:textFill>
            <w14:solidFill>
              <w14:schemeClr w14:val="tx1"/>
            </w14:solidFill>
          </w14:textFill>
        </w:rPr>
        <w:t>委托沫阳恒升环境科技有限公司处置，漆渣委托江苏开拓者环保材料有限公司处置。</w:t>
      </w:r>
    </w:p>
    <w:p w14:paraId="1F76D0A5">
      <w:pPr>
        <w:adjustRightInd w:val="0"/>
        <w:snapToGrid w:val="0"/>
        <w:spacing w:line="500" w:lineRule="exact"/>
        <w:outlineLvl w:val="2"/>
        <w:rPr>
          <w:rFonts w:eastAsia="宋体"/>
          <w:b/>
          <w:bCs/>
          <w:color w:val="000000" w:themeColor="text1"/>
          <w14:textFill>
            <w14:solidFill>
              <w14:schemeClr w14:val="tx1"/>
            </w14:solidFill>
          </w14:textFill>
        </w:rPr>
      </w:pPr>
      <w:bookmarkStart w:id="90" w:name="3.2.5土壤环境敏感度"/>
      <w:bookmarkEnd w:id="90"/>
      <w:bookmarkStart w:id="91" w:name="_Toc19141"/>
      <w:bookmarkStart w:id="92" w:name="_Toc7070"/>
      <w:bookmarkStart w:id="93" w:name="_Toc6964"/>
      <w:r>
        <w:rPr>
          <w:rFonts w:hint="eastAsia" w:eastAsia="宋体"/>
          <w:b/>
          <w:bCs/>
          <w:color w:val="000000" w:themeColor="text1"/>
          <w14:textFill>
            <w14:solidFill>
              <w14:schemeClr w14:val="tx1"/>
            </w14:solidFill>
          </w14:textFill>
        </w:rPr>
        <w:t>3.2.4</w:t>
      </w:r>
      <w:r>
        <w:rPr>
          <w:rFonts w:eastAsia="宋体"/>
          <w:b/>
          <w:bCs/>
          <w:color w:val="000000" w:themeColor="text1"/>
          <w14:textFill>
            <w14:solidFill>
              <w14:schemeClr w14:val="tx1"/>
            </w14:solidFill>
          </w14:textFill>
        </w:rPr>
        <w:t>土壤环境敏感度</w:t>
      </w:r>
      <w:bookmarkEnd w:id="91"/>
      <w:bookmarkEnd w:id="92"/>
      <w:bookmarkEnd w:id="93"/>
    </w:p>
    <w:p w14:paraId="724B34DA">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本项目位于南通市</w:t>
      </w:r>
      <w:r>
        <w:rPr>
          <w:rFonts w:hint="eastAsia" w:eastAsia="宋体"/>
          <w:color w:val="000000" w:themeColor="text1"/>
          <w:lang w:eastAsia="zh-CN"/>
          <w14:textFill>
            <w14:solidFill>
              <w14:schemeClr w14:val="tx1"/>
            </w14:solidFill>
          </w14:textFill>
        </w:rPr>
        <w:t>海安市老坝港滨海新区（角斜镇）锦绣路33号</w:t>
      </w:r>
      <w:r>
        <w:rPr>
          <w:rFonts w:eastAsia="宋体"/>
          <w:color w:val="000000" w:themeColor="text1"/>
          <w14:textFill>
            <w14:solidFill>
              <w14:schemeClr w14:val="tx1"/>
            </w14:solidFill>
          </w14:textFill>
        </w:rPr>
        <w:t>，本项目周边50m范围内无居民等敏感点，本项目属于不敏感土壤环境。</w:t>
      </w:r>
    </w:p>
    <w:p w14:paraId="33FE401F">
      <w:pPr>
        <w:pStyle w:val="3"/>
        <w:adjustRightInd w:val="0"/>
        <w:snapToGrid w:val="0"/>
        <w:spacing w:line="500" w:lineRule="exact"/>
        <w:rPr>
          <w:rFonts w:eastAsia="宋体"/>
          <w:sz w:val="24"/>
          <w:szCs w:val="24"/>
        </w:rPr>
      </w:pPr>
      <w:bookmarkStart w:id="94" w:name="_Toc4967"/>
      <w:bookmarkStart w:id="95" w:name="_Toc16295"/>
      <w:bookmarkStart w:id="96" w:name="_Toc24977"/>
      <w:bookmarkStart w:id="97" w:name="_Toc32010"/>
      <w:r>
        <w:rPr>
          <w:rFonts w:eastAsia="宋体"/>
          <w:sz w:val="24"/>
          <w:szCs w:val="24"/>
        </w:rPr>
        <w:t>3.3风险物质识别</w:t>
      </w:r>
      <w:bookmarkEnd w:id="94"/>
      <w:bookmarkEnd w:id="95"/>
      <w:bookmarkEnd w:id="96"/>
      <w:bookmarkEnd w:id="97"/>
    </w:p>
    <w:p w14:paraId="448FF4BE">
      <w:pPr>
        <w:adjustRightInd w:val="0"/>
        <w:snapToGrid w:val="0"/>
        <w:spacing w:line="500" w:lineRule="exact"/>
        <w:ind w:firstLine="480" w:firstLineChars="200"/>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eastAsia="宋体"/>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rPr>
        <w:t>-7</w:t>
      </w:r>
      <w:r>
        <w:rPr>
          <w:rFonts w:eastAsia="宋体"/>
        </w:rPr>
        <w:t>。涉环境风险物质危险特性见表3</w:t>
      </w:r>
      <w:r>
        <w:rPr>
          <w:rFonts w:hint="eastAsia" w:eastAsia="宋体"/>
        </w:rPr>
        <w:t>-9</w:t>
      </w:r>
      <w:r>
        <w:rPr>
          <w:rFonts w:hint="eastAsia" w:ascii="宋体" w:hAnsi="宋体" w:eastAsia="宋体" w:cs="宋体"/>
        </w:rPr>
        <w:t>。</w:t>
      </w:r>
    </w:p>
    <w:p w14:paraId="400F7A10">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3-7</w:t>
      </w:r>
      <w:r>
        <w:rPr>
          <w:rFonts w:eastAsiaTheme="minorEastAsia"/>
          <w:b/>
          <w:color w:val="000000" w:themeColor="text1"/>
          <w14:textFill>
            <w14:solidFill>
              <w14:schemeClr w14:val="tx1"/>
            </w14:solidFill>
          </w14:textFill>
        </w:rPr>
        <w:t>公司</w:t>
      </w:r>
      <w:r>
        <w:rPr>
          <w:rFonts w:hint="eastAsia" w:eastAsiaTheme="minorEastAsia"/>
          <w:b/>
          <w:color w:val="000000" w:themeColor="text1"/>
          <w14:textFill>
            <w14:solidFill>
              <w14:schemeClr w14:val="tx1"/>
            </w14:solidFill>
          </w14:textFill>
        </w:rPr>
        <w:t>生产所涉及的各类</w:t>
      </w:r>
      <w:r>
        <w:rPr>
          <w:rFonts w:eastAsiaTheme="minorEastAsia"/>
          <w:b/>
          <w:color w:val="000000" w:themeColor="text1"/>
          <w14:textFill>
            <w14:solidFill>
              <w14:schemeClr w14:val="tx1"/>
            </w14:solidFill>
          </w14:textFill>
        </w:rPr>
        <w:t>物质</w:t>
      </w:r>
      <w:r>
        <w:rPr>
          <w:rFonts w:hint="eastAsia" w:eastAsiaTheme="minorEastAsia"/>
          <w:b/>
          <w:color w:val="000000" w:themeColor="text1"/>
          <w14:textFill>
            <w14:solidFill>
              <w14:schemeClr w14:val="tx1"/>
            </w14:solidFill>
          </w14:textFill>
        </w:rPr>
        <w:t>统计</w:t>
      </w:r>
      <w:r>
        <w:rPr>
          <w:rFonts w:eastAsiaTheme="minorEastAsia"/>
          <w:b/>
          <w:color w:val="000000" w:themeColor="text1"/>
          <w14:textFill>
            <w14:solidFill>
              <w14:schemeClr w14:val="tx1"/>
            </w14:solidFill>
          </w14:textFill>
        </w:rPr>
        <w:t>情况表</w:t>
      </w:r>
    </w:p>
    <w:tbl>
      <w:tblPr>
        <w:tblStyle w:val="38"/>
        <w:tblW w:w="500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39"/>
        <w:gridCol w:w="2391"/>
        <w:gridCol w:w="1521"/>
        <w:gridCol w:w="1067"/>
        <w:gridCol w:w="1020"/>
        <w:gridCol w:w="1612"/>
      </w:tblGrid>
      <w:tr w14:paraId="70DA2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Align w:val="center"/>
          </w:tcPr>
          <w:p w14:paraId="2BEB1B8D">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类型</w:t>
            </w:r>
          </w:p>
        </w:tc>
        <w:tc>
          <w:tcPr>
            <w:tcW w:w="606" w:type="pct"/>
            <w:vAlign w:val="center"/>
          </w:tcPr>
          <w:p w14:paraId="784C8C20">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物质名称</w:t>
            </w:r>
          </w:p>
        </w:tc>
        <w:tc>
          <w:tcPr>
            <w:tcW w:w="1272" w:type="pct"/>
            <w:vAlign w:val="center"/>
          </w:tcPr>
          <w:p w14:paraId="1B07A646">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规格</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(成分)</w:t>
            </w:r>
          </w:p>
        </w:tc>
        <w:tc>
          <w:tcPr>
            <w:tcW w:w="809" w:type="pct"/>
            <w:vAlign w:val="center"/>
          </w:tcPr>
          <w:p w14:paraId="4F7F5131">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最大</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存在</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量t</w:t>
            </w:r>
          </w:p>
        </w:tc>
        <w:tc>
          <w:tcPr>
            <w:tcW w:w="567" w:type="pct"/>
            <w:vAlign w:val="center"/>
          </w:tcPr>
          <w:p w14:paraId="68581712">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包装</w:t>
            </w: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方式</w:t>
            </w:r>
          </w:p>
        </w:tc>
        <w:tc>
          <w:tcPr>
            <w:tcW w:w="542" w:type="pct"/>
            <w:vAlign w:val="center"/>
          </w:tcPr>
          <w:p w14:paraId="3FF25DDB">
            <w:pPr>
              <w:widowControl w:val="0"/>
              <w:spacing w:line="240" w:lineRule="auto"/>
              <w:ind w:left="0" w:leftChars="0" w:firstLine="0" w:firstLineChars="0"/>
              <w:jc w:val="cente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zh-CN" w:eastAsia="zh-CN" w:bidi="ar-SA"/>
                <w14:textFill>
                  <w14:solidFill>
                    <w14:schemeClr w14:val="tx1"/>
                  </w14:solidFill>
                </w14:textFill>
              </w:rPr>
              <w:t>贮存地点</w:t>
            </w:r>
          </w:p>
        </w:tc>
        <w:tc>
          <w:tcPr>
            <w:tcW w:w="857" w:type="pct"/>
            <w:vAlign w:val="center"/>
          </w:tcPr>
          <w:p w14:paraId="427DD49F">
            <w:pPr>
              <w:jc w:val="center"/>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环境风险物质类型</w:t>
            </w:r>
          </w:p>
        </w:tc>
      </w:tr>
      <w:tr w14:paraId="30F39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restart"/>
            <w:vAlign w:val="center"/>
          </w:tcPr>
          <w:p w14:paraId="3CD4957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原料</w:t>
            </w:r>
          </w:p>
        </w:tc>
        <w:tc>
          <w:tcPr>
            <w:tcW w:w="606" w:type="pct"/>
            <w:vAlign w:val="center"/>
          </w:tcPr>
          <w:p w14:paraId="6DE2E9BB">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白胚椅子</w:t>
            </w:r>
          </w:p>
        </w:tc>
        <w:tc>
          <w:tcPr>
            <w:tcW w:w="1272" w:type="pct"/>
            <w:vAlign w:val="center"/>
          </w:tcPr>
          <w:p w14:paraId="2385735C">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809" w:type="pct"/>
            <w:vAlign w:val="center"/>
          </w:tcPr>
          <w:p w14:paraId="44304FB1">
            <w:pPr>
              <w:jc w:val="center"/>
              <w:rPr>
                <w:rFonts w:hint="default" w:ascii="Times New Roman" w:hAnsi="Times New Roman" w:eastAsia="仿宋_GB2312"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6000张</w:t>
            </w:r>
          </w:p>
        </w:tc>
        <w:tc>
          <w:tcPr>
            <w:tcW w:w="567" w:type="pct"/>
            <w:vAlign w:val="center"/>
          </w:tcPr>
          <w:p w14:paraId="3191BE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散装</w:t>
            </w:r>
          </w:p>
        </w:tc>
        <w:tc>
          <w:tcPr>
            <w:tcW w:w="542" w:type="pct"/>
            <w:vAlign w:val="center"/>
          </w:tcPr>
          <w:p w14:paraId="0805B22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5FB47AC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5D1D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34FD94D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0CC4160D">
            <w:pPr>
              <w:spacing w:line="240" w:lineRule="auto"/>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白胚茶几</w:t>
            </w:r>
          </w:p>
        </w:tc>
        <w:tc>
          <w:tcPr>
            <w:tcW w:w="1272" w:type="pct"/>
            <w:vAlign w:val="center"/>
          </w:tcPr>
          <w:p w14:paraId="37E9C4D0">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809" w:type="pct"/>
            <w:vAlign w:val="center"/>
          </w:tcPr>
          <w:p w14:paraId="1AF6EA2F">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80张</w:t>
            </w:r>
          </w:p>
        </w:tc>
        <w:tc>
          <w:tcPr>
            <w:tcW w:w="567" w:type="pct"/>
            <w:vAlign w:val="center"/>
          </w:tcPr>
          <w:p w14:paraId="0A5DE559">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散装</w:t>
            </w:r>
          </w:p>
        </w:tc>
        <w:tc>
          <w:tcPr>
            <w:tcW w:w="542" w:type="pct"/>
            <w:vAlign w:val="center"/>
          </w:tcPr>
          <w:p w14:paraId="521D1DC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7B086B0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C64A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28906FEB">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22916030">
            <w:pPr>
              <w:spacing w:line="240" w:lineRule="auto"/>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木条</w:t>
            </w:r>
          </w:p>
        </w:tc>
        <w:tc>
          <w:tcPr>
            <w:tcW w:w="1272" w:type="pct"/>
            <w:vAlign w:val="center"/>
          </w:tcPr>
          <w:p w14:paraId="2089E1FD">
            <w:pPr>
              <w:spacing w:line="24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809" w:type="pct"/>
            <w:vAlign w:val="center"/>
          </w:tcPr>
          <w:p w14:paraId="2CAA3DA1">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6m</w:t>
            </w:r>
            <w:r>
              <w:rPr>
                <w:rFonts w:hint="eastAsia" w:ascii="Times New Roman" w:hAnsi="Times New Roman" w:cs="Times New Roman"/>
                <w:color w:val="auto"/>
                <w:sz w:val="21"/>
                <w:szCs w:val="21"/>
                <w:highlight w:val="none"/>
                <w:vertAlign w:val="superscript"/>
                <w:lang w:val="en-US" w:eastAsia="zh-CN"/>
              </w:rPr>
              <w:t>3</w:t>
            </w:r>
          </w:p>
        </w:tc>
        <w:tc>
          <w:tcPr>
            <w:tcW w:w="567" w:type="pct"/>
            <w:vAlign w:val="center"/>
          </w:tcPr>
          <w:p w14:paraId="6BDCC364">
            <w:pPr>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散装</w:t>
            </w:r>
          </w:p>
        </w:tc>
        <w:tc>
          <w:tcPr>
            <w:tcW w:w="542" w:type="pct"/>
            <w:vAlign w:val="center"/>
          </w:tcPr>
          <w:p w14:paraId="2705C3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原料</w:t>
            </w:r>
            <w:r>
              <w:rPr>
                <w:rFonts w:hint="eastAsia"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6B1BC0B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5E180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79D7FC9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08987B03">
            <w:pPr>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海绵</w:t>
            </w:r>
          </w:p>
        </w:tc>
        <w:tc>
          <w:tcPr>
            <w:tcW w:w="1272" w:type="pct"/>
            <w:vAlign w:val="center"/>
          </w:tcPr>
          <w:p w14:paraId="24A272FB">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w:t>
            </w:r>
          </w:p>
        </w:tc>
        <w:tc>
          <w:tcPr>
            <w:tcW w:w="809" w:type="pct"/>
            <w:vAlign w:val="center"/>
          </w:tcPr>
          <w:p w14:paraId="1F4EBBE5">
            <w:pPr>
              <w:jc w:val="center"/>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50m</w:t>
            </w:r>
            <w:r>
              <w:rPr>
                <w:rFonts w:hint="eastAsia" w:ascii="Times New Roman" w:hAnsi="Times New Roman" w:cs="Times New Roman"/>
                <w:color w:val="auto"/>
                <w:sz w:val="21"/>
                <w:szCs w:val="21"/>
                <w:highlight w:val="none"/>
                <w:vertAlign w:val="superscript"/>
                <w:lang w:val="en-US" w:eastAsia="zh-CN"/>
              </w:rPr>
              <w:t>3</w:t>
            </w:r>
          </w:p>
        </w:tc>
        <w:tc>
          <w:tcPr>
            <w:tcW w:w="567" w:type="pct"/>
            <w:vAlign w:val="center"/>
          </w:tcPr>
          <w:p w14:paraId="16F9C6EA">
            <w:pPr>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袋装</w:t>
            </w:r>
          </w:p>
        </w:tc>
        <w:tc>
          <w:tcPr>
            <w:tcW w:w="542" w:type="pct"/>
            <w:vAlign w:val="center"/>
          </w:tcPr>
          <w:p w14:paraId="0746ED1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857" w:type="pct"/>
            <w:vAlign w:val="center"/>
          </w:tcPr>
          <w:p w14:paraId="44E5473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14:paraId="78578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restart"/>
            <w:vAlign w:val="center"/>
          </w:tcPr>
          <w:p w14:paraId="1BFB72C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辅料</w:t>
            </w:r>
          </w:p>
        </w:tc>
        <w:tc>
          <w:tcPr>
            <w:tcW w:w="606" w:type="pct"/>
            <w:vAlign w:val="center"/>
          </w:tcPr>
          <w:p w14:paraId="7AD3F1E5">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272" w:type="pct"/>
            <w:vAlign w:val="center"/>
          </w:tcPr>
          <w:p w14:paraId="3074C49E">
            <w:pPr>
              <w:adjustRightInd w:val="0"/>
              <w:snapToGrid w:val="0"/>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000000"/>
                <w:sz w:val="21"/>
                <w:szCs w:val="21"/>
                <w:highlight w:val="none"/>
              </w:rPr>
              <w:t>乙酸乙烯酯共聚物、碳酸钙、水</w:t>
            </w:r>
          </w:p>
        </w:tc>
        <w:tc>
          <w:tcPr>
            <w:tcW w:w="809" w:type="pct"/>
            <w:vAlign w:val="center"/>
          </w:tcPr>
          <w:p w14:paraId="36A36CD3">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567" w:type="pct"/>
            <w:vAlign w:val="center"/>
          </w:tcPr>
          <w:p w14:paraId="2FE80FDB">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542" w:type="pct"/>
            <w:vAlign w:val="center"/>
          </w:tcPr>
          <w:p w14:paraId="43332DC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涂料仓库</w:t>
            </w:r>
          </w:p>
        </w:tc>
        <w:tc>
          <w:tcPr>
            <w:tcW w:w="857" w:type="pct"/>
            <w:vAlign w:val="center"/>
          </w:tcPr>
          <w:p w14:paraId="0A44F4F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0DBFB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11718DB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2E96257D">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272" w:type="pct"/>
            <w:vAlign w:val="center"/>
          </w:tcPr>
          <w:p w14:paraId="2C13A192">
            <w:pPr>
              <w:adjustRightInd w:val="0"/>
              <w:snapToGrid w:val="0"/>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000000"/>
                <w:sz w:val="21"/>
                <w:szCs w:val="21"/>
                <w:highlight w:val="none"/>
              </w:rPr>
              <w:t>乙酸乙烯酯共聚物、碳酸钙、水</w:t>
            </w:r>
          </w:p>
        </w:tc>
        <w:tc>
          <w:tcPr>
            <w:tcW w:w="809" w:type="pct"/>
            <w:vAlign w:val="center"/>
          </w:tcPr>
          <w:p w14:paraId="7757163F">
            <w:pPr>
              <w:spacing w:line="300" w:lineRule="auto"/>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567" w:type="pct"/>
            <w:vAlign w:val="center"/>
          </w:tcPr>
          <w:p w14:paraId="79CD84FE">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542" w:type="pct"/>
            <w:vAlign w:val="center"/>
          </w:tcPr>
          <w:p w14:paraId="46AD437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17A1F127">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1F697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5463C33D">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294AA198">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272" w:type="pct"/>
            <w:vAlign w:val="center"/>
          </w:tcPr>
          <w:p w14:paraId="1F71EA58">
            <w:pPr>
              <w:jc w:val="center"/>
              <w:rPr>
                <w:rFonts w:hint="eastAsia" w:ascii="宋体" w:hAnsi="宋体" w:eastAsia="宋体" w:cs="宋体"/>
                <w:color w:val="000000"/>
                <w:kern w:val="2"/>
                <w:sz w:val="21"/>
                <w:szCs w:val="21"/>
                <w:highlight w:val="none"/>
                <w:lang w:val="zh-CN" w:eastAsia="zh-CN" w:bidi="ar-SA"/>
              </w:rPr>
            </w:pPr>
            <w:r>
              <w:rPr>
                <w:rFonts w:hint="default" w:ascii="宋体" w:hAnsi="宋体" w:eastAsia="宋体" w:cs="宋体"/>
                <w:color w:val="auto"/>
                <w:sz w:val="21"/>
                <w:szCs w:val="21"/>
                <w:highlight w:val="none"/>
              </w:rPr>
              <w:t>水性丙烯酸乳液、消泡剂、润湿剂、流变助剂、粉料、二丙二醇甲醚、二丙二醇丁醚、乙二醇醚及其脂类和水</w:t>
            </w:r>
          </w:p>
        </w:tc>
        <w:tc>
          <w:tcPr>
            <w:tcW w:w="809" w:type="pct"/>
            <w:vAlign w:val="center"/>
          </w:tcPr>
          <w:p w14:paraId="4084DA0D">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567" w:type="pct"/>
            <w:vAlign w:val="center"/>
          </w:tcPr>
          <w:p w14:paraId="7AB7E497">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542" w:type="pct"/>
            <w:vAlign w:val="center"/>
          </w:tcPr>
          <w:p w14:paraId="5788198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1A5B348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79F79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561E61EC">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3323B6A0">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272" w:type="pct"/>
            <w:vAlign w:val="center"/>
          </w:tcPr>
          <w:p w14:paraId="425C33F4">
            <w:pPr>
              <w:jc w:val="center"/>
              <w:rPr>
                <w:rFonts w:hint="eastAsia" w:ascii="宋体" w:hAnsi="宋体" w:eastAsia="宋体" w:cs="宋体"/>
                <w:color w:val="000000"/>
                <w:kern w:val="2"/>
                <w:sz w:val="21"/>
                <w:szCs w:val="21"/>
                <w:highlight w:val="none"/>
                <w:lang w:val="zh-CN" w:eastAsia="zh-CN" w:bidi="ar-SA"/>
              </w:rPr>
            </w:pPr>
            <w:r>
              <w:rPr>
                <w:rFonts w:hint="default" w:ascii="宋体" w:hAnsi="宋体" w:eastAsia="宋体" w:cs="宋体"/>
                <w:color w:val="auto"/>
                <w:sz w:val="21"/>
                <w:szCs w:val="21"/>
                <w:highlight w:val="none"/>
              </w:rPr>
              <w:t>水性丙烯酸乳液、消泡剂、润湿剂、流变助剂、消光粉、二丙二醇甲醚、二丙二醇丁醚、乙二醇醚及其脂类和水</w:t>
            </w:r>
          </w:p>
        </w:tc>
        <w:tc>
          <w:tcPr>
            <w:tcW w:w="809" w:type="pct"/>
            <w:vAlign w:val="center"/>
          </w:tcPr>
          <w:p w14:paraId="40278C20">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567" w:type="pct"/>
            <w:vAlign w:val="center"/>
          </w:tcPr>
          <w:p w14:paraId="7BBC397C">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25kg/桶装</w:t>
            </w:r>
          </w:p>
        </w:tc>
        <w:tc>
          <w:tcPr>
            <w:tcW w:w="542" w:type="pct"/>
            <w:vAlign w:val="center"/>
          </w:tcPr>
          <w:p w14:paraId="20878A6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432D90A5">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24C26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01477DAA">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1F0E32D7">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272" w:type="pct"/>
            <w:vAlign w:val="center"/>
          </w:tcPr>
          <w:p w14:paraId="025C7BA7">
            <w:pPr>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sz w:val="21"/>
                <w:szCs w:val="21"/>
                <w:highlight w:val="none"/>
              </w:rPr>
              <w:t>异氰酸酯均聚物（固份）、丙二醇甲醚醋酸酯</w:t>
            </w:r>
          </w:p>
        </w:tc>
        <w:tc>
          <w:tcPr>
            <w:tcW w:w="809" w:type="pct"/>
            <w:vAlign w:val="center"/>
          </w:tcPr>
          <w:p w14:paraId="3F432E4B">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567" w:type="pct"/>
            <w:vAlign w:val="center"/>
          </w:tcPr>
          <w:p w14:paraId="33B0EB9E">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542" w:type="pct"/>
            <w:vAlign w:val="center"/>
          </w:tcPr>
          <w:p w14:paraId="5B4F107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69BBA09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5A8A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3D0BA1F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1B66BFFB">
            <w:pPr>
              <w:adjustRightInd w:val="0"/>
              <w:snapToGrid w:val="0"/>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色浆</w:t>
            </w:r>
          </w:p>
        </w:tc>
        <w:tc>
          <w:tcPr>
            <w:tcW w:w="1272" w:type="pct"/>
            <w:vAlign w:val="center"/>
          </w:tcPr>
          <w:p w14:paraId="12F4F194">
            <w:pPr>
              <w:jc w:val="center"/>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sz w:val="21"/>
                <w:szCs w:val="21"/>
                <w:highlight w:val="none"/>
              </w:rPr>
              <w:t>颜料、水</w:t>
            </w:r>
          </w:p>
        </w:tc>
        <w:tc>
          <w:tcPr>
            <w:tcW w:w="809" w:type="pct"/>
            <w:vAlign w:val="center"/>
          </w:tcPr>
          <w:p w14:paraId="0253EF48">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567" w:type="pct"/>
            <w:vAlign w:val="center"/>
          </w:tcPr>
          <w:p w14:paraId="2A94E076">
            <w:pPr>
              <w:adjustRightInd w:val="0"/>
              <w:snapToGrid w:val="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kg/桶装</w:t>
            </w:r>
          </w:p>
        </w:tc>
        <w:tc>
          <w:tcPr>
            <w:tcW w:w="542" w:type="pct"/>
            <w:vAlign w:val="center"/>
          </w:tcPr>
          <w:p w14:paraId="2887D24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b w:val="0"/>
                <w:bCs/>
                <w:color w:val="auto"/>
                <w:kern w:val="2"/>
                <w:sz w:val="21"/>
                <w:szCs w:val="21"/>
                <w:highlight w:val="none"/>
                <w:lang w:val="en-US" w:eastAsia="zh-CN" w:bidi="ar-SA"/>
              </w:rPr>
              <w:t>涂料</w:t>
            </w:r>
            <w:r>
              <w:rPr>
                <w:rFonts w:hint="default" w:ascii="Times New Roman" w:hAnsi="Times New Roman" w:eastAsia="宋体" w:cs="Times New Roman"/>
                <w:b w:val="0"/>
                <w:bCs/>
                <w:color w:val="auto"/>
                <w:kern w:val="2"/>
                <w:sz w:val="21"/>
                <w:szCs w:val="21"/>
                <w:highlight w:val="none"/>
                <w:lang w:val="en-US" w:eastAsia="zh-CN" w:bidi="ar-SA"/>
              </w:rPr>
              <w:t>仓库</w:t>
            </w:r>
          </w:p>
        </w:tc>
        <w:tc>
          <w:tcPr>
            <w:tcW w:w="857" w:type="pct"/>
            <w:vAlign w:val="center"/>
          </w:tcPr>
          <w:p w14:paraId="2DD2360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456D5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745666A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072100CD">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272" w:type="pct"/>
            <w:vAlign w:val="center"/>
          </w:tcPr>
          <w:p w14:paraId="081407FB">
            <w:pPr>
              <w:adjustRightInd w:val="0"/>
              <w:snapToGrid w:val="0"/>
              <w:jc w:val="center"/>
              <w:rPr>
                <w:rFonts w:hint="default" w:ascii="宋体" w:hAnsi="宋体" w:eastAsia="宋体" w:cs="宋体"/>
                <w:color w:val="auto"/>
                <w:sz w:val="21"/>
                <w:szCs w:val="21"/>
                <w:highlight w:val="none"/>
              </w:rPr>
            </w:pPr>
            <w:r>
              <w:rPr>
                <w:rFonts w:hint="default" w:ascii="宋体" w:hAnsi="宋体" w:eastAsia="宋体" w:cs="宋体"/>
                <w:bCs w:val="0"/>
                <w:color w:val="auto"/>
                <w:sz w:val="21"/>
                <w:szCs w:val="21"/>
                <w:highlight w:val="none"/>
              </w:rPr>
              <w:t>基料：不饱和聚酯树脂；</w:t>
            </w:r>
          </w:p>
          <w:p w14:paraId="22F42E43">
            <w:pPr>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Cs w:val="0"/>
                <w:color w:val="auto"/>
                <w:sz w:val="21"/>
                <w:szCs w:val="21"/>
                <w:highlight w:val="none"/>
              </w:rPr>
              <w:t>辅料：</w:t>
            </w:r>
            <w:r>
              <w:rPr>
                <w:rFonts w:hint="default" w:ascii="宋体" w:hAnsi="宋体" w:eastAsia="宋体" w:cs="宋体"/>
                <w:color w:val="auto"/>
                <w:sz w:val="21"/>
                <w:szCs w:val="21"/>
                <w:highlight w:val="none"/>
              </w:rPr>
              <w:t>补强剂、稳定剂、填料、催干剂等。</w:t>
            </w:r>
          </w:p>
        </w:tc>
        <w:tc>
          <w:tcPr>
            <w:tcW w:w="809" w:type="pct"/>
            <w:vAlign w:val="center"/>
          </w:tcPr>
          <w:p w14:paraId="01793705">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567" w:type="pct"/>
            <w:vAlign w:val="center"/>
          </w:tcPr>
          <w:p w14:paraId="05D9D444">
            <w:pPr>
              <w:adjustRightInd w:val="0"/>
              <w:snapToGrid w:val="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10kg/袋</w:t>
            </w:r>
          </w:p>
        </w:tc>
        <w:tc>
          <w:tcPr>
            <w:tcW w:w="542" w:type="pct"/>
            <w:vAlign w:val="center"/>
          </w:tcPr>
          <w:p w14:paraId="1E4A902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857" w:type="pct"/>
            <w:vAlign w:val="center"/>
          </w:tcPr>
          <w:p w14:paraId="254530E6">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涉气</w:t>
            </w:r>
          </w:p>
        </w:tc>
      </w:tr>
      <w:tr w14:paraId="53BA6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4C73679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086F180B">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五金配件</w:t>
            </w:r>
          </w:p>
        </w:tc>
        <w:tc>
          <w:tcPr>
            <w:tcW w:w="1272" w:type="pct"/>
            <w:vAlign w:val="center"/>
          </w:tcPr>
          <w:p w14:paraId="1EC2EBFE">
            <w:pPr>
              <w:jc w:val="center"/>
              <w:rPr>
                <w:rFonts w:hint="eastAsia" w:ascii="Times New Roman" w:hAnsi="Times New Roman" w:eastAsia="仿宋_GB2312" w:cs="Times New Roman"/>
                <w:color w:val="000000"/>
                <w:kern w:val="2"/>
                <w:sz w:val="28"/>
                <w:szCs w:val="21"/>
                <w:lang w:val="en-US" w:eastAsia="zh-CN" w:bidi="ar-SA"/>
              </w:rPr>
            </w:pPr>
            <w:r>
              <w:rPr>
                <w:rFonts w:hint="default" w:ascii="Times New Roman" w:hAnsi="Times New Roman" w:cs="Times New Roman"/>
                <w:color w:val="000000"/>
                <w:szCs w:val="21"/>
              </w:rPr>
              <w:t>/</w:t>
            </w:r>
          </w:p>
        </w:tc>
        <w:tc>
          <w:tcPr>
            <w:tcW w:w="809" w:type="pct"/>
            <w:vAlign w:val="center"/>
          </w:tcPr>
          <w:p w14:paraId="4E6C83E8">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0.25t</w:t>
            </w:r>
          </w:p>
        </w:tc>
        <w:tc>
          <w:tcPr>
            <w:tcW w:w="567" w:type="pct"/>
            <w:vAlign w:val="center"/>
          </w:tcPr>
          <w:p w14:paraId="48149E46">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箱</w:t>
            </w:r>
            <w:r>
              <w:rPr>
                <w:rFonts w:hint="default" w:ascii="Times New Roman" w:hAnsi="Times New Roman" w:eastAsia="宋体" w:cs="Times New Roman"/>
                <w:color w:val="auto"/>
                <w:sz w:val="21"/>
                <w:szCs w:val="21"/>
                <w:highlight w:val="none"/>
              </w:rPr>
              <w:t>装</w:t>
            </w:r>
          </w:p>
        </w:tc>
        <w:tc>
          <w:tcPr>
            <w:tcW w:w="542" w:type="pct"/>
            <w:vAlign w:val="center"/>
          </w:tcPr>
          <w:p w14:paraId="41F983F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原料仓库</w:t>
            </w:r>
          </w:p>
        </w:tc>
        <w:tc>
          <w:tcPr>
            <w:tcW w:w="857" w:type="pct"/>
            <w:vAlign w:val="center"/>
          </w:tcPr>
          <w:p w14:paraId="79F3A1E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14:paraId="6764C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restart"/>
            <w:vAlign w:val="center"/>
          </w:tcPr>
          <w:p w14:paraId="0D36EB0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产品</w:t>
            </w:r>
          </w:p>
        </w:tc>
        <w:tc>
          <w:tcPr>
            <w:tcW w:w="606" w:type="pct"/>
            <w:vAlign w:val="center"/>
          </w:tcPr>
          <w:p w14:paraId="6FACA8ED">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椅子</w:t>
            </w:r>
          </w:p>
        </w:tc>
        <w:tc>
          <w:tcPr>
            <w:tcW w:w="1272" w:type="pct"/>
            <w:vAlign w:val="center"/>
          </w:tcPr>
          <w:p w14:paraId="3BAFD61F">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809" w:type="pct"/>
            <w:vAlign w:val="center"/>
          </w:tcPr>
          <w:p w14:paraId="185D4A8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10000件</w:t>
            </w:r>
          </w:p>
        </w:tc>
        <w:tc>
          <w:tcPr>
            <w:tcW w:w="567" w:type="pct"/>
            <w:vAlign w:val="center"/>
          </w:tcPr>
          <w:p w14:paraId="0D9D929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散装</w:t>
            </w:r>
          </w:p>
        </w:tc>
        <w:tc>
          <w:tcPr>
            <w:tcW w:w="542" w:type="pct"/>
            <w:vAlign w:val="center"/>
          </w:tcPr>
          <w:p w14:paraId="4C1B561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成品区</w:t>
            </w:r>
          </w:p>
        </w:tc>
        <w:tc>
          <w:tcPr>
            <w:tcW w:w="857" w:type="pct"/>
            <w:vAlign w:val="center"/>
          </w:tcPr>
          <w:p w14:paraId="36EBB50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2294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27CA66A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5E7A268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茶几</w:t>
            </w:r>
          </w:p>
        </w:tc>
        <w:tc>
          <w:tcPr>
            <w:tcW w:w="1272" w:type="pct"/>
            <w:vAlign w:val="center"/>
          </w:tcPr>
          <w:p w14:paraId="76BC167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809" w:type="pct"/>
            <w:vAlign w:val="center"/>
          </w:tcPr>
          <w:p w14:paraId="500B45A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70件</w:t>
            </w:r>
          </w:p>
        </w:tc>
        <w:tc>
          <w:tcPr>
            <w:tcW w:w="567" w:type="pct"/>
            <w:vAlign w:val="center"/>
          </w:tcPr>
          <w:p w14:paraId="7DB733E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散装</w:t>
            </w:r>
          </w:p>
        </w:tc>
        <w:tc>
          <w:tcPr>
            <w:tcW w:w="542" w:type="pct"/>
            <w:vAlign w:val="center"/>
          </w:tcPr>
          <w:p w14:paraId="7E39992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成品区</w:t>
            </w:r>
          </w:p>
        </w:tc>
        <w:tc>
          <w:tcPr>
            <w:tcW w:w="857" w:type="pct"/>
            <w:vAlign w:val="center"/>
          </w:tcPr>
          <w:p w14:paraId="78E4E283">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不涉及</w:t>
            </w:r>
          </w:p>
        </w:tc>
      </w:tr>
      <w:tr w14:paraId="7DC00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Align w:val="center"/>
          </w:tcPr>
          <w:p w14:paraId="41144B94">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废气</w:t>
            </w:r>
          </w:p>
        </w:tc>
        <w:tc>
          <w:tcPr>
            <w:tcW w:w="606" w:type="pct"/>
            <w:vAlign w:val="center"/>
          </w:tcPr>
          <w:p w14:paraId="367159E3">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颗粒物、VOCs</w:t>
            </w:r>
          </w:p>
        </w:tc>
        <w:tc>
          <w:tcPr>
            <w:tcW w:w="1272" w:type="pct"/>
            <w:vAlign w:val="center"/>
          </w:tcPr>
          <w:p w14:paraId="7BC90A9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809" w:type="pct"/>
            <w:vAlign w:val="center"/>
          </w:tcPr>
          <w:p w14:paraId="729452EE">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567" w:type="pct"/>
            <w:vAlign w:val="center"/>
          </w:tcPr>
          <w:p w14:paraId="4BEE1089">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542" w:type="pct"/>
            <w:vAlign w:val="center"/>
          </w:tcPr>
          <w:p w14:paraId="7446A6AB">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857" w:type="pct"/>
            <w:vAlign w:val="center"/>
          </w:tcPr>
          <w:p w14:paraId="34A741B2">
            <w:pPr>
              <w:jc w:val="center"/>
              <w:rPr>
                <w:rFonts w:hint="default" w:ascii="Times New Roman" w:hAnsi="Times New Roman" w:eastAsia="宋体" w:cs="Times New Roman"/>
                <w:b w:val="0"/>
                <w:bCs/>
                <w:color w:val="0000FF"/>
                <w:sz w:val="21"/>
                <w:szCs w:val="21"/>
              </w:rPr>
            </w:pPr>
            <w:r>
              <w:rPr>
                <w:rFonts w:hint="eastAsia" w:eastAsia="宋体" w:cs="Times New Roman"/>
                <w:b w:val="0"/>
                <w:bCs/>
                <w:color w:val="000000" w:themeColor="text1"/>
                <w:sz w:val="21"/>
                <w:szCs w:val="21"/>
                <w:lang w:val="en-US" w:eastAsia="zh-CN"/>
                <w14:textFill>
                  <w14:solidFill>
                    <w14:schemeClr w14:val="tx1"/>
                  </w14:solidFill>
                </w14:textFill>
              </w:rPr>
              <w:t>涉气</w:t>
            </w:r>
          </w:p>
        </w:tc>
      </w:tr>
      <w:tr w14:paraId="11C78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restart"/>
            <w:vAlign w:val="center"/>
          </w:tcPr>
          <w:p w14:paraId="45599A90">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废水</w:t>
            </w:r>
          </w:p>
        </w:tc>
        <w:tc>
          <w:tcPr>
            <w:tcW w:w="606" w:type="pct"/>
            <w:vAlign w:val="center"/>
          </w:tcPr>
          <w:p w14:paraId="121B4F78">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生活</w:t>
            </w:r>
            <w:r>
              <w:rPr>
                <w:rFonts w:hint="eastAsia" w:ascii="Times New Roman" w:hAnsi="Times New Roman" w:eastAsia="宋体" w:cs="Times New Roman"/>
                <w:sz w:val="21"/>
                <w:szCs w:val="21"/>
                <w:lang w:val="en-US" w:eastAsia="zh-CN"/>
              </w:rPr>
              <w:t>污</w:t>
            </w:r>
            <w:r>
              <w:rPr>
                <w:rFonts w:hint="default" w:ascii="Times New Roman" w:hAnsi="Times New Roman" w:eastAsia="宋体" w:cs="Times New Roman"/>
                <w:sz w:val="21"/>
                <w:szCs w:val="21"/>
              </w:rPr>
              <w:t>水处理设施</w:t>
            </w:r>
          </w:p>
        </w:tc>
        <w:tc>
          <w:tcPr>
            <w:tcW w:w="1272" w:type="pct"/>
            <w:vAlign w:val="center"/>
          </w:tcPr>
          <w:p w14:paraId="7764679C">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COD、</w:t>
            </w:r>
            <w:r>
              <w:rPr>
                <w:rFonts w:hint="eastAsia" w:eastAsia="宋体" w:cs="Times New Roman"/>
                <w:b w:val="0"/>
                <w:bCs/>
                <w:color w:val="000000" w:themeColor="text1"/>
                <w:kern w:val="2"/>
                <w:sz w:val="21"/>
                <w:szCs w:val="21"/>
                <w:lang w:val="en-US" w:eastAsia="zh-CN" w:bidi="ar-SA"/>
                <w14:textFill>
                  <w14:solidFill>
                    <w14:schemeClr w14:val="tx1"/>
                  </w14:solidFill>
                </w14:textFill>
              </w:rPr>
              <w:t>SS、</w:t>
            </w: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氨氮、总磷、</w:t>
            </w:r>
          </w:p>
        </w:tc>
        <w:tc>
          <w:tcPr>
            <w:tcW w:w="809" w:type="pct"/>
            <w:vAlign w:val="center"/>
          </w:tcPr>
          <w:p w14:paraId="5354E5E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eastAsia" w:eastAsia="宋体" w:cs="Times New Roman"/>
                <w:b w:val="0"/>
                <w:bCs/>
                <w:color w:val="000000" w:themeColor="text1"/>
                <w:kern w:val="2"/>
                <w:sz w:val="21"/>
                <w:szCs w:val="21"/>
                <w:lang w:val="en-US" w:eastAsia="zh-CN" w:bidi="ar-SA"/>
                <w14:textFill>
                  <w14:solidFill>
                    <w14:schemeClr w14:val="tx1"/>
                  </w14:solidFill>
                </w14:textFill>
              </w:rPr>
              <w:t>4t</w:t>
            </w:r>
          </w:p>
        </w:tc>
        <w:tc>
          <w:tcPr>
            <w:tcW w:w="567" w:type="pct"/>
            <w:vAlign w:val="center"/>
          </w:tcPr>
          <w:p w14:paraId="24EED532">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542" w:type="pct"/>
            <w:vAlign w:val="center"/>
          </w:tcPr>
          <w:p w14:paraId="6F9E40F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857" w:type="pct"/>
            <w:vAlign w:val="center"/>
          </w:tcPr>
          <w:p w14:paraId="0AFD320A">
            <w:pPr>
              <w:jc w:val="center"/>
              <w:rPr>
                <w:rFonts w:hint="default" w:ascii="Times New Roman" w:hAnsi="Times New Roman" w:eastAsia="宋体" w:cs="Times New Roman"/>
                <w:b w:val="0"/>
                <w:bCs/>
                <w:color w:val="0000FF"/>
                <w:sz w:val="21"/>
                <w:szCs w:val="21"/>
                <w:lang w:val="en-US" w:eastAsia="zh-CN"/>
              </w:rPr>
            </w:pPr>
            <w:r>
              <w:rPr>
                <w:rFonts w:hint="eastAsia" w:eastAsia="宋体" w:cs="Times New Roman"/>
                <w:b w:val="0"/>
                <w:bCs/>
                <w:color w:val="000000" w:themeColor="text1"/>
                <w:sz w:val="21"/>
                <w:szCs w:val="21"/>
                <w:lang w:val="en-US" w:eastAsia="zh-CN"/>
                <w14:textFill>
                  <w14:solidFill>
                    <w14:schemeClr w14:val="tx1"/>
                  </w14:solidFill>
                </w14:textFill>
              </w:rPr>
              <w:t>涉水</w:t>
            </w:r>
          </w:p>
        </w:tc>
      </w:tr>
      <w:tr w14:paraId="150A6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129E6DD5">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6E3475C5">
            <w:pPr>
              <w:widowControl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喷涂房循环用水设施</w:t>
            </w:r>
          </w:p>
        </w:tc>
        <w:tc>
          <w:tcPr>
            <w:tcW w:w="1272" w:type="pct"/>
            <w:vAlign w:val="center"/>
          </w:tcPr>
          <w:p w14:paraId="605656CB">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rPr>
              <w:t>COD、氨氮</w:t>
            </w:r>
          </w:p>
        </w:tc>
        <w:tc>
          <w:tcPr>
            <w:tcW w:w="809" w:type="pct"/>
            <w:vAlign w:val="center"/>
          </w:tcPr>
          <w:p w14:paraId="61603B4B">
            <w:pPr>
              <w:widowControl w:val="0"/>
              <w:spacing w:line="240" w:lineRule="auto"/>
              <w:ind w:left="0" w:leftChars="0" w:firstLine="0" w:firstLineChars="0"/>
              <w:jc w:val="center"/>
              <w:rPr>
                <w:rFonts w:hint="eastAsia" w:eastAsia="宋体" w:cs="Times New Roman"/>
                <w:b w:val="0"/>
                <w:bCs/>
                <w:color w:val="000000" w:themeColor="text1"/>
                <w:kern w:val="2"/>
                <w:sz w:val="21"/>
                <w:szCs w:val="21"/>
                <w:lang w:val="en-US" w:eastAsia="zh-CN" w:bidi="ar-SA"/>
                <w14:textFill>
                  <w14:solidFill>
                    <w14:schemeClr w14:val="tx1"/>
                  </w14:solidFill>
                </w14:textFill>
              </w:rPr>
            </w:pPr>
            <w:r>
              <w:rPr>
                <w:rFonts w:hint="eastAsia" w:eastAsia="宋体" w:cs="Times New Roman"/>
                <w:b w:val="0"/>
                <w:bCs/>
                <w:color w:val="000000" w:themeColor="text1"/>
                <w:kern w:val="2"/>
                <w:sz w:val="21"/>
                <w:szCs w:val="21"/>
                <w:lang w:val="en-US" w:eastAsia="zh-CN" w:bidi="ar-SA"/>
                <w14:textFill>
                  <w14:solidFill>
                    <w14:schemeClr w14:val="tx1"/>
                  </w14:solidFill>
                </w14:textFill>
              </w:rPr>
              <w:t>1t</w:t>
            </w:r>
          </w:p>
        </w:tc>
        <w:tc>
          <w:tcPr>
            <w:tcW w:w="567" w:type="pct"/>
            <w:vAlign w:val="center"/>
          </w:tcPr>
          <w:p w14:paraId="3FA4F876">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542" w:type="pct"/>
            <w:vAlign w:val="center"/>
          </w:tcPr>
          <w:p w14:paraId="59A9A6AA">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w:t>
            </w:r>
          </w:p>
        </w:tc>
        <w:tc>
          <w:tcPr>
            <w:tcW w:w="857" w:type="pct"/>
            <w:vAlign w:val="center"/>
          </w:tcPr>
          <w:p w14:paraId="1C7B17D0">
            <w:pPr>
              <w:jc w:val="center"/>
            </w:pPr>
            <w:r>
              <w:rPr>
                <w:rFonts w:hint="eastAsia" w:eastAsia="宋体" w:cs="Times New Roman"/>
                <w:b w:val="0"/>
                <w:bCs/>
                <w:color w:val="000000" w:themeColor="text1"/>
                <w:sz w:val="21"/>
                <w:szCs w:val="21"/>
                <w:lang w:val="en-US" w:eastAsia="zh-CN"/>
                <w14:textFill>
                  <w14:solidFill>
                    <w14:schemeClr w14:val="tx1"/>
                  </w14:solidFill>
                </w14:textFill>
              </w:rPr>
              <w:t>涉水</w:t>
            </w:r>
          </w:p>
        </w:tc>
      </w:tr>
      <w:tr w14:paraId="79A64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restart"/>
            <w:vAlign w:val="center"/>
          </w:tcPr>
          <w:p w14:paraId="532ED474">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t>危险固废</w:t>
            </w:r>
          </w:p>
        </w:tc>
        <w:tc>
          <w:tcPr>
            <w:tcW w:w="606" w:type="pct"/>
            <w:vAlign w:val="center"/>
          </w:tcPr>
          <w:p w14:paraId="31F2B0EB">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废活性炭</w:t>
            </w:r>
          </w:p>
        </w:tc>
        <w:tc>
          <w:tcPr>
            <w:tcW w:w="1272" w:type="pct"/>
            <w:vAlign w:val="center"/>
          </w:tcPr>
          <w:p w14:paraId="1DDB8E92">
            <w:pPr>
              <w:jc w:val="center"/>
              <w:rPr>
                <w:rFonts w:hint="default" w:ascii="宋体" w:hAnsi="宋体" w:eastAsia="宋体" w:cs="宋体"/>
                <w:b w:val="0"/>
                <w:bCs/>
                <w:color w:val="auto"/>
                <w:kern w:val="2"/>
                <w:sz w:val="21"/>
                <w:szCs w:val="21"/>
                <w:highlight w:val="none"/>
                <w:lang w:val="zh-CN" w:eastAsia="zh-CN" w:bidi="ar-SA"/>
              </w:rPr>
            </w:pPr>
            <w:r>
              <w:rPr>
                <w:rFonts w:hint="eastAsia" w:ascii="宋体" w:eastAsia="宋体" w:cs="宋体"/>
                <w:color w:val="000000"/>
                <w:spacing w:val="0"/>
                <w:w w:val="100"/>
                <w:position w:val="0"/>
                <w:sz w:val="21"/>
                <w:szCs w:val="21"/>
                <w:lang w:val="en-US" w:eastAsia="zh-CN"/>
              </w:rPr>
              <w:t>活性炭、有机物</w:t>
            </w:r>
          </w:p>
        </w:tc>
        <w:tc>
          <w:tcPr>
            <w:tcW w:w="809" w:type="pct"/>
            <w:vAlign w:val="center"/>
          </w:tcPr>
          <w:p w14:paraId="5EDEDE9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567" w:type="pct"/>
            <w:vAlign w:val="center"/>
          </w:tcPr>
          <w:p w14:paraId="14190A85">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w:t>
            </w:r>
            <w:r>
              <w:rPr>
                <w:rFonts w:hint="default" w:ascii="Times New Roman" w:hAnsi="Times New Roman" w:eastAsia="宋体" w:cs="Times New Roman"/>
                <w:b w:val="0"/>
                <w:bCs/>
                <w:color w:val="auto"/>
                <w:kern w:val="2"/>
                <w:sz w:val="21"/>
                <w:szCs w:val="21"/>
                <w:highlight w:val="none"/>
                <w:lang w:val="en-US" w:eastAsia="zh-CN" w:bidi="ar-SA"/>
              </w:rPr>
              <w:t>装</w:t>
            </w:r>
          </w:p>
        </w:tc>
        <w:tc>
          <w:tcPr>
            <w:tcW w:w="542" w:type="pct"/>
            <w:vAlign w:val="center"/>
          </w:tcPr>
          <w:p w14:paraId="470DAB6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857" w:type="pct"/>
            <w:vAlign w:val="center"/>
          </w:tcPr>
          <w:p w14:paraId="232C5A1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60FD5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6AE495C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799AEE4D">
            <w:pPr>
              <w:widowControl/>
              <w:jc w:val="center"/>
              <w:rPr>
                <w:rFonts w:hint="default" w:ascii="Times New Roman" w:hAnsi="Times New Roman" w:eastAsia="宋体" w:cs="Times New Roman"/>
                <w:b w:val="0"/>
                <w:bCs/>
                <w:snapToGrid w:val="0"/>
                <w:color w:val="auto"/>
                <w:kern w:val="0"/>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灰渣、漆渣、气浮渣</w:t>
            </w:r>
          </w:p>
        </w:tc>
        <w:tc>
          <w:tcPr>
            <w:tcW w:w="1272" w:type="pct"/>
            <w:vAlign w:val="center"/>
          </w:tcPr>
          <w:p w14:paraId="65824B8C">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auto"/>
                <w:spacing w:val="0"/>
                <w:w w:val="100"/>
                <w:position w:val="0"/>
                <w:sz w:val="21"/>
                <w:szCs w:val="21"/>
                <w:lang w:val="en-US" w:eastAsia="zh-CN"/>
              </w:rPr>
              <w:t>树脂等固分</w:t>
            </w:r>
          </w:p>
        </w:tc>
        <w:tc>
          <w:tcPr>
            <w:tcW w:w="809" w:type="pct"/>
            <w:vAlign w:val="center"/>
          </w:tcPr>
          <w:p w14:paraId="4563577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567" w:type="pct"/>
            <w:vAlign w:val="center"/>
          </w:tcPr>
          <w:p w14:paraId="2B6D4D5A">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w:t>
            </w:r>
            <w:r>
              <w:rPr>
                <w:rFonts w:hint="default" w:ascii="Times New Roman" w:hAnsi="Times New Roman" w:eastAsia="宋体" w:cs="Times New Roman"/>
                <w:b w:val="0"/>
                <w:bCs/>
                <w:color w:val="auto"/>
                <w:kern w:val="2"/>
                <w:sz w:val="21"/>
                <w:szCs w:val="21"/>
                <w:highlight w:val="none"/>
                <w:lang w:val="en-US" w:eastAsia="zh-CN" w:bidi="ar-SA"/>
              </w:rPr>
              <w:t>装</w:t>
            </w:r>
          </w:p>
        </w:tc>
        <w:tc>
          <w:tcPr>
            <w:tcW w:w="542" w:type="pct"/>
            <w:vAlign w:val="center"/>
          </w:tcPr>
          <w:p w14:paraId="08870BD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857" w:type="pct"/>
            <w:vAlign w:val="center"/>
          </w:tcPr>
          <w:p w14:paraId="075A133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52207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1FA6551F">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2B3C2F15">
            <w:pPr>
              <w:widowControl/>
              <w:jc w:val="center"/>
              <w:rPr>
                <w:rFonts w:hint="eastAsia" w:ascii="Times New Roman" w:hAnsi="Times New Roman" w:eastAsia="宋体" w:cs="Times New Roman"/>
                <w:b w:val="0"/>
                <w:bCs/>
                <w:color w:val="auto"/>
                <w:kern w:val="2"/>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废包装桶</w:t>
            </w:r>
          </w:p>
        </w:tc>
        <w:tc>
          <w:tcPr>
            <w:tcW w:w="1272" w:type="pct"/>
            <w:vAlign w:val="center"/>
          </w:tcPr>
          <w:p w14:paraId="3F1858D7">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000000"/>
                <w:spacing w:val="0"/>
                <w:w w:val="100"/>
                <w:position w:val="0"/>
                <w:sz w:val="21"/>
                <w:szCs w:val="21"/>
                <w:lang w:val="en-US" w:eastAsia="zh-CN"/>
              </w:rPr>
              <w:t>铁、有机物</w:t>
            </w:r>
          </w:p>
        </w:tc>
        <w:tc>
          <w:tcPr>
            <w:tcW w:w="809" w:type="pct"/>
            <w:vAlign w:val="center"/>
          </w:tcPr>
          <w:p w14:paraId="5344637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567" w:type="pct"/>
            <w:vAlign w:val="center"/>
          </w:tcPr>
          <w:p w14:paraId="5CF537E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散</w:t>
            </w:r>
            <w:r>
              <w:rPr>
                <w:rFonts w:hint="default" w:ascii="Times New Roman" w:hAnsi="Times New Roman" w:eastAsia="宋体" w:cs="Times New Roman"/>
                <w:b w:val="0"/>
                <w:bCs/>
                <w:color w:val="auto"/>
                <w:kern w:val="2"/>
                <w:sz w:val="21"/>
                <w:szCs w:val="21"/>
                <w:highlight w:val="none"/>
                <w:lang w:val="en-US" w:eastAsia="zh-CN" w:bidi="ar-SA"/>
              </w:rPr>
              <w:t>装</w:t>
            </w:r>
          </w:p>
        </w:tc>
        <w:tc>
          <w:tcPr>
            <w:tcW w:w="542" w:type="pct"/>
            <w:vAlign w:val="center"/>
          </w:tcPr>
          <w:p w14:paraId="1C73899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857" w:type="pct"/>
            <w:vAlign w:val="center"/>
          </w:tcPr>
          <w:p w14:paraId="2B872BB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1049B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7AF9D4E1">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5EE79986">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含油废水</w:t>
            </w:r>
          </w:p>
        </w:tc>
        <w:tc>
          <w:tcPr>
            <w:tcW w:w="1272" w:type="pct"/>
            <w:vAlign w:val="center"/>
          </w:tcPr>
          <w:p w14:paraId="05B3EC59">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olor w:val="000000"/>
                <w:spacing w:val="0"/>
                <w:w w:val="100"/>
                <w:position w:val="0"/>
                <w:sz w:val="21"/>
                <w:szCs w:val="21"/>
                <w:lang w:val="en-US" w:eastAsia="zh-CN"/>
              </w:rPr>
              <w:t>油水混合物</w:t>
            </w:r>
          </w:p>
        </w:tc>
        <w:tc>
          <w:tcPr>
            <w:tcW w:w="809" w:type="pct"/>
            <w:vAlign w:val="center"/>
          </w:tcPr>
          <w:p w14:paraId="6273827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default" w:ascii="Times New Roman" w:hAnsi="Times New Roman" w:eastAsia="宋体" w:cs="Times New Roman"/>
                <w:b w:val="0"/>
                <w:bCs/>
                <w:color w:val="auto"/>
                <w:sz w:val="21"/>
                <w:szCs w:val="21"/>
                <w:highlight w:val="none"/>
              </w:rPr>
              <w:t>t</w:t>
            </w:r>
          </w:p>
        </w:tc>
        <w:tc>
          <w:tcPr>
            <w:tcW w:w="567" w:type="pct"/>
            <w:vAlign w:val="center"/>
          </w:tcPr>
          <w:p w14:paraId="1E921557">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桶装</w:t>
            </w:r>
          </w:p>
        </w:tc>
        <w:tc>
          <w:tcPr>
            <w:tcW w:w="542" w:type="pct"/>
            <w:vAlign w:val="center"/>
          </w:tcPr>
          <w:p w14:paraId="5CA6668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危废仓库</w:t>
            </w:r>
          </w:p>
        </w:tc>
        <w:tc>
          <w:tcPr>
            <w:tcW w:w="857" w:type="pct"/>
            <w:vAlign w:val="center"/>
          </w:tcPr>
          <w:p w14:paraId="2821E65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71011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343" w:type="pct"/>
            <w:vMerge w:val="continue"/>
            <w:vAlign w:val="center"/>
          </w:tcPr>
          <w:p w14:paraId="151DEB88">
            <w:pPr>
              <w:widowControl w:val="0"/>
              <w:spacing w:line="240" w:lineRule="auto"/>
              <w:ind w:left="0" w:leftChars="0" w:firstLine="0" w:firstLineChars="0"/>
              <w:jc w:val="center"/>
              <w:rPr>
                <w:rFonts w:hint="default" w:ascii="Times New Roman" w:hAnsi="Times New Roman" w:eastAsia="宋体" w:cs="Times New Roman"/>
                <w:b w:val="0"/>
                <w:bCs/>
                <w:color w:val="000000" w:themeColor="text1"/>
                <w:kern w:val="2"/>
                <w:sz w:val="21"/>
                <w:szCs w:val="21"/>
                <w:lang w:val="en-US" w:eastAsia="zh-CN" w:bidi="ar-SA"/>
                <w14:textFill>
                  <w14:solidFill>
                    <w14:schemeClr w14:val="tx1"/>
                  </w14:solidFill>
                </w14:textFill>
              </w:rPr>
            </w:pPr>
          </w:p>
        </w:tc>
        <w:tc>
          <w:tcPr>
            <w:tcW w:w="606" w:type="pct"/>
            <w:vAlign w:val="center"/>
          </w:tcPr>
          <w:p w14:paraId="04B40BEC">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废劳保用品</w:t>
            </w:r>
          </w:p>
        </w:tc>
        <w:tc>
          <w:tcPr>
            <w:tcW w:w="1272" w:type="pct"/>
            <w:vAlign w:val="center"/>
          </w:tcPr>
          <w:p w14:paraId="627EFEBF">
            <w:pPr>
              <w:jc w:val="center"/>
              <w:rPr>
                <w:rFonts w:hint="eastAsia" w:ascii="宋体" w:hAnsi="Times New Roman" w:eastAsia="宋体" w:cs="Times New Roman"/>
                <w:color w:val="000000"/>
                <w:spacing w:val="0"/>
                <w:w w:val="100"/>
                <w:kern w:val="2"/>
                <w:position w:val="0"/>
                <w:sz w:val="21"/>
                <w:szCs w:val="21"/>
                <w:lang w:val="en-US" w:eastAsia="zh-CN" w:bidi="ar-SA"/>
              </w:rPr>
            </w:pPr>
            <w:r>
              <w:rPr>
                <w:rFonts w:hint="eastAsia" w:ascii="宋体" w:eastAsia="宋体"/>
                <w:color w:val="000000"/>
                <w:spacing w:val="0"/>
                <w:w w:val="100"/>
                <w:position w:val="0"/>
                <w:sz w:val="21"/>
                <w:szCs w:val="21"/>
                <w:lang w:val="en-US" w:eastAsia="zh-CN"/>
              </w:rPr>
              <w:t>抹布、手套</w:t>
            </w:r>
          </w:p>
        </w:tc>
        <w:tc>
          <w:tcPr>
            <w:tcW w:w="809" w:type="pct"/>
            <w:vAlign w:val="center"/>
          </w:tcPr>
          <w:p w14:paraId="1A9F202D">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0.1t</w:t>
            </w:r>
          </w:p>
        </w:tc>
        <w:tc>
          <w:tcPr>
            <w:tcW w:w="567" w:type="pct"/>
            <w:vAlign w:val="center"/>
          </w:tcPr>
          <w:p w14:paraId="7C18A6CC">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袋装</w:t>
            </w:r>
          </w:p>
        </w:tc>
        <w:tc>
          <w:tcPr>
            <w:tcW w:w="542" w:type="pct"/>
            <w:vAlign w:val="center"/>
          </w:tcPr>
          <w:p w14:paraId="7B18E98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危废仓库</w:t>
            </w:r>
          </w:p>
        </w:tc>
        <w:tc>
          <w:tcPr>
            <w:tcW w:w="857" w:type="pct"/>
            <w:vAlign w:val="center"/>
          </w:tcPr>
          <w:p w14:paraId="16BAFB87">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涉气、涉水</w:t>
            </w:r>
          </w:p>
        </w:tc>
      </w:tr>
    </w:tbl>
    <w:p w14:paraId="6474A8C8">
      <w:pPr>
        <w:pStyle w:val="5"/>
      </w:pPr>
    </w:p>
    <w:p w14:paraId="02614699">
      <w:pPr>
        <w:snapToGrid w:val="0"/>
        <w:spacing w:line="500" w:lineRule="exact"/>
        <w:jc w:val="center"/>
        <w:rPr>
          <w:rFonts w:eastAsiaTheme="minorEastAsia"/>
          <w:b/>
        </w:rPr>
      </w:pPr>
      <w:bookmarkStart w:id="98" w:name="_Toc32621"/>
      <w:bookmarkStart w:id="99" w:name="_Toc7621"/>
      <w:r>
        <w:rPr>
          <w:rFonts w:eastAsiaTheme="minorEastAsia"/>
          <w:b/>
        </w:rPr>
        <w:t>表</w:t>
      </w:r>
      <w:r>
        <w:rPr>
          <w:rFonts w:hint="eastAsia" w:eastAsiaTheme="minorEastAsia"/>
          <w:b/>
        </w:rPr>
        <w:t>3-8</w:t>
      </w:r>
      <w:r>
        <w:rPr>
          <w:rFonts w:hint="eastAsia" w:eastAsiaTheme="minorEastAsia"/>
          <w:b/>
          <w:color w:val="000000" w:themeColor="text1"/>
          <w14:textFill>
            <w14:solidFill>
              <w14:schemeClr w14:val="tx1"/>
            </w14:solidFill>
          </w14:textFill>
        </w:rPr>
        <w:t>公司原辅料理化性质</w:t>
      </w:r>
    </w:p>
    <w:tbl>
      <w:tblPr>
        <w:tblStyle w:val="38"/>
        <w:tblW w:w="512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3"/>
        <w:gridCol w:w="1361"/>
        <w:gridCol w:w="5037"/>
        <w:gridCol w:w="720"/>
        <w:gridCol w:w="1865"/>
      </w:tblGrid>
      <w:tr w14:paraId="5699E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42" w:type="pct"/>
            <w:shd w:val="clear" w:color="auto" w:fill="auto"/>
            <w:vAlign w:val="center"/>
          </w:tcPr>
          <w:p w14:paraId="5CFEFA73">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00" w:name="_Toc31109"/>
            <w:bookmarkStart w:id="101" w:name="_Toc24544"/>
            <w:r>
              <w:rPr>
                <w:rFonts w:hint="default" w:ascii="Times New Roman" w:hAnsi="Times New Roman" w:eastAsia="宋体" w:cs="Times New Roman"/>
                <w:b/>
                <w:bCs/>
                <w:color w:val="000000" w:themeColor="text1"/>
                <w:sz w:val="21"/>
                <w:szCs w:val="21"/>
                <w:highlight w:val="none"/>
                <w14:textFill>
                  <w14:solidFill>
                    <w14:schemeClr w14:val="tx1"/>
                  </w14:solidFill>
                </w14:textFill>
              </w:rPr>
              <w:t>名称</w:t>
            </w:r>
          </w:p>
        </w:tc>
        <w:tc>
          <w:tcPr>
            <w:tcW w:w="728" w:type="pct"/>
            <w:shd w:val="clear" w:color="auto" w:fill="auto"/>
            <w:vAlign w:val="center"/>
          </w:tcPr>
          <w:p w14:paraId="41553DA5">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主要成份/化学式</w:t>
            </w:r>
          </w:p>
        </w:tc>
        <w:tc>
          <w:tcPr>
            <w:tcW w:w="2677" w:type="pct"/>
            <w:shd w:val="clear" w:color="auto" w:fill="auto"/>
            <w:vAlign w:val="center"/>
          </w:tcPr>
          <w:p w14:paraId="2A2906EC">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理化性质</w:t>
            </w:r>
          </w:p>
        </w:tc>
        <w:tc>
          <w:tcPr>
            <w:tcW w:w="388" w:type="pct"/>
            <w:shd w:val="clear" w:color="auto" w:fill="auto"/>
            <w:vAlign w:val="center"/>
          </w:tcPr>
          <w:p w14:paraId="2D3F5039">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燃烧爆炸性</w:t>
            </w:r>
          </w:p>
        </w:tc>
        <w:tc>
          <w:tcPr>
            <w:tcW w:w="963" w:type="pct"/>
            <w:shd w:val="clear" w:color="auto" w:fill="auto"/>
            <w:vAlign w:val="center"/>
          </w:tcPr>
          <w:p w14:paraId="4CAC523C">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毒理性</w:t>
            </w:r>
          </w:p>
        </w:tc>
      </w:tr>
      <w:tr w14:paraId="011D5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4" w:hRule="atLeast"/>
          <w:jc w:val="center"/>
        </w:trPr>
        <w:tc>
          <w:tcPr>
            <w:tcW w:w="242" w:type="pct"/>
            <w:vMerge w:val="restart"/>
            <w:shd w:val="clear" w:color="auto" w:fill="auto"/>
            <w:vAlign w:val="center"/>
          </w:tcPr>
          <w:p w14:paraId="4B01DEC3">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白乳胶</w:t>
            </w:r>
          </w:p>
        </w:tc>
        <w:tc>
          <w:tcPr>
            <w:tcW w:w="728" w:type="pct"/>
            <w:shd w:val="clear" w:color="auto" w:fill="auto"/>
            <w:vAlign w:val="center"/>
          </w:tcPr>
          <w:p w14:paraId="3D759899">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聚醋酸乙烯酯</w:t>
            </w:r>
          </w:p>
        </w:tc>
        <w:tc>
          <w:tcPr>
            <w:tcW w:w="2677" w:type="pct"/>
            <w:shd w:val="clear" w:color="auto" w:fill="auto"/>
            <w:vAlign w:val="center"/>
          </w:tcPr>
          <w:p w14:paraId="4AFD53A5">
            <w:pPr>
              <w:adjustRightInd w:val="0"/>
              <w:snapToGrid w:val="0"/>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醚味，无色易燃液体，熔点-93.2℃，沸点72.2℃，相对密度0.9317，闪点（开杯）-1℃。与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混溶，能溶于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等有机溶剂，不溶于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388" w:type="pct"/>
            <w:shd w:val="clear" w:color="auto" w:fill="auto"/>
            <w:vAlign w:val="center"/>
          </w:tcPr>
          <w:p w14:paraId="698A7D58">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第3.2类中闪点易燃液体</w:t>
            </w:r>
          </w:p>
        </w:tc>
        <w:tc>
          <w:tcPr>
            <w:tcW w:w="963" w:type="pct"/>
            <w:shd w:val="clear" w:color="auto" w:fill="auto"/>
            <w:vAlign w:val="center"/>
          </w:tcPr>
          <w:p w14:paraId="6E6A30BA">
            <w:pPr>
              <w:adjustRightInd w:val="0"/>
              <w:spacing w:line="240" w:lineRule="auto"/>
              <w:jc w:val="center"/>
              <w:textAlignment w:val="baseline"/>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LD50：2900 mg/kg(大鼠经口)；2500 mg/kg(兔经皮)</w:t>
            </w:r>
          </w:p>
          <w:p w14:paraId="4EE0E78F">
            <w:pPr>
              <w:pStyle w:val="5"/>
              <w:rPr>
                <w:rFonts w:hint="eastAsia"/>
                <w:lang w:eastAsia="zh-CN"/>
              </w:rPr>
            </w:pPr>
          </w:p>
          <w:p w14:paraId="22863909">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LC50：14080mg/m</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，4小时(大鼠吸入)</w:t>
            </w:r>
          </w:p>
        </w:tc>
      </w:tr>
      <w:tr w14:paraId="1026F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42" w:type="pct"/>
            <w:vMerge w:val="continue"/>
            <w:shd w:val="clear" w:color="auto" w:fill="auto"/>
            <w:vAlign w:val="center"/>
          </w:tcPr>
          <w:p w14:paraId="06256C55">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5B3BF4C3">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聚乙烯醇</w:t>
            </w:r>
          </w:p>
        </w:tc>
        <w:tc>
          <w:tcPr>
            <w:tcW w:w="2677" w:type="pct"/>
            <w:shd w:val="clear" w:color="auto" w:fill="auto"/>
            <w:vAlign w:val="center"/>
          </w:tcPr>
          <w:p w14:paraId="1BF8FBE8">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白色固体，无毒无味、无污染，可在80-90℃</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中溶解，可燃，具有刺激性。</w:t>
            </w:r>
          </w:p>
        </w:tc>
        <w:tc>
          <w:tcPr>
            <w:tcW w:w="388" w:type="pct"/>
            <w:shd w:val="clear" w:color="auto" w:fill="auto"/>
            <w:vAlign w:val="center"/>
          </w:tcPr>
          <w:p w14:paraId="5915E3AB">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02036DB4">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14:paraId="1A172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242" w:type="pct"/>
            <w:vMerge w:val="continue"/>
            <w:shd w:val="clear" w:color="auto" w:fill="auto"/>
            <w:vAlign w:val="center"/>
          </w:tcPr>
          <w:p w14:paraId="6149AD6B">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4FC63CD2">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邻苯二甲酸二丁酯</w:t>
            </w:r>
          </w:p>
        </w:tc>
        <w:tc>
          <w:tcPr>
            <w:tcW w:w="2677" w:type="pct"/>
            <w:shd w:val="clear" w:color="auto" w:fill="auto"/>
            <w:vAlign w:val="center"/>
          </w:tcPr>
          <w:p w14:paraId="14E8E4BD">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无色油状液体，易溶于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"http://www.ichemistry.cn/chemistry/67-64-1.htm"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丙酮</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和</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"http://www.ichemistry.cn/chemistry/71-43-2.htm"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苯</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。熔点-35°C，沸点340°C，密度1.043g/mLat25°C，闪点340°F，易燃。</w:t>
            </w:r>
          </w:p>
        </w:tc>
        <w:tc>
          <w:tcPr>
            <w:tcW w:w="388" w:type="pct"/>
            <w:shd w:val="clear" w:color="auto" w:fill="auto"/>
            <w:vAlign w:val="center"/>
          </w:tcPr>
          <w:p w14:paraId="5CAC2676">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42100B6B">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LD50：大鼠经口：8000mg/kg</w:t>
            </w:r>
          </w:p>
          <w:p w14:paraId="13DE64C9">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LC50：小鼠吸入：25mg/L(气溶胶)</w:t>
            </w:r>
          </w:p>
        </w:tc>
      </w:tr>
      <w:tr w14:paraId="35FEA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242" w:type="pct"/>
            <w:vMerge w:val="continue"/>
            <w:shd w:val="clear" w:color="auto" w:fill="auto"/>
            <w:vAlign w:val="center"/>
          </w:tcPr>
          <w:p w14:paraId="6710E034">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262AEB74">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辛醇</w:t>
            </w:r>
          </w:p>
        </w:tc>
        <w:tc>
          <w:tcPr>
            <w:tcW w:w="2677" w:type="pct"/>
            <w:shd w:val="clear" w:color="auto" w:fill="auto"/>
            <w:vAlign w:val="center"/>
          </w:tcPr>
          <w:p w14:paraId="4256914A">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无色油状液体，熔点-16.3℃，沸点194.45℃，相对密度0.8270（20/4℃），闪点81℃。能与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"http://www.ichemistry.cn/chemistry/64-17-5.htm"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乙醇</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"http://www.ichemistry.cn/chemistry/60-29-7.htm"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乙醚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和</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"http://www.ichemistry.cn/chemistry/67-66-3.htm"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氯仿</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混溶，不溶于</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"http://www.ichemistry.cn/chemistry/7732-18-5.htm"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水</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。遇明火、强氧化剂易爆。</w:t>
            </w:r>
          </w:p>
        </w:tc>
        <w:tc>
          <w:tcPr>
            <w:tcW w:w="388" w:type="pct"/>
            <w:shd w:val="clear" w:color="auto" w:fill="auto"/>
            <w:vAlign w:val="center"/>
          </w:tcPr>
          <w:p w14:paraId="3BCBFBDB">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408DE259">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属低毒类LD50：1790mg/kg(小鼠经口)；&gt;3200mg/kg(大鼠经口)LC50：无资料</w:t>
            </w:r>
          </w:p>
        </w:tc>
      </w:tr>
      <w:tr w14:paraId="324E4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242" w:type="pct"/>
            <w:vMerge w:val="continue"/>
            <w:shd w:val="clear" w:color="auto" w:fill="auto"/>
            <w:vAlign w:val="center"/>
          </w:tcPr>
          <w:p w14:paraId="04DB4D66">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13C260B9">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过硫酸铵</w:t>
            </w:r>
          </w:p>
        </w:tc>
        <w:tc>
          <w:tcPr>
            <w:tcW w:w="2677" w:type="pct"/>
            <w:shd w:val="clear" w:color="auto" w:fill="auto"/>
            <w:vAlign w:val="center"/>
          </w:tcPr>
          <w:p w14:paraId="65233B72">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白色粉末，无味。干燥纯品</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"http://baike.so.com/doc/93322-98561.html"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稳定</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，受潮时分解出含</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highlight w:val="none"/>
                <w14:textFill>
                  <w14:solidFill>
                    <w14:schemeClr w14:val="tx1"/>
                  </w14:solidFill>
                </w14:textFill>
              </w:rPr>
              <w:instrText xml:space="preserve">HYPERLINK "http://baike.so.com/doc/1460041-1543686.html" \t "_blank"</w:instrTex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highlight w:val="none"/>
                <w14:textFill>
                  <w14:solidFill>
                    <w14:schemeClr w14:val="tx1"/>
                  </w14:solidFill>
                </w14:textFill>
              </w:rPr>
              <w:t>臭氧</w:t>
            </w:r>
            <w:r>
              <w:rPr>
                <w:rFonts w:hint="default" w:ascii="Times New Roman" w:hAnsi="Times New Roman" w:eastAsia="宋体" w:cs="Times New Roman"/>
                <w:bCs/>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highlight w:val="none"/>
                <w14:textFill>
                  <w14:solidFill>
                    <w14:schemeClr w14:val="tx1"/>
                  </w14:solidFill>
                </w14:textFill>
              </w:rPr>
              <w:t>的氧，加热则分解出氧气而成为焦硫酸铵。易溶于水，水溶液呈酸性。</w:t>
            </w:r>
          </w:p>
        </w:tc>
        <w:tc>
          <w:tcPr>
            <w:tcW w:w="388" w:type="pct"/>
            <w:shd w:val="clear" w:color="auto" w:fill="auto"/>
            <w:vAlign w:val="center"/>
          </w:tcPr>
          <w:p w14:paraId="32C801C2">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第5.1类氧化剂</w:t>
            </w:r>
          </w:p>
        </w:tc>
        <w:tc>
          <w:tcPr>
            <w:tcW w:w="963" w:type="pct"/>
            <w:shd w:val="clear" w:color="auto" w:fill="auto"/>
            <w:vAlign w:val="center"/>
          </w:tcPr>
          <w:p w14:paraId="2316EEF4">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LD50：820mg/kg(大鼠经口)</w:t>
            </w:r>
          </w:p>
        </w:tc>
      </w:tr>
      <w:tr w14:paraId="14E70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42" w:type="pct"/>
            <w:shd w:val="clear" w:color="auto" w:fill="auto"/>
            <w:vAlign w:val="center"/>
          </w:tcPr>
          <w:p w14:paraId="346A6E7B">
            <w:pPr>
              <w:spacing w:line="240" w:lineRule="auto"/>
              <w:jc w:val="center"/>
              <w:rPr>
                <w:rFonts w:hint="default" w:ascii="Times New Roman" w:hAnsi="Times New Roman" w:eastAsia="宋体" w:cs="Times New Roman"/>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sz w:val="21"/>
                <w:szCs w:val="21"/>
                <w:highlight w:val="none"/>
              </w:rPr>
              <w:t>热熔胶</w:t>
            </w:r>
          </w:p>
        </w:tc>
        <w:tc>
          <w:tcPr>
            <w:tcW w:w="728" w:type="pct"/>
            <w:shd w:val="clear" w:color="auto" w:fill="auto"/>
            <w:vAlign w:val="center"/>
          </w:tcPr>
          <w:p w14:paraId="459E6B85">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乙烯-醋酸乙烯共聚物</w:t>
            </w:r>
          </w:p>
        </w:tc>
        <w:tc>
          <w:tcPr>
            <w:tcW w:w="2677" w:type="pct"/>
            <w:shd w:val="clear" w:color="auto" w:fill="auto"/>
            <w:vAlign w:val="center"/>
          </w:tcPr>
          <w:p w14:paraId="71CE82DA">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白色</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或灰白色</w:t>
            </w:r>
            <w:r>
              <w:rPr>
                <w:rFonts w:hint="default" w:ascii="Times New Roman" w:hAnsi="Times New Roman" w:eastAsia="宋体" w:cs="Times New Roman"/>
                <w:bCs/>
                <w:color w:val="000000" w:themeColor="text1"/>
                <w:sz w:val="21"/>
                <w:szCs w:val="21"/>
                <w:highlight w:val="none"/>
                <w14:textFill>
                  <w14:solidFill>
                    <w14:schemeClr w14:val="tx1"/>
                  </w14:solidFill>
                </w14:textFill>
              </w:rPr>
              <w:t>固体，</w:t>
            </w:r>
            <w:r>
              <w:rPr>
                <w:rFonts w:hint="eastAsia" w:ascii="Arial" w:hAnsi="Arial" w:eastAsia="宋体" w:cs="Arial"/>
                <w:i w:val="0"/>
                <w:caps w:val="0"/>
                <w:color w:val="333333"/>
                <w:spacing w:val="0"/>
                <w:sz w:val="21"/>
                <w:szCs w:val="21"/>
                <w:highlight w:val="none"/>
                <w:shd w:val="clear" w:fill="FFFFFF"/>
              </w:rPr>
              <w:t>是</w:t>
            </w:r>
            <w:r>
              <w:rPr>
                <w:rFonts w:hint="eastAsia" w:ascii="Arial" w:hAnsi="Arial" w:eastAsia="宋体" w:cs="Arial"/>
                <w:i w:val="0"/>
                <w:caps w:val="0"/>
                <w:color w:val="000000" w:themeColor="text1"/>
                <w:spacing w:val="0"/>
                <w:sz w:val="21"/>
                <w:szCs w:val="21"/>
                <w:highlight w:val="none"/>
                <w:shd w:val="clear" w:fill="FFFFFF"/>
                <w14:textFill>
                  <w14:solidFill>
                    <w14:schemeClr w14:val="tx1"/>
                  </w14:solidFill>
                </w14:textFill>
              </w:rPr>
              <w:t>一种通用</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begin"/>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instrText xml:space="preserve"> HYPERLINK "https://baike.baidu.com/item/%E9%AB%98%E5%88%86%E5%AD%90%E8%81%9A%E5%90%88%E7%89%A9/10404353" \t "https://baike.baidu.com/item/%E4%B9%99%E7%83%AF-%E9%86%8B%E9%85%B8%E4%B9%99%E7%83%AF%E5%85%B1%E8%81%9A%E7%89%A9/_blank" </w:instrTex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44"/>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t>高分聚合物</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end"/>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，分子式是 (C</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2</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H</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4</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w:t>
            </w:r>
            <w:r>
              <w:rPr>
                <w:rFonts w:hint="default" w:ascii="Arial" w:hAnsi="Arial" w:eastAsia="宋体" w:cs="Arial"/>
                <w:i/>
                <w:caps w:val="0"/>
                <w:color w:val="000000" w:themeColor="text1"/>
                <w:spacing w:val="0"/>
                <w:sz w:val="18"/>
                <w:szCs w:val="18"/>
                <w:highlight w:val="none"/>
                <w:shd w:val="clear" w:fill="FFFFFF"/>
                <w:vertAlign w:val="baseline"/>
                <w14:textFill>
                  <w14:solidFill>
                    <w14:schemeClr w14:val="tx1"/>
                  </w14:solidFill>
                </w14:textFill>
              </w:rPr>
              <w:t>x</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.(C</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4</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H</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6</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O</w:t>
            </w:r>
            <w:r>
              <w:rPr>
                <w:rFonts w:hint="default" w:ascii="Arial" w:hAnsi="Arial" w:eastAsia="宋体" w:cs="Arial"/>
                <w:i w:val="0"/>
                <w:caps w:val="0"/>
                <w:color w:val="000000" w:themeColor="text1"/>
                <w:spacing w:val="0"/>
                <w:sz w:val="18"/>
                <w:szCs w:val="18"/>
                <w:highlight w:val="none"/>
                <w:shd w:val="clear" w:fill="FFFFFF"/>
                <w:vertAlign w:val="baseline"/>
                <w14:textFill>
                  <w14:solidFill>
                    <w14:schemeClr w14:val="tx1"/>
                  </w14:solidFill>
                </w14:textFill>
              </w:rPr>
              <w:t>2</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w:t>
            </w:r>
            <w:r>
              <w:rPr>
                <w:rFonts w:hint="default" w:ascii="Arial" w:hAnsi="Arial" w:eastAsia="宋体" w:cs="Arial"/>
                <w:i/>
                <w:caps w:val="0"/>
                <w:color w:val="000000" w:themeColor="text1"/>
                <w:spacing w:val="0"/>
                <w:sz w:val="18"/>
                <w:szCs w:val="18"/>
                <w:highlight w:val="none"/>
                <w:shd w:val="clear" w:fill="FFFFFF"/>
                <w:vertAlign w:val="baseline"/>
                <w14:textFill>
                  <w14:solidFill>
                    <w14:schemeClr w14:val="tx1"/>
                  </w14:solidFill>
                </w14:textFill>
              </w:rPr>
              <w:t>y</w:t>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，可燃，燃烧</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begin"/>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instrText xml:space="preserve"> HYPERLINK "https://baike.baidu.com/item/%E6%B0%94%E5%91%B3/33379" \t "https://baike.baidu.com/item/%E4%B9%99%E7%83%AF-%E9%86%8B%E9%85%B8%E4%B9%99%E7%83%AF%E5%85%B1%E8%81%9A%E7%89%A9/_blank" </w:instrTex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separate"/>
            </w:r>
            <w:r>
              <w:rPr>
                <w:rStyle w:val="44"/>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t>气味</w:t>
            </w:r>
            <w:r>
              <w:rPr>
                <w:rFonts w:hint="default" w:ascii="Arial" w:hAnsi="Arial" w:eastAsia="宋体" w:cs="Arial"/>
                <w:i w:val="0"/>
                <w:caps w:val="0"/>
                <w:color w:val="000000" w:themeColor="text1"/>
                <w:spacing w:val="0"/>
                <w:sz w:val="21"/>
                <w:szCs w:val="21"/>
                <w:highlight w:val="none"/>
                <w:u w:val="none"/>
                <w:shd w:val="clear" w:fill="FFFFFF"/>
                <w14:textFill>
                  <w14:solidFill>
                    <w14:schemeClr w14:val="tx1"/>
                  </w14:solidFill>
                </w14:textFill>
              </w:rPr>
              <w:fldChar w:fldCharType="end"/>
            </w:r>
            <w:r>
              <w:rPr>
                <w:rFonts w:hint="default" w:ascii="Arial" w:hAnsi="Arial" w:eastAsia="宋体" w:cs="Arial"/>
                <w:i w:val="0"/>
                <w:caps w:val="0"/>
                <w:color w:val="000000" w:themeColor="text1"/>
                <w:spacing w:val="0"/>
                <w:sz w:val="21"/>
                <w:szCs w:val="21"/>
                <w:highlight w:val="none"/>
                <w:shd w:val="clear" w:fill="FFFFFF"/>
                <w14:textFill>
                  <w14:solidFill>
                    <w14:schemeClr w14:val="tx1"/>
                  </w14:solidFill>
                </w14:textFill>
              </w:rPr>
              <w:t>无刺激性</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388" w:type="pct"/>
            <w:shd w:val="clear" w:color="auto" w:fill="auto"/>
            <w:vAlign w:val="center"/>
          </w:tcPr>
          <w:p w14:paraId="7D475814">
            <w:p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0353D94A">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14:paraId="27BFD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42" w:type="pct"/>
            <w:vMerge w:val="restart"/>
            <w:shd w:val="clear" w:color="auto" w:fill="auto"/>
            <w:vAlign w:val="center"/>
          </w:tcPr>
          <w:p w14:paraId="5D7FF79E">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 w:val="0"/>
                <w:bCs/>
                <w:color w:val="000000" w:themeColor="text1"/>
                <w:sz w:val="21"/>
                <w:szCs w:val="21"/>
                <w:highlight w:val="none"/>
                <w:lang w:val="en-US" w:eastAsia="zh-CN"/>
                <w14:textFill>
                  <w14:solidFill>
                    <w14:schemeClr w14:val="tx1"/>
                  </w14:solidFill>
                </w14:textFill>
              </w:rPr>
              <w:t>水性</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底漆</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w:t>
            </w:r>
            <w:r>
              <w:rPr>
                <w:rFonts w:hint="eastAsia" w:eastAsia="宋体" w:cs="Times New Roman"/>
                <w:b w:val="0"/>
                <w:bCs/>
                <w:color w:val="000000" w:themeColor="text1"/>
                <w:sz w:val="21"/>
                <w:szCs w:val="21"/>
                <w:highlight w:val="none"/>
                <w:lang w:val="en-US" w:eastAsia="zh-CN"/>
                <w14:textFill>
                  <w14:solidFill>
                    <w14:schemeClr w14:val="tx1"/>
                  </w14:solidFill>
                </w14:textFill>
              </w:rPr>
              <w:t>水性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面漆</w:t>
            </w:r>
          </w:p>
        </w:tc>
        <w:tc>
          <w:tcPr>
            <w:tcW w:w="728" w:type="pct"/>
            <w:shd w:val="clear" w:color="auto" w:fill="auto"/>
            <w:vAlign w:val="center"/>
          </w:tcPr>
          <w:p w14:paraId="0F50D433">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水性丙烯酸聚合物</w:t>
            </w:r>
          </w:p>
          <w:p w14:paraId="27332B37">
            <w:pPr>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)n</w:t>
            </w:r>
          </w:p>
        </w:tc>
        <w:tc>
          <w:tcPr>
            <w:tcW w:w="2677" w:type="pct"/>
            <w:shd w:val="clear" w:color="auto" w:fill="auto"/>
            <w:vAlign w:val="center"/>
          </w:tcPr>
          <w:p w14:paraId="15AEAAF4">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丙烯酸及其系列多种单体，加入助剂聚合成为乳液。固体含量约45%，水分含量约49%，残留单体分子、助剂约6%。</w:t>
            </w:r>
          </w:p>
        </w:tc>
        <w:tc>
          <w:tcPr>
            <w:tcW w:w="388" w:type="pct"/>
            <w:shd w:val="clear" w:color="auto" w:fill="auto"/>
            <w:vAlign w:val="center"/>
          </w:tcPr>
          <w:p w14:paraId="413DBD1F">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4D43A0CA">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14:paraId="71F26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242" w:type="pct"/>
            <w:vMerge w:val="continue"/>
            <w:shd w:val="clear" w:color="auto" w:fill="auto"/>
            <w:vAlign w:val="center"/>
          </w:tcPr>
          <w:p w14:paraId="343C0231">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6D448E5A">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二丙二醇甲醚</w:t>
            </w:r>
          </w:p>
          <w:p w14:paraId="107CB27B">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7</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16</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2677" w:type="pct"/>
            <w:shd w:val="clear" w:color="auto" w:fill="auto"/>
            <w:vAlign w:val="center"/>
          </w:tcPr>
          <w:p w14:paraId="35083C39">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无色透明液体，醚味，低毒性，低粘度，熔点-83℃，沸点187.2℃，闪点82℃，与水和多种有机溶剂混溶，遇明火、高热可燃。</w:t>
            </w:r>
          </w:p>
        </w:tc>
        <w:tc>
          <w:tcPr>
            <w:tcW w:w="388" w:type="pct"/>
            <w:shd w:val="clear" w:color="auto" w:fill="auto"/>
            <w:vAlign w:val="center"/>
          </w:tcPr>
          <w:p w14:paraId="6E19E54D">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50AB0AC1">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LD50:5500 mg/kg(大鼠经口)</w:t>
            </w:r>
          </w:p>
        </w:tc>
      </w:tr>
      <w:tr w14:paraId="73463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242" w:type="pct"/>
            <w:vMerge w:val="continue"/>
            <w:shd w:val="clear" w:color="auto" w:fill="auto"/>
            <w:vAlign w:val="center"/>
          </w:tcPr>
          <w:p w14:paraId="278CDAF9">
            <w:pPr>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0DB786BC">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二丙二醇丁醚</w:t>
            </w:r>
          </w:p>
          <w:p w14:paraId="3B9C8C54">
            <w:pPr>
              <w:adjustRightInd w:val="0"/>
              <w:spacing w:line="240" w:lineRule="auto"/>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10</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22</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2677" w:type="pct"/>
            <w:shd w:val="clear" w:color="auto" w:fill="auto"/>
            <w:vAlign w:val="center"/>
          </w:tcPr>
          <w:p w14:paraId="698F1B97">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无色液体，溶于水。沸点222-232℃，密度0.913g/mLat25°C，闪点205°F，可用作涂料助剂。</w:t>
            </w:r>
          </w:p>
        </w:tc>
        <w:tc>
          <w:tcPr>
            <w:tcW w:w="388" w:type="pct"/>
            <w:shd w:val="clear" w:color="auto" w:fill="auto"/>
            <w:vAlign w:val="center"/>
          </w:tcPr>
          <w:p w14:paraId="02D59896">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64FD3D7C">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LD50:1620mg/kg(大鼠经口)</w:t>
            </w:r>
          </w:p>
        </w:tc>
      </w:tr>
      <w:tr w14:paraId="7CBA3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242" w:type="pct"/>
            <w:vMerge w:val="continue"/>
            <w:shd w:val="clear" w:color="auto" w:fill="auto"/>
            <w:vAlign w:val="center"/>
          </w:tcPr>
          <w:p w14:paraId="21C3A59D">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728" w:type="pct"/>
            <w:shd w:val="clear" w:color="auto" w:fill="auto"/>
            <w:vAlign w:val="center"/>
          </w:tcPr>
          <w:p w14:paraId="0AD8B2B2">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水性聚氨酯分散体</w:t>
            </w:r>
          </w:p>
          <w:p w14:paraId="10F06920">
            <w:pPr>
              <w:adjustRightInd w:val="0"/>
              <w:spacing w:line="240" w:lineRule="auto"/>
              <w:jc w:val="center"/>
              <w:textAlignment w:val="baseline"/>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PUDs</w:t>
            </w:r>
          </w:p>
        </w:tc>
        <w:tc>
          <w:tcPr>
            <w:tcW w:w="2677" w:type="pct"/>
            <w:shd w:val="clear" w:color="auto" w:fill="auto"/>
            <w:vAlign w:val="center"/>
          </w:tcPr>
          <w:p w14:paraId="62EE50DD">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不含有乳化剂的聚氨酯分散体，其粒径在0.001-0.1μm，外观半透明，粘附力强，能提高涂料配方性能。固体含量约50%，水分含量约48%，助剂含量约2%。</w:t>
            </w:r>
          </w:p>
        </w:tc>
        <w:tc>
          <w:tcPr>
            <w:tcW w:w="388" w:type="pct"/>
            <w:shd w:val="clear" w:color="auto" w:fill="auto"/>
            <w:vAlign w:val="center"/>
          </w:tcPr>
          <w:p w14:paraId="0B3C8131">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2BECAE5F">
            <w:pPr>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14:paraId="05648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242" w:type="pct"/>
            <w:vMerge w:val="continue"/>
            <w:shd w:val="clear" w:color="auto" w:fill="auto"/>
            <w:vAlign w:val="center"/>
          </w:tcPr>
          <w:p w14:paraId="390E7587">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728" w:type="pct"/>
            <w:shd w:val="clear" w:color="auto" w:fill="auto"/>
            <w:vAlign w:val="center"/>
          </w:tcPr>
          <w:p w14:paraId="59335923">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auto"/>
                <w:sz w:val="21"/>
                <w:szCs w:val="21"/>
                <w:highlight w:val="none"/>
                <w:lang w:val="en-US" w:eastAsia="zh-CN"/>
              </w:rPr>
              <w:t>甲苯</w:t>
            </w:r>
          </w:p>
        </w:tc>
        <w:tc>
          <w:tcPr>
            <w:tcW w:w="2677" w:type="pct"/>
            <w:shd w:val="clear" w:color="auto" w:fill="auto"/>
            <w:vAlign w:val="center"/>
          </w:tcPr>
          <w:p w14:paraId="59570100">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ascii="Times New Roman" w:hAnsi="Times New Roman" w:eastAsia="宋体" w:cs="Times New Roman"/>
                <w:i w:val="0"/>
                <w:iCs w:val="0"/>
                <w:caps w:val="0"/>
                <w:color w:val="333333"/>
                <w:spacing w:val="0"/>
                <w:sz w:val="21"/>
                <w:szCs w:val="21"/>
                <w:shd w:val="clear" w:fill="FFFFFF"/>
              </w:rPr>
              <w:t>无色澄清液体。有苯样气味。有强折光性。能与</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"https://baike.so.com/doc/3036121-3200992.html"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乙醇</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"https://baike.so.com/doc/1872265-1980372.html"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乙醚</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"https://baike.so.com/doc/7098038-7320983.html"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丙酮</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、氯仿、二硫化碳和冰乙酸混溶，极微溶于水。</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"https://baike.so.com/doc/2751462-2903816.html"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相对密度</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0.866。</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"https://baike.so.com/doc/6746556-6961102.html"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凝固点</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-95℃。</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"https://baike.so.com/doc/5567907-5783065.html"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沸点</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auto"/>
                <w:spacing w:val="0"/>
                <w:sz w:val="21"/>
                <w:szCs w:val="21"/>
                <w:shd w:val="clear" w:fill="FFFFFF"/>
              </w:rPr>
              <w:t>110.6℃。</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"https://baike.so.com/doc/6175804-6389045.html" \t "https://baike.so.com/doc/_blank"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44"/>
                <w:rFonts w:hint="default" w:ascii="Times New Roman" w:hAnsi="Times New Roman" w:eastAsia="宋体" w:cs="Times New Roman"/>
                <w:i w:val="0"/>
                <w:iCs w:val="0"/>
                <w:caps w:val="0"/>
                <w:color w:val="auto"/>
                <w:spacing w:val="0"/>
                <w:sz w:val="21"/>
                <w:szCs w:val="21"/>
                <w:u w:val="none"/>
                <w:shd w:val="clear" w:fill="FFFFFF"/>
              </w:rPr>
              <w:t>折光率</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default" w:ascii="Times New Roman" w:hAnsi="Times New Roman" w:eastAsia="宋体" w:cs="Times New Roman"/>
                <w:i w:val="0"/>
                <w:iCs w:val="0"/>
                <w:caps w:val="0"/>
                <w:color w:val="333333"/>
                <w:spacing w:val="0"/>
                <w:sz w:val="21"/>
                <w:szCs w:val="21"/>
                <w:shd w:val="clear" w:fill="FFFFFF"/>
              </w:rPr>
              <w:t>1.4967。闪点(闭杯) 4.4℃。</w:t>
            </w:r>
          </w:p>
        </w:tc>
        <w:tc>
          <w:tcPr>
            <w:tcW w:w="388" w:type="pct"/>
            <w:shd w:val="clear" w:color="auto" w:fill="auto"/>
            <w:vAlign w:val="center"/>
          </w:tcPr>
          <w:p w14:paraId="724DF772">
            <w:pPr>
              <w:spacing w:line="240" w:lineRule="auto"/>
              <w:jc w:val="cente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w:t>
            </w:r>
          </w:p>
        </w:tc>
        <w:tc>
          <w:tcPr>
            <w:tcW w:w="963" w:type="pct"/>
            <w:shd w:val="clear" w:color="auto" w:fill="auto"/>
            <w:vAlign w:val="center"/>
          </w:tcPr>
          <w:p w14:paraId="6CC87E38">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i w:val="0"/>
                <w:iCs w:val="0"/>
                <w:caps w:val="0"/>
                <w:color w:val="333333"/>
                <w:spacing w:val="0"/>
                <w:sz w:val="21"/>
                <w:szCs w:val="21"/>
                <w:shd w:val="clear" w:fill="FFFFFF"/>
                <w:lang w:eastAsia="zh-CN"/>
              </w:rPr>
              <w:t>L</w:t>
            </w:r>
            <w:r>
              <w:rPr>
                <w:rFonts w:hint="eastAsia" w:ascii="Times New Roman" w:hAnsi="Times New Roman" w:eastAsia="宋体" w:cs="Times New Roman"/>
                <w:i w:val="0"/>
                <w:iCs w:val="0"/>
                <w:caps w:val="0"/>
                <w:color w:val="333333"/>
                <w:spacing w:val="0"/>
                <w:sz w:val="21"/>
                <w:szCs w:val="21"/>
                <w:shd w:val="clear" w:fill="FFFFFF"/>
                <w:lang w:val="en-US" w:eastAsia="zh-CN"/>
              </w:rPr>
              <w:t>D50：</w:t>
            </w:r>
            <w:r>
              <w:rPr>
                <w:rFonts w:ascii="Times New Roman" w:hAnsi="Times New Roman" w:eastAsia="宋体" w:cs="Times New Roman"/>
                <w:i w:val="0"/>
                <w:iCs w:val="0"/>
                <w:caps w:val="0"/>
                <w:color w:val="333333"/>
                <w:spacing w:val="0"/>
                <w:sz w:val="21"/>
                <w:szCs w:val="21"/>
                <w:shd w:val="clear" w:fill="FFFFFF"/>
              </w:rPr>
              <w:t>5000mg/kg(大鼠经口)</w:t>
            </w:r>
          </w:p>
        </w:tc>
      </w:tr>
      <w:tr w14:paraId="07972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242" w:type="pct"/>
            <w:vMerge w:val="continue"/>
            <w:shd w:val="clear" w:color="auto" w:fill="auto"/>
            <w:vAlign w:val="center"/>
          </w:tcPr>
          <w:p w14:paraId="77A0A10E">
            <w:pPr>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p>
        </w:tc>
        <w:tc>
          <w:tcPr>
            <w:tcW w:w="728" w:type="pct"/>
            <w:shd w:val="clear" w:color="auto" w:fill="auto"/>
            <w:vAlign w:val="center"/>
          </w:tcPr>
          <w:p w14:paraId="39D0E025">
            <w:pPr>
              <w:adjustRightInd w:val="0"/>
              <w:spacing w:line="240" w:lineRule="auto"/>
              <w:jc w:val="center"/>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auto"/>
                <w:sz w:val="21"/>
                <w:szCs w:val="21"/>
                <w:highlight w:val="none"/>
                <w:lang w:val="en-US" w:eastAsia="zh-CN"/>
              </w:rPr>
              <w:t>二甲苯</w:t>
            </w:r>
          </w:p>
        </w:tc>
        <w:tc>
          <w:tcPr>
            <w:tcW w:w="2677" w:type="pct"/>
            <w:shd w:val="clear" w:color="auto" w:fill="auto"/>
            <w:vAlign w:val="center"/>
          </w:tcPr>
          <w:p w14:paraId="0DC51D2F">
            <w:pPr>
              <w:adjustRightInd w:val="0"/>
              <w:snapToGrid w:val="0"/>
              <w:spacing w:line="240" w:lineRule="auto"/>
              <w:jc w:val="center"/>
              <w:rPr>
                <w:rFonts w:hint="eastAsia" w:ascii="Times New Roman" w:hAnsi="Times New Roman" w:eastAsia="仿宋_GB2312"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aps w:val="0"/>
                <w:color w:val="333333"/>
                <w:spacing w:val="0"/>
                <w:sz w:val="21"/>
                <w:szCs w:val="21"/>
                <w:shd w:val="clear" w:fill="FFFFFF"/>
              </w:rPr>
              <w:t>无色透明液体。有芳香烃的特殊气味。能与无水乙醇、乙醚和其他许多有机溶剂混溶，几乎不溶于水。相对密度 约0.86。沸点137～140℃。闪点小于28℃</w:t>
            </w:r>
            <w:r>
              <w:rPr>
                <w:rFonts w:hint="default" w:eastAsia="宋体" w:cs="Times New Roman"/>
                <w:i w:val="0"/>
                <w:iCs w:val="0"/>
                <w:caps w:val="0"/>
                <w:color w:val="333333"/>
                <w:spacing w:val="0"/>
                <w:sz w:val="21"/>
                <w:szCs w:val="21"/>
                <w:shd w:val="clear" w:fill="FFFFFF"/>
                <w:lang w:eastAsia="zh-CN"/>
              </w:rPr>
              <w:t>。</w:t>
            </w:r>
          </w:p>
        </w:tc>
        <w:tc>
          <w:tcPr>
            <w:tcW w:w="388" w:type="pct"/>
            <w:shd w:val="clear" w:color="auto" w:fill="auto"/>
            <w:vAlign w:val="center"/>
          </w:tcPr>
          <w:p w14:paraId="683528B9">
            <w:pPr>
              <w:spacing w:line="240" w:lineRule="auto"/>
              <w:jc w:val="cente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eastAsia" w:eastAsia="宋体" w:cs="Times New Roman"/>
                <w:bCs/>
                <w:color w:val="000000" w:themeColor="text1"/>
                <w:sz w:val="21"/>
                <w:szCs w:val="21"/>
                <w:highlight w:val="none"/>
                <w:lang w:val="en-US" w:eastAsia="zh-CN"/>
                <w14:textFill>
                  <w14:solidFill>
                    <w14:schemeClr w14:val="tx1"/>
                  </w14:solidFill>
                </w14:textFill>
              </w:rPr>
              <w:t>/</w:t>
            </w:r>
          </w:p>
        </w:tc>
        <w:tc>
          <w:tcPr>
            <w:tcW w:w="963" w:type="pct"/>
            <w:shd w:val="clear" w:color="auto" w:fill="auto"/>
            <w:vAlign w:val="center"/>
          </w:tcPr>
          <w:p w14:paraId="65E06B76">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i w:val="0"/>
                <w:iCs w:val="0"/>
                <w:caps w:val="0"/>
                <w:color w:val="333333"/>
                <w:spacing w:val="0"/>
                <w:sz w:val="21"/>
                <w:szCs w:val="21"/>
                <w:shd w:val="clear" w:fill="FFFFFF"/>
                <w:lang w:eastAsia="zh-CN"/>
              </w:rPr>
              <w:t>L</w:t>
            </w:r>
            <w:r>
              <w:rPr>
                <w:rFonts w:hint="eastAsia" w:ascii="Times New Roman" w:hAnsi="Times New Roman" w:eastAsia="宋体" w:cs="Times New Roman"/>
                <w:i w:val="0"/>
                <w:iCs w:val="0"/>
                <w:caps w:val="0"/>
                <w:color w:val="333333"/>
                <w:spacing w:val="0"/>
                <w:sz w:val="21"/>
                <w:szCs w:val="21"/>
                <w:shd w:val="clear" w:fill="FFFFFF"/>
                <w:lang w:val="en-US" w:eastAsia="zh-CN"/>
              </w:rPr>
              <w:t>D50：4</w:t>
            </w:r>
            <w:r>
              <w:rPr>
                <w:rFonts w:ascii="Times New Roman" w:hAnsi="Times New Roman" w:eastAsia="宋体" w:cs="Times New Roman"/>
                <w:i w:val="0"/>
                <w:iCs w:val="0"/>
                <w:caps w:val="0"/>
                <w:color w:val="333333"/>
                <w:spacing w:val="0"/>
                <w:sz w:val="21"/>
                <w:szCs w:val="21"/>
                <w:shd w:val="clear" w:fill="FFFFFF"/>
              </w:rPr>
              <w:t>000mg/kg(大鼠经口)</w:t>
            </w:r>
          </w:p>
        </w:tc>
      </w:tr>
      <w:tr w14:paraId="7F615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242" w:type="pct"/>
            <w:vMerge w:val="restart"/>
            <w:shd w:val="clear" w:color="auto" w:fill="auto"/>
            <w:vAlign w:val="center"/>
          </w:tcPr>
          <w:p w14:paraId="602F11FE">
            <w:pPr>
              <w:adjustRightInd w:val="0"/>
              <w:snapToGrid w:val="0"/>
              <w:spacing w:line="240" w:lineRule="auto"/>
              <w:jc w:val="center"/>
              <w:rPr>
                <w:rFonts w:hint="default" w:ascii="Times New Roman" w:hAnsi="Times New Roman" w:eastAsia="宋体" w:cs="Times New Roman"/>
                <w:b w:val="0"/>
                <w:bCs/>
                <w:color w:val="000000" w:themeColor="text1"/>
                <w:spacing w:val="4"/>
                <w:kern w:val="0"/>
                <w:sz w:val="21"/>
                <w:szCs w:val="21"/>
                <w:highlight w:val="none"/>
                <w:lang w:val="zh-CN"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固化剂</w:t>
            </w:r>
          </w:p>
        </w:tc>
        <w:tc>
          <w:tcPr>
            <w:tcW w:w="728" w:type="pct"/>
            <w:shd w:val="clear" w:color="auto" w:fill="auto"/>
            <w:vAlign w:val="center"/>
          </w:tcPr>
          <w:p w14:paraId="61FEE1D0">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异氰酸酯均聚物</w:t>
            </w:r>
          </w:p>
          <w:p w14:paraId="3736A90A">
            <w:pPr>
              <w:adjustRightInd w:val="0"/>
              <w:snapToGrid w:val="0"/>
              <w:spacing w:line="24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4</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)n</w:t>
            </w:r>
          </w:p>
        </w:tc>
        <w:tc>
          <w:tcPr>
            <w:tcW w:w="2677" w:type="pct"/>
            <w:shd w:val="clear" w:color="auto" w:fill="auto"/>
            <w:vAlign w:val="center"/>
          </w:tcPr>
          <w:p w14:paraId="5E28D9B1">
            <w:pPr>
              <w:adjustRightInd w:val="0"/>
              <w:snapToGrid w:val="0"/>
              <w:spacing w:line="24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无色有强烈气味液体，密度1.13，闪点50℃，溶于酯类、酮类、芳烃类溶剂</w:t>
            </w:r>
          </w:p>
        </w:tc>
        <w:tc>
          <w:tcPr>
            <w:tcW w:w="388" w:type="pct"/>
            <w:shd w:val="clear" w:color="auto" w:fill="auto"/>
            <w:vAlign w:val="center"/>
          </w:tcPr>
          <w:p w14:paraId="001A15C5">
            <w:pPr>
              <w:shd w:val="clear" w:color="auto" w:fill="FFFFFF"/>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1D1EC3BD">
            <w:pPr>
              <w:shd w:val="clear" w:color="auto" w:fill="FFFFFF"/>
              <w:adjustRightInd w:val="0"/>
              <w:snapToGrid w:val="0"/>
              <w:spacing w:line="240" w:lineRule="auto"/>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无资料</w:t>
            </w:r>
          </w:p>
        </w:tc>
      </w:tr>
      <w:tr w14:paraId="48C30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242" w:type="pct"/>
            <w:vMerge w:val="continue"/>
            <w:shd w:val="clear" w:color="auto" w:fill="auto"/>
            <w:vAlign w:val="center"/>
          </w:tcPr>
          <w:p w14:paraId="5EE3CA8C">
            <w:pPr>
              <w:adjustRightInd w:val="0"/>
              <w:snapToGrid w:val="0"/>
              <w:spacing w:line="240" w:lineRule="auto"/>
              <w:jc w:val="center"/>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28" w:type="pct"/>
            <w:shd w:val="clear" w:color="auto" w:fill="auto"/>
            <w:vAlign w:val="center"/>
          </w:tcPr>
          <w:p w14:paraId="755AFE02">
            <w:pPr>
              <w:adjustRightInd w:val="0"/>
              <w:snapToGrid w:val="0"/>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丙二醇甲醚醋酸酯C</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6</w:t>
            </w:r>
            <w:r>
              <w:rPr>
                <w:rFonts w:hint="default" w:ascii="Times New Roman" w:hAnsi="Times New Roman" w:eastAsia="宋体" w:cs="Times New Roman"/>
                <w:bCs/>
                <w:color w:val="000000" w:themeColor="text1"/>
                <w:sz w:val="21"/>
                <w:szCs w:val="21"/>
                <w:highlight w:val="none"/>
                <w14:textFill>
                  <w14:solidFill>
                    <w14:schemeClr w14:val="tx1"/>
                  </w14:solidFill>
                </w14:textFill>
              </w:rPr>
              <w:t>H</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12</w:t>
            </w:r>
            <w:r>
              <w:rPr>
                <w:rFonts w:hint="default" w:ascii="Times New Roman" w:hAnsi="Times New Roman" w:eastAsia="宋体" w:cs="Times New Roman"/>
                <w:bCs/>
                <w:color w:val="000000" w:themeColor="text1"/>
                <w:sz w:val="21"/>
                <w:szCs w:val="21"/>
                <w:highlight w:val="none"/>
                <w14:textFill>
                  <w14:solidFill>
                    <w14:schemeClr w14:val="tx1"/>
                  </w14:solidFill>
                </w14:textFill>
              </w:rPr>
              <w:t>O</w:t>
            </w:r>
            <w:r>
              <w:rPr>
                <w:rFonts w:hint="default" w:ascii="Times New Roman" w:hAnsi="Times New Roman" w:eastAsia="宋体" w:cs="Times New Roman"/>
                <w:bCs/>
                <w:color w:val="000000" w:themeColor="text1"/>
                <w:sz w:val="21"/>
                <w:szCs w:val="21"/>
                <w:highlight w:val="none"/>
                <w:vertAlign w:val="subscript"/>
                <w14:textFill>
                  <w14:solidFill>
                    <w14:schemeClr w14:val="tx1"/>
                  </w14:solidFill>
                </w14:textFill>
              </w:rPr>
              <w:t>3</w:t>
            </w:r>
          </w:p>
        </w:tc>
        <w:tc>
          <w:tcPr>
            <w:tcW w:w="2677" w:type="pct"/>
            <w:shd w:val="clear" w:color="auto" w:fill="auto"/>
            <w:vAlign w:val="center"/>
          </w:tcPr>
          <w:p w14:paraId="07BB2550">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无色吸湿液体，有特殊气味，是一种高级溶剂，溶于水。相对密度0.96，熔点-87℃，沸点146℃，闪点42℃（开杯），高于42℃能与空气形成爆炸性混合物</w:t>
            </w:r>
          </w:p>
        </w:tc>
        <w:tc>
          <w:tcPr>
            <w:tcW w:w="388" w:type="pct"/>
            <w:shd w:val="clear" w:color="auto" w:fill="auto"/>
            <w:vAlign w:val="center"/>
          </w:tcPr>
          <w:p w14:paraId="6A148029">
            <w:pPr>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963" w:type="pct"/>
            <w:shd w:val="clear" w:color="auto" w:fill="auto"/>
            <w:vAlign w:val="center"/>
          </w:tcPr>
          <w:p w14:paraId="5068EF61">
            <w:pPr>
              <w:adjustRightInd w:val="0"/>
              <w:snapToGrid w:val="0"/>
              <w:spacing w:line="240" w:lineRule="auto"/>
              <w:jc w:val="center"/>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LD50：5620 mg/kg(大鼠经口)；</w:t>
            </w:r>
          </w:p>
          <w:p w14:paraId="7A80C5F7">
            <w:pPr>
              <w:pStyle w:val="5"/>
              <w:rPr>
                <w:rFonts w:hint="eastAsia"/>
                <w:lang w:eastAsia="zh-CN"/>
              </w:rPr>
            </w:pPr>
          </w:p>
          <w:p w14:paraId="080A1F93">
            <w:pPr>
              <w:adjustRightInd w:val="0"/>
              <w:snapToGrid w:val="0"/>
              <w:spacing w:line="240" w:lineRule="auto"/>
              <w:jc w:val="center"/>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LC50：5760mg/m</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highlight w:val="none"/>
                <w14:textFill>
                  <w14:solidFill>
                    <w14:schemeClr w14:val="tx1"/>
                  </w14:solidFill>
                </w14:textFill>
              </w:rPr>
              <w:t>，8小时(大鼠吸入)</w:t>
            </w:r>
          </w:p>
        </w:tc>
      </w:tr>
      <w:tr w14:paraId="3B830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42" w:type="pct"/>
            <w:vAlign w:val="center"/>
          </w:tcPr>
          <w:p w14:paraId="2DA66375">
            <w:pPr>
              <w:widowControl/>
              <w:jc w:val="center"/>
              <w:rPr>
                <w:rFonts w:hint="default" w:ascii="Times New Roman" w:hAnsi="Times New Roman" w:eastAsia="宋体" w:cs="Times New Roman"/>
                <w:b w:val="0"/>
                <w:bCs/>
                <w:snapToGrid w:val="0"/>
                <w:color w:val="000000" w:themeColor="text1"/>
                <w:kern w:val="0"/>
                <w:sz w:val="21"/>
                <w:szCs w:val="21"/>
                <w:highlight w:val="none"/>
                <w:lang w:val="zh-CN" w:eastAsia="zh-CN" w:bidi="ar-SA"/>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废活性炭</w:t>
            </w:r>
          </w:p>
        </w:tc>
        <w:tc>
          <w:tcPr>
            <w:tcW w:w="728" w:type="pct"/>
            <w:vAlign w:val="center"/>
          </w:tcPr>
          <w:p w14:paraId="48EFE83D">
            <w:pPr>
              <w:jc w:val="center"/>
              <w:rPr>
                <w:rFonts w:hint="default" w:ascii="Times New Roman" w:hAnsi="Times New Roman" w:eastAsia="宋体" w:cs="Times New Roman"/>
                <w:color w:val="000000" w:themeColor="text1"/>
                <w:spacing w:val="11"/>
                <w:sz w:val="21"/>
                <w:szCs w:val="21"/>
                <w:highlight w:val="none"/>
                <w:lang w:eastAsia="zh-CN"/>
                <w14:textFill>
                  <w14:solidFill>
                    <w14:schemeClr w14:val="tx1"/>
                  </w14:solidFill>
                </w14:textFill>
              </w:rPr>
            </w:pPr>
            <w:r>
              <w:rPr>
                <w:rFonts w:hint="eastAsia" w:eastAsia="宋体" w:cs="Times New Roman"/>
                <w:sz w:val="21"/>
                <w:szCs w:val="21"/>
                <w:highlight w:val="none"/>
                <w:lang w:val="en-US" w:eastAsia="zh-CN"/>
              </w:rPr>
              <w:t>有机物</w:t>
            </w:r>
          </w:p>
        </w:tc>
        <w:tc>
          <w:tcPr>
            <w:tcW w:w="2677" w:type="pct"/>
            <w:vAlign w:val="center"/>
          </w:tcPr>
          <w:p w14:paraId="6137FA4F">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388" w:type="pct"/>
            <w:vAlign w:val="center"/>
          </w:tcPr>
          <w:p w14:paraId="421BACB7">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963" w:type="pct"/>
            <w:vAlign w:val="center"/>
          </w:tcPr>
          <w:p w14:paraId="642B60E3">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14:paraId="35A07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7" w:hRule="atLeast"/>
          <w:jc w:val="center"/>
        </w:trPr>
        <w:tc>
          <w:tcPr>
            <w:tcW w:w="242" w:type="pct"/>
            <w:vAlign w:val="center"/>
          </w:tcPr>
          <w:p w14:paraId="4251FE03">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灰渣、漆渣、气浮渣</w:t>
            </w:r>
          </w:p>
        </w:tc>
        <w:tc>
          <w:tcPr>
            <w:tcW w:w="728" w:type="pct"/>
            <w:vAlign w:val="center"/>
          </w:tcPr>
          <w:p w14:paraId="79B9452D">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树脂</w:t>
            </w:r>
          </w:p>
        </w:tc>
        <w:tc>
          <w:tcPr>
            <w:tcW w:w="2677" w:type="pct"/>
            <w:vAlign w:val="center"/>
          </w:tcPr>
          <w:p w14:paraId="25BD8516">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388" w:type="pct"/>
            <w:vAlign w:val="center"/>
          </w:tcPr>
          <w:p w14:paraId="13A01EFB">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963" w:type="pct"/>
            <w:vAlign w:val="center"/>
          </w:tcPr>
          <w:p w14:paraId="11D86123">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14:paraId="4EE55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242" w:type="pct"/>
            <w:vAlign w:val="center"/>
          </w:tcPr>
          <w:p w14:paraId="0BB2AE4B">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废包装桶</w:t>
            </w:r>
          </w:p>
        </w:tc>
        <w:tc>
          <w:tcPr>
            <w:tcW w:w="728" w:type="pct"/>
            <w:vAlign w:val="center"/>
          </w:tcPr>
          <w:p w14:paraId="49C40D10">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有机物</w:t>
            </w:r>
          </w:p>
        </w:tc>
        <w:tc>
          <w:tcPr>
            <w:tcW w:w="2677" w:type="pct"/>
            <w:vAlign w:val="center"/>
          </w:tcPr>
          <w:p w14:paraId="215A9521">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388" w:type="pct"/>
            <w:vAlign w:val="center"/>
          </w:tcPr>
          <w:p w14:paraId="488C544C">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963" w:type="pct"/>
            <w:vAlign w:val="center"/>
          </w:tcPr>
          <w:p w14:paraId="26D06928">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14:paraId="3C365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42" w:type="pct"/>
            <w:vAlign w:val="center"/>
          </w:tcPr>
          <w:p w14:paraId="7323140F">
            <w:pPr>
              <w:widowControl/>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含油废水</w:t>
            </w:r>
          </w:p>
        </w:tc>
        <w:tc>
          <w:tcPr>
            <w:tcW w:w="728" w:type="pct"/>
            <w:vAlign w:val="center"/>
          </w:tcPr>
          <w:p w14:paraId="2615E9BE">
            <w:pPr>
              <w:jc w:val="center"/>
              <w:rPr>
                <w:rFonts w:hint="eastAsia"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油水混合物</w:t>
            </w:r>
          </w:p>
        </w:tc>
        <w:tc>
          <w:tcPr>
            <w:tcW w:w="2677" w:type="pct"/>
            <w:vAlign w:val="center"/>
          </w:tcPr>
          <w:p w14:paraId="2F444C5F">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eastAsia"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388" w:type="pct"/>
            <w:vAlign w:val="center"/>
          </w:tcPr>
          <w:p w14:paraId="136F8795">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963" w:type="pct"/>
            <w:vAlign w:val="center"/>
          </w:tcPr>
          <w:p w14:paraId="058D6770">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r w14:paraId="6219A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242" w:type="pct"/>
            <w:vAlign w:val="center"/>
          </w:tcPr>
          <w:p w14:paraId="5C4073D3">
            <w:pPr>
              <w:widowControl/>
              <w:jc w:val="center"/>
              <w:rPr>
                <w:rFonts w:hint="default" w:ascii="Times New Roman" w:hAnsi="Times New Roman" w:eastAsia="宋体" w:cs="Times New Roman"/>
                <w:b w:val="0"/>
                <w:bCs/>
                <w:color w:val="000000" w:themeColor="text1"/>
                <w:kern w:val="2"/>
                <w:sz w:val="21"/>
                <w:szCs w:val="21"/>
                <w:highlight w:val="none"/>
                <w:lang w:val="zh-CN" w:eastAsia="zh-CN" w:bidi="ar-SA"/>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废劳保用品</w:t>
            </w:r>
          </w:p>
        </w:tc>
        <w:tc>
          <w:tcPr>
            <w:tcW w:w="728" w:type="pct"/>
            <w:vAlign w:val="center"/>
          </w:tcPr>
          <w:p w14:paraId="09DFA800">
            <w:pPr>
              <w:jc w:val="center"/>
              <w:rPr>
                <w:rFonts w:hint="eastAsia" w:ascii="Times New Roman" w:hAnsi="Times New Roman" w:eastAsia="宋体" w:cs="Times New Roman"/>
                <w:color w:val="000000" w:themeColor="text1"/>
                <w:spacing w:val="11"/>
                <w:sz w:val="21"/>
                <w:szCs w:val="21"/>
                <w:highlight w:val="none"/>
                <w:lang w:eastAsia="zh-CN"/>
                <w14:textFill>
                  <w14:solidFill>
                    <w14:schemeClr w14:val="tx1"/>
                  </w14:solidFill>
                </w14:textFill>
              </w:rPr>
            </w:pPr>
            <w:r>
              <w:rPr>
                <w:rFonts w:hint="eastAsia" w:eastAsia="宋体" w:cs="Times New Roman"/>
                <w:sz w:val="21"/>
                <w:szCs w:val="21"/>
                <w:highlight w:val="none"/>
                <w:lang w:val="en-US" w:eastAsia="zh-CN"/>
              </w:rPr>
              <w:t>有机溶剂</w:t>
            </w:r>
          </w:p>
        </w:tc>
        <w:tc>
          <w:tcPr>
            <w:tcW w:w="2677" w:type="pct"/>
            <w:vAlign w:val="center"/>
          </w:tcPr>
          <w:p w14:paraId="111B7076">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p>
        </w:tc>
        <w:tc>
          <w:tcPr>
            <w:tcW w:w="388" w:type="pct"/>
            <w:vAlign w:val="center"/>
          </w:tcPr>
          <w:p w14:paraId="723A511D">
            <w:pPr>
              <w:pStyle w:val="142"/>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可燃</w:t>
            </w:r>
          </w:p>
        </w:tc>
        <w:tc>
          <w:tcPr>
            <w:tcW w:w="963" w:type="pct"/>
            <w:vAlign w:val="center"/>
          </w:tcPr>
          <w:p w14:paraId="18BB90F8">
            <w:pPr>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有毒</w:t>
            </w:r>
          </w:p>
        </w:tc>
      </w:tr>
    </w:tbl>
    <w:p w14:paraId="5935FE2D">
      <w:pPr>
        <w:pStyle w:val="3"/>
        <w:adjustRightInd w:val="0"/>
        <w:snapToGrid w:val="0"/>
        <w:spacing w:line="480" w:lineRule="exact"/>
        <w:rPr>
          <w:rFonts w:eastAsia="宋体"/>
          <w:sz w:val="24"/>
          <w:szCs w:val="24"/>
        </w:rPr>
      </w:pPr>
      <w:r>
        <w:rPr>
          <w:rFonts w:eastAsia="宋体"/>
          <w:sz w:val="24"/>
          <w:szCs w:val="24"/>
        </w:rPr>
        <w:t>3.4</w:t>
      </w:r>
      <w:r>
        <w:rPr>
          <w:rFonts w:hint="eastAsia" w:eastAsia="宋体"/>
          <w:sz w:val="24"/>
          <w:szCs w:val="24"/>
        </w:rPr>
        <w:t>环境</w:t>
      </w:r>
      <w:bookmarkEnd w:id="98"/>
      <w:r>
        <w:rPr>
          <w:rFonts w:hint="eastAsia" w:eastAsia="宋体"/>
          <w:sz w:val="24"/>
          <w:szCs w:val="24"/>
        </w:rPr>
        <w:t>风险单元识别</w:t>
      </w:r>
      <w:bookmarkEnd w:id="100"/>
      <w:bookmarkEnd w:id="101"/>
    </w:p>
    <w:p w14:paraId="25A146EA">
      <w:pPr>
        <w:pStyle w:val="13"/>
        <w:spacing w:after="0" w:line="500" w:lineRule="exact"/>
        <w:ind w:firstLine="480" w:firstLineChars="200"/>
        <w:rPr>
          <w:rFonts w:eastAsia="宋体"/>
        </w:rPr>
      </w:pPr>
      <w:r>
        <w:rPr>
          <w:rFonts w:eastAsia="宋体"/>
        </w:rPr>
        <w:t>环境风险单元指长期或短期生产、加工、使用或储存环境风险物质的一个（套）生产装置、设施（贮存容器、管道等）及环保处理设施或同属一个企业且边缘距离小于500米的几个（套）生产装置、设施或场所。</w:t>
      </w:r>
    </w:p>
    <w:p w14:paraId="2F5F0F36">
      <w:pPr>
        <w:pStyle w:val="13"/>
        <w:spacing w:after="0" w:line="500" w:lineRule="exact"/>
        <w:ind w:firstLine="480" w:firstLineChars="200"/>
        <w:rPr>
          <w:rFonts w:eastAsia="宋体"/>
        </w:rPr>
      </w:pPr>
      <w:r>
        <w:rPr>
          <w:rFonts w:eastAsia="宋体"/>
        </w:rPr>
        <w:t>公司环境风险单元有</w:t>
      </w:r>
      <w:r>
        <w:rPr>
          <w:rFonts w:hint="eastAsia" w:eastAsia="宋体"/>
        </w:rPr>
        <w:t>油漆仓库</w:t>
      </w:r>
      <w:r>
        <w:rPr>
          <w:rFonts w:eastAsia="宋体"/>
        </w:rPr>
        <w:t>、</w:t>
      </w:r>
      <w:r>
        <w:rPr>
          <w:rFonts w:hint="eastAsia" w:eastAsia="宋体"/>
        </w:rPr>
        <w:t>生产车间、</w:t>
      </w:r>
      <w:r>
        <w:rPr>
          <w:rFonts w:eastAsia="宋体"/>
        </w:rPr>
        <w:t>危废仓库</w:t>
      </w:r>
      <w:r>
        <w:rPr>
          <w:rFonts w:hint="eastAsia" w:eastAsia="宋体"/>
        </w:rPr>
        <w:t>等</w:t>
      </w:r>
      <w:r>
        <w:rPr>
          <w:rFonts w:eastAsia="宋体"/>
        </w:rPr>
        <w:t>，根据环保部《企业突发环境事件风险分级方法》（HJ941-2018），重要环境风险单元识别见表3-</w:t>
      </w:r>
      <w:r>
        <w:rPr>
          <w:rFonts w:hint="eastAsia" w:eastAsia="宋体"/>
        </w:rPr>
        <w:t>9</w:t>
      </w:r>
      <w:r>
        <w:rPr>
          <w:rFonts w:eastAsia="宋体"/>
        </w:rPr>
        <w:t>。</w:t>
      </w:r>
    </w:p>
    <w:p w14:paraId="78941BED">
      <w:pPr>
        <w:snapToGrid w:val="0"/>
        <w:spacing w:line="500" w:lineRule="exact"/>
        <w:jc w:val="center"/>
        <w:rPr>
          <w:rFonts w:hint="eastAsia"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9重要环境风险单元识别表</w:t>
      </w:r>
    </w:p>
    <w:tbl>
      <w:tblPr>
        <w:tblStyle w:val="38"/>
        <w:tblpPr w:leftFromText="180" w:rightFromText="180" w:vertAnchor="text" w:horzAnchor="page" w:tblpX="1609" w:tblpY="547"/>
        <w:tblOverlap w:val="never"/>
        <w:tblW w:w="525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73"/>
        <w:gridCol w:w="1690"/>
        <w:gridCol w:w="1721"/>
        <w:gridCol w:w="1372"/>
        <w:gridCol w:w="1940"/>
        <w:gridCol w:w="1264"/>
      </w:tblGrid>
      <w:tr w14:paraId="63A46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790" w:type="pct"/>
            <w:tcBorders>
              <w:tl2br w:val="nil"/>
              <w:tr2bl w:val="nil"/>
            </w:tcBorders>
            <w:vAlign w:val="center"/>
          </w:tcPr>
          <w:p w14:paraId="27780F8B">
            <w:pPr>
              <w:jc w:val="center"/>
              <w:rPr>
                <w:rFonts w:eastAsia="宋体"/>
                <w:b/>
                <w:sz w:val="21"/>
                <w:szCs w:val="21"/>
              </w:rPr>
            </w:pPr>
            <w:r>
              <w:rPr>
                <w:rFonts w:eastAsia="宋体"/>
                <w:b/>
                <w:sz w:val="21"/>
                <w:szCs w:val="21"/>
              </w:rPr>
              <w:t>环境风险单元</w:t>
            </w:r>
          </w:p>
        </w:tc>
        <w:tc>
          <w:tcPr>
            <w:tcW w:w="798" w:type="pct"/>
            <w:tcBorders>
              <w:tl2br w:val="nil"/>
              <w:tr2bl w:val="nil"/>
            </w:tcBorders>
            <w:vAlign w:val="center"/>
          </w:tcPr>
          <w:p w14:paraId="19B0C2AB">
            <w:pPr>
              <w:jc w:val="center"/>
              <w:rPr>
                <w:rFonts w:eastAsia="宋体"/>
                <w:b/>
                <w:sz w:val="21"/>
                <w:szCs w:val="21"/>
              </w:rPr>
            </w:pPr>
            <w:r>
              <w:rPr>
                <w:rFonts w:eastAsia="宋体"/>
                <w:b/>
                <w:sz w:val="21"/>
                <w:szCs w:val="21"/>
              </w:rPr>
              <w:t>风险物质名称</w:t>
            </w:r>
          </w:p>
        </w:tc>
        <w:tc>
          <w:tcPr>
            <w:tcW w:w="813" w:type="pct"/>
            <w:tcBorders>
              <w:tl2br w:val="nil"/>
              <w:tr2bl w:val="nil"/>
            </w:tcBorders>
            <w:vAlign w:val="center"/>
          </w:tcPr>
          <w:p w14:paraId="34FBFB2D">
            <w:pPr>
              <w:jc w:val="center"/>
              <w:rPr>
                <w:rFonts w:eastAsia="宋体"/>
                <w:b/>
                <w:sz w:val="21"/>
                <w:szCs w:val="21"/>
              </w:rPr>
            </w:pPr>
            <w:r>
              <w:rPr>
                <w:rFonts w:eastAsia="宋体"/>
                <w:b/>
                <w:sz w:val="21"/>
                <w:szCs w:val="21"/>
              </w:rPr>
              <w:t>最大存在总量qi（t）</w:t>
            </w:r>
          </w:p>
        </w:tc>
        <w:tc>
          <w:tcPr>
            <w:tcW w:w="648" w:type="pct"/>
            <w:tcBorders>
              <w:tl2br w:val="nil"/>
              <w:tr2bl w:val="nil"/>
            </w:tcBorders>
            <w:vAlign w:val="center"/>
          </w:tcPr>
          <w:p w14:paraId="29F63A7B">
            <w:pPr>
              <w:jc w:val="center"/>
              <w:rPr>
                <w:rFonts w:eastAsia="宋体"/>
                <w:b/>
                <w:sz w:val="21"/>
                <w:szCs w:val="21"/>
              </w:rPr>
            </w:pPr>
            <w:r>
              <w:rPr>
                <w:rFonts w:eastAsia="宋体"/>
                <w:b/>
                <w:sz w:val="21"/>
                <w:szCs w:val="21"/>
              </w:rPr>
              <w:t>临界量Qi（t）</w:t>
            </w:r>
          </w:p>
        </w:tc>
        <w:tc>
          <w:tcPr>
            <w:tcW w:w="914" w:type="pct"/>
            <w:tcBorders>
              <w:tl2br w:val="nil"/>
              <w:tr2bl w:val="nil"/>
            </w:tcBorders>
            <w:vAlign w:val="center"/>
          </w:tcPr>
          <w:p w14:paraId="4E8BA98B">
            <w:pPr>
              <w:jc w:val="center"/>
              <w:rPr>
                <w:rFonts w:eastAsia="宋体"/>
                <w:b/>
                <w:sz w:val="21"/>
                <w:szCs w:val="21"/>
              </w:rPr>
            </w:pPr>
            <w:r>
              <w:rPr>
                <w:rFonts w:eastAsia="宋体"/>
                <w:b/>
                <w:sz w:val="21"/>
                <w:szCs w:val="21"/>
                <w:highlight w:val="none"/>
              </w:rPr>
              <w:t>风险物质类别</w:t>
            </w:r>
          </w:p>
        </w:tc>
        <w:tc>
          <w:tcPr>
            <w:tcW w:w="597" w:type="pct"/>
            <w:tcBorders>
              <w:tl2br w:val="nil"/>
              <w:tr2bl w:val="nil"/>
            </w:tcBorders>
            <w:vAlign w:val="center"/>
          </w:tcPr>
          <w:p w14:paraId="5D008140">
            <w:pPr>
              <w:jc w:val="center"/>
              <w:rPr>
                <w:rFonts w:eastAsia="宋体"/>
                <w:b/>
                <w:sz w:val="21"/>
                <w:szCs w:val="21"/>
              </w:rPr>
            </w:pPr>
            <w:r>
              <w:rPr>
                <w:rFonts w:eastAsia="宋体"/>
                <w:b/>
                <w:sz w:val="21"/>
                <w:szCs w:val="21"/>
              </w:rPr>
              <w:t>qi/Qi</w:t>
            </w:r>
          </w:p>
        </w:tc>
      </w:tr>
      <w:tr w14:paraId="0F767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790" w:type="pct"/>
            <w:vMerge w:val="restart"/>
            <w:tcBorders>
              <w:tl2br w:val="nil"/>
              <w:tr2bl w:val="nil"/>
            </w:tcBorders>
            <w:vAlign w:val="center"/>
          </w:tcPr>
          <w:p w14:paraId="7A7935F8">
            <w:pPr>
              <w:jc w:val="center"/>
              <w:rPr>
                <w:rFonts w:eastAsia="宋体"/>
                <w:sz w:val="21"/>
                <w:szCs w:val="21"/>
              </w:rPr>
            </w:pPr>
            <w:r>
              <w:rPr>
                <w:rFonts w:hint="eastAsia" w:eastAsia="宋体"/>
                <w:sz w:val="21"/>
                <w:szCs w:val="21"/>
                <w:lang w:val="en-US" w:eastAsia="zh-CN"/>
              </w:rPr>
              <w:t>涂料</w:t>
            </w:r>
            <w:r>
              <w:rPr>
                <w:rFonts w:eastAsia="宋体"/>
                <w:sz w:val="21"/>
                <w:szCs w:val="21"/>
              </w:rPr>
              <w:t>仓库</w:t>
            </w:r>
          </w:p>
        </w:tc>
        <w:tc>
          <w:tcPr>
            <w:tcW w:w="798" w:type="pct"/>
            <w:tcBorders>
              <w:tl2br w:val="nil"/>
              <w:tr2bl w:val="nil"/>
            </w:tcBorders>
            <w:vAlign w:val="center"/>
          </w:tcPr>
          <w:p w14:paraId="23EF9DF6">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813" w:type="pct"/>
            <w:tcBorders>
              <w:tl2br w:val="nil"/>
              <w:tr2bl w:val="nil"/>
            </w:tcBorders>
            <w:vAlign w:val="center"/>
          </w:tcPr>
          <w:p w14:paraId="1770D6F6">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1BC96D01">
            <w:pPr>
              <w:jc w:val="center"/>
              <w:rPr>
                <w:rFonts w:eastAsia="宋体"/>
                <w:sz w:val="21"/>
                <w:szCs w:val="21"/>
              </w:rPr>
            </w:pPr>
            <w:r>
              <w:rPr>
                <w:rFonts w:eastAsia="宋体"/>
                <w:sz w:val="21"/>
                <w:szCs w:val="21"/>
              </w:rPr>
              <w:t>10</w:t>
            </w:r>
          </w:p>
        </w:tc>
        <w:tc>
          <w:tcPr>
            <w:tcW w:w="914" w:type="pct"/>
            <w:tcBorders>
              <w:tl2br w:val="nil"/>
              <w:tr2bl w:val="nil"/>
            </w:tcBorders>
            <w:vAlign w:val="center"/>
          </w:tcPr>
          <w:p w14:paraId="6E4631F0">
            <w:pPr>
              <w:jc w:val="center"/>
              <w:rPr>
                <w:rFonts w:eastAsia="宋体"/>
                <w:sz w:val="21"/>
                <w:szCs w:val="21"/>
              </w:rPr>
            </w:pPr>
            <w:r>
              <w:rPr>
                <w:rFonts w:eastAsia="宋体"/>
                <w:sz w:val="21"/>
                <w:szCs w:val="21"/>
              </w:rPr>
              <w:t>三（有毒液态物质）</w:t>
            </w:r>
          </w:p>
        </w:tc>
        <w:tc>
          <w:tcPr>
            <w:tcW w:w="597" w:type="pct"/>
            <w:tcBorders>
              <w:tl2br w:val="nil"/>
              <w:tr2bl w:val="nil"/>
            </w:tcBorders>
            <w:vAlign w:val="center"/>
          </w:tcPr>
          <w:p w14:paraId="78F01A82">
            <w:pPr>
              <w:jc w:val="center"/>
              <w:rPr>
                <w:rFonts w:hint="default" w:eastAsia="宋体"/>
                <w:sz w:val="21"/>
                <w:szCs w:val="21"/>
                <w:lang w:val="en-US" w:eastAsia="zh-CN"/>
              </w:rPr>
            </w:pPr>
            <w:r>
              <w:rPr>
                <w:rFonts w:hint="eastAsia" w:eastAsia="宋体"/>
                <w:sz w:val="21"/>
                <w:szCs w:val="21"/>
                <w:lang w:val="en-US" w:eastAsia="zh-CN"/>
              </w:rPr>
              <w:t>0.006</w:t>
            </w:r>
          </w:p>
        </w:tc>
      </w:tr>
      <w:tr w14:paraId="497E2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790" w:type="pct"/>
            <w:vMerge w:val="continue"/>
            <w:tcBorders>
              <w:tl2br w:val="nil"/>
              <w:tr2bl w:val="nil"/>
            </w:tcBorders>
            <w:vAlign w:val="center"/>
          </w:tcPr>
          <w:p w14:paraId="32BAAD9A">
            <w:pPr>
              <w:jc w:val="center"/>
              <w:rPr>
                <w:rFonts w:eastAsia="宋体"/>
                <w:sz w:val="21"/>
                <w:szCs w:val="21"/>
              </w:rPr>
            </w:pPr>
          </w:p>
        </w:tc>
        <w:tc>
          <w:tcPr>
            <w:tcW w:w="798" w:type="pct"/>
            <w:tcBorders>
              <w:tl2br w:val="nil"/>
              <w:tr2bl w:val="nil"/>
            </w:tcBorders>
            <w:vAlign w:val="center"/>
          </w:tcPr>
          <w:p w14:paraId="5216A500">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813" w:type="pct"/>
            <w:tcBorders>
              <w:tl2br w:val="nil"/>
              <w:tr2bl w:val="nil"/>
            </w:tcBorders>
            <w:vAlign w:val="center"/>
          </w:tcPr>
          <w:p w14:paraId="39A430A7">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45A1CF9C">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rPr>
              <w:t>00</w:t>
            </w:r>
          </w:p>
        </w:tc>
        <w:tc>
          <w:tcPr>
            <w:tcW w:w="914" w:type="pct"/>
            <w:tcBorders>
              <w:tl2br w:val="nil"/>
              <w:tr2bl w:val="nil"/>
            </w:tcBorders>
            <w:vAlign w:val="center"/>
          </w:tcPr>
          <w:p w14:paraId="2B099371">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5F9B89C8">
            <w:pPr>
              <w:jc w:val="center"/>
              <w:rPr>
                <w:rFonts w:hint="default" w:eastAsia="宋体"/>
                <w:sz w:val="21"/>
                <w:szCs w:val="21"/>
                <w:lang w:val="en-US" w:eastAsia="zh-CN"/>
              </w:rPr>
            </w:pPr>
            <w:r>
              <w:rPr>
                <w:rFonts w:hint="eastAsia" w:eastAsia="宋体"/>
                <w:sz w:val="21"/>
                <w:szCs w:val="21"/>
                <w:lang w:val="en-US" w:eastAsia="zh-CN"/>
              </w:rPr>
              <w:t>0.0005</w:t>
            </w:r>
          </w:p>
        </w:tc>
      </w:tr>
      <w:tr w14:paraId="14523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790" w:type="pct"/>
            <w:vMerge w:val="continue"/>
            <w:tcBorders>
              <w:tl2br w:val="nil"/>
              <w:tr2bl w:val="nil"/>
            </w:tcBorders>
            <w:vAlign w:val="center"/>
          </w:tcPr>
          <w:p w14:paraId="209A64EA">
            <w:pPr>
              <w:jc w:val="center"/>
              <w:rPr>
                <w:rFonts w:eastAsia="宋体"/>
                <w:sz w:val="21"/>
                <w:szCs w:val="21"/>
              </w:rPr>
            </w:pPr>
          </w:p>
        </w:tc>
        <w:tc>
          <w:tcPr>
            <w:tcW w:w="798" w:type="pct"/>
            <w:tcBorders>
              <w:tl2br w:val="nil"/>
              <w:tr2bl w:val="nil"/>
            </w:tcBorders>
            <w:vAlign w:val="center"/>
          </w:tcPr>
          <w:p w14:paraId="75FDAE9C">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813" w:type="pct"/>
            <w:tcBorders>
              <w:tl2br w:val="nil"/>
              <w:tr2bl w:val="nil"/>
            </w:tcBorders>
            <w:vAlign w:val="center"/>
          </w:tcPr>
          <w:p w14:paraId="38876C6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04D90700">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914" w:type="pct"/>
            <w:tcBorders>
              <w:tl2br w:val="nil"/>
              <w:tr2bl w:val="nil"/>
            </w:tcBorders>
            <w:vAlign w:val="center"/>
          </w:tcPr>
          <w:p w14:paraId="5AE2E07D">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1FBFC976">
            <w:pPr>
              <w:jc w:val="center"/>
              <w:rPr>
                <w:rFonts w:hint="default" w:eastAsia="宋体"/>
                <w:sz w:val="21"/>
                <w:szCs w:val="21"/>
                <w:lang w:val="en-US" w:eastAsia="zh-CN"/>
              </w:rPr>
            </w:pPr>
            <w:r>
              <w:rPr>
                <w:rFonts w:hint="eastAsia" w:eastAsia="宋体"/>
                <w:sz w:val="21"/>
                <w:szCs w:val="21"/>
                <w:lang w:val="en-US" w:eastAsia="zh-CN"/>
              </w:rPr>
              <w:t>0.017</w:t>
            </w:r>
          </w:p>
        </w:tc>
      </w:tr>
      <w:tr w14:paraId="146C3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90" w:type="pct"/>
            <w:vMerge w:val="continue"/>
            <w:tcBorders>
              <w:tl2br w:val="nil"/>
              <w:tr2bl w:val="nil"/>
            </w:tcBorders>
            <w:vAlign w:val="center"/>
          </w:tcPr>
          <w:p w14:paraId="794C2B99">
            <w:pPr>
              <w:jc w:val="center"/>
              <w:rPr>
                <w:rFonts w:eastAsia="宋体"/>
                <w:sz w:val="21"/>
                <w:szCs w:val="21"/>
              </w:rPr>
            </w:pPr>
          </w:p>
        </w:tc>
        <w:tc>
          <w:tcPr>
            <w:tcW w:w="798" w:type="pct"/>
            <w:tcBorders>
              <w:tl2br w:val="nil"/>
              <w:tr2bl w:val="nil"/>
            </w:tcBorders>
            <w:vAlign w:val="center"/>
          </w:tcPr>
          <w:p w14:paraId="653FB5E0">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813" w:type="pct"/>
            <w:tcBorders>
              <w:tl2br w:val="nil"/>
              <w:tr2bl w:val="nil"/>
            </w:tcBorders>
            <w:vAlign w:val="center"/>
          </w:tcPr>
          <w:p w14:paraId="345B85D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4D2FAE9C">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914" w:type="pct"/>
            <w:tcBorders>
              <w:tl2br w:val="nil"/>
              <w:tr2bl w:val="nil"/>
            </w:tcBorders>
            <w:vAlign w:val="center"/>
          </w:tcPr>
          <w:p w14:paraId="676180FB">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2B7D0E53">
            <w:pPr>
              <w:jc w:val="center"/>
              <w:rPr>
                <w:rFonts w:hint="default" w:eastAsia="宋体"/>
                <w:sz w:val="21"/>
                <w:szCs w:val="21"/>
                <w:lang w:val="en-US" w:eastAsia="zh-CN"/>
              </w:rPr>
            </w:pPr>
            <w:r>
              <w:rPr>
                <w:rFonts w:hint="eastAsia" w:eastAsia="宋体"/>
                <w:sz w:val="21"/>
                <w:szCs w:val="21"/>
                <w:lang w:val="en-US" w:eastAsia="zh-CN"/>
              </w:rPr>
              <w:t>0.013</w:t>
            </w:r>
          </w:p>
        </w:tc>
      </w:tr>
      <w:tr w14:paraId="6F00B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790" w:type="pct"/>
            <w:vMerge w:val="continue"/>
            <w:tcBorders>
              <w:tl2br w:val="nil"/>
              <w:tr2bl w:val="nil"/>
            </w:tcBorders>
            <w:vAlign w:val="center"/>
          </w:tcPr>
          <w:p w14:paraId="08EAED28">
            <w:pPr>
              <w:jc w:val="center"/>
              <w:rPr>
                <w:rFonts w:eastAsia="宋体"/>
                <w:sz w:val="21"/>
                <w:szCs w:val="21"/>
              </w:rPr>
            </w:pPr>
          </w:p>
        </w:tc>
        <w:tc>
          <w:tcPr>
            <w:tcW w:w="798" w:type="pct"/>
            <w:tcBorders>
              <w:tl2br w:val="nil"/>
              <w:tr2bl w:val="nil"/>
            </w:tcBorders>
            <w:vAlign w:val="center"/>
          </w:tcPr>
          <w:p w14:paraId="64271780">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813" w:type="pct"/>
            <w:tcBorders>
              <w:tl2br w:val="nil"/>
              <w:tr2bl w:val="nil"/>
            </w:tcBorders>
            <w:vAlign w:val="center"/>
          </w:tcPr>
          <w:p w14:paraId="7290D5D2">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0CAF6CD4">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914" w:type="pct"/>
            <w:tcBorders>
              <w:tl2br w:val="nil"/>
              <w:tr2bl w:val="nil"/>
            </w:tcBorders>
            <w:vAlign w:val="center"/>
          </w:tcPr>
          <w:p w14:paraId="4E3BB5D7">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199B874B">
            <w:pPr>
              <w:jc w:val="center"/>
              <w:rPr>
                <w:rFonts w:hint="default" w:eastAsia="宋体"/>
                <w:sz w:val="21"/>
                <w:szCs w:val="21"/>
                <w:lang w:val="en-US" w:eastAsia="zh-CN"/>
              </w:rPr>
            </w:pPr>
            <w:r>
              <w:rPr>
                <w:rFonts w:hint="eastAsia" w:eastAsia="宋体"/>
                <w:sz w:val="21"/>
                <w:szCs w:val="21"/>
                <w:lang w:val="en-US" w:eastAsia="zh-CN"/>
              </w:rPr>
              <w:t>0.001</w:t>
            </w:r>
          </w:p>
        </w:tc>
      </w:tr>
      <w:tr w14:paraId="1771C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790" w:type="pct"/>
            <w:vMerge w:val="continue"/>
            <w:tcBorders>
              <w:tl2br w:val="nil"/>
              <w:tr2bl w:val="nil"/>
            </w:tcBorders>
            <w:vAlign w:val="center"/>
          </w:tcPr>
          <w:p w14:paraId="6D0440D4">
            <w:pPr>
              <w:jc w:val="center"/>
              <w:rPr>
                <w:rFonts w:eastAsia="宋体"/>
                <w:sz w:val="21"/>
                <w:szCs w:val="21"/>
              </w:rPr>
            </w:pPr>
          </w:p>
        </w:tc>
        <w:tc>
          <w:tcPr>
            <w:tcW w:w="798" w:type="pct"/>
            <w:tcBorders>
              <w:tl2br w:val="nil"/>
              <w:tr2bl w:val="nil"/>
            </w:tcBorders>
            <w:vAlign w:val="center"/>
          </w:tcPr>
          <w:p w14:paraId="491F6618">
            <w:pPr>
              <w:adjustRightInd w:val="0"/>
              <w:snapToGrid w:val="0"/>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813" w:type="pct"/>
            <w:tcBorders>
              <w:tl2br w:val="nil"/>
              <w:tr2bl w:val="nil"/>
            </w:tcBorders>
            <w:vAlign w:val="center"/>
          </w:tcPr>
          <w:p w14:paraId="7C7E915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648" w:type="pct"/>
            <w:tcBorders>
              <w:tl2br w:val="nil"/>
              <w:tr2bl w:val="nil"/>
            </w:tcBorders>
            <w:vAlign w:val="center"/>
          </w:tcPr>
          <w:p w14:paraId="61CC93CF">
            <w:pPr>
              <w:jc w:val="center"/>
              <w:rPr>
                <w:rFonts w:hint="default" w:eastAsia="宋体"/>
                <w:sz w:val="21"/>
                <w:szCs w:val="21"/>
                <w:lang w:val="en-US" w:eastAsia="zh-CN"/>
              </w:rPr>
            </w:pPr>
            <w:r>
              <w:rPr>
                <w:rFonts w:hint="eastAsia" w:eastAsia="宋体"/>
                <w:sz w:val="21"/>
                <w:szCs w:val="21"/>
                <w:lang w:val="en-US" w:eastAsia="zh-CN"/>
              </w:rPr>
              <w:t>/</w:t>
            </w:r>
          </w:p>
        </w:tc>
        <w:tc>
          <w:tcPr>
            <w:tcW w:w="914" w:type="pct"/>
            <w:tcBorders>
              <w:tl2br w:val="nil"/>
              <w:tr2bl w:val="nil"/>
            </w:tcBorders>
            <w:vAlign w:val="center"/>
          </w:tcPr>
          <w:p w14:paraId="2EF1D15B">
            <w:pPr>
              <w:jc w:val="center"/>
              <w:rPr>
                <w:rFonts w:hint="eastAsia" w:eastAsia="宋体"/>
                <w:sz w:val="21"/>
                <w:szCs w:val="21"/>
                <w:lang w:eastAsia="zh-CN"/>
              </w:rPr>
            </w:pPr>
            <w:r>
              <w:rPr>
                <w:rFonts w:hint="eastAsia" w:eastAsia="宋体"/>
                <w:sz w:val="21"/>
                <w:szCs w:val="21"/>
                <w:lang w:val="en-US" w:eastAsia="zh-CN"/>
              </w:rPr>
              <w:t>/</w:t>
            </w:r>
          </w:p>
        </w:tc>
        <w:tc>
          <w:tcPr>
            <w:tcW w:w="597" w:type="pct"/>
            <w:tcBorders>
              <w:tl2br w:val="nil"/>
              <w:tr2bl w:val="nil"/>
            </w:tcBorders>
            <w:vAlign w:val="center"/>
          </w:tcPr>
          <w:p w14:paraId="48B7DC83">
            <w:pPr>
              <w:jc w:val="center"/>
              <w:rPr>
                <w:rFonts w:hint="default" w:eastAsia="宋体"/>
                <w:sz w:val="21"/>
                <w:szCs w:val="21"/>
                <w:lang w:val="en-US" w:eastAsia="zh-CN"/>
              </w:rPr>
            </w:pPr>
            <w:r>
              <w:rPr>
                <w:rFonts w:hint="eastAsia" w:eastAsia="宋体"/>
                <w:sz w:val="21"/>
                <w:szCs w:val="21"/>
                <w:lang w:val="en-US" w:eastAsia="zh-CN"/>
              </w:rPr>
              <w:t>/</w:t>
            </w:r>
          </w:p>
        </w:tc>
      </w:tr>
      <w:tr w14:paraId="1E5DA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790" w:type="pct"/>
            <w:vMerge w:val="continue"/>
            <w:tcBorders>
              <w:tl2br w:val="nil"/>
              <w:tr2bl w:val="nil"/>
            </w:tcBorders>
            <w:vAlign w:val="center"/>
          </w:tcPr>
          <w:p w14:paraId="50B7403C">
            <w:pPr>
              <w:jc w:val="center"/>
              <w:rPr>
                <w:rFonts w:eastAsia="宋体"/>
                <w:sz w:val="21"/>
                <w:szCs w:val="21"/>
              </w:rPr>
            </w:pPr>
          </w:p>
        </w:tc>
        <w:tc>
          <w:tcPr>
            <w:tcW w:w="798" w:type="pct"/>
            <w:tcBorders>
              <w:tl2br w:val="nil"/>
              <w:tr2bl w:val="nil"/>
            </w:tcBorders>
            <w:vAlign w:val="center"/>
          </w:tcPr>
          <w:p w14:paraId="282FE6A0">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813" w:type="pct"/>
            <w:tcBorders>
              <w:tl2br w:val="nil"/>
              <w:tr2bl w:val="nil"/>
            </w:tcBorders>
            <w:vAlign w:val="center"/>
          </w:tcPr>
          <w:p w14:paraId="54A35F28">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648" w:type="pct"/>
            <w:tcBorders>
              <w:tl2br w:val="nil"/>
              <w:tr2bl w:val="nil"/>
            </w:tcBorders>
            <w:vAlign w:val="center"/>
          </w:tcPr>
          <w:p w14:paraId="20D76D92">
            <w:pPr>
              <w:jc w:val="center"/>
              <w:rPr>
                <w:rFonts w:hint="default" w:eastAsia="宋体"/>
                <w:sz w:val="21"/>
                <w:szCs w:val="21"/>
                <w:lang w:val="en-US" w:eastAsia="zh-CN"/>
              </w:rPr>
            </w:pPr>
            <w:r>
              <w:rPr>
                <w:rFonts w:hint="eastAsia" w:eastAsia="宋体"/>
                <w:sz w:val="21"/>
                <w:szCs w:val="21"/>
                <w:lang w:val="en-US" w:eastAsia="zh-CN"/>
              </w:rPr>
              <w:t>100</w:t>
            </w:r>
          </w:p>
        </w:tc>
        <w:tc>
          <w:tcPr>
            <w:tcW w:w="914" w:type="pct"/>
            <w:tcBorders>
              <w:tl2br w:val="nil"/>
              <w:tr2bl w:val="nil"/>
            </w:tcBorders>
            <w:vAlign w:val="center"/>
          </w:tcPr>
          <w:p w14:paraId="4663DAA5">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66B32390">
            <w:pPr>
              <w:jc w:val="center"/>
              <w:rPr>
                <w:rFonts w:hint="default" w:eastAsia="宋体"/>
                <w:sz w:val="21"/>
                <w:szCs w:val="21"/>
                <w:lang w:val="en-US" w:eastAsia="zh-CN"/>
              </w:rPr>
            </w:pPr>
            <w:r>
              <w:rPr>
                <w:rFonts w:hint="eastAsia" w:eastAsia="宋体"/>
                <w:sz w:val="21"/>
                <w:szCs w:val="21"/>
                <w:lang w:val="en-US" w:eastAsia="zh-CN"/>
              </w:rPr>
              <w:t>0.0015</w:t>
            </w:r>
          </w:p>
        </w:tc>
      </w:tr>
      <w:tr w14:paraId="4A03F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965" w:type="pct"/>
            <w:gridSpan w:val="5"/>
            <w:tcBorders>
              <w:tl2br w:val="nil"/>
              <w:tr2bl w:val="nil"/>
            </w:tcBorders>
            <w:vAlign w:val="center"/>
          </w:tcPr>
          <w:p w14:paraId="7F58FC30">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24571BA8">
            <w:pPr>
              <w:jc w:val="center"/>
              <w:rPr>
                <w:rFonts w:hint="default" w:eastAsia="宋体"/>
                <w:sz w:val="21"/>
                <w:szCs w:val="21"/>
                <w:lang w:val="en-US" w:eastAsia="zh-CN"/>
              </w:rPr>
            </w:pPr>
            <w:r>
              <w:rPr>
                <w:rFonts w:hint="eastAsia" w:eastAsia="宋体"/>
                <w:sz w:val="21"/>
                <w:szCs w:val="21"/>
                <w:lang w:val="en-US" w:eastAsia="zh-CN"/>
              </w:rPr>
              <w:t>0.039</w:t>
            </w:r>
          </w:p>
        </w:tc>
      </w:tr>
      <w:tr w14:paraId="46DDE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restart"/>
            <w:tcBorders>
              <w:tl2br w:val="nil"/>
              <w:tr2bl w:val="nil"/>
            </w:tcBorders>
            <w:vAlign w:val="center"/>
          </w:tcPr>
          <w:p w14:paraId="28958442">
            <w:pPr>
              <w:jc w:val="center"/>
              <w:rPr>
                <w:rFonts w:eastAsia="宋体"/>
                <w:sz w:val="21"/>
                <w:szCs w:val="21"/>
              </w:rPr>
            </w:pPr>
            <w:r>
              <w:rPr>
                <w:rFonts w:eastAsia="宋体"/>
                <w:sz w:val="21"/>
                <w:szCs w:val="21"/>
              </w:rPr>
              <w:t>生产车间</w:t>
            </w:r>
          </w:p>
        </w:tc>
        <w:tc>
          <w:tcPr>
            <w:tcW w:w="798" w:type="pct"/>
            <w:tcBorders>
              <w:tl2br w:val="nil"/>
              <w:tr2bl w:val="nil"/>
            </w:tcBorders>
            <w:vAlign w:val="center"/>
          </w:tcPr>
          <w:p w14:paraId="6B279FFE">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813" w:type="pct"/>
            <w:tcBorders>
              <w:tl2br w:val="nil"/>
              <w:tr2bl w:val="nil"/>
            </w:tcBorders>
            <w:vAlign w:val="center"/>
          </w:tcPr>
          <w:p w14:paraId="12A796F9">
            <w:pPr>
              <w:jc w:val="center"/>
              <w:rPr>
                <w:rFonts w:hint="default" w:eastAsia="宋体"/>
                <w:sz w:val="21"/>
                <w:szCs w:val="21"/>
                <w:lang w:val="en-US" w:eastAsia="zh-CN"/>
              </w:rPr>
            </w:pPr>
            <w:r>
              <w:rPr>
                <w:rFonts w:hint="eastAsia" w:eastAsia="宋体"/>
                <w:sz w:val="21"/>
                <w:szCs w:val="21"/>
                <w:lang w:val="en-US" w:eastAsia="zh-CN"/>
              </w:rPr>
              <w:t>0.002t</w:t>
            </w:r>
          </w:p>
        </w:tc>
        <w:tc>
          <w:tcPr>
            <w:tcW w:w="648" w:type="pct"/>
            <w:tcBorders>
              <w:tl2br w:val="nil"/>
              <w:tr2bl w:val="nil"/>
            </w:tcBorders>
            <w:vAlign w:val="center"/>
          </w:tcPr>
          <w:p w14:paraId="6B0244A9">
            <w:pPr>
              <w:jc w:val="center"/>
              <w:rPr>
                <w:rFonts w:eastAsia="宋体"/>
                <w:sz w:val="21"/>
                <w:szCs w:val="21"/>
              </w:rPr>
            </w:pPr>
            <w:r>
              <w:rPr>
                <w:rFonts w:eastAsia="宋体"/>
                <w:sz w:val="21"/>
                <w:szCs w:val="21"/>
              </w:rPr>
              <w:t>10</w:t>
            </w:r>
          </w:p>
        </w:tc>
        <w:tc>
          <w:tcPr>
            <w:tcW w:w="914" w:type="pct"/>
            <w:tcBorders>
              <w:tl2br w:val="nil"/>
              <w:tr2bl w:val="nil"/>
            </w:tcBorders>
            <w:vAlign w:val="center"/>
          </w:tcPr>
          <w:p w14:paraId="421A5522">
            <w:pPr>
              <w:jc w:val="center"/>
              <w:rPr>
                <w:rFonts w:eastAsia="宋体"/>
                <w:sz w:val="21"/>
                <w:szCs w:val="21"/>
              </w:rPr>
            </w:pPr>
            <w:r>
              <w:rPr>
                <w:rFonts w:eastAsia="宋体"/>
                <w:sz w:val="21"/>
                <w:szCs w:val="21"/>
              </w:rPr>
              <w:t>三（有毒液态物质）</w:t>
            </w:r>
          </w:p>
        </w:tc>
        <w:tc>
          <w:tcPr>
            <w:tcW w:w="597" w:type="pct"/>
            <w:tcBorders>
              <w:tl2br w:val="nil"/>
              <w:tr2bl w:val="nil"/>
            </w:tcBorders>
            <w:vAlign w:val="center"/>
          </w:tcPr>
          <w:p w14:paraId="74CFBB9B">
            <w:pPr>
              <w:jc w:val="center"/>
              <w:rPr>
                <w:rFonts w:hint="default" w:eastAsia="宋体"/>
                <w:sz w:val="21"/>
                <w:szCs w:val="21"/>
                <w:lang w:val="en-US" w:eastAsia="zh-CN"/>
              </w:rPr>
            </w:pPr>
            <w:r>
              <w:rPr>
                <w:rFonts w:hint="eastAsia" w:eastAsia="宋体"/>
                <w:sz w:val="21"/>
                <w:szCs w:val="21"/>
                <w:lang w:val="en-US" w:eastAsia="zh-CN"/>
              </w:rPr>
              <w:t>0.0002</w:t>
            </w:r>
          </w:p>
        </w:tc>
      </w:tr>
      <w:tr w14:paraId="2F384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68856355">
            <w:pPr>
              <w:jc w:val="center"/>
              <w:rPr>
                <w:rFonts w:eastAsia="宋体"/>
                <w:sz w:val="21"/>
                <w:szCs w:val="21"/>
              </w:rPr>
            </w:pPr>
          </w:p>
        </w:tc>
        <w:tc>
          <w:tcPr>
            <w:tcW w:w="798" w:type="pct"/>
            <w:tcBorders>
              <w:tl2br w:val="nil"/>
              <w:tr2bl w:val="nil"/>
            </w:tcBorders>
            <w:vAlign w:val="center"/>
          </w:tcPr>
          <w:p w14:paraId="0E1AA23D">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813" w:type="pct"/>
            <w:tcBorders>
              <w:tl2br w:val="nil"/>
              <w:tr2bl w:val="nil"/>
            </w:tcBorders>
            <w:vAlign w:val="center"/>
          </w:tcPr>
          <w:p w14:paraId="7B8C11D1">
            <w:pPr>
              <w:jc w:val="center"/>
              <w:rPr>
                <w:rFonts w:eastAsia="宋体"/>
                <w:sz w:val="21"/>
                <w:szCs w:val="21"/>
              </w:rPr>
            </w:pPr>
            <w:r>
              <w:rPr>
                <w:rFonts w:hint="eastAsia" w:eastAsia="宋体"/>
                <w:sz w:val="21"/>
                <w:szCs w:val="21"/>
                <w:lang w:val="en-US" w:eastAsia="zh-CN"/>
              </w:rPr>
              <w:t>0.002t</w:t>
            </w:r>
          </w:p>
        </w:tc>
        <w:tc>
          <w:tcPr>
            <w:tcW w:w="648" w:type="pct"/>
            <w:tcBorders>
              <w:tl2br w:val="nil"/>
              <w:tr2bl w:val="nil"/>
            </w:tcBorders>
            <w:vAlign w:val="center"/>
          </w:tcPr>
          <w:p w14:paraId="40E875CF">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914" w:type="pct"/>
            <w:tcBorders>
              <w:tl2br w:val="nil"/>
              <w:tr2bl w:val="nil"/>
            </w:tcBorders>
            <w:vAlign w:val="center"/>
          </w:tcPr>
          <w:p w14:paraId="0AC38F6B">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4274E8A4">
            <w:pPr>
              <w:jc w:val="center"/>
              <w:rPr>
                <w:rFonts w:hint="default" w:eastAsia="宋体"/>
                <w:sz w:val="21"/>
                <w:szCs w:val="21"/>
                <w:lang w:val="en-US" w:eastAsia="zh-CN"/>
              </w:rPr>
            </w:pPr>
            <w:r>
              <w:rPr>
                <w:rFonts w:hint="eastAsia" w:eastAsia="宋体"/>
                <w:sz w:val="21"/>
                <w:szCs w:val="21"/>
                <w:lang w:val="en-US" w:eastAsia="zh-CN"/>
              </w:rPr>
              <w:t>0.00002</w:t>
            </w:r>
          </w:p>
        </w:tc>
      </w:tr>
      <w:tr w14:paraId="2C848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549C90E8">
            <w:pPr>
              <w:jc w:val="center"/>
              <w:rPr>
                <w:rFonts w:eastAsia="宋体"/>
                <w:sz w:val="21"/>
                <w:szCs w:val="21"/>
              </w:rPr>
            </w:pPr>
          </w:p>
        </w:tc>
        <w:tc>
          <w:tcPr>
            <w:tcW w:w="798" w:type="pct"/>
            <w:tcBorders>
              <w:tl2br w:val="nil"/>
              <w:tr2bl w:val="nil"/>
            </w:tcBorders>
            <w:vAlign w:val="center"/>
          </w:tcPr>
          <w:p w14:paraId="34E3FEC0">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813" w:type="pct"/>
            <w:tcBorders>
              <w:tl2br w:val="nil"/>
              <w:tr2bl w:val="nil"/>
            </w:tcBorders>
            <w:vAlign w:val="center"/>
          </w:tcPr>
          <w:p w14:paraId="0278F75E">
            <w:pPr>
              <w:jc w:val="center"/>
              <w:rPr>
                <w:rFonts w:hint="default" w:eastAsia="宋体"/>
                <w:sz w:val="21"/>
                <w:szCs w:val="21"/>
                <w:lang w:val="en-US" w:eastAsia="zh-CN"/>
              </w:rPr>
            </w:pPr>
            <w:r>
              <w:rPr>
                <w:rFonts w:hint="eastAsia" w:eastAsia="宋体"/>
                <w:sz w:val="21"/>
                <w:szCs w:val="21"/>
                <w:lang w:val="en-US" w:eastAsia="zh-CN"/>
              </w:rPr>
              <w:t>0.06t</w:t>
            </w:r>
          </w:p>
        </w:tc>
        <w:tc>
          <w:tcPr>
            <w:tcW w:w="648" w:type="pct"/>
            <w:tcBorders>
              <w:tl2br w:val="nil"/>
              <w:tr2bl w:val="nil"/>
            </w:tcBorders>
            <w:vAlign w:val="center"/>
          </w:tcPr>
          <w:p w14:paraId="07EC05C0">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914" w:type="pct"/>
            <w:tcBorders>
              <w:tl2br w:val="nil"/>
              <w:tr2bl w:val="nil"/>
            </w:tcBorders>
            <w:vAlign w:val="center"/>
          </w:tcPr>
          <w:p w14:paraId="6BB54C81">
            <w:pPr>
              <w:jc w:val="center"/>
              <w:rPr>
                <w:rFonts w:eastAsia="宋体"/>
                <w:sz w:val="21"/>
                <w:szCs w:val="21"/>
              </w:rPr>
            </w:pPr>
            <w:r>
              <w:rPr>
                <w:rFonts w:hint="default" w:eastAsia="宋体"/>
                <w:sz w:val="21"/>
                <w:szCs w:val="21"/>
                <w:lang w:val="en-US"/>
              </w:rPr>
              <w:t>八</w:t>
            </w:r>
            <w:r>
              <w:rPr>
                <w:rFonts w:eastAsia="宋体"/>
                <w:sz w:val="21"/>
                <w:szCs w:val="21"/>
              </w:rPr>
              <w:t>（</w:t>
            </w:r>
            <w:r>
              <w:rPr>
                <w:rFonts w:hint="default" w:eastAsia="宋体"/>
                <w:sz w:val="21"/>
                <w:szCs w:val="21"/>
                <w:lang w:val="en-US"/>
              </w:rPr>
              <w:t>其他类物质及污染物</w:t>
            </w:r>
            <w:r>
              <w:rPr>
                <w:rFonts w:eastAsia="宋体"/>
                <w:sz w:val="21"/>
                <w:szCs w:val="21"/>
              </w:rPr>
              <w:t>）</w:t>
            </w:r>
          </w:p>
        </w:tc>
        <w:tc>
          <w:tcPr>
            <w:tcW w:w="597" w:type="pct"/>
            <w:tcBorders>
              <w:tl2br w:val="nil"/>
              <w:tr2bl w:val="nil"/>
            </w:tcBorders>
            <w:vAlign w:val="center"/>
          </w:tcPr>
          <w:p w14:paraId="19C8C00D">
            <w:pPr>
              <w:jc w:val="center"/>
              <w:rPr>
                <w:rFonts w:hint="default" w:eastAsia="宋体"/>
                <w:sz w:val="21"/>
                <w:szCs w:val="21"/>
                <w:lang w:val="en-US" w:eastAsia="zh-CN"/>
              </w:rPr>
            </w:pPr>
            <w:r>
              <w:rPr>
                <w:rFonts w:hint="eastAsia" w:eastAsia="宋体"/>
                <w:sz w:val="21"/>
                <w:szCs w:val="21"/>
                <w:lang w:val="en-US" w:eastAsia="zh-CN"/>
              </w:rPr>
              <w:t>0.0006</w:t>
            </w:r>
          </w:p>
        </w:tc>
      </w:tr>
      <w:tr w14:paraId="16E93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65897FF2">
            <w:pPr>
              <w:jc w:val="center"/>
              <w:rPr>
                <w:rFonts w:eastAsia="宋体"/>
                <w:sz w:val="21"/>
                <w:szCs w:val="21"/>
              </w:rPr>
            </w:pPr>
          </w:p>
        </w:tc>
        <w:tc>
          <w:tcPr>
            <w:tcW w:w="798" w:type="pct"/>
            <w:tcBorders>
              <w:tl2br w:val="nil"/>
              <w:tr2bl w:val="nil"/>
            </w:tcBorders>
            <w:vAlign w:val="center"/>
          </w:tcPr>
          <w:p w14:paraId="4AD1E5A1">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813" w:type="pct"/>
            <w:tcBorders>
              <w:tl2br w:val="nil"/>
              <w:tr2bl w:val="nil"/>
            </w:tcBorders>
            <w:vAlign w:val="center"/>
          </w:tcPr>
          <w:p w14:paraId="2511193E">
            <w:pPr>
              <w:jc w:val="center"/>
              <w:rPr>
                <w:rFonts w:hint="default" w:eastAsia="宋体"/>
                <w:sz w:val="21"/>
                <w:szCs w:val="21"/>
                <w:lang w:val="en-US" w:eastAsia="zh-CN"/>
              </w:rPr>
            </w:pPr>
            <w:r>
              <w:rPr>
                <w:rFonts w:hint="eastAsia" w:eastAsia="宋体"/>
                <w:sz w:val="21"/>
                <w:szCs w:val="21"/>
                <w:lang w:val="en-US" w:eastAsia="zh-CN"/>
              </w:rPr>
              <w:t>0.05t</w:t>
            </w:r>
          </w:p>
        </w:tc>
        <w:tc>
          <w:tcPr>
            <w:tcW w:w="648" w:type="pct"/>
            <w:tcBorders>
              <w:tl2br w:val="nil"/>
              <w:tr2bl w:val="nil"/>
            </w:tcBorders>
            <w:vAlign w:val="center"/>
          </w:tcPr>
          <w:p w14:paraId="4918B8D8">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914" w:type="pct"/>
            <w:tcBorders>
              <w:tl2br w:val="nil"/>
              <w:tr2bl w:val="nil"/>
            </w:tcBorders>
            <w:vAlign w:val="center"/>
          </w:tcPr>
          <w:p w14:paraId="648A9893">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0A271045">
            <w:pPr>
              <w:jc w:val="center"/>
              <w:rPr>
                <w:rFonts w:hint="default" w:eastAsia="宋体"/>
                <w:sz w:val="21"/>
                <w:szCs w:val="21"/>
                <w:lang w:val="en-US" w:eastAsia="zh-CN"/>
              </w:rPr>
            </w:pPr>
            <w:r>
              <w:rPr>
                <w:rFonts w:hint="eastAsia" w:eastAsia="宋体"/>
                <w:sz w:val="21"/>
                <w:szCs w:val="21"/>
                <w:lang w:val="en-US" w:eastAsia="zh-CN"/>
              </w:rPr>
              <w:t>0.0005</w:t>
            </w:r>
          </w:p>
        </w:tc>
      </w:tr>
      <w:tr w14:paraId="54475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0B319D34">
            <w:pPr>
              <w:jc w:val="center"/>
              <w:rPr>
                <w:rFonts w:eastAsia="宋体"/>
                <w:sz w:val="21"/>
                <w:szCs w:val="21"/>
              </w:rPr>
            </w:pPr>
          </w:p>
        </w:tc>
        <w:tc>
          <w:tcPr>
            <w:tcW w:w="798" w:type="pct"/>
            <w:tcBorders>
              <w:tl2br w:val="nil"/>
              <w:tr2bl w:val="nil"/>
            </w:tcBorders>
            <w:vAlign w:val="center"/>
          </w:tcPr>
          <w:p w14:paraId="5051E871">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813" w:type="pct"/>
            <w:tcBorders>
              <w:tl2br w:val="nil"/>
              <w:tr2bl w:val="nil"/>
            </w:tcBorders>
            <w:vAlign w:val="center"/>
          </w:tcPr>
          <w:p w14:paraId="69D3032C">
            <w:pPr>
              <w:jc w:val="center"/>
              <w:rPr>
                <w:rFonts w:hint="eastAsia" w:eastAsia="宋体"/>
                <w:sz w:val="21"/>
                <w:szCs w:val="21"/>
                <w:lang w:eastAsia="zh-CN"/>
              </w:rPr>
            </w:pPr>
            <w:r>
              <w:rPr>
                <w:rFonts w:hint="eastAsia" w:eastAsia="宋体"/>
                <w:sz w:val="21"/>
                <w:szCs w:val="21"/>
                <w:lang w:val="en-US" w:eastAsia="zh-CN"/>
              </w:rPr>
              <w:t>0.004t</w:t>
            </w:r>
          </w:p>
        </w:tc>
        <w:tc>
          <w:tcPr>
            <w:tcW w:w="648" w:type="pct"/>
            <w:tcBorders>
              <w:tl2br w:val="nil"/>
              <w:tr2bl w:val="nil"/>
            </w:tcBorders>
            <w:vAlign w:val="center"/>
          </w:tcPr>
          <w:p w14:paraId="7B502C5F">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914" w:type="pct"/>
            <w:tcBorders>
              <w:tl2br w:val="nil"/>
              <w:tr2bl w:val="nil"/>
            </w:tcBorders>
            <w:vAlign w:val="center"/>
          </w:tcPr>
          <w:p w14:paraId="36BB3724">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7BF20C52">
            <w:pPr>
              <w:jc w:val="center"/>
              <w:rPr>
                <w:rFonts w:hint="default" w:eastAsia="宋体"/>
                <w:sz w:val="21"/>
                <w:szCs w:val="21"/>
                <w:lang w:val="en-US" w:eastAsia="zh-CN"/>
              </w:rPr>
            </w:pPr>
            <w:r>
              <w:rPr>
                <w:rFonts w:hint="eastAsia" w:eastAsia="宋体"/>
                <w:sz w:val="21"/>
                <w:szCs w:val="21"/>
                <w:lang w:val="en-US" w:eastAsia="zh-CN"/>
              </w:rPr>
              <w:t>0.00004</w:t>
            </w:r>
          </w:p>
        </w:tc>
      </w:tr>
      <w:tr w14:paraId="0861A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19EE6772">
            <w:pPr>
              <w:jc w:val="center"/>
              <w:rPr>
                <w:rFonts w:eastAsia="宋体"/>
                <w:sz w:val="21"/>
                <w:szCs w:val="21"/>
              </w:rPr>
            </w:pPr>
          </w:p>
        </w:tc>
        <w:tc>
          <w:tcPr>
            <w:tcW w:w="798" w:type="pct"/>
            <w:tcBorders>
              <w:tl2br w:val="nil"/>
              <w:tr2bl w:val="nil"/>
            </w:tcBorders>
            <w:vAlign w:val="center"/>
          </w:tcPr>
          <w:p w14:paraId="3580FA9A">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813" w:type="pct"/>
            <w:tcBorders>
              <w:tl2br w:val="nil"/>
              <w:tr2bl w:val="nil"/>
            </w:tcBorders>
            <w:vAlign w:val="center"/>
          </w:tcPr>
          <w:p w14:paraId="086C8A51">
            <w:pPr>
              <w:jc w:val="center"/>
              <w:rPr>
                <w:rFonts w:hint="default" w:eastAsia="宋体"/>
                <w:sz w:val="21"/>
                <w:szCs w:val="21"/>
                <w:lang w:val="en-US" w:eastAsia="zh-CN"/>
              </w:rPr>
            </w:pPr>
            <w:r>
              <w:rPr>
                <w:rFonts w:hint="eastAsia" w:eastAsia="宋体"/>
                <w:sz w:val="21"/>
                <w:szCs w:val="21"/>
                <w:lang w:val="en-US" w:eastAsia="zh-CN"/>
              </w:rPr>
              <w:t>0.002t</w:t>
            </w:r>
          </w:p>
        </w:tc>
        <w:tc>
          <w:tcPr>
            <w:tcW w:w="648" w:type="pct"/>
            <w:tcBorders>
              <w:tl2br w:val="nil"/>
              <w:tr2bl w:val="nil"/>
            </w:tcBorders>
            <w:vAlign w:val="center"/>
          </w:tcPr>
          <w:p w14:paraId="7B03585E">
            <w:pPr>
              <w:jc w:val="center"/>
              <w:rPr>
                <w:rFonts w:hint="default" w:eastAsia="宋体"/>
                <w:sz w:val="21"/>
                <w:szCs w:val="21"/>
                <w:lang w:val="en-US" w:eastAsia="zh-CN"/>
              </w:rPr>
            </w:pPr>
            <w:r>
              <w:rPr>
                <w:rFonts w:hint="eastAsia" w:eastAsia="宋体"/>
                <w:sz w:val="21"/>
                <w:szCs w:val="21"/>
                <w:lang w:val="en-US" w:eastAsia="zh-CN"/>
              </w:rPr>
              <w:t>/</w:t>
            </w:r>
          </w:p>
        </w:tc>
        <w:tc>
          <w:tcPr>
            <w:tcW w:w="914" w:type="pct"/>
            <w:tcBorders>
              <w:tl2br w:val="nil"/>
              <w:tr2bl w:val="nil"/>
            </w:tcBorders>
            <w:vAlign w:val="center"/>
          </w:tcPr>
          <w:p w14:paraId="26FAF8B3">
            <w:pPr>
              <w:jc w:val="center"/>
              <w:rPr>
                <w:rFonts w:hint="eastAsia" w:eastAsia="宋体"/>
                <w:sz w:val="21"/>
                <w:szCs w:val="21"/>
                <w:lang w:eastAsia="zh-CN"/>
              </w:rPr>
            </w:pPr>
            <w:r>
              <w:rPr>
                <w:rFonts w:hint="eastAsia" w:eastAsia="宋体"/>
                <w:sz w:val="21"/>
                <w:szCs w:val="21"/>
                <w:lang w:val="en-US" w:eastAsia="zh-CN"/>
              </w:rPr>
              <w:t>/</w:t>
            </w:r>
          </w:p>
        </w:tc>
        <w:tc>
          <w:tcPr>
            <w:tcW w:w="597" w:type="pct"/>
            <w:tcBorders>
              <w:tl2br w:val="nil"/>
              <w:tr2bl w:val="nil"/>
            </w:tcBorders>
            <w:vAlign w:val="center"/>
          </w:tcPr>
          <w:p w14:paraId="43DF30D4">
            <w:pPr>
              <w:jc w:val="center"/>
              <w:rPr>
                <w:rFonts w:hint="default" w:eastAsia="宋体"/>
                <w:sz w:val="21"/>
                <w:szCs w:val="21"/>
                <w:lang w:val="en-US" w:eastAsia="zh-CN"/>
              </w:rPr>
            </w:pPr>
            <w:r>
              <w:rPr>
                <w:rFonts w:hint="eastAsia" w:eastAsia="宋体"/>
                <w:sz w:val="21"/>
                <w:szCs w:val="21"/>
                <w:lang w:val="en-US" w:eastAsia="zh-CN"/>
              </w:rPr>
              <w:t>/</w:t>
            </w:r>
          </w:p>
        </w:tc>
      </w:tr>
      <w:tr w14:paraId="3D55C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47B8B763">
            <w:pPr>
              <w:jc w:val="center"/>
              <w:rPr>
                <w:rFonts w:eastAsia="宋体"/>
                <w:sz w:val="21"/>
                <w:szCs w:val="21"/>
              </w:rPr>
            </w:pPr>
          </w:p>
        </w:tc>
        <w:tc>
          <w:tcPr>
            <w:tcW w:w="798" w:type="pct"/>
            <w:tcBorders>
              <w:tl2br w:val="nil"/>
              <w:tr2bl w:val="nil"/>
            </w:tcBorders>
            <w:vAlign w:val="center"/>
          </w:tcPr>
          <w:p w14:paraId="05DA9317">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813" w:type="pct"/>
            <w:tcBorders>
              <w:tl2br w:val="nil"/>
              <w:tr2bl w:val="nil"/>
            </w:tcBorders>
            <w:vAlign w:val="center"/>
          </w:tcPr>
          <w:p w14:paraId="742640C2">
            <w:pPr>
              <w:jc w:val="center"/>
              <w:rPr>
                <w:rFonts w:hint="default" w:eastAsia="宋体"/>
                <w:sz w:val="21"/>
                <w:szCs w:val="21"/>
                <w:lang w:val="en-US" w:eastAsia="zh-CN"/>
              </w:rPr>
            </w:pPr>
            <w:r>
              <w:rPr>
                <w:rFonts w:hint="eastAsia" w:eastAsia="宋体"/>
                <w:sz w:val="21"/>
                <w:szCs w:val="21"/>
                <w:lang w:val="en-US" w:eastAsia="zh-CN"/>
              </w:rPr>
              <w:t>0.005t</w:t>
            </w:r>
          </w:p>
        </w:tc>
        <w:tc>
          <w:tcPr>
            <w:tcW w:w="648" w:type="pct"/>
            <w:tcBorders>
              <w:tl2br w:val="nil"/>
              <w:tr2bl w:val="nil"/>
            </w:tcBorders>
            <w:vAlign w:val="center"/>
          </w:tcPr>
          <w:p w14:paraId="176BC5CB">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914" w:type="pct"/>
            <w:tcBorders>
              <w:tl2br w:val="nil"/>
              <w:tr2bl w:val="nil"/>
            </w:tcBorders>
            <w:vAlign w:val="center"/>
          </w:tcPr>
          <w:p w14:paraId="414108A5">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3C7D4D29">
            <w:pPr>
              <w:jc w:val="center"/>
              <w:rPr>
                <w:rFonts w:hint="default" w:eastAsia="宋体"/>
                <w:sz w:val="21"/>
                <w:szCs w:val="21"/>
                <w:lang w:val="en-US" w:eastAsia="zh-CN"/>
              </w:rPr>
            </w:pPr>
            <w:r>
              <w:rPr>
                <w:rFonts w:hint="eastAsia" w:eastAsia="宋体"/>
                <w:sz w:val="21"/>
                <w:szCs w:val="21"/>
                <w:lang w:val="en-US" w:eastAsia="zh-CN"/>
              </w:rPr>
              <w:t>0.00005</w:t>
            </w:r>
          </w:p>
        </w:tc>
      </w:tr>
      <w:tr w14:paraId="3750A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965" w:type="pct"/>
            <w:gridSpan w:val="5"/>
            <w:tcBorders>
              <w:tl2br w:val="nil"/>
              <w:tr2bl w:val="nil"/>
            </w:tcBorders>
            <w:vAlign w:val="center"/>
          </w:tcPr>
          <w:p w14:paraId="2E4FA884">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2B8300C1">
            <w:pPr>
              <w:jc w:val="center"/>
              <w:rPr>
                <w:rFonts w:hint="default" w:eastAsia="宋体"/>
                <w:sz w:val="21"/>
                <w:szCs w:val="21"/>
                <w:lang w:val="en-US" w:eastAsia="zh-CN"/>
              </w:rPr>
            </w:pPr>
            <w:r>
              <w:rPr>
                <w:rFonts w:hint="eastAsia" w:eastAsia="宋体"/>
                <w:sz w:val="21"/>
                <w:szCs w:val="21"/>
                <w:lang w:val="en-US" w:eastAsia="zh-CN"/>
              </w:rPr>
              <w:t>0.00141</w:t>
            </w:r>
          </w:p>
        </w:tc>
      </w:tr>
      <w:tr w14:paraId="01A38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restart"/>
            <w:tcBorders>
              <w:tl2br w:val="nil"/>
              <w:tr2bl w:val="nil"/>
            </w:tcBorders>
            <w:vAlign w:val="center"/>
          </w:tcPr>
          <w:p w14:paraId="603B6156">
            <w:pPr>
              <w:jc w:val="center"/>
              <w:rPr>
                <w:rFonts w:eastAsia="宋体"/>
                <w:sz w:val="21"/>
                <w:szCs w:val="21"/>
              </w:rPr>
            </w:pPr>
            <w:r>
              <w:rPr>
                <w:rFonts w:eastAsia="宋体"/>
                <w:sz w:val="21"/>
                <w:szCs w:val="21"/>
              </w:rPr>
              <w:t>危废仓库</w:t>
            </w:r>
          </w:p>
        </w:tc>
        <w:tc>
          <w:tcPr>
            <w:tcW w:w="798" w:type="pct"/>
            <w:tcBorders>
              <w:tl2br w:val="nil"/>
              <w:tr2bl w:val="nil"/>
            </w:tcBorders>
            <w:vAlign w:val="center"/>
          </w:tcPr>
          <w:p w14:paraId="27BDA4E5">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废活性炭</w:t>
            </w:r>
          </w:p>
        </w:tc>
        <w:tc>
          <w:tcPr>
            <w:tcW w:w="813" w:type="pct"/>
            <w:tcBorders>
              <w:tl2br w:val="nil"/>
              <w:tr2bl w:val="nil"/>
            </w:tcBorders>
            <w:vAlign w:val="center"/>
          </w:tcPr>
          <w:p w14:paraId="60EB35B6">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648" w:type="pct"/>
            <w:tcBorders>
              <w:tl2br w:val="nil"/>
              <w:tr2bl w:val="nil"/>
            </w:tcBorders>
            <w:vAlign w:val="center"/>
          </w:tcPr>
          <w:p w14:paraId="1D9065EC">
            <w:pPr>
              <w:jc w:val="center"/>
              <w:rPr>
                <w:rFonts w:eastAsia="宋体"/>
                <w:sz w:val="21"/>
                <w:szCs w:val="21"/>
              </w:rPr>
            </w:pPr>
            <w:r>
              <w:rPr>
                <w:rFonts w:hint="eastAsia" w:eastAsia="宋体"/>
                <w:sz w:val="21"/>
                <w:szCs w:val="21"/>
                <w:lang w:val="en-US" w:eastAsia="zh-CN"/>
              </w:rPr>
              <w:t>50</w:t>
            </w:r>
          </w:p>
        </w:tc>
        <w:tc>
          <w:tcPr>
            <w:tcW w:w="914" w:type="pct"/>
            <w:tcBorders>
              <w:tl2br w:val="nil"/>
              <w:tr2bl w:val="nil"/>
            </w:tcBorders>
            <w:vAlign w:val="center"/>
          </w:tcPr>
          <w:p w14:paraId="3D757AD5">
            <w:pPr>
              <w:jc w:val="center"/>
              <w:rPr>
                <w:rFonts w:eastAsia="宋体"/>
                <w:sz w:val="21"/>
                <w:szCs w:val="21"/>
              </w:rPr>
            </w:pPr>
            <w:r>
              <w:rPr>
                <w:rFonts w:eastAsia="宋体"/>
                <w:sz w:val="21"/>
                <w:szCs w:val="21"/>
                <w:highlight w:val="none"/>
              </w:rPr>
              <w:t>八（其他类物质及污染物）</w:t>
            </w:r>
          </w:p>
        </w:tc>
        <w:tc>
          <w:tcPr>
            <w:tcW w:w="597" w:type="pct"/>
            <w:tcBorders>
              <w:tl2br w:val="nil"/>
              <w:tr2bl w:val="nil"/>
            </w:tcBorders>
            <w:vAlign w:val="center"/>
          </w:tcPr>
          <w:p w14:paraId="61B75152">
            <w:pPr>
              <w:jc w:val="center"/>
              <w:rPr>
                <w:rFonts w:hint="default" w:eastAsia="宋体"/>
                <w:sz w:val="21"/>
                <w:szCs w:val="21"/>
                <w:lang w:val="en-US" w:eastAsia="zh-CN"/>
              </w:rPr>
            </w:pPr>
            <w:r>
              <w:rPr>
                <w:rFonts w:hint="eastAsia" w:eastAsia="宋体"/>
                <w:sz w:val="21"/>
                <w:szCs w:val="21"/>
                <w:lang w:val="en-US" w:eastAsia="zh-CN"/>
              </w:rPr>
              <w:t>0.01</w:t>
            </w:r>
          </w:p>
        </w:tc>
      </w:tr>
      <w:tr w14:paraId="58324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3C2339EB">
            <w:pPr>
              <w:jc w:val="center"/>
              <w:rPr>
                <w:rFonts w:eastAsia="宋体"/>
                <w:sz w:val="21"/>
                <w:szCs w:val="21"/>
              </w:rPr>
            </w:pPr>
          </w:p>
        </w:tc>
        <w:tc>
          <w:tcPr>
            <w:tcW w:w="798" w:type="pct"/>
            <w:tcBorders>
              <w:tl2br w:val="nil"/>
              <w:tr2bl w:val="nil"/>
            </w:tcBorders>
            <w:vAlign w:val="center"/>
          </w:tcPr>
          <w:p w14:paraId="47A49470">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废包装桶</w:t>
            </w:r>
          </w:p>
        </w:tc>
        <w:tc>
          <w:tcPr>
            <w:tcW w:w="813" w:type="pct"/>
            <w:tcBorders>
              <w:tl2br w:val="nil"/>
              <w:tr2bl w:val="nil"/>
            </w:tcBorders>
            <w:vAlign w:val="center"/>
          </w:tcPr>
          <w:p w14:paraId="213BEED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648" w:type="pct"/>
            <w:tcBorders>
              <w:tl2br w:val="nil"/>
              <w:tr2bl w:val="nil"/>
            </w:tcBorders>
            <w:vAlign w:val="center"/>
          </w:tcPr>
          <w:p w14:paraId="7AB71107">
            <w:pPr>
              <w:jc w:val="center"/>
              <w:rPr>
                <w:rFonts w:eastAsia="宋体"/>
                <w:sz w:val="21"/>
                <w:szCs w:val="21"/>
              </w:rPr>
            </w:pPr>
            <w:r>
              <w:rPr>
                <w:rFonts w:hint="eastAsia" w:eastAsia="宋体"/>
                <w:sz w:val="21"/>
                <w:szCs w:val="21"/>
                <w:lang w:val="en-US" w:eastAsia="zh-CN"/>
              </w:rPr>
              <w:t>50</w:t>
            </w:r>
          </w:p>
        </w:tc>
        <w:tc>
          <w:tcPr>
            <w:tcW w:w="914" w:type="pct"/>
            <w:tcBorders>
              <w:tl2br w:val="nil"/>
              <w:tr2bl w:val="nil"/>
            </w:tcBorders>
            <w:vAlign w:val="center"/>
          </w:tcPr>
          <w:p w14:paraId="00332A25">
            <w:pPr>
              <w:jc w:val="center"/>
              <w:rPr>
                <w:rFonts w:eastAsia="宋体"/>
                <w:sz w:val="21"/>
                <w:szCs w:val="21"/>
              </w:rPr>
            </w:pPr>
            <w:r>
              <w:rPr>
                <w:rFonts w:eastAsia="宋体"/>
                <w:sz w:val="21"/>
                <w:szCs w:val="21"/>
              </w:rPr>
              <w:t>八（其他类物质及污染物）</w:t>
            </w:r>
          </w:p>
        </w:tc>
        <w:tc>
          <w:tcPr>
            <w:tcW w:w="597" w:type="pct"/>
            <w:tcBorders>
              <w:tl2br w:val="nil"/>
              <w:tr2bl w:val="nil"/>
            </w:tcBorders>
            <w:vAlign w:val="center"/>
          </w:tcPr>
          <w:p w14:paraId="481EE786">
            <w:pPr>
              <w:jc w:val="center"/>
              <w:rPr>
                <w:rFonts w:hint="default" w:eastAsia="宋体"/>
                <w:sz w:val="21"/>
                <w:szCs w:val="21"/>
                <w:lang w:val="en-US" w:eastAsia="zh-CN"/>
              </w:rPr>
            </w:pPr>
            <w:r>
              <w:rPr>
                <w:rFonts w:hint="eastAsia" w:eastAsia="宋体"/>
                <w:sz w:val="21"/>
                <w:szCs w:val="21"/>
                <w:lang w:val="en-US" w:eastAsia="zh-CN"/>
              </w:rPr>
              <w:t>0.0006</w:t>
            </w:r>
          </w:p>
        </w:tc>
      </w:tr>
      <w:tr w14:paraId="5C0AD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06BF8C35">
            <w:pPr>
              <w:jc w:val="center"/>
              <w:rPr>
                <w:rFonts w:eastAsia="宋体"/>
                <w:sz w:val="21"/>
                <w:szCs w:val="21"/>
              </w:rPr>
            </w:pPr>
          </w:p>
        </w:tc>
        <w:tc>
          <w:tcPr>
            <w:tcW w:w="798" w:type="pct"/>
            <w:tcBorders>
              <w:tl2br w:val="nil"/>
              <w:tr2bl w:val="nil"/>
            </w:tcBorders>
            <w:vAlign w:val="center"/>
          </w:tcPr>
          <w:p w14:paraId="13AC122A">
            <w:pPr>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底漆打磨灰渣</w:t>
            </w:r>
          </w:p>
        </w:tc>
        <w:tc>
          <w:tcPr>
            <w:tcW w:w="813" w:type="pct"/>
            <w:tcBorders>
              <w:tl2br w:val="nil"/>
              <w:tr2bl w:val="nil"/>
            </w:tcBorders>
            <w:vAlign w:val="center"/>
          </w:tcPr>
          <w:p w14:paraId="0D29B7B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0.04</w:t>
            </w:r>
            <w:r>
              <w:rPr>
                <w:rFonts w:hint="default" w:ascii="Times New Roman" w:hAnsi="Times New Roman" w:eastAsia="宋体" w:cs="Times New Roman"/>
                <w:b w:val="0"/>
                <w:bCs/>
                <w:color w:val="auto"/>
                <w:sz w:val="21"/>
                <w:szCs w:val="21"/>
                <w:highlight w:val="none"/>
              </w:rPr>
              <w:t>t</w:t>
            </w:r>
          </w:p>
        </w:tc>
        <w:tc>
          <w:tcPr>
            <w:tcW w:w="648" w:type="pct"/>
            <w:tcBorders>
              <w:tl2br w:val="nil"/>
              <w:tr2bl w:val="nil"/>
            </w:tcBorders>
            <w:vAlign w:val="center"/>
          </w:tcPr>
          <w:p w14:paraId="1EAFF80D">
            <w:pPr>
              <w:jc w:val="center"/>
              <w:rPr>
                <w:rFonts w:hint="default" w:eastAsia="宋体"/>
                <w:sz w:val="21"/>
                <w:szCs w:val="21"/>
                <w:lang w:val="en-US" w:eastAsia="zh-CN"/>
              </w:rPr>
            </w:pPr>
            <w:r>
              <w:rPr>
                <w:rFonts w:hint="eastAsia" w:eastAsia="宋体"/>
                <w:sz w:val="21"/>
                <w:szCs w:val="21"/>
                <w:lang w:val="en-US" w:eastAsia="zh-CN"/>
              </w:rPr>
              <w:t>50</w:t>
            </w:r>
          </w:p>
        </w:tc>
        <w:tc>
          <w:tcPr>
            <w:tcW w:w="914" w:type="pct"/>
            <w:tcBorders>
              <w:tl2br w:val="nil"/>
              <w:tr2bl w:val="nil"/>
            </w:tcBorders>
            <w:vAlign w:val="center"/>
          </w:tcPr>
          <w:p w14:paraId="7E2D2A5B">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663D2B27">
            <w:pPr>
              <w:jc w:val="center"/>
              <w:rPr>
                <w:rFonts w:hint="default" w:eastAsia="宋体"/>
                <w:sz w:val="21"/>
                <w:szCs w:val="21"/>
                <w:lang w:val="en-US" w:eastAsia="zh-CN"/>
              </w:rPr>
            </w:pPr>
            <w:r>
              <w:rPr>
                <w:rFonts w:hint="eastAsia" w:eastAsia="宋体"/>
                <w:sz w:val="21"/>
                <w:szCs w:val="21"/>
                <w:lang w:val="en-US" w:eastAsia="zh-CN"/>
              </w:rPr>
              <w:t>0.0008</w:t>
            </w:r>
          </w:p>
        </w:tc>
      </w:tr>
      <w:tr w14:paraId="1F30B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131CDE79">
            <w:pPr>
              <w:jc w:val="center"/>
              <w:rPr>
                <w:rFonts w:eastAsia="宋体"/>
                <w:sz w:val="21"/>
                <w:szCs w:val="21"/>
              </w:rPr>
            </w:pPr>
          </w:p>
        </w:tc>
        <w:tc>
          <w:tcPr>
            <w:tcW w:w="798" w:type="pct"/>
            <w:tcBorders>
              <w:tl2br w:val="nil"/>
              <w:tr2bl w:val="nil"/>
            </w:tcBorders>
            <w:vAlign w:val="center"/>
          </w:tcPr>
          <w:p w14:paraId="233803D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漆渣、气浮渣</w:t>
            </w:r>
          </w:p>
        </w:tc>
        <w:tc>
          <w:tcPr>
            <w:tcW w:w="813" w:type="pct"/>
            <w:tcBorders>
              <w:tl2br w:val="nil"/>
              <w:tr2bl w:val="nil"/>
            </w:tcBorders>
            <w:vAlign w:val="center"/>
          </w:tcPr>
          <w:p w14:paraId="2BFBE0E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648" w:type="pct"/>
            <w:tcBorders>
              <w:tl2br w:val="nil"/>
              <w:tr2bl w:val="nil"/>
            </w:tcBorders>
            <w:vAlign w:val="center"/>
          </w:tcPr>
          <w:p w14:paraId="4177953E">
            <w:pPr>
              <w:jc w:val="center"/>
              <w:rPr>
                <w:rFonts w:hint="default" w:eastAsia="宋体"/>
                <w:sz w:val="21"/>
                <w:szCs w:val="21"/>
                <w:lang w:val="en-US" w:eastAsia="zh-CN"/>
              </w:rPr>
            </w:pPr>
            <w:r>
              <w:rPr>
                <w:rFonts w:hint="eastAsia" w:eastAsia="宋体"/>
                <w:sz w:val="21"/>
                <w:szCs w:val="21"/>
                <w:lang w:val="en-US" w:eastAsia="zh-CN"/>
              </w:rPr>
              <w:t>50</w:t>
            </w:r>
          </w:p>
        </w:tc>
        <w:tc>
          <w:tcPr>
            <w:tcW w:w="914" w:type="pct"/>
            <w:tcBorders>
              <w:tl2br w:val="nil"/>
              <w:tr2bl w:val="nil"/>
            </w:tcBorders>
            <w:vAlign w:val="center"/>
          </w:tcPr>
          <w:p w14:paraId="4A2322A1">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4647DCB0">
            <w:pPr>
              <w:jc w:val="center"/>
              <w:rPr>
                <w:rFonts w:hint="default" w:eastAsia="宋体"/>
                <w:sz w:val="21"/>
                <w:szCs w:val="21"/>
                <w:lang w:val="en-US" w:eastAsia="zh-CN"/>
              </w:rPr>
            </w:pPr>
            <w:r>
              <w:rPr>
                <w:rFonts w:hint="eastAsia" w:eastAsia="宋体"/>
                <w:sz w:val="21"/>
                <w:szCs w:val="21"/>
                <w:lang w:val="en-US" w:eastAsia="zh-CN"/>
              </w:rPr>
              <w:t>0.063</w:t>
            </w:r>
          </w:p>
        </w:tc>
      </w:tr>
      <w:tr w14:paraId="2B4FE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790" w:type="pct"/>
            <w:vMerge w:val="continue"/>
            <w:tcBorders>
              <w:tl2br w:val="nil"/>
              <w:tr2bl w:val="nil"/>
            </w:tcBorders>
            <w:vAlign w:val="center"/>
          </w:tcPr>
          <w:p w14:paraId="202F0978">
            <w:pPr>
              <w:jc w:val="center"/>
              <w:rPr>
                <w:rFonts w:eastAsia="宋体"/>
                <w:sz w:val="21"/>
                <w:szCs w:val="21"/>
              </w:rPr>
            </w:pPr>
          </w:p>
        </w:tc>
        <w:tc>
          <w:tcPr>
            <w:tcW w:w="798" w:type="pct"/>
            <w:tcBorders>
              <w:tl2br w:val="nil"/>
              <w:tr2bl w:val="nil"/>
            </w:tcBorders>
            <w:vAlign w:val="center"/>
          </w:tcPr>
          <w:p w14:paraId="3001FF6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含油废水</w:t>
            </w:r>
          </w:p>
        </w:tc>
        <w:tc>
          <w:tcPr>
            <w:tcW w:w="813" w:type="pct"/>
            <w:tcBorders>
              <w:tl2br w:val="nil"/>
              <w:tr2bl w:val="nil"/>
            </w:tcBorders>
            <w:vAlign w:val="center"/>
          </w:tcPr>
          <w:p w14:paraId="1718C12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eastAsia" w:eastAsia="宋体" w:cs="Times New Roman"/>
                <w:b w:val="0"/>
                <w:bCs/>
                <w:color w:val="auto"/>
                <w:kern w:val="2"/>
                <w:sz w:val="21"/>
                <w:szCs w:val="21"/>
                <w:highlight w:val="none"/>
                <w:lang w:val="en-US" w:eastAsia="zh-CN" w:bidi="ar-SA"/>
              </w:rPr>
              <w:t>t</w:t>
            </w:r>
          </w:p>
        </w:tc>
        <w:tc>
          <w:tcPr>
            <w:tcW w:w="648" w:type="pct"/>
            <w:tcBorders>
              <w:tl2br w:val="nil"/>
              <w:tr2bl w:val="nil"/>
            </w:tcBorders>
            <w:vAlign w:val="center"/>
          </w:tcPr>
          <w:p w14:paraId="3A29AE17">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914" w:type="pct"/>
            <w:tcBorders>
              <w:tl2br w:val="nil"/>
              <w:tr2bl w:val="nil"/>
            </w:tcBorders>
            <w:vAlign w:val="center"/>
          </w:tcPr>
          <w:p w14:paraId="61C2B8A1">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597" w:type="pct"/>
            <w:tcBorders>
              <w:tl2br w:val="nil"/>
              <w:tr2bl w:val="nil"/>
            </w:tcBorders>
            <w:vAlign w:val="center"/>
          </w:tcPr>
          <w:p w14:paraId="70EAC429">
            <w:pPr>
              <w:jc w:val="center"/>
              <w:rPr>
                <w:rFonts w:hint="default" w:eastAsia="宋体"/>
                <w:sz w:val="21"/>
                <w:szCs w:val="21"/>
                <w:lang w:val="en-US" w:eastAsia="zh-CN"/>
              </w:rPr>
            </w:pPr>
            <w:r>
              <w:rPr>
                <w:rFonts w:hint="eastAsia" w:eastAsia="宋体"/>
                <w:sz w:val="21"/>
                <w:szCs w:val="21"/>
                <w:lang w:val="en-US" w:eastAsia="zh-CN"/>
              </w:rPr>
              <w:t>0.00005</w:t>
            </w:r>
          </w:p>
        </w:tc>
      </w:tr>
      <w:tr w14:paraId="529A5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965" w:type="pct"/>
            <w:gridSpan w:val="5"/>
            <w:tcBorders>
              <w:tl2br w:val="nil"/>
              <w:tr2bl w:val="nil"/>
            </w:tcBorders>
            <w:vAlign w:val="center"/>
          </w:tcPr>
          <w:p w14:paraId="77F03AFA">
            <w:pPr>
              <w:jc w:val="center"/>
              <w:rPr>
                <w:rFonts w:eastAsia="宋体"/>
                <w:sz w:val="21"/>
                <w:szCs w:val="21"/>
              </w:rPr>
            </w:pPr>
            <w:r>
              <w:rPr>
                <w:rFonts w:eastAsia="宋体"/>
                <w:sz w:val="21"/>
                <w:szCs w:val="21"/>
              </w:rPr>
              <w:t>ΣQi/qi</w:t>
            </w:r>
          </w:p>
        </w:tc>
        <w:tc>
          <w:tcPr>
            <w:tcW w:w="597" w:type="pct"/>
            <w:tcBorders>
              <w:tl2br w:val="nil"/>
              <w:tr2bl w:val="nil"/>
            </w:tcBorders>
            <w:vAlign w:val="center"/>
          </w:tcPr>
          <w:p w14:paraId="5840F0E6">
            <w:pPr>
              <w:jc w:val="center"/>
              <w:rPr>
                <w:rFonts w:hint="default" w:eastAsia="宋体"/>
                <w:sz w:val="21"/>
                <w:szCs w:val="21"/>
                <w:lang w:val="en-US" w:eastAsia="zh-CN"/>
              </w:rPr>
            </w:pPr>
            <w:r>
              <w:rPr>
                <w:rFonts w:hint="eastAsia" w:eastAsia="宋体"/>
                <w:sz w:val="21"/>
                <w:szCs w:val="21"/>
                <w:lang w:val="en-US" w:eastAsia="zh-CN"/>
              </w:rPr>
              <w:t>0.07445</w:t>
            </w:r>
          </w:p>
        </w:tc>
      </w:tr>
    </w:tbl>
    <w:p w14:paraId="0A9C3575">
      <w:pPr>
        <w:pStyle w:val="13"/>
        <w:spacing w:after="0" w:line="500" w:lineRule="exact"/>
        <w:ind w:firstLine="480" w:firstLineChars="200"/>
        <w:rPr>
          <w:rFonts w:eastAsia="宋体"/>
        </w:rPr>
      </w:pPr>
      <w:r>
        <w:rPr>
          <w:rFonts w:eastAsia="宋体"/>
        </w:rPr>
        <w:t>根据《企业事业单位突发环境事件应急预案评审工作指南》对于数量大于临界量的，应辨识重要环境风险单元。表3-</w:t>
      </w:r>
      <w:r>
        <w:rPr>
          <w:rFonts w:hint="eastAsia" w:eastAsia="宋体"/>
        </w:rPr>
        <w:t>9</w:t>
      </w:r>
      <w:r>
        <w:rPr>
          <w:rFonts w:eastAsia="宋体"/>
        </w:rPr>
        <w:t>中企业存在环境风险的</w:t>
      </w:r>
      <w:r>
        <w:rPr>
          <w:rFonts w:hint="eastAsia" w:eastAsia="宋体"/>
        </w:rPr>
        <w:t>油漆仓库、生产车间</w:t>
      </w:r>
      <w:r>
        <w:rPr>
          <w:rFonts w:eastAsia="宋体"/>
        </w:rPr>
        <w:t>、</w:t>
      </w:r>
      <w:r>
        <w:rPr>
          <w:rFonts w:hint="eastAsia" w:eastAsia="宋体"/>
          <w:lang w:eastAsia="zh-CN"/>
        </w:rPr>
        <w:t>回用水设施</w:t>
      </w:r>
      <w:r>
        <w:rPr>
          <w:rFonts w:hint="eastAsia" w:eastAsia="宋体"/>
        </w:rPr>
        <w:t>、</w:t>
      </w:r>
      <w:r>
        <w:rPr>
          <w:rFonts w:eastAsia="宋体"/>
        </w:rPr>
        <w:t>危废仓库Q值均小于1，企业不存在重要环境风险单元。</w:t>
      </w:r>
    </w:p>
    <w:p w14:paraId="051EC0AE">
      <w:pPr>
        <w:pStyle w:val="3"/>
        <w:adjustRightInd w:val="0"/>
        <w:snapToGrid w:val="0"/>
        <w:spacing w:line="480" w:lineRule="exact"/>
        <w:rPr>
          <w:rFonts w:eastAsia="宋体"/>
          <w:sz w:val="24"/>
          <w:szCs w:val="24"/>
        </w:rPr>
      </w:pPr>
      <w:bookmarkStart w:id="102" w:name="_Toc32620"/>
      <w:bookmarkStart w:id="103" w:name="_Toc24134"/>
      <w:bookmarkStart w:id="104" w:name="_Toc18985"/>
      <w:r>
        <w:rPr>
          <w:rFonts w:eastAsia="宋体"/>
          <w:sz w:val="24"/>
          <w:szCs w:val="24"/>
        </w:rPr>
        <w:t>3.</w:t>
      </w:r>
      <w:r>
        <w:rPr>
          <w:rFonts w:hint="eastAsia" w:eastAsia="宋体"/>
          <w:sz w:val="24"/>
          <w:szCs w:val="24"/>
        </w:rPr>
        <w:t>5</w:t>
      </w:r>
      <w:r>
        <w:rPr>
          <w:rFonts w:eastAsia="宋体"/>
          <w:sz w:val="24"/>
          <w:szCs w:val="24"/>
        </w:rPr>
        <w:t>生产工艺情况</w:t>
      </w:r>
      <w:bookmarkEnd w:id="99"/>
      <w:bookmarkEnd w:id="102"/>
      <w:bookmarkEnd w:id="103"/>
      <w:bookmarkEnd w:id="104"/>
    </w:p>
    <w:p w14:paraId="039026A5">
      <w:pPr>
        <w:adjustRightInd w:val="0"/>
        <w:snapToGrid w:val="0"/>
        <w:spacing w:line="500" w:lineRule="exact"/>
        <w:ind w:firstLine="480" w:firstLineChars="200"/>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办公</w:t>
      </w:r>
      <w:r>
        <w:rPr>
          <w:rFonts w:hint="eastAsia" w:eastAsiaTheme="minorEastAsia"/>
          <w:color w:val="000000" w:themeColor="text1"/>
          <w14:textFill>
            <w14:solidFill>
              <w14:schemeClr w14:val="tx1"/>
            </w14:solidFill>
          </w14:textFill>
        </w:rPr>
        <w:t>家具，</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w:t>
      </w:r>
    </w:p>
    <w:p w14:paraId="5657D88B">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14:textFill>
            <w14:solidFill>
              <w14:schemeClr w14:val="tx1"/>
            </w14:solidFill>
          </w14:textFill>
        </w:rPr>
        <w:t>10</w:t>
      </w:r>
      <w:r>
        <w:rPr>
          <w:rFonts w:eastAsia="宋体"/>
          <w:b/>
          <w:color w:val="000000" w:themeColor="text1"/>
          <w14:textFill>
            <w14:solidFill>
              <w14:schemeClr w14:val="tx1"/>
            </w14:solidFill>
          </w14:textFill>
        </w:rPr>
        <w:t>公司</w:t>
      </w:r>
      <w:r>
        <w:rPr>
          <w:rFonts w:hint="eastAsia" w:eastAsia="宋体"/>
          <w:b/>
          <w:color w:val="000000" w:themeColor="text1"/>
          <w14:textFill>
            <w14:solidFill>
              <w14:schemeClr w14:val="tx1"/>
            </w14:solidFill>
          </w14:textFill>
        </w:rPr>
        <w:t>现有</w:t>
      </w:r>
      <w:r>
        <w:rPr>
          <w:rFonts w:eastAsia="宋体"/>
          <w:b/>
          <w:color w:val="000000" w:themeColor="text1"/>
          <w14:textFill>
            <w14:solidFill>
              <w14:schemeClr w14:val="tx1"/>
            </w14:solidFill>
          </w14:textFill>
        </w:rPr>
        <w:t>产品概况</w:t>
      </w:r>
    </w:p>
    <w:tbl>
      <w:tblPr>
        <w:tblStyle w:val="38"/>
        <w:tblW w:w="512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956"/>
        <w:gridCol w:w="2332"/>
        <w:gridCol w:w="1789"/>
        <w:gridCol w:w="1655"/>
      </w:tblGrid>
      <w:tr w14:paraId="578D2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Align w:val="center"/>
          </w:tcPr>
          <w:p w14:paraId="0603BD05">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bookmarkStart w:id="105" w:name="_Toc32524"/>
            <w:bookmarkStart w:id="106" w:name="_Toc20743"/>
            <w:bookmarkStart w:id="107" w:name="_Toc18085"/>
            <w:bookmarkStart w:id="108" w:name="_Toc11684"/>
            <w:r>
              <w:rPr>
                <w:rFonts w:hint="eastAsia" w:ascii="宋体" w:hAnsi="宋体" w:eastAsia="宋体" w:cs="宋体"/>
                <w:b/>
                <w:color w:val="000000" w:themeColor="text1"/>
                <w:sz w:val="21"/>
                <w:szCs w:val="21"/>
                <w14:textFill>
                  <w14:solidFill>
                    <w14:schemeClr w14:val="tx1"/>
                  </w14:solidFill>
                </w14:textFill>
              </w:rPr>
              <w:t>序号</w:t>
            </w:r>
          </w:p>
        </w:tc>
        <w:tc>
          <w:tcPr>
            <w:tcW w:w="1535" w:type="pct"/>
            <w:vAlign w:val="center"/>
          </w:tcPr>
          <w:p w14:paraId="6D2F5E28">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1" w:type="pct"/>
            <w:vAlign w:val="center"/>
          </w:tcPr>
          <w:p w14:paraId="0A5316C3">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929" w:type="pct"/>
            <w:vAlign w:val="center"/>
          </w:tcPr>
          <w:p w14:paraId="0F47BC76">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859" w:type="pct"/>
            <w:vAlign w:val="center"/>
          </w:tcPr>
          <w:p w14:paraId="5348E991">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3CF7E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Merge w:val="restart"/>
            <w:vAlign w:val="center"/>
          </w:tcPr>
          <w:p w14:paraId="0495E474">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535" w:type="pct"/>
            <w:vMerge w:val="restart"/>
            <w:vAlign w:val="center"/>
          </w:tcPr>
          <w:p w14:paraId="265E740D">
            <w:pPr>
              <w:pStyle w:val="249"/>
              <w:keepNext w:val="0"/>
              <w:keepLines w:val="0"/>
              <w:pageBreakBefore w:val="0"/>
              <w:widowControl w:val="0"/>
              <w:kinsoku/>
              <w:wordWrap/>
              <w:overflowPunct/>
              <w:topLinePunct w:val="0"/>
              <w:bidi w:val="0"/>
              <w:snapToGrid/>
              <w:spacing w:line="240" w:lineRule="auto"/>
              <w:rPr>
                <w:rFonts w:hint="default" w:ascii="宋体" w:hAnsi="宋体" w:eastAsia="宋体" w:cs="宋体"/>
                <w:color w:val="000000"/>
                <w:sz w:val="21"/>
                <w:szCs w:val="21"/>
                <w:lang w:val="en-US" w:eastAsia="zh-CN"/>
              </w:rPr>
            </w:pPr>
            <w:r>
              <w:rPr>
                <w:rFonts w:hint="eastAsia"/>
                <w:color w:val="000000"/>
                <w:szCs w:val="21"/>
                <w:lang w:val="en-US" w:eastAsia="zh-CN"/>
              </w:rPr>
              <w:t>木质家具生产线</w:t>
            </w:r>
          </w:p>
        </w:tc>
        <w:tc>
          <w:tcPr>
            <w:tcW w:w="1211" w:type="pct"/>
            <w:vAlign w:val="center"/>
          </w:tcPr>
          <w:p w14:paraId="3373A7BD">
            <w:pPr>
              <w:pStyle w:val="249"/>
              <w:rPr>
                <w:rFonts w:hint="eastAsia" w:ascii="宋体" w:hAnsi="宋体" w:eastAsia="宋体" w:cs="宋体"/>
                <w:color w:val="000000"/>
                <w:sz w:val="21"/>
                <w:szCs w:val="21"/>
                <w:lang w:val="en-US" w:eastAsia="zh-CN"/>
              </w:rPr>
            </w:pPr>
            <w:r>
              <w:rPr>
                <w:rFonts w:hint="eastAsia"/>
                <w:color w:val="000000"/>
                <w:szCs w:val="21"/>
                <w:lang w:val="en-US" w:eastAsia="zh-CN"/>
              </w:rPr>
              <w:t>椅子</w:t>
            </w:r>
          </w:p>
        </w:tc>
        <w:tc>
          <w:tcPr>
            <w:tcW w:w="929" w:type="pct"/>
            <w:vAlign w:val="center"/>
          </w:tcPr>
          <w:p w14:paraId="54EB61DB">
            <w:pPr>
              <w:spacing w:beforeLines="30" w:afterLines="3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eastAsia="宋体" w:cs="Times New Roman"/>
                <w:color w:val="000000"/>
                <w:sz w:val="21"/>
                <w:szCs w:val="21"/>
                <w:lang w:val="en-US" w:eastAsia="zh-CN"/>
              </w:rPr>
              <w:t>12万件</w:t>
            </w:r>
          </w:p>
        </w:tc>
        <w:tc>
          <w:tcPr>
            <w:tcW w:w="859" w:type="pct"/>
            <w:vAlign w:val="center"/>
          </w:tcPr>
          <w:p w14:paraId="40A9586C">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2400h</w:t>
            </w:r>
          </w:p>
        </w:tc>
      </w:tr>
      <w:tr w14:paraId="1CC2F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vMerge w:val="continue"/>
            <w:vAlign w:val="center"/>
          </w:tcPr>
          <w:p w14:paraId="132DC5A7">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535" w:type="pct"/>
            <w:vMerge w:val="continue"/>
            <w:vAlign w:val="center"/>
          </w:tcPr>
          <w:p w14:paraId="5E394238">
            <w:pPr>
              <w:pStyle w:val="249"/>
              <w:keepNext w:val="0"/>
              <w:keepLines w:val="0"/>
              <w:pageBreakBefore w:val="0"/>
              <w:widowControl w:val="0"/>
              <w:kinsoku/>
              <w:wordWrap/>
              <w:overflowPunct/>
              <w:topLinePunct w:val="0"/>
              <w:bidi w:val="0"/>
              <w:snapToGrid/>
              <w:spacing w:line="240" w:lineRule="auto"/>
              <w:rPr>
                <w:rFonts w:hint="eastAsia"/>
                <w:color w:val="000000"/>
                <w:szCs w:val="21"/>
                <w:lang w:val="en-US" w:eastAsia="zh-CN"/>
              </w:rPr>
            </w:pPr>
          </w:p>
        </w:tc>
        <w:tc>
          <w:tcPr>
            <w:tcW w:w="1211" w:type="pct"/>
            <w:vAlign w:val="center"/>
          </w:tcPr>
          <w:p w14:paraId="19E25CF2">
            <w:pPr>
              <w:pStyle w:val="249"/>
              <w:rPr>
                <w:rFonts w:hint="eastAsia" w:eastAsia="宋体"/>
                <w:color w:val="000000"/>
                <w:szCs w:val="21"/>
                <w:lang w:val="en-US" w:eastAsia="zh-CN"/>
              </w:rPr>
            </w:pPr>
            <w:r>
              <w:rPr>
                <w:rFonts w:hint="eastAsia"/>
                <w:color w:val="000000"/>
                <w:szCs w:val="21"/>
                <w:lang w:val="en-US" w:eastAsia="zh-CN"/>
              </w:rPr>
              <w:t>茶几</w:t>
            </w:r>
          </w:p>
        </w:tc>
        <w:tc>
          <w:tcPr>
            <w:tcW w:w="929" w:type="pct"/>
            <w:vAlign w:val="center"/>
          </w:tcPr>
          <w:p w14:paraId="6E0C1B22">
            <w:pPr>
              <w:spacing w:beforeLines="30" w:afterLines="30"/>
              <w:jc w:val="center"/>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800件</w:t>
            </w:r>
          </w:p>
        </w:tc>
        <w:tc>
          <w:tcPr>
            <w:tcW w:w="859" w:type="pct"/>
            <w:vAlign w:val="center"/>
          </w:tcPr>
          <w:p w14:paraId="52FEABCB">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14:paraId="4BF99DC8">
      <w:pPr>
        <w:pStyle w:val="5"/>
        <w:adjustRightInd w:val="0"/>
        <w:snapToGrid w:val="0"/>
        <w:spacing w:line="480" w:lineRule="exact"/>
        <w:rPr>
          <w:rFonts w:eastAsia="宋体"/>
        </w:rPr>
      </w:pPr>
      <w:r>
        <w:rPr>
          <w:rFonts w:eastAsia="宋体"/>
        </w:rPr>
        <w:t>3.</w:t>
      </w:r>
      <w:r>
        <w:rPr>
          <w:rFonts w:hint="eastAsia" w:eastAsia="宋体"/>
        </w:rPr>
        <w:t>5</w:t>
      </w:r>
      <w:r>
        <w:rPr>
          <w:rFonts w:eastAsia="宋体"/>
        </w:rPr>
        <w:t>.1生产工艺简介</w:t>
      </w:r>
      <w:bookmarkEnd w:id="105"/>
      <w:bookmarkEnd w:id="106"/>
      <w:bookmarkEnd w:id="107"/>
      <w:bookmarkEnd w:id="108"/>
    </w:p>
    <w:p w14:paraId="2D98F42A">
      <w:pPr>
        <w:adjustRightInd w:val="0"/>
        <w:snapToGrid w:val="0"/>
        <w:spacing w:line="500" w:lineRule="exact"/>
        <w:ind w:firstLine="480" w:firstLineChars="200"/>
        <w:jc w:val="left"/>
        <w:rPr>
          <w:rFonts w:hint="eastAsia" w:eastAsiaTheme="minorEastAsia"/>
          <w:bCs/>
        </w:rPr>
      </w:pPr>
      <w:r>
        <w:rPr>
          <w:rFonts w:hint="eastAsia" w:eastAsiaTheme="minorEastAsia"/>
          <w:bCs/>
        </w:rPr>
        <w:t>项目生产工艺流程图见图3-2。</w:t>
      </w:r>
    </w:p>
    <w:p w14:paraId="6200F038">
      <w:pPr>
        <w:pStyle w:val="48"/>
        <w:ind w:firstLine="0" w:firstLineChars="0"/>
        <w:jc w:val="center"/>
      </w:pPr>
      <w:r>
        <w:drawing>
          <wp:inline distT="0" distB="0" distL="114300" distR="114300">
            <wp:extent cx="5274310" cy="4864735"/>
            <wp:effectExtent l="0" t="0" r="2540" b="12065"/>
            <wp:docPr id="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
                    <pic:cNvPicPr>
                      <a:picLocks noChangeAspect="1"/>
                    </pic:cNvPicPr>
                  </pic:nvPicPr>
                  <pic:blipFill>
                    <a:blip r:embed="rId17"/>
                    <a:stretch>
                      <a:fillRect/>
                    </a:stretch>
                  </pic:blipFill>
                  <pic:spPr>
                    <a:xfrm>
                      <a:off x="0" y="0"/>
                      <a:ext cx="5274310" cy="4864735"/>
                    </a:xfrm>
                    <a:prstGeom prst="rect">
                      <a:avLst/>
                    </a:prstGeom>
                    <a:noFill/>
                    <a:ln>
                      <a:noFill/>
                    </a:ln>
                  </pic:spPr>
                </pic:pic>
              </a:graphicData>
            </a:graphic>
          </wp:inline>
        </w:drawing>
      </w:r>
    </w:p>
    <w:p w14:paraId="25A40826">
      <w:pPr>
        <w:pStyle w:val="13"/>
        <w:spacing w:after="0" w:line="500" w:lineRule="exact"/>
        <w:jc w:val="center"/>
        <w:rPr>
          <w:rFonts w:hint="eastAsia" w:eastAsia="宋体"/>
          <w:b/>
          <w:bCs/>
          <w:kern w:val="0"/>
        </w:rPr>
      </w:pPr>
      <w:bookmarkStart w:id="109" w:name="_Toc11213"/>
      <w:r>
        <w:rPr>
          <w:rFonts w:hint="eastAsia" w:ascii="Times New Roman" w:hAnsi="Times New Roman" w:eastAsia="宋体" w:cs="Times New Roman"/>
          <w:b/>
          <w:bCs/>
          <w:kern w:val="0"/>
          <w:sz w:val="24"/>
          <w:szCs w:val="24"/>
        </w:rPr>
        <w:t>图1-1</w:t>
      </w:r>
      <w:r>
        <w:rPr>
          <w:rFonts w:hint="default" w:ascii="Times New Roman" w:hAnsi="Times New Roman" w:cs="Times New Roman"/>
          <w:b/>
        </w:rPr>
        <w:t>家具生产工艺流程图</w:t>
      </w:r>
    </w:p>
    <w:p w14:paraId="5BBAF897">
      <w:pPr>
        <w:keepNext w:val="0"/>
        <w:keepLines w:val="0"/>
        <w:pageBreakBefore w:val="0"/>
        <w:widowControl w:val="0"/>
        <w:numPr>
          <w:ilvl w:val="-1"/>
          <w:numId w:val="0"/>
        </w:numPr>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1、打磨</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sz w:val="24"/>
          <w:szCs w:val="24"/>
          <w:lang w:val="en-US" w:eastAsia="zh-CN"/>
        </w:rPr>
        <w:t>企业外购的白胚椅子、茶几</w:t>
      </w:r>
      <w:r>
        <w:rPr>
          <w:rFonts w:hint="default" w:ascii="Times New Roman" w:hAnsi="Times New Roman" w:eastAsia="宋体" w:cs="Times New Roman"/>
          <w:color w:val="auto"/>
          <w:sz w:val="24"/>
          <w:szCs w:val="24"/>
        </w:rPr>
        <w:t>工件表面有毛刺，为保证喷漆前工件表面的洁净度，需通过</w:t>
      </w:r>
      <w:r>
        <w:rPr>
          <w:rFonts w:hint="eastAsia" w:ascii="Times New Roman" w:hAnsi="Times New Roman" w:eastAsia="宋体" w:cs="Times New Roman"/>
          <w:color w:val="auto"/>
          <w:sz w:val="24"/>
          <w:szCs w:val="24"/>
          <w:lang w:val="en-US" w:eastAsia="zh-CN"/>
        </w:rPr>
        <w:t>手持打磨机</w:t>
      </w: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白坯椅子和白坯茶几</w:t>
      </w:r>
      <w:r>
        <w:rPr>
          <w:rFonts w:hint="default" w:ascii="Times New Roman" w:hAnsi="Times New Roman" w:eastAsia="宋体" w:cs="Times New Roman"/>
          <w:color w:val="auto"/>
          <w:sz w:val="24"/>
          <w:szCs w:val="24"/>
        </w:rPr>
        <w:t>进行打磨处理，此工序产生</w:t>
      </w:r>
      <w:r>
        <w:rPr>
          <w:rFonts w:hint="eastAsia" w:ascii="Times New Roman" w:hAnsi="Times New Roman" w:eastAsia="宋体" w:cs="Times New Roman"/>
          <w:color w:val="auto"/>
          <w:sz w:val="24"/>
          <w:szCs w:val="24"/>
          <w:lang w:val="en-US" w:eastAsia="zh-CN"/>
        </w:rPr>
        <w:t>打磨</w:t>
      </w:r>
      <w:r>
        <w:rPr>
          <w:rFonts w:hint="default" w:ascii="Times New Roman" w:hAnsi="Times New Roman" w:eastAsia="宋体" w:cs="Times New Roman"/>
          <w:color w:val="auto"/>
          <w:sz w:val="24"/>
          <w:szCs w:val="24"/>
        </w:rPr>
        <w:t>粉</w:t>
      </w:r>
      <w:r>
        <w:rPr>
          <w:rFonts w:hint="default" w:ascii="Times New Roman" w:hAnsi="Times New Roman" w:eastAsia="宋体" w:cs="Times New Roman"/>
          <w:sz w:val="24"/>
          <w:szCs w:val="24"/>
        </w:rPr>
        <w:t>尘G</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和噪声N</w:t>
      </w:r>
      <w:r>
        <w:rPr>
          <w:rFonts w:hint="default" w:ascii="Times New Roman" w:hAnsi="Times New Roman" w:eastAsia="宋体" w:cs="Times New Roman"/>
          <w:color w:val="auto"/>
          <w:kern w:val="0"/>
          <w:sz w:val="24"/>
          <w:szCs w:val="24"/>
          <w:highlight w:val="none"/>
        </w:rPr>
        <w:t>。</w:t>
      </w:r>
    </w:p>
    <w:p w14:paraId="6C7F9ACC">
      <w:pPr>
        <w:numPr>
          <w:ilvl w:val="0"/>
          <w:numId w:val="0"/>
        </w:num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highlight w:val="none"/>
          <w:lang w:val="en-US" w:eastAsia="zh-CN"/>
        </w:rPr>
        <w:t>喷漆</w:t>
      </w:r>
      <w:r>
        <w:rPr>
          <w:rFonts w:hint="eastAsia" w:ascii="Times New Roman" w:hAnsi="Times New Roman" w:eastAsia="宋体" w:cs="Times New Roman"/>
          <w:color w:val="auto"/>
          <w:sz w:val="24"/>
          <w:szCs w:val="24"/>
          <w:highlight w:val="none"/>
        </w:rPr>
        <w:t>：</w:t>
      </w:r>
    </w:p>
    <w:p w14:paraId="0155B237">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①调底漆：调漆在喷漆房内进行，水性漆、固化剂和水按照100:5:10的比例调配。调漆过程产生调漆废气G1</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和废包装桶S1</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w:t>
      </w:r>
    </w:p>
    <w:p w14:paraId="0D8F5082">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②喷底漆：项目喷枪不作业时浸泡在水中，每天工作结束后清洗喷枪，产生喷枪清洗水可作为稀释剂用于调漆，不外排。每次清洗时间约5min，清洗在喷枪工位进行。</w:t>
      </w:r>
    </w:p>
    <w:p w14:paraId="68F1F4FC">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使用水性底漆对工件表面进行喷涂，底漆喷涂两次，厚度为110μm。</w:t>
      </w:r>
    </w:p>
    <w:p w14:paraId="76D6D898">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喷底漆过程产生过喷废气G</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2，采用“水旋柜+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柜补水</w:t>
      </w:r>
      <w:r>
        <w:rPr>
          <w:rFonts w:hint="eastAsia" w:ascii="Times New Roman" w:hAnsi="Times New Roman" w:eastAsia="宋体" w:cs="Times New Roman"/>
          <w:color w:val="auto"/>
          <w:sz w:val="24"/>
          <w:szCs w:val="24"/>
          <w:highlight w:val="none"/>
        </w:rPr>
        <w:t>，不外排。此过程产生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废水W1</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、漆渣S</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w:t>
      </w:r>
    </w:p>
    <w:p w14:paraId="2286A2AC">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③晾干：喷完底漆之后，工件自动推入密闭的晾干区，自然晾干。该过程会产生晾干废气G</w:t>
      </w:r>
      <w:r>
        <w:rPr>
          <w:rFonts w:hint="eastAsia" w:ascii="Times New Roman" w:hAnsi="Times New Roman" w:eastAsia="宋体" w:cs="Times New Roman"/>
          <w:color w:val="auto"/>
          <w:sz w:val="24"/>
          <w:szCs w:val="24"/>
          <w:highlight w:val="none"/>
          <w:lang w:val="en-US" w:eastAsia="zh-CN"/>
        </w:rPr>
        <w:t>1-4</w:t>
      </w:r>
      <w:r>
        <w:rPr>
          <w:rFonts w:hint="eastAsia" w:ascii="Times New Roman" w:hAnsi="Times New Roman" w:eastAsia="宋体" w:cs="Times New Roman"/>
          <w:color w:val="auto"/>
          <w:sz w:val="24"/>
          <w:szCs w:val="24"/>
          <w:highlight w:val="none"/>
        </w:rPr>
        <w:t>。</w:t>
      </w:r>
    </w:p>
    <w:p w14:paraId="417E7A81">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④打磨：根据工件表面漆膜情况，采用气磨进行打磨，去除毛刺，使得表面平整、光滑，便于产生粗糙面，提高涂层的附着力，此过程产生染料尘G</w:t>
      </w:r>
      <w:r>
        <w:rPr>
          <w:rFonts w:hint="eastAsia" w:ascii="Times New Roman" w:hAnsi="Times New Roman" w:eastAsia="宋体"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w:t>
      </w:r>
    </w:p>
    <w:p w14:paraId="40958458">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⑤调修色漆：调漆在喷漆房内进行，水性漆、固化剂、水和色浆按照100:5:10:2.5的比例调配。调漆过程产生调漆废气G</w:t>
      </w:r>
      <w:r>
        <w:rPr>
          <w:rFonts w:hint="eastAsia" w:ascii="Times New Roman" w:hAnsi="Times New Roman" w:eastAsia="宋体" w:cs="Times New Roman"/>
          <w:color w:val="auto"/>
          <w:sz w:val="24"/>
          <w:szCs w:val="24"/>
          <w:highlight w:val="none"/>
          <w:lang w:val="en-US" w:eastAsia="zh-CN"/>
        </w:rPr>
        <w:t>1-6</w:t>
      </w:r>
      <w:r>
        <w:rPr>
          <w:rFonts w:hint="eastAsia" w:ascii="Times New Roman" w:hAnsi="Times New Roman" w:eastAsia="宋体" w:cs="Times New Roman"/>
          <w:color w:val="auto"/>
          <w:sz w:val="24"/>
          <w:szCs w:val="24"/>
          <w:highlight w:val="none"/>
        </w:rPr>
        <w:t>和废包装桶S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3。</w:t>
      </w:r>
    </w:p>
    <w:p w14:paraId="503F90A7">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⑥喷修色漆：项目喷枪不作业时浸泡在水中，每天工作结束后清洗喷枪，产生喷枪清洗水可作为稀释剂用于调漆，不外排。每次清洗时间约5min，清洗在喷枪工位进行。</w:t>
      </w:r>
    </w:p>
    <w:p w14:paraId="56304298">
      <w:pPr>
        <w:numPr>
          <w:ilvl w:val="-1"/>
          <w:numId w:val="0"/>
        </w:numPr>
        <w:spacing w:line="500" w:lineRule="exact"/>
        <w:ind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使用水性修色漆对工件表面进行修色喷涂，喷一道修色漆，形成一层色漆膜，修色漆厚度约为30</w:t>
      </w:r>
      <w:r>
        <w:rPr>
          <w:rFonts w:hint="default" w:ascii="Times New Roman" w:hAnsi="Times New Roman" w:eastAsia="宋体" w:cs="Times New Roman"/>
          <w:color w:val="auto"/>
          <w:sz w:val="24"/>
          <w:szCs w:val="24"/>
          <w:highlight w:val="none"/>
        </w:rPr>
        <w:t>μ</w:t>
      </w:r>
      <w:r>
        <w:rPr>
          <w:rFonts w:hint="eastAsia" w:ascii="Times New Roman" w:hAnsi="Times New Roman" w:eastAsia="宋体" w:cs="Times New Roman"/>
          <w:color w:val="auto"/>
          <w:sz w:val="24"/>
          <w:szCs w:val="24"/>
          <w:highlight w:val="none"/>
        </w:rPr>
        <w:t>m。</w:t>
      </w:r>
    </w:p>
    <w:p w14:paraId="5804B470">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喷修色漆过程产生过喷废气G</w:t>
      </w:r>
      <w:r>
        <w:rPr>
          <w:rFonts w:hint="eastAsia" w:ascii="Times New Roman" w:hAnsi="Times New Roman" w:eastAsia="宋体" w:cs="Times New Roman"/>
          <w:color w:val="auto"/>
          <w:sz w:val="24"/>
          <w:szCs w:val="24"/>
          <w:highlight w:val="none"/>
          <w:lang w:val="en-US" w:eastAsia="zh-CN"/>
        </w:rPr>
        <w:t>1-7</w:t>
      </w:r>
      <w:r>
        <w:rPr>
          <w:rFonts w:hint="eastAsia" w:ascii="Times New Roman" w:hAnsi="Times New Roman" w:eastAsia="宋体" w:cs="Times New Roman"/>
          <w:color w:val="auto"/>
          <w:sz w:val="24"/>
          <w:szCs w:val="24"/>
          <w:highlight w:val="none"/>
        </w:rPr>
        <w:t>，采用“水旋柜+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补</w:t>
      </w:r>
      <w:r>
        <w:rPr>
          <w:rFonts w:hint="eastAsia" w:ascii="Times New Roman" w:hAnsi="Times New Roman" w:eastAsia="宋体" w:cs="Times New Roman"/>
          <w:color w:val="auto"/>
          <w:sz w:val="24"/>
          <w:szCs w:val="24"/>
          <w:highlight w:val="none"/>
        </w:rPr>
        <w:t>水，不外排。此过程产生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2和漆渣S</w:t>
      </w:r>
      <w:r>
        <w:rPr>
          <w:rFonts w:hint="eastAsia" w:ascii="Times New Roman" w:hAnsi="Times New Roman" w:eastAsia="宋体" w:cs="Times New Roman"/>
          <w:color w:val="auto"/>
          <w:sz w:val="24"/>
          <w:szCs w:val="24"/>
          <w:highlight w:val="none"/>
          <w:lang w:val="en-US" w:eastAsia="zh-CN"/>
        </w:rPr>
        <w:t>1-6</w:t>
      </w:r>
      <w:r>
        <w:rPr>
          <w:rFonts w:hint="eastAsia" w:ascii="Times New Roman" w:hAnsi="Times New Roman" w:eastAsia="宋体" w:cs="Times New Roman"/>
          <w:color w:val="auto"/>
          <w:sz w:val="24"/>
          <w:szCs w:val="24"/>
          <w:highlight w:val="none"/>
        </w:rPr>
        <w:t>。</w:t>
      </w:r>
    </w:p>
    <w:p w14:paraId="69629DB3">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⑦晾干：喷完修色漆之后，工件自动推入密闭的晾干区，自然晾干。该过程会产生晾干废气G</w:t>
      </w:r>
      <w:r>
        <w:rPr>
          <w:rFonts w:hint="eastAsia" w:ascii="Times New Roman" w:hAnsi="Times New Roman" w:eastAsia="宋体"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rPr>
        <w:t>。</w:t>
      </w:r>
    </w:p>
    <w:p w14:paraId="77211FE1">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⑧调面漆：调漆在喷漆房内进行，水性面漆、固化剂和水按照100:5:10的比例调配。调漆过程产生调漆废气G</w:t>
      </w:r>
      <w:r>
        <w:rPr>
          <w:rFonts w:hint="eastAsia" w:ascii="Times New Roman" w:hAnsi="Times New Roman" w:eastAsia="宋体" w:cs="Times New Roman"/>
          <w:color w:val="auto"/>
          <w:sz w:val="24"/>
          <w:szCs w:val="24"/>
          <w:highlight w:val="none"/>
          <w:lang w:val="en-US" w:eastAsia="zh-CN"/>
        </w:rPr>
        <w:t>1-9</w:t>
      </w:r>
      <w:r>
        <w:rPr>
          <w:rFonts w:hint="eastAsia" w:ascii="Times New Roman" w:hAnsi="Times New Roman" w:eastAsia="宋体" w:cs="Times New Roman"/>
          <w:color w:val="auto"/>
          <w:sz w:val="24"/>
          <w:szCs w:val="24"/>
          <w:highlight w:val="none"/>
        </w:rPr>
        <w:t>和废包装桶S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5。</w:t>
      </w:r>
    </w:p>
    <w:p w14:paraId="10373936">
      <w:pPr>
        <w:numPr>
          <w:ilvl w:val="-1"/>
          <w:numId w:val="0"/>
        </w:numPr>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⑨喷面漆：项目喷枪不作业时浸泡在水中，每天工作结束后清洗喷枪，产生喷枪清洗水可作为稀释剂用于调漆，不外排。每次清洗时间约5min，清洗在喷枪工位进行。</w:t>
      </w:r>
    </w:p>
    <w:p w14:paraId="1B363A4C">
      <w:pPr>
        <w:numPr>
          <w:ilvl w:val="-1"/>
          <w:numId w:val="0"/>
        </w:numPr>
        <w:spacing w:line="500" w:lineRule="exact"/>
        <w:ind w:firstLine="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使用水性面漆对工件表面进行喷涂，喷一道面漆，形成一层表层漆膜，面漆厚度约为45</w:t>
      </w:r>
      <w:r>
        <w:rPr>
          <w:rFonts w:hint="default" w:ascii="Times New Roman" w:hAnsi="Times New Roman" w:eastAsia="宋体" w:cs="Times New Roman"/>
          <w:color w:val="auto"/>
          <w:sz w:val="24"/>
          <w:szCs w:val="24"/>
          <w:highlight w:val="none"/>
        </w:rPr>
        <w:t>μ</w:t>
      </w:r>
      <w:r>
        <w:rPr>
          <w:rFonts w:hint="eastAsia" w:ascii="Times New Roman" w:hAnsi="Times New Roman" w:eastAsia="宋体" w:cs="Times New Roman"/>
          <w:color w:val="auto"/>
          <w:sz w:val="24"/>
          <w:szCs w:val="24"/>
          <w:highlight w:val="none"/>
        </w:rPr>
        <w:t>m。</w:t>
      </w:r>
    </w:p>
    <w:p w14:paraId="27DE7355">
      <w:pPr>
        <w:numPr>
          <w:ilvl w:val="-1"/>
          <w:numId w:val="0"/>
        </w:numPr>
        <w:adjustRightInd w:val="0"/>
        <w:spacing w:line="50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喷面漆过程产生过喷废气G</w:t>
      </w:r>
      <w:r>
        <w:rPr>
          <w:rFonts w:hint="eastAsia" w:ascii="Times New Roman" w:hAnsi="Times New Roman" w:eastAsia="宋体" w:cs="Times New Roman"/>
          <w:color w:val="auto"/>
          <w:sz w:val="24"/>
          <w:szCs w:val="24"/>
          <w:highlight w:val="none"/>
          <w:lang w:val="en-US" w:eastAsia="zh-CN"/>
        </w:rPr>
        <w:t>1-10</w:t>
      </w:r>
      <w:r>
        <w:rPr>
          <w:rFonts w:hint="eastAsia" w:ascii="Times New Roman" w:hAnsi="Times New Roman" w:eastAsia="宋体" w:cs="Times New Roman"/>
          <w:color w:val="auto"/>
          <w:sz w:val="24"/>
          <w:szCs w:val="24"/>
          <w:highlight w:val="none"/>
        </w:rPr>
        <w:t>，采用“水旋柜+</w:t>
      </w:r>
      <w:r>
        <w:rPr>
          <w:rFonts w:hint="eastAsia" w:ascii="Times New Roman" w:hAnsi="Times New Roman" w:eastAsia="宋体" w:cs="Times New Roman"/>
          <w:color w:val="auto"/>
          <w:sz w:val="24"/>
          <w:szCs w:val="24"/>
          <w:highlight w:val="none"/>
          <w:lang w:val="en-US" w:eastAsia="zh-CN"/>
        </w:rPr>
        <w:t>除雾器+</w:t>
      </w:r>
      <w:r>
        <w:rPr>
          <w:rFonts w:hint="eastAsia" w:ascii="Times New Roman" w:hAnsi="Times New Roman" w:eastAsia="宋体" w:cs="Times New Roman"/>
          <w:color w:val="auto"/>
          <w:sz w:val="24"/>
          <w:szCs w:val="24"/>
          <w:highlight w:val="none"/>
        </w:rPr>
        <w:t>二级活性炭吸附”处理。水旋废水每天添加絮凝剂（AB剂）撇渣处理后循环使用，每5天排入水处理一体机处理后回用于水旋</w:t>
      </w:r>
      <w:r>
        <w:rPr>
          <w:rFonts w:hint="eastAsia" w:ascii="Times New Roman" w:hAnsi="Times New Roman" w:eastAsia="宋体" w:cs="Times New Roman"/>
          <w:color w:val="auto"/>
          <w:sz w:val="24"/>
          <w:szCs w:val="24"/>
          <w:highlight w:val="none"/>
          <w:lang w:val="en-US" w:eastAsia="zh-CN"/>
        </w:rPr>
        <w:t>补</w:t>
      </w:r>
      <w:r>
        <w:rPr>
          <w:rFonts w:hint="eastAsia" w:ascii="Times New Roman" w:hAnsi="Times New Roman" w:eastAsia="宋体" w:cs="Times New Roman"/>
          <w:color w:val="auto"/>
          <w:sz w:val="24"/>
          <w:szCs w:val="24"/>
          <w:highlight w:val="none"/>
        </w:rPr>
        <w:t>水，不外排。此过程产生</w:t>
      </w:r>
      <w:r>
        <w:rPr>
          <w:rFonts w:hint="eastAsia" w:ascii="Times New Roman" w:hAnsi="Times New Roman" w:eastAsia="宋体" w:cs="Times New Roman"/>
          <w:color w:val="auto"/>
          <w:sz w:val="24"/>
          <w:szCs w:val="24"/>
          <w:highlight w:val="none"/>
          <w:lang w:val="en-US" w:eastAsia="zh-CN"/>
        </w:rPr>
        <w:t>水旋</w:t>
      </w:r>
      <w:r>
        <w:rPr>
          <w:rFonts w:hint="eastAsia" w:ascii="Times New Roman" w:hAnsi="Times New Roman" w:eastAsia="宋体" w:cs="Times New Roman"/>
          <w:color w:val="auto"/>
          <w:sz w:val="24"/>
          <w:szCs w:val="24"/>
          <w:highlight w:val="none"/>
        </w:rPr>
        <w:t>废水W</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3和漆渣S</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6。</w:t>
      </w:r>
    </w:p>
    <w:p w14:paraId="0C3827A9">
      <w:pPr>
        <w:numPr>
          <w:ilvl w:val="0"/>
          <w:numId w:val="0"/>
        </w:numPr>
        <w:adjustRightInd w:val="0"/>
        <w:spacing w:line="500" w:lineRule="exact"/>
        <w:ind w:firstLine="480" w:firstLineChars="200"/>
        <w:rPr>
          <w:rFonts w:hint="eastAsia"/>
        </w:rPr>
      </w:pPr>
      <w:r>
        <w:rPr>
          <w:rFonts w:hint="eastAsia" w:ascii="Times New Roman" w:hAnsi="Times New Roman" w:eastAsia="宋体" w:cs="Times New Roman"/>
          <w:color w:val="auto"/>
          <w:sz w:val="24"/>
          <w:szCs w:val="24"/>
          <w:highlight w:val="none"/>
        </w:rPr>
        <w:t>⑩晾干：喷完面漆之后，工件自动推入密闭的晾干区，自然晾干。该过程会产生晾干废气G1</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rPr>
        <w:t>。</w:t>
      </w:r>
    </w:p>
    <w:p w14:paraId="004CA92E">
      <w:pPr>
        <w:pStyle w:val="5"/>
        <w:rPr>
          <w:rFonts w:hint="eastAsia"/>
        </w:rPr>
      </w:pPr>
    </w:p>
    <w:p w14:paraId="08FA837F">
      <w:pPr>
        <w:rPr>
          <w:rFonts w:hint="eastAsia"/>
        </w:rPr>
      </w:pPr>
    </w:p>
    <w:p w14:paraId="5D606E0D">
      <w:pPr>
        <w:pStyle w:val="5"/>
        <w:rPr>
          <w:rFonts w:hint="eastAsia"/>
        </w:rPr>
      </w:pPr>
    </w:p>
    <w:p w14:paraId="24C6A071">
      <w:pPr>
        <w:rPr>
          <w:rFonts w:hint="eastAsia"/>
        </w:rPr>
      </w:pPr>
    </w:p>
    <w:p w14:paraId="6A7BD0FD">
      <w:pPr>
        <w:pStyle w:val="5"/>
        <w:rPr>
          <w:rFonts w:hint="eastAsia"/>
        </w:rPr>
      </w:pPr>
    </w:p>
    <w:p w14:paraId="222ADEEE">
      <w:pPr>
        <w:rPr>
          <w:rFonts w:hint="eastAsia"/>
        </w:rPr>
      </w:pPr>
      <w:r>
        <w:rPr>
          <w:sz w:val="32"/>
          <w:szCs w:val="32"/>
        </w:rPr>
        <w:drawing>
          <wp:anchor distT="0" distB="0" distL="114300" distR="114300" simplePos="0" relativeHeight="251667456" behindDoc="0" locked="0" layoutInCell="1" allowOverlap="1">
            <wp:simplePos x="0" y="0"/>
            <wp:positionH relativeFrom="column">
              <wp:posOffset>285750</wp:posOffset>
            </wp:positionH>
            <wp:positionV relativeFrom="paragraph">
              <wp:posOffset>138430</wp:posOffset>
            </wp:positionV>
            <wp:extent cx="5353050" cy="3352800"/>
            <wp:effectExtent l="0" t="0" r="0" b="0"/>
            <wp:wrapTopAndBottom/>
            <wp:docPr id="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
                    <pic:cNvPicPr>
                      <a:picLocks noChangeAspect="1"/>
                    </pic:cNvPicPr>
                  </pic:nvPicPr>
                  <pic:blipFill>
                    <a:blip r:embed="rId18"/>
                    <a:stretch>
                      <a:fillRect/>
                    </a:stretch>
                  </pic:blipFill>
                  <pic:spPr>
                    <a:xfrm>
                      <a:off x="0" y="0"/>
                      <a:ext cx="5353050" cy="3352800"/>
                    </a:xfrm>
                    <a:prstGeom prst="rect">
                      <a:avLst/>
                    </a:prstGeom>
                    <a:noFill/>
                    <a:ln>
                      <a:noFill/>
                    </a:ln>
                  </pic:spPr>
                </pic:pic>
              </a:graphicData>
            </a:graphic>
          </wp:anchor>
        </w:drawing>
      </w:r>
    </w:p>
    <w:p w14:paraId="53A0393B">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szCs w:val="24"/>
        </w:rPr>
      </w:pPr>
      <w:bookmarkStart w:id="110" w:name="_Toc3593"/>
      <w:bookmarkStart w:id="111" w:name="_Toc23680"/>
      <w:bookmarkStart w:id="112" w:name="_Toc10285"/>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切割：将海绵按照设计的尺寸</w:t>
      </w:r>
      <w:r>
        <w:rPr>
          <w:rFonts w:hint="default" w:ascii="Times New Roman" w:hAnsi="Times New Roman" w:eastAsia="宋体" w:cs="Times New Roman"/>
          <w:color w:val="000000"/>
          <w:sz w:val="24"/>
          <w:szCs w:val="24"/>
          <w:lang w:val="en-US" w:eastAsia="zh-CN"/>
        </w:rPr>
        <w:t>进行人工裁剪</w:t>
      </w:r>
      <w:r>
        <w:rPr>
          <w:rFonts w:hint="default" w:ascii="Times New Roman" w:hAnsi="Times New Roman" w:eastAsia="宋体" w:cs="Times New Roman"/>
          <w:color w:val="000000"/>
          <w:sz w:val="24"/>
          <w:szCs w:val="24"/>
        </w:rPr>
        <w:t>，加工成备用海绵。此工序产生废边角料</w:t>
      </w:r>
      <w:r>
        <w:rPr>
          <w:rFonts w:hint="default" w:ascii="Times New Roman" w:hAnsi="Times New Roman" w:eastAsia="宋体" w:cs="Times New Roman"/>
          <w:sz w:val="24"/>
          <w:szCs w:val="24"/>
        </w:rPr>
        <w:t>S</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和设备噪声N。</w:t>
      </w:r>
    </w:p>
    <w:p w14:paraId="504BCFCC">
      <w:pPr>
        <w:keepNext w:val="0"/>
        <w:keepLines w:val="0"/>
        <w:pageBreakBefore w:val="0"/>
        <w:widowControl w:val="0"/>
        <w:numPr>
          <w:ilvl w:val="-1"/>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缝纫：使用缝纫机将切割好的海绵装订成合适的大小和形状。 </w:t>
      </w:r>
    </w:p>
    <w:p w14:paraId="41D35962">
      <w:pPr>
        <w:pStyle w:val="15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贴海绵：在海绵表面喷一层海绵胶，以胶水层均匀覆盖材质为佳，胶层不宜太厚，按海绵成品要求将不同规格尺寸的海绵粘合，粘合后的海绵成品自然干燥固化。此工序产生胶黏废气G</w:t>
      </w:r>
      <w:r>
        <w:rPr>
          <w:rFonts w:hint="default"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、废包装桶S</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、胶渣S</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w:t>
      </w:r>
    </w:p>
    <w:p w14:paraId="555B5876">
      <w:pPr>
        <w:pStyle w:val="15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
          <w:bCs/>
          <w:kern w:val="0"/>
          <w:sz w:val="24"/>
          <w:szCs w:val="24"/>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扪皮：使用缝制好的面料将剪切成型的海绵套住，形成坐垫、靠垫垫等配件。</w:t>
      </w:r>
    </w:p>
    <w:p w14:paraId="1041F558">
      <w:pPr>
        <w:pStyle w:val="155"/>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开料：使用断料锯、带锯等设备将原木按照图纸设计的尺寸裁切，加工成待加工的工件。此工序会产生木粉尘G</w:t>
      </w:r>
      <w:r>
        <w:rPr>
          <w:rFonts w:hint="default" w:ascii="Times New Roman" w:hAnsi="Times New Roman" w:eastAsia="宋体" w:cs="Times New Roman"/>
          <w:color w:val="000000"/>
          <w:sz w:val="24"/>
          <w:szCs w:val="24"/>
          <w:lang w:val="en-US" w:eastAsia="zh-CN"/>
        </w:rPr>
        <w:t>2-2</w:t>
      </w:r>
      <w:r>
        <w:rPr>
          <w:rFonts w:hint="default" w:ascii="Times New Roman" w:hAnsi="Times New Roman" w:eastAsia="宋体" w:cs="Times New Roman"/>
          <w:color w:val="000000"/>
          <w:sz w:val="24"/>
          <w:szCs w:val="24"/>
        </w:rPr>
        <w:t>、废木料S</w:t>
      </w:r>
      <w:r>
        <w:rPr>
          <w:rFonts w:hint="default" w:ascii="Times New Roman" w:hAnsi="Times New Roman" w:eastAsia="宋体" w:cs="Times New Roman"/>
          <w:color w:val="000000"/>
          <w:sz w:val="24"/>
          <w:szCs w:val="24"/>
          <w:lang w:val="en-US" w:eastAsia="zh-CN"/>
        </w:rPr>
        <w:t>2-4</w:t>
      </w:r>
      <w:r>
        <w:rPr>
          <w:rFonts w:hint="default" w:ascii="Times New Roman" w:hAnsi="Times New Roman" w:eastAsia="宋体" w:cs="Times New Roman"/>
          <w:color w:val="000000"/>
          <w:sz w:val="24"/>
          <w:szCs w:val="24"/>
        </w:rPr>
        <w:t>和设备噪声N。</w:t>
      </w:r>
    </w:p>
    <w:p w14:paraId="0339CF3A">
      <w:pPr>
        <w:pStyle w:val="155"/>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lang w:val="en-US" w:eastAsia="zh-CN"/>
        </w:rPr>
        <w:t>嵌木条：将裁剪好的木条嵌入白坯椅子中，用来支撑椅子上的软包坐垫。</w:t>
      </w:r>
      <w:r>
        <w:rPr>
          <w:rFonts w:hint="default" w:ascii="Times New Roman" w:hAnsi="Times New Roman" w:eastAsia="宋体" w:cs="Times New Roman"/>
          <w:color w:val="000000"/>
          <w:sz w:val="24"/>
          <w:szCs w:val="24"/>
        </w:rPr>
        <w:t xml:space="preserve">     </w:t>
      </w:r>
    </w:p>
    <w:p w14:paraId="2C87FAF7">
      <w:pPr>
        <w:pStyle w:val="155"/>
        <w:keepNext w:val="0"/>
        <w:keepLines w:val="0"/>
        <w:spacing w:line="500" w:lineRule="exact"/>
        <w:ind w:firstLine="480"/>
        <w:rPr>
          <w:rFonts w:eastAsia="宋体"/>
        </w:rPr>
      </w:pPr>
      <w:r>
        <w:rPr>
          <w:rFonts w:hint="eastAsia" w:ascii="Times New Roman" w:hAnsi="Times New Roman" w:eastAsia="宋体" w:cs="Times New Roman"/>
          <w:color w:val="000000"/>
          <w:sz w:val="24"/>
          <w:szCs w:val="24"/>
          <w:lang w:val="en-US" w:eastAsia="zh-CN"/>
        </w:rPr>
        <w:t>7、</w:t>
      </w:r>
      <w:r>
        <w:rPr>
          <w:rFonts w:hint="default" w:ascii="Times New Roman" w:hAnsi="Times New Roman" w:eastAsia="宋体" w:cs="Times New Roman"/>
          <w:sz w:val="24"/>
          <w:szCs w:val="24"/>
        </w:rPr>
        <w:t>组装：使用白乳胶对各部件进行粘合组装，此工序白乳胶产生少量胶黏废气 G10。组装后即得</w:t>
      </w:r>
      <w:r>
        <w:rPr>
          <w:rFonts w:hint="default" w:ascii="Times New Roman" w:hAnsi="Times New Roman" w:eastAsia="宋体" w:cs="Times New Roman"/>
          <w:sz w:val="24"/>
          <w:szCs w:val="24"/>
          <w:lang w:val="en-US" w:eastAsia="zh-CN"/>
        </w:rPr>
        <w:t>软包</w:t>
      </w:r>
      <w:r>
        <w:rPr>
          <w:rFonts w:hint="default" w:ascii="Times New Roman" w:hAnsi="Times New Roman" w:eastAsia="宋体" w:cs="Times New Roman"/>
          <w:sz w:val="24"/>
          <w:szCs w:val="24"/>
        </w:rPr>
        <w:t>成品。</w:t>
      </w:r>
      <w:r>
        <w:rPr>
          <w:sz w:val="32"/>
          <w:szCs w:val="32"/>
        </w:rPr>
        <w:drawing>
          <wp:anchor distT="0" distB="0" distL="114300" distR="114300" simplePos="0" relativeHeight="251668480" behindDoc="0" locked="0" layoutInCell="1" allowOverlap="1">
            <wp:simplePos x="0" y="0"/>
            <wp:positionH relativeFrom="column">
              <wp:posOffset>274955</wp:posOffset>
            </wp:positionH>
            <wp:positionV relativeFrom="paragraph">
              <wp:posOffset>147955</wp:posOffset>
            </wp:positionV>
            <wp:extent cx="4448175" cy="1619250"/>
            <wp:effectExtent l="0" t="0" r="9525" b="0"/>
            <wp:wrapTopAndBottom/>
            <wp:docPr id="1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
                    <pic:cNvPicPr>
                      <a:picLocks noChangeAspect="1"/>
                    </pic:cNvPicPr>
                  </pic:nvPicPr>
                  <pic:blipFill>
                    <a:blip r:embed="rId19"/>
                    <a:stretch>
                      <a:fillRect/>
                    </a:stretch>
                  </pic:blipFill>
                  <pic:spPr>
                    <a:xfrm>
                      <a:off x="0" y="0"/>
                      <a:ext cx="4448175" cy="1619250"/>
                    </a:xfrm>
                    <a:prstGeom prst="rect">
                      <a:avLst/>
                    </a:prstGeom>
                    <a:noFill/>
                    <a:ln>
                      <a:noFill/>
                    </a:ln>
                  </pic:spPr>
                </pic:pic>
              </a:graphicData>
            </a:graphic>
          </wp:anchor>
        </w:drawing>
      </w:r>
    </w:p>
    <w:p w14:paraId="7AADE29F">
      <w:pPr>
        <w:rPr>
          <w:rFonts w:eastAsia="宋体"/>
        </w:rPr>
      </w:pPr>
    </w:p>
    <w:p w14:paraId="618795C6">
      <w:pPr>
        <w:keepNext w:val="0"/>
        <w:keepLines w:val="0"/>
        <w:pageBreakBefore w:val="0"/>
        <w:widowControl w:val="0"/>
        <w:numPr>
          <w:ilvl w:val="0"/>
          <w:numId w:val="4"/>
        </w:numPr>
        <w:kinsoku/>
        <w:wordWrap/>
        <w:overflowPunct/>
        <w:topLinePunct w:val="0"/>
        <w:bidi w:val="0"/>
        <w:spacing w:line="50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贴合：在木框架表面喷一层海绵胶，以胶水层均匀覆盖材质为佳，胶层不宜太厚，按海绵成品按要求与木框架粘合，粘合后自然干燥固化。此工序产生胶黏废气G</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1、废包装桶S</w:t>
      </w:r>
      <w:r>
        <w:rPr>
          <w:rFonts w:hint="default"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、胶渣S</w:t>
      </w:r>
      <w:r>
        <w:rPr>
          <w:rFonts w:hint="default"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rPr>
        <w:t>。</w:t>
      </w:r>
    </w:p>
    <w:p w14:paraId="0A5A0EAD">
      <w:pPr>
        <w:pStyle w:val="5"/>
        <w:jc w:val="left"/>
        <w:rPr>
          <w:rFonts w:ascii="Times New Roman" w:hAnsi="Times New Roman" w:eastAsia="宋体" w:cs="Times New Roman"/>
          <w:b w:val="0"/>
          <w:bCs w:val="0"/>
          <w:szCs w:val="24"/>
        </w:rPr>
      </w:pP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组装：将软包成品粘在贴合后的木框架上即可得最终产品。</w:t>
      </w:r>
    </w:p>
    <w:p w14:paraId="3D158CE4">
      <w:pPr>
        <w:pStyle w:val="5"/>
        <w:adjustRightInd w:val="0"/>
        <w:snapToGrid w:val="0"/>
        <w:spacing w:line="480" w:lineRule="exact"/>
      </w:pPr>
      <w:r>
        <w:rPr>
          <w:rFonts w:eastAsia="宋体"/>
        </w:rPr>
        <w:t>3.</w:t>
      </w:r>
      <w:r>
        <w:rPr>
          <w:rFonts w:hint="eastAsia" w:eastAsia="宋体"/>
        </w:rPr>
        <w:t>5</w:t>
      </w:r>
      <w:r>
        <w:rPr>
          <w:rFonts w:eastAsia="宋体"/>
        </w:rPr>
        <w:t>.2生产设备</w:t>
      </w:r>
      <w:bookmarkEnd w:id="109"/>
      <w:bookmarkEnd w:id="110"/>
      <w:bookmarkEnd w:id="111"/>
      <w:bookmarkEnd w:id="112"/>
    </w:p>
    <w:p w14:paraId="462177AF">
      <w:pPr>
        <w:adjustRightInd w:val="0"/>
        <w:snapToGrid w:val="0"/>
        <w:spacing w:line="500" w:lineRule="exact"/>
        <w:ind w:firstLine="480" w:firstLineChars="200"/>
        <w:rPr>
          <w:rFonts w:eastAsia="宋体"/>
          <w:kern w:val="0"/>
        </w:rPr>
      </w:pPr>
      <w:r>
        <w:rPr>
          <w:rFonts w:eastAsia="宋体"/>
          <w:kern w:val="0"/>
        </w:rPr>
        <w:t>公司生产及公用设备见表3-1</w:t>
      </w:r>
      <w:r>
        <w:rPr>
          <w:rFonts w:hint="eastAsia" w:eastAsia="宋体"/>
          <w:kern w:val="0"/>
        </w:rPr>
        <w:t>1</w:t>
      </w:r>
      <w:r>
        <w:rPr>
          <w:rFonts w:eastAsia="宋体"/>
          <w:kern w:val="0"/>
        </w:rPr>
        <w:t>。</w:t>
      </w:r>
    </w:p>
    <w:p w14:paraId="5439410B">
      <w:pPr>
        <w:pStyle w:val="4"/>
        <w:ind w:firstLine="0" w:firstLineChars="0"/>
        <w:rPr>
          <w:rFonts w:eastAsia="宋体"/>
          <w:kern w:val="0"/>
        </w:rPr>
      </w:pPr>
    </w:p>
    <w:p w14:paraId="0C533D9F">
      <w:pPr>
        <w:adjustRightInd w:val="0"/>
        <w:snapToGrid w:val="0"/>
        <w:spacing w:line="500" w:lineRule="exact"/>
        <w:jc w:val="center"/>
        <w:rPr>
          <w:rFonts w:eastAsia="宋体"/>
          <w:b/>
        </w:rPr>
      </w:pPr>
      <w:r>
        <w:rPr>
          <w:rFonts w:eastAsia="宋体"/>
          <w:b/>
        </w:rPr>
        <w:t>表3-1</w:t>
      </w:r>
      <w:r>
        <w:rPr>
          <w:rFonts w:hint="eastAsia" w:eastAsia="宋体"/>
          <w:b/>
        </w:rPr>
        <w:t>1</w:t>
      </w:r>
      <w:r>
        <w:rPr>
          <w:rFonts w:eastAsia="宋体"/>
          <w:b/>
        </w:rPr>
        <w:t>主要生产及公用设备统计表</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00"/>
        <w:gridCol w:w="2405"/>
        <w:gridCol w:w="2556"/>
        <w:gridCol w:w="1816"/>
      </w:tblGrid>
      <w:tr w14:paraId="26DA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448" w:type="pct"/>
            <w:tcBorders>
              <w:tl2br w:val="nil"/>
              <w:tr2bl w:val="nil"/>
            </w:tcBorders>
            <w:shd w:val="clear" w:color="auto" w:fill="auto"/>
            <w:vAlign w:val="center"/>
          </w:tcPr>
          <w:p w14:paraId="30F104C9">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序号</w:t>
            </w:r>
          </w:p>
        </w:tc>
        <w:tc>
          <w:tcPr>
            <w:tcW w:w="846" w:type="pct"/>
            <w:tcBorders>
              <w:tl2br w:val="nil"/>
              <w:tr2bl w:val="nil"/>
            </w:tcBorders>
            <w:shd w:val="clear" w:color="auto" w:fill="auto"/>
            <w:vAlign w:val="center"/>
          </w:tcPr>
          <w:p w14:paraId="424F0FC7">
            <w:pPr>
              <w:pStyle w:val="252"/>
              <w:spacing w:line="240" w:lineRule="auto"/>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位置</w:t>
            </w:r>
          </w:p>
        </w:tc>
        <w:tc>
          <w:tcPr>
            <w:tcW w:w="1197" w:type="pct"/>
            <w:tcBorders>
              <w:tl2br w:val="nil"/>
              <w:tr2bl w:val="nil"/>
            </w:tcBorders>
            <w:shd w:val="clear" w:color="auto" w:fill="auto"/>
            <w:vAlign w:val="center"/>
          </w:tcPr>
          <w:p w14:paraId="6090F5E0">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名称</w:t>
            </w:r>
          </w:p>
        </w:tc>
        <w:tc>
          <w:tcPr>
            <w:tcW w:w="1272" w:type="pct"/>
            <w:tcBorders>
              <w:tl2br w:val="nil"/>
              <w:tr2bl w:val="nil"/>
            </w:tcBorders>
            <w:shd w:val="clear" w:color="auto" w:fill="auto"/>
            <w:vAlign w:val="center"/>
          </w:tcPr>
          <w:p w14:paraId="7C914651">
            <w:pPr>
              <w:pStyle w:val="252"/>
              <w:spacing w:line="240" w:lineRule="auto"/>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lang w:val="zh-CN"/>
                <w14:textFill>
                  <w14:solidFill>
                    <w14:schemeClr w14:val="tx1"/>
                  </w14:solidFill>
                </w14:textFill>
              </w:rPr>
              <w:t>规格/型号</w:t>
            </w:r>
          </w:p>
        </w:tc>
        <w:tc>
          <w:tcPr>
            <w:tcW w:w="904" w:type="pct"/>
            <w:tcBorders>
              <w:tl2br w:val="nil"/>
              <w:tr2bl w:val="nil"/>
            </w:tcBorders>
            <w:shd w:val="clear" w:color="auto" w:fill="auto"/>
            <w:vAlign w:val="center"/>
          </w:tcPr>
          <w:p w14:paraId="69D7AC89">
            <w:pPr>
              <w:snapToGrid w:val="0"/>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val="zh-CN"/>
                <w14:textFill>
                  <w14:solidFill>
                    <w14:schemeClr w14:val="tx1"/>
                  </w14:solidFill>
                </w14:textFill>
              </w:rPr>
              <w:t>实际数量(台/套)</w:t>
            </w:r>
          </w:p>
        </w:tc>
      </w:tr>
      <w:tr w14:paraId="3033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3E0E5DB0">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46" w:type="pct"/>
            <w:vMerge w:val="restart"/>
            <w:tcBorders>
              <w:tl2br w:val="nil"/>
              <w:tr2bl w:val="nil"/>
            </w:tcBorders>
            <w:shd w:val="clear" w:color="auto" w:fill="auto"/>
            <w:vAlign w:val="center"/>
          </w:tcPr>
          <w:p w14:paraId="45729CDB">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2楼</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车间</w:t>
            </w:r>
          </w:p>
        </w:tc>
        <w:tc>
          <w:tcPr>
            <w:tcW w:w="1197" w:type="pct"/>
            <w:tcBorders>
              <w:tl2br w:val="nil"/>
              <w:tr2bl w:val="nil"/>
            </w:tcBorders>
            <w:shd w:val="clear" w:color="auto" w:fill="auto"/>
            <w:vAlign w:val="center"/>
          </w:tcPr>
          <w:p w14:paraId="70B218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断料锯</w:t>
            </w:r>
          </w:p>
        </w:tc>
        <w:tc>
          <w:tcPr>
            <w:tcW w:w="1272" w:type="pct"/>
            <w:tcBorders>
              <w:tl2br w:val="nil"/>
              <w:tr2bl w:val="nil"/>
            </w:tcBorders>
            <w:shd w:val="clear" w:color="auto" w:fill="auto"/>
            <w:vAlign w:val="center"/>
          </w:tcPr>
          <w:p w14:paraId="318890C6">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szCs w:val="21"/>
              </w:rPr>
              <w:t>/</w:t>
            </w:r>
          </w:p>
        </w:tc>
        <w:tc>
          <w:tcPr>
            <w:tcW w:w="904" w:type="pct"/>
            <w:tcBorders>
              <w:tl2br w:val="nil"/>
              <w:tr2bl w:val="nil"/>
            </w:tcBorders>
            <w:shd w:val="clear" w:color="auto" w:fill="auto"/>
            <w:vAlign w:val="center"/>
          </w:tcPr>
          <w:p w14:paraId="4F749020">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w:t>
            </w:r>
          </w:p>
        </w:tc>
      </w:tr>
      <w:tr w14:paraId="7A92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19E47380">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46" w:type="pct"/>
            <w:vMerge w:val="continue"/>
            <w:tcBorders>
              <w:tl2br w:val="nil"/>
              <w:tr2bl w:val="nil"/>
            </w:tcBorders>
            <w:shd w:val="clear" w:color="auto" w:fill="auto"/>
            <w:vAlign w:val="center"/>
          </w:tcPr>
          <w:p w14:paraId="2D7EA3A3">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7377371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带锯</w:t>
            </w:r>
          </w:p>
        </w:tc>
        <w:tc>
          <w:tcPr>
            <w:tcW w:w="1272" w:type="pct"/>
            <w:tcBorders>
              <w:tl2br w:val="nil"/>
              <w:tr2bl w:val="nil"/>
            </w:tcBorders>
            <w:shd w:val="clear" w:color="auto" w:fill="auto"/>
            <w:vAlign w:val="center"/>
          </w:tcPr>
          <w:p w14:paraId="49A3F690">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904" w:type="pct"/>
            <w:tcBorders>
              <w:tl2br w:val="nil"/>
              <w:tr2bl w:val="nil"/>
            </w:tcBorders>
            <w:shd w:val="clear" w:color="auto" w:fill="auto"/>
            <w:vAlign w:val="center"/>
          </w:tcPr>
          <w:p w14:paraId="5F9C0CD7">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62E8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7EE54841">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846" w:type="pct"/>
            <w:vMerge w:val="continue"/>
            <w:tcBorders>
              <w:tl2br w:val="nil"/>
              <w:tr2bl w:val="nil"/>
            </w:tcBorders>
            <w:shd w:val="clear" w:color="auto" w:fill="auto"/>
            <w:vAlign w:val="center"/>
          </w:tcPr>
          <w:p w14:paraId="4A7F6061">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6A32132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打眼机</w:t>
            </w:r>
          </w:p>
        </w:tc>
        <w:tc>
          <w:tcPr>
            <w:tcW w:w="1272" w:type="pct"/>
            <w:tcBorders>
              <w:tl2br w:val="nil"/>
              <w:tr2bl w:val="nil"/>
            </w:tcBorders>
            <w:shd w:val="clear" w:color="auto" w:fill="auto"/>
            <w:vAlign w:val="center"/>
          </w:tcPr>
          <w:p w14:paraId="16C99731">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904" w:type="pct"/>
            <w:tcBorders>
              <w:tl2br w:val="nil"/>
              <w:tr2bl w:val="nil"/>
            </w:tcBorders>
            <w:shd w:val="clear" w:color="auto" w:fill="auto"/>
            <w:vAlign w:val="center"/>
          </w:tcPr>
          <w:p w14:paraId="63752F41">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47CF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8" w:type="pct"/>
            <w:tcBorders>
              <w:tl2br w:val="nil"/>
              <w:tr2bl w:val="nil"/>
            </w:tcBorders>
            <w:shd w:val="clear" w:color="auto" w:fill="auto"/>
            <w:vAlign w:val="center"/>
          </w:tcPr>
          <w:p w14:paraId="58B16F44">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846" w:type="pct"/>
            <w:vMerge w:val="continue"/>
            <w:tcBorders>
              <w:tl2br w:val="nil"/>
              <w:tr2bl w:val="nil"/>
            </w:tcBorders>
            <w:shd w:val="clear" w:color="auto" w:fill="auto"/>
            <w:vAlign w:val="center"/>
          </w:tcPr>
          <w:p w14:paraId="48E98535">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38B4954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压刨机</w:t>
            </w:r>
          </w:p>
        </w:tc>
        <w:tc>
          <w:tcPr>
            <w:tcW w:w="1272" w:type="pct"/>
            <w:tcBorders>
              <w:tl2br w:val="nil"/>
              <w:tr2bl w:val="nil"/>
            </w:tcBorders>
            <w:shd w:val="clear" w:color="auto" w:fill="auto"/>
            <w:vAlign w:val="center"/>
          </w:tcPr>
          <w:p w14:paraId="22B5A37C">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904" w:type="pct"/>
            <w:tcBorders>
              <w:tl2br w:val="nil"/>
              <w:tr2bl w:val="nil"/>
            </w:tcBorders>
            <w:shd w:val="clear" w:color="auto" w:fill="auto"/>
            <w:vAlign w:val="center"/>
          </w:tcPr>
          <w:p w14:paraId="5AFDF65B">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Cs w:val="21"/>
              </w:rPr>
              <w:t>1</w:t>
            </w:r>
          </w:p>
        </w:tc>
      </w:tr>
      <w:tr w14:paraId="2A88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49482798">
            <w:pPr>
              <w:pStyle w:val="252"/>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846" w:type="pct"/>
            <w:vMerge w:val="continue"/>
            <w:tcBorders>
              <w:tl2br w:val="nil"/>
              <w:tr2bl w:val="nil"/>
            </w:tcBorders>
            <w:shd w:val="clear" w:color="auto" w:fill="auto"/>
            <w:vAlign w:val="center"/>
          </w:tcPr>
          <w:p w14:paraId="15E8B6F0">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7173DD4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精密锯</w:t>
            </w:r>
          </w:p>
        </w:tc>
        <w:tc>
          <w:tcPr>
            <w:tcW w:w="1272" w:type="pct"/>
            <w:tcBorders>
              <w:tl2br w:val="nil"/>
              <w:tr2bl w:val="nil"/>
            </w:tcBorders>
            <w:shd w:val="clear" w:color="auto" w:fill="auto"/>
            <w:vAlign w:val="center"/>
          </w:tcPr>
          <w:p w14:paraId="626D7245">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904" w:type="pct"/>
            <w:tcBorders>
              <w:tl2br w:val="nil"/>
              <w:tr2bl w:val="nil"/>
            </w:tcBorders>
            <w:shd w:val="clear" w:color="auto" w:fill="auto"/>
            <w:vAlign w:val="center"/>
          </w:tcPr>
          <w:p w14:paraId="6DD63D56">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Cs w:val="21"/>
              </w:rPr>
              <w:t>1</w:t>
            </w:r>
          </w:p>
        </w:tc>
      </w:tr>
      <w:tr w14:paraId="20A6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391731A9">
            <w:pPr>
              <w:pStyle w:val="252"/>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6</w:t>
            </w:r>
          </w:p>
        </w:tc>
        <w:tc>
          <w:tcPr>
            <w:tcW w:w="846" w:type="pct"/>
            <w:vMerge w:val="continue"/>
            <w:tcBorders>
              <w:tl2br w:val="nil"/>
              <w:tr2bl w:val="nil"/>
            </w:tcBorders>
            <w:shd w:val="clear" w:color="auto" w:fill="auto"/>
            <w:vAlign w:val="center"/>
          </w:tcPr>
          <w:p w14:paraId="0D44686E">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53CE721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手持式打磨机</w:t>
            </w:r>
          </w:p>
        </w:tc>
        <w:tc>
          <w:tcPr>
            <w:tcW w:w="1272" w:type="pct"/>
            <w:tcBorders>
              <w:tl2br w:val="nil"/>
              <w:tr2bl w:val="nil"/>
            </w:tcBorders>
            <w:shd w:val="clear" w:color="auto" w:fill="auto"/>
            <w:vAlign w:val="center"/>
          </w:tcPr>
          <w:p w14:paraId="6F5AB1C5">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2CEA1E5B">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9</w:t>
            </w:r>
          </w:p>
        </w:tc>
      </w:tr>
      <w:tr w14:paraId="392D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26128E8F">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846" w:type="pct"/>
            <w:vMerge w:val="continue"/>
            <w:tcBorders>
              <w:tl2br w:val="nil"/>
              <w:tr2bl w:val="nil"/>
            </w:tcBorders>
            <w:shd w:val="clear" w:color="auto" w:fill="auto"/>
            <w:vAlign w:val="center"/>
          </w:tcPr>
          <w:p w14:paraId="129D5DE2">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DE42B7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打磨房*</w:t>
            </w:r>
          </w:p>
        </w:tc>
        <w:tc>
          <w:tcPr>
            <w:tcW w:w="1272" w:type="pct"/>
            <w:tcBorders>
              <w:tl2br w:val="nil"/>
              <w:tr2bl w:val="nil"/>
            </w:tcBorders>
            <w:shd w:val="clear" w:color="auto" w:fill="auto"/>
            <w:vAlign w:val="center"/>
          </w:tcPr>
          <w:p w14:paraId="3548C0C4">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26.54m*4.36m*3.04m</w:t>
            </w:r>
          </w:p>
        </w:tc>
        <w:tc>
          <w:tcPr>
            <w:tcW w:w="904" w:type="pct"/>
            <w:tcBorders>
              <w:tl2br w:val="nil"/>
              <w:tr2bl w:val="nil"/>
            </w:tcBorders>
            <w:shd w:val="clear" w:color="auto" w:fill="auto"/>
            <w:vAlign w:val="center"/>
          </w:tcPr>
          <w:p w14:paraId="59866380">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4945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3E4884A8">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846" w:type="pct"/>
            <w:vMerge w:val="continue"/>
            <w:tcBorders>
              <w:tl2br w:val="nil"/>
              <w:tr2bl w:val="nil"/>
            </w:tcBorders>
            <w:shd w:val="clear" w:color="auto" w:fill="auto"/>
            <w:vAlign w:val="center"/>
          </w:tcPr>
          <w:p w14:paraId="45733F90">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2B5E299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底漆房</w:t>
            </w:r>
          </w:p>
        </w:tc>
        <w:tc>
          <w:tcPr>
            <w:tcW w:w="1272" w:type="pct"/>
            <w:tcBorders>
              <w:tl2br w:val="nil"/>
              <w:tr2bl w:val="nil"/>
            </w:tcBorders>
            <w:shd w:val="clear" w:color="auto" w:fill="auto"/>
            <w:vAlign w:val="center"/>
          </w:tcPr>
          <w:p w14:paraId="3D1A631E">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5m*6m*3.05m</w:t>
            </w:r>
          </w:p>
        </w:tc>
        <w:tc>
          <w:tcPr>
            <w:tcW w:w="904" w:type="pct"/>
            <w:tcBorders>
              <w:tl2br w:val="nil"/>
              <w:tr2bl w:val="nil"/>
            </w:tcBorders>
            <w:shd w:val="clear" w:color="auto" w:fill="auto"/>
            <w:vAlign w:val="center"/>
          </w:tcPr>
          <w:p w14:paraId="583E5E86">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szCs w:val="21"/>
                <w:lang w:val="en-US" w:eastAsia="zh-CN"/>
              </w:rPr>
              <w:t>1</w:t>
            </w:r>
          </w:p>
        </w:tc>
      </w:tr>
      <w:tr w14:paraId="7715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4003F8AE">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846" w:type="pct"/>
            <w:vMerge w:val="continue"/>
            <w:tcBorders>
              <w:tl2br w:val="nil"/>
              <w:tr2bl w:val="nil"/>
            </w:tcBorders>
            <w:shd w:val="clear" w:color="auto" w:fill="auto"/>
            <w:vAlign w:val="center"/>
          </w:tcPr>
          <w:p w14:paraId="1F136C4D">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50290BC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面漆房</w:t>
            </w:r>
          </w:p>
        </w:tc>
        <w:tc>
          <w:tcPr>
            <w:tcW w:w="1272" w:type="pct"/>
            <w:tcBorders>
              <w:tl2br w:val="nil"/>
              <w:tr2bl w:val="nil"/>
            </w:tcBorders>
            <w:shd w:val="clear" w:color="auto" w:fill="auto"/>
            <w:vAlign w:val="center"/>
          </w:tcPr>
          <w:p w14:paraId="336DF7F6">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5m*6m*3.05m</w:t>
            </w:r>
          </w:p>
        </w:tc>
        <w:tc>
          <w:tcPr>
            <w:tcW w:w="904" w:type="pct"/>
            <w:tcBorders>
              <w:tl2br w:val="nil"/>
              <w:tr2bl w:val="nil"/>
            </w:tcBorders>
            <w:shd w:val="clear" w:color="auto" w:fill="auto"/>
            <w:vAlign w:val="center"/>
          </w:tcPr>
          <w:p w14:paraId="61619E55">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70A6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4CD88E9C">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846" w:type="pct"/>
            <w:vMerge w:val="continue"/>
            <w:tcBorders>
              <w:tl2br w:val="nil"/>
              <w:tr2bl w:val="nil"/>
            </w:tcBorders>
            <w:shd w:val="clear" w:color="auto" w:fill="auto"/>
            <w:vAlign w:val="center"/>
          </w:tcPr>
          <w:p w14:paraId="236D440E">
            <w:pPr>
              <w:widowControl/>
              <w:jc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p>
        </w:tc>
        <w:tc>
          <w:tcPr>
            <w:tcW w:w="1197" w:type="pct"/>
            <w:tcBorders>
              <w:tl2br w:val="nil"/>
              <w:tr2bl w:val="nil"/>
            </w:tcBorders>
            <w:shd w:val="clear" w:color="auto" w:fill="auto"/>
            <w:vAlign w:val="center"/>
          </w:tcPr>
          <w:p w14:paraId="6C246DF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底漆晾干房</w:t>
            </w:r>
          </w:p>
        </w:tc>
        <w:tc>
          <w:tcPr>
            <w:tcW w:w="1272" w:type="pct"/>
            <w:tcBorders>
              <w:tl2br w:val="nil"/>
              <w:tr2bl w:val="nil"/>
            </w:tcBorders>
            <w:shd w:val="clear" w:color="auto" w:fill="auto"/>
            <w:vAlign w:val="center"/>
          </w:tcPr>
          <w:p w14:paraId="5E160396">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5m*8m*3.05m</w:t>
            </w:r>
          </w:p>
        </w:tc>
        <w:tc>
          <w:tcPr>
            <w:tcW w:w="904" w:type="pct"/>
            <w:tcBorders>
              <w:tl2br w:val="nil"/>
              <w:tr2bl w:val="nil"/>
            </w:tcBorders>
            <w:shd w:val="clear" w:color="auto" w:fill="auto"/>
            <w:vAlign w:val="center"/>
          </w:tcPr>
          <w:p w14:paraId="4F319371">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2E72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6C224309">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846" w:type="pct"/>
            <w:vMerge w:val="continue"/>
            <w:tcBorders>
              <w:tl2br w:val="nil"/>
              <w:tr2bl w:val="nil"/>
            </w:tcBorders>
            <w:shd w:val="clear" w:color="auto" w:fill="auto"/>
            <w:vAlign w:val="center"/>
          </w:tcPr>
          <w:p w14:paraId="018014C4">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793C2F9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面漆晾干房</w:t>
            </w:r>
          </w:p>
        </w:tc>
        <w:tc>
          <w:tcPr>
            <w:tcW w:w="1272" w:type="pct"/>
            <w:tcBorders>
              <w:tl2br w:val="nil"/>
              <w:tr2bl w:val="nil"/>
            </w:tcBorders>
            <w:shd w:val="clear" w:color="auto" w:fill="auto"/>
            <w:vAlign w:val="center"/>
          </w:tcPr>
          <w:p w14:paraId="7BC877BD">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8m*13m*3.05m</w:t>
            </w:r>
          </w:p>
        </w:tc>
        <w:tc>
          <w:tcPr>
            <w:tcW w:w="904" w:type="pct"/>
            <w:tcBorders>
              <w:tl2br w:val="nil"/>
              <w:tr2bl w:val="nil"/>
            </w:tcBorders>
            <w:shd w:val="clear" w:color="auto" w:fill="auto"/>
            <w:vAlign w:val="center"/>
          </w:tcPr>
          <w:p w14:paraId="24C0E3F6">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0519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022C49D1">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846" w:type="pct"/>
            <w:vMerge w:val="continue"/>
            <w:tcBorders>
              <w:tl2br w:val="nil"/>
              <w:tr2bl w:val="nil"/>
            </w:tcBorders>
            <w:shd w:val="clear" w:color="auto" w:fill="auto"/>
            <w:vAlign w:val="center"/>
          </w:tcPr>
          <w:p w14:paraId="5FC9C50E">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00B7886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缝纫机</w:t>
            </w:r>
          </w:p>
        </w:tc>
        <w:tc>
          <w:tcPr>
            <w:tcW w:w="1272" w:type="pct"/>
            <w:tcBorders>
              <w:tl2br w:val="nil"/>
              <w:tr2bl w:val="nil"/>
            </w:tcBorders>
            <w:shd w:val="clear" w:color="auto" w:fill="auto"/>
            <w:vAlign w:val="center"/>
          </w:tcPr>
          <w:p w14:paraId="054FA45E">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szCs w:val="21"/>
              </w:rPr>
              <w:t>/</w:t>
            </w:r>
          </w:p>
        </w:tc>
        <w:tc>
          <w:tcPr>
            <w:tcW w:w="904" w:type="pct"/>
            <w:tcBorders>
              <w:tl2br w:val="nil"/>
              <w:tr2bl w:val="nil"/>
            </w:tcBorders>
            <w:shd w:val="clear" w:color="auto" w:fill="auto"/>
            <w:vAlign w:val="center"/>
          </w:tcPr>
          <w:p w14:paraId="6A477C8A">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4</w:t>
            </w:r>
          </w:p>
        </w:tc>
      </w:tr>
      <w:tr w14:paraId="31D4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1CAD252A">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846" w:type="pct"/>
            <w:vMerge w:val="restart"/>
            <w:tcBorders>
              <w:tl2br w:val="nil"/>
              <w:tr2bl w:val="nil"/>
            </w:tcBorders>
            <w:shd w:val="clear" w:color="auto" w:fill="auto"/>
            <w:vAlign w:val="center"/>
          </w:tcPr>
          <w:p w14:paraId="607F87E2">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0"/>
                <w:sz w:val="21"/>
                <w:szCs w:val="21"/>
                <w:highlight w:val="none"/>
                <w:lang w:val="en-US" w:eastAsia="zh-CN"/>
                <w14:textFill>
                  <w14:solidFill>
                    <w14:schemeClr w14:val="tx1"/>
                  </w14:solidFill>
                </w14:textFill>
              </w:rPr>
              <w:t>3楼车间</w:t>
            </w:r>
          </w:p>
        </w:tc>
        <w:tc>
          <w:tcPr>
            <w:tcW w:w="1197" w:type="pct"/>
            <w:tcBorders>
              <w:tl2br w:val="nil"/>
              <w:tr2bl w:val="nil"/>
            </w:tcBorders>
            <w:shd w:val="clear" w:color="auto" w:fill="auto"/>
            <w:vAlign w:val="center"/>
          </w:tcPr>
          <w:p w14:paraId="36A7A9D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断料锯</w:t>
            </w:r>
          </w:p>
        </w:tc>
        <w:tc>
          <w:tcPr>
            <w:tcW w:w="1272" w:type="pct"/>
            <w:tcBorders>
              <w:tl2br w:val="nil"/>
              <w:tr2bl w:val="nil"/>
            </w:tcBorders>
            <w:shd w:val="clear" w:color="auto" w:fill="auto"/>
            <w:vAlign w:val="center"/>
          </w:tcPr>
          <w:p w14:paraId="51F3C5FA">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5853509C">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2A2A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518D0E30">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846" w:type="pct"/>
            <w:vMerge w:val="continue"/>
            <w:tcBorders>
              <w:tl2br w:val="nil"/>
              <w:tr2bl w:val="nil"/>
            </w:tcBorders>
            <w:shd w:val="clear" w:color="auto" w:fill="auto"/>
            <w:vAlign w:val="center"/>
          </w:tcPr>
          <w:p w14:paraId="2847384F">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8756F8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带锯</w:t>
            </w:r>
          </w:p>
        </w:tc>
        <w:tc>
          <w:tcPr>
            <w:tcW w:w="1272" w:type="pct"/>
            <w:tcBorders>
              <w:tl2br w:val="nil"/>
              <w:tr2bl w:val="nil"/>
            </w:tcBorders>
            <w:shd w:val="clear" w:color="auto" w:fill="auto"/>
            <w:vAlign w:val="center"/>
          </w:tcPr>
          <w:p w14:paraId="60011BB4">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5AFA0C5B">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5819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13321C0B">
            <w:pPr>
              <w:pStyle w:val="252"/>
              <w:spacing w:line="240" w:lineRule="auto"/>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846" w:type="pct"/>
            <w:vMerge w:val="continue"/>
            <w:tcBorders>
              <w:tl2br w:val="nil"/>
              <w:tr2bl w:val="nil"/>
            </w:tcBorders>
            <w:shd w:val="clear" w:color="auto" w:fill="auto"/>
            <w:vAlign w:val="center"/>
          </w:tcPr>
          <w:p w14:paraId="12DCB957">
            <w:pPr>
              <w:widowControl/>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p>
        </w:tc>
        <w:tc>
          <w:tcPr>
            <w:tcW w:w="1197" w:type="pct"/>
            <w:tcBorders>
              <w:tl2br w:val="nil"/>
              <w:tr2bl w:val="nil"/>
            </w:tcBorders>
            <w:shd w:val="clear" w:color="auto" w:fill="auto"/>
            <w:vAlign w:val="center"/>
          </w:tcPr>
          <w:p w14:paraId="461C5EB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打眼机</w:t>
            </w:r>
          </w:p>
        </w:tc>
        <w:tc>
          <w:tcPr>
            <w:tcW w:w="1272" w:type="pct"/>
            <w:tcBorders>
              <w:tl2br w:val="nil"/>
              <w:tr2bl w:val="nil"/>
            </w:tcBorders>
            <w:shd w:val="clear" w:color="auto" w:fill="auto"/>
            <w:vAlign w:val="center"/>
          </w:tcPr>
          <w:p w14:paraId="24B6E8AC">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00CE9ADD">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1D6B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1A2B8827">
            <w:pPr>
              <w:pStyle w:val="252"/>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16</w:t>
            </w:r>
          </w:p>
        </w:tc>
        <w:tc>
          <w:tcPr>
            <w:tcW w:w="846" w:type="pct"/>
            <w:vMerge w:val="continue"/>
            <w:tcBorders>
              <w:tl2br w:val="nil"/>
              <w:tr2bl w:val="nil"/>
            </w:tcBorders>
            <w:shd w:val="clear" w:color="auto" w:fill="auto"/>
            <w:vAlign w:val="center"/>
          </w:tcPr>
          <w:p w14:paraId="3DE85DD8">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4671736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打磨房*</w:t>
            </w:r>
          </w:p>
        </w:tc>
        <w:tc>
          <w:tcPr>
            <w:tcW w:w="1272" w:type="pct"/>
            <w:tcBorders>
              <w:tl2br w:val="nil"/>
              <w:tr2bl w:val="nil"/>
            </w:tcBorders>
            <w:shd w:val="clear" w:color="auto" w:fill="auto"/>
            <w:vAlign w:val="center"/>
          </w:tcPr>
          <w:p w14:paraId="6F786D12">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17.23m*4.36m*3.04m</w:t>
            </w:r>
          </w:p>
        </w:tc>
        <w:tc>
          <w:tcPr>
            <w:tcW w:w="904" w:type="pct"/>
            <w:tcBorders>
              <w:tl2br w:val="nil"/>
              <w:tr2bl w:val="nil"/>
            </w:tcBorders>
            <w:shd w:val="clear" w:color="auto" w:fill="auto"/>
            <w:vAlign w:val="center"/>
          </w:tcPr>
          <w:p w14:paraId="2BF58FBE">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05FE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427A282B">
            <w:pPr>
              <w:pStyle w:val="252"/>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17</w:t>
            </w:r>
          </w:p>
        </w:tc>
        <w:tc>
          <w:tcPr>
            <w:tcW w:w="846" w:type="pct"/>
            <w:vMerge w:val="continue"/>
            <w:tcBorders>
              <w:tl2br w:val="nil"/>
              <w:tr2bl w:val="nil"/>
            </w:tcBorders>
            <w:shd w:val="clear" w:color="auto" w:fill="auto"/>
            <w:vAlign w:val="center"/>
          </w:tcPr>
          <w:p w14:paraId="6D6A86EE">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70F593A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手持式打磨机</w:t>
            </w:r>
          </w:p>
        </w:tc>
        <w:tc>
          <w:tcPr>
            <w:tcW w:w="1272" w:type="pct"/>
            <w:tcBorders>
              <w:tl2br w:val="nil"/>
              <w:tr2bl w:val="nil"/>
            </w:tcBorders>
            <w:shd w:val="clear" w:color="auto" w:fill="auto"/>
            <w:vAlign w:val="center"/>
          </w:tcPr>
          <w:p w14:paraId="2474DC92">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737610E9">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7</w:t>
            </w:r>
          </w:p>
        </w:tc>
      </w:tr>
      <w:tr w14:paraId="5EAA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54E55350">
            <w:pPr>
              <w:pStyle w:val="252"/>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18</w:t>
            </w:r>
          </w:p>
        </w:tc>
        <w:tc>
          <w:tcPr>
            <w:tcW w:w="846" w:type="pct"/>
            <w:vMerge w:val="continue"/>
            <w:tcBorders>
              <w:tl2br w:val="nil"/>
              <w:tr2bl w:val="nil"/>
            </w:tcBorders>
            <w:shd w:val="clear" w:color="auto" w:fill="auto"/>
            <w:vAlign w:val="center"/>
          </w:tcPr>
          <w:p w14:paraId="198D54D2">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C750B1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底漆房</w:t>
            </w:r>
          </w:p>
        </w:tc>
        <w:tc>
          <w:tcPr>
            <w:tcW w:w="1272" w:type="pct"/>
            <w:tcBorders>
              <w:tl2br w:val="nil"/>
              <w:tr2bl w:val="nil"/>
            </w:tcBorders>
            <w:shd w:val="clear" w:color="auto" w:fill="auto"/>
            <w:vAlign w:val="center"/>
          </w:tcPr>
          <w:p w14:paraId="709948A8">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Cs/>
                <w:color w:val="000000"/>
                <w:szCs w:val="21"/>
                <w:lang w:val="en-US" w:eastAsia="zh-CN"/>
              </w:rPr>
              <w:t>4m*6m*3.05m</w:t>
            </w:r>
          </w:p>
        </w:tc>
        <w:tc>
          <w:tcPr>
            <w:tcW w:w="904" w:type="pct"/>
            <w:tcBorders>
              <w:tl2br w:val="nil"/>
              <w:tr2bl w:val="nil"/>
            </w:tcBorders>
            <w:shd w:val="clear" w:color="auto" w:fill="auto"/>
            <w:vAlign w:val="center"/>
          </w:tcPr>
          <w:p w14:paraId="681CC9C9">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4B81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762993B5">
            <w:pPr>
              <w:pStyle w:val="252"/>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19</w:t>
            </w:r>
          </w:p>
        </w:tc>
        <w:tc>
          <w:tcPr>
            <w:tcW w:w="846" w:type="pct"/>
            <w:vMerge w:val="continue"/>
            <w:tcBorders>
              <w:tl2br w:val="nil"/>
              <w:tr2bl w:val="nil"/>
            </w:tcBorders>
            <w:shd w:val="clear" w:color="auto" w:fill="auto"/>
            <w:vAlign w:val="center"/>
          </w:tcPr>
          <w:p w14:paraId="38757373">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6BEE642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面漆房</w:t>
            </w:r>
          </w:p>
        </w:tc>
        <w:tc>
          <w:tcPr>
            <w:tcW w:w="1272" w:type="pct"/>
            <w:tcBorders>
              <w:tl2br w:val="nil"/>
              <w:tr2bl w:val="nil"/>
            </w:tcBorders>
            <w:shd w:val="clear" w:color="auto" w:fill="auto"/>
            <w:vAlign w:val="center"/>
          </w:tcPr>
          <w:p w14:paraId="38D8A5F1">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bCs/>
                <w:color w:val="000000"/>
                <w:szCs w:val="21"/>
                <w:lang w:val="en-US" w:eastAsia="zh-CN"/>
              </w:rPr>
              <w:t>5m*6m*3.05m</w:t>
            </w:r>
          </w:p>
        </w:tc>
        <w:tc>
          <w:tcPr>
            <w:tcW w:w="904" w:type="pct"/>
            <w:tcBorders>
              <w:tl2br w:val="nil"/>
              <w:tr2bl w:val="nil"/>
            </w:tcBorders>
            <w:shd w:val="clear" w:color="auto" w:fill="auto"/>
            <w:vAlign w:val="center"/>
          </w:tcPr>
          <w:p w14:paraId="03DA46D0">
            <w:pPr>
              <w:jc w:val="center"/>
              <w:rPr>
                <w:rFonts w:hint="default"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0E97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12C41908">
            <w:pPr>
              <w:pStyle w:val="252"/>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846" w:type="pct"/>
            <w:vMerge w:val="continue"/>
            <w:tcBorders>
              <w:tl2br w:val="nil"/>
              <w:tr2bl w:val="nil"/>
            </w:tcBorders>
            <w:shd w:val="clear" w:color="auto" w:fill="auto"/>
            <w:vAlign w:val="center"/>
          </w:tcPr>
          <w:p w14:paraId="1B4AFFBB">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3751304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底漆晾干房</w:t>
            </w:r>
          </w:p>
        </w:tc>
        <w:tc>
          <w:tcPr>
            <w:tcW w:w="1272" w:type="pct"/>
            <w:tcBorders>
              <w:tl2br w:val="nil"/>
              <w:tr2bl w:val="nil"/>
            </w:tcBorders>
            <w:shd w:val="clear" w:color="auto" w:fill="auto"/>
            <w:vAlign w:val="center"/>
          </w:tcPr>
          <w:p w14:paraId="74BC5BB5">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8m*8m*3.05m</w:t>
            </w:r>
          </w:p>
        </w:tc>
        <w:tc>
          <w:tcPr>
            <w:tcW w:w="904" w:type="pct"/>
            <w:tcBorders>
              <w:tl2br w:val="nil"/>
              <w:tr2bl w:val="nil"/>
            </w:tcBorders>
            <w:shd w:val="clear" w:color="auto" w:fill="auto"/>
            <w:vAlign w:val="center"/>
          </w:tcPr>
          <w:p w14:paraId="2BEA27A1">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7089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0089FC0F">
            <w:pPr>
              <w:pStyle w:val="252"/>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21</w:t>
            </w:r>
          </w:p>
        </w:tc>
        <w:tc>
          <w:tcPr>
            <w:tcW w:w="846" w:type="pct"/>
            <w:vMerge w:val="continue"/>
            <w:tcBorders>
              <w:tl2br w:val="nil"/>
              <w:tr2bl w:val="nil"/>
            </w:tcBorders>
            <w:shd w:val="clear" w:color="auto" w:fill="auto"/>
            <w:vAlign w:val="center"/>
          </w:tcPr>
          <w:p w14:paraId="52A872C1">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778D6AA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面漆晾干房</w:t>
            </w:r>
          </w:p>
        </w:tc>
        <w:tc>
          <w:tcPr>
            <w:tcW w:w="1272" w:type="pct"/>
            <w:tcBorders>
              <w:tl2br w:val="nil"/>
              <w:tr2bl w:val="nil"/>
            </w:tcBorders>
            <w:shd w:val="clear" w:color="auto" w:fill="auto"/>
            <w:vAlign w:val="center"/>
          </w:tcPr>
          <w:p w14:paraId="665985BB">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8m*10m*3.05m</w:t>
            </w:r>
          </w:p>
        </w:tc>
        <w:tc>
          <w:tcPr>
            <w:tcW w:w="904" w:type="pct"/>
            <w:tcBorders>
              <w:tl2br w:val="nil"/>
              <w:tr2bl w:val="nil"/>
            </w:tcBorders>
            <w:shd w:val="clear" w:color="auto" w:fill="auto"/>
            <w:vAlign w:val="center"/>
          </w:tcPr>
          <w:p w14:paraId="3A778FB8">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1</w:t>
            </w:r>
          </w:p>
        </w:tc>
      </w:tr>
      <w:tr w14:paraId="6333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552900D3">
            <w:pPr>
              <w:pStyle w:val="252"/>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22</w:t>
            </w:r>
          </w:p>
        </w:tc>
        <w:tc>
          <w:tcPr>
            <w:tcW w:w="846" w:type="pct"/>
            <w:vMerge w:val="continue"/>
            <w:tcBorders>
              <w:tl2br w:val="nil"/>
              <w:tr2bl w:val="nil"/>
            </w:tcBorders>
            <w:shd w:val="clear" w:color="auto" w:fill="auto"/>
            <w:vAlign w:val="center"/>
          </w:tcPr>
          <w:p w14:paraId="2E01A879">
            <w:pPr>
              <w:widowControl/>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197" w:type="pct"/>
            <w:tcBorders>
              <w:tl2br w:val="nil"/>
              <w:tr2bl w:val="nil"/>
            </w:tcBorders>
            <w:shd w:val="clear" w:color="auto" w:fill="auto"/>
            <w:vAlign w:val="center"/>
          </w:tcPr>
          <w:p w14:paraId="27CBAD0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缝纫机</w:t>
            </w:r>
          </w:p>
        </w:tc>
        <w:tc>
          <w:tcPr>
            <w:tcW w:w="1272" w:type="pct"/>
            <w:tcBorders>
              <w:tl2br w:val="nil"/>
              <w:tr2bl w:val="nil"/>
            </w:tcBorders>
            <w:shd w:val="clear" w:color="auto" w:fill="auto"/>
            <w:vAlign w:val="center"/>
          </w:tcPr>
          <w:p w14:paraId="1AE2B1FD">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10A56D24">
            <w:pPr>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cs="Times New Roman"/>
                <w:bCs/>
                <w:color w:val="000000"/>
                <w:szCs w:val="21"/>
                <w:lang w:val="en-US" w:eastAsia="zh-CN"/>
              </w:rPr>
              <w:t>4</w:t>
            </w:r>
          </w:p>
        </w:tc>
      </w:tr>
      <w:tr w14:paraId="34F3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54C9CB80">
            <w:pPr>
              <w:pStyle w:val="252"/>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23</w:t>
            </w:r>
          </w:p>
        </w:tc>
        <w:tc>
          <w:tcPr>
            <w:tcW w:w="2043" w:type="pct"/>
            <w:gridSpan w:val="2"/>
            <w:tcBorders>
              <w:tl2br w:val="nil"/>
              <w:tr2bl w:val="nil"/>
            </w:tcBorders>
            <w:shd w:val="clear" w:color="auto" w:fill="auto"/>
            <w:vAlign w:val="center"/>
          </w:tcPr>
          <w:p w14:paraId="0EF23BB6">
            <w:pPr>
              <w:jc w:val="center"/>
              <w:rPr>
                <w:rFonts w:hint="default" w:eastAsia="宋体" w:cs="Times New Roman"/>
                <w:kern w:val="2"/>
                <w:sz w:val="21"/>
                <w:szCs w:val="21"/>
                <w:highlight w:val="none"/>
                <w:lang w:val="en-US" w:eastAsia="zh-CN" w:bidi="ar-SA"/>
              </w:rPr>
            </w:pPr>
            <w:r>
              <w:rPr>
                <w:rFonts w:hint="eastAsia" w:eastAsia="宋体" w:cs="Times New Roman"/>
                <w:kern w:val="2"/>
                <w:sz w:val="21"/>
                <w:szCs w:val="21"/>
                <w:highlight w:val="none"/>
                <w:lang w:val="en-US" w:eastAsia="zh-CN" w:bidi="ar-SA"/>
              </w:rPr>
              <w:t>空压机</w:t>
            </w:r>
          </w:p>
        </w:tc>
        <w:tc>
          <w:tcPr>
            <w:tcW w:w="1272" w:type="pct"/>
            <w:tcBorders>
              <w:tl2br w:val="nil"/>
              <w:tr2bl w:val="nil"/>
            </w:tcBorders>
            <w:shd w:val="clear" w:color="auto" w:fill="auto"/>
            <w:vAlign w:val="center"/>
          </w:tcPr>
          <w:p w14:paraId="342A6ADB">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528E56AB">
            <w:pPr>
              <w:spacing w:before="45" w:beforeLines="19" w:after="45" w:afterLines="19"/>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w:t>
            </w:r>
          </w:p>
        </w:tc>
      </w:tr>
      <w:tr w14:paraId="6FD2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8" w:type="pct"/>
            <w:tcBorders>
              <w:tl2br w:val="nil"/>
              <w:tr2bl w:val="nil"/>
            </w:tcBorders>
            <w:shd w:val="clear" w:color="auto" w:fill="auto"/>
            <w:vAlign w:val="center"/>
          </w:tcPr>
          <w:p w14:paraId="54F9D406">
            <w:pPr>
              <w:pStyle w:val="252"/>
              <w:spacing w:line="240" w:lineRule="auto"/>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24</w:t>
            </w:r>
          </w:p>
        </w:tc>
        <w:tc>
          <w:tcPr>
            <w:tcW w:w="2043" w:type="pct"/>
            <w:gridSpan w:val="2"/>
            <w:tcBorders>
              <w:tl2br w:val="nil"/>
              <w:tr2bl w:val="nil"/>
            </w:tcBorders>
            <w:shd w:val="clear" w:color="auto" w:fill="auto"/>
            <w:vAlign w:val="center"/>
          </w:tcPr>
          <w:p w14:paraId="18A51CCE">
            <w:pPr>
              <w:jc w:val="center"/>
              <w:rPr>
                <w:rFonts w:hint="default" w:eastAsia="宋体" w:cs="Times New Roman"/>
                <w:kern w:val="2"/>
                <w:sz w:val="21"/>
                <w:szCs w:val="21"/>
                <w:highlight w:val="none"/>
                <w:lang w:val="en-US" w:eastAsia="zh-CN" w:bidi="ar-SA"/>
              </w:rPr>
            </w:pPr>
            <w:r>
              <w:rPr>
                <w:rFonts w:hint="eastAsia" w:eastAsia="宋体" w:cs="Times New Roman"/>
                <w:kern w:val="2"/>
                <w:sz w:val="21"/>
                <w:szCs w:val="21"/>
                <w:highlight w:val="none"/>
                <w:lang w:val="en-US" w:eastAsia="zh-CN" w:bidi="ar-SA"/>
              </w:rPr>
              <w:t>风机</w:t>
            </w:r>
          </w:p>
        </w:tc>
        <w:tc>
          <w:tcPr>
            <w:tcW w:w="1272" w:type="pct"/>
            <w:tcBorders>
              <w:tl2br w:val="nil"/>
              <w:tr2bl w:val="nil"/>
            </w:tcBorders>
            <w:shd w:val="clear" w:color="auto" w:fill="auto"/>
            <w:vAlign w:val="center"/>
          </w:tcPr>
          <w:p w14:paraId="52D14333">
            <w:pPr>
              <w:jc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bCs/>
                <w:color w:val="000000"/>
                <w:szCs w:val="21"/>
                <w:lang w:val="en-US" w:eastAsia="zh-CN"/>
              </w:rPr>
              <w:t>/</w:t>
            </w:r>
          </w:p>
        </w:tc>
        <w:tc>
          <w:tcPr>
            <w:tcW w:w="904" w:type="pct"/>
            <w:tcBorders>
              <w:tl2br w:val="nil"/>
              <w:tr2bl w:val="nil"/>
            </w:tcBorders>
            <w:shd w:val="clear" w:color="auto" w:fill="auto"/>
            <w:vAlign w:val="center"/>
          </w:tcPr>
          <w:p w14:paraId="5398130C">
            <w:pPr>
              <w:spacing w:before="45" w:beforeLines="19" w:after="45" w:afterLines="19"/>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w:t>
            </w:r>
          </w:p>
        </w:tc>
      </w:tr>
    </w:tbl>
    <w:p w14:paraId="6FB1934A">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5F9C3410">
      <w:pPr>
        <w:pStyle w:val="251"/>
        <w:outlineLvl w:val="2"/>
      </w:pPr>
      <w:bookmarkStart w:id="113" w:name="_Toc247"/>
      <w:bookmarkStart w:id="114" w:name="_Toc20839"/>
      <w:bookmarkStart w:id="115" w:name="_Toc6678"/>
      <w:bookmarkStart w:id="116" w:name="_Toc11399"/>
      <w:r>
        <w:rPr>
          <w:rFonts w:hint="eastAsia"/>
        </w:rPr>
        <w:t>3.5.3</w:t>
      </w:r>
      <w:r>
        <w:rPr>
          <w:rFonts w:hint="eastAsia" w:ascii="宋体" w:hAnsi="宋体" w:eastAsia="宋体" w:cs="宋体"/>
        </w:rPr>
        <w:t>生产工艺过程含有风险工艺和设备情况</w:t>
      </w:r>
      <w:bookmarkEnd w:id="113"/>
      <w:bookmarkEnd w:id="114"/>
      <w:bookmarkEnd w:id="115"/>
    </w:p>
    <w:p w14:paraId="0AEE71FA">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eastAsia="宋体"/>
        </w:rPr>
        <w:t>对照《企业突发环境事件风险分级方法（发布稿）》中6.2中表1评估企业生产工艺情况。具有多套工艺单元的企业，对每套生产工艺分别评分并求和。企业生产工艺最高分值为30分，超过30分则按最高分计。</w:t>
      </w:r>
      <w:r>
        <w:rPr>
          <w:rFonts w:eastAsiaTheme="minorEastAsia"/>
          <w:color w:val="000000" w:themeColor="text1"/>
          <w14:textFill>
            <w14:solidFill>
              <w14:schemeClr w14:val="tx1"/>
            </w14:solidFill>
          </w14:textFill>
        </w:rPr>
        <w:t>根据表</w:t>
      </w:r>
      <w:r>
        <w:rPr>
          <w:rFonts w:hint="eastAsia" w:eastAsiaTheme="minorEastAsia"/>
          <w:color w:val="000000" w:themeColor="text1"/>
          <w14:textFill>
            <w14:solidFill>
              <w14:schemeClr w14:val="tx1"/>
            </w14:solidFill>
          </w14:textFill>
        </w:rPr>
        <w:t>3-1</w:t>
      </w:r>
      <w:r>
        <w:rPr>
          <w:rFonts w:eastAsiaTheme="minorEastAsia"/>
          <w:color w:val="000000" w:themeColor="text1"/>
          <w14:textFill>
            <w14:solidFill>
              <w14:schemeClr w14:val="tx1"/>
            </w14:solidFill>
          </w14:textFill>
        </w:rPr>
        <w:t>2，可知生产工艺分值为</w:t>
      </w:r>
      <w:r>
        <w:rPr>
          <w:rFonts w:hint="eastAsia" w:eastAsiaTheme="minorEastAsia"/>
          <w:color w:val="000000" w:themeColor="text1"/>
          <w14:textFill>
            <w14:solidFill>
              <w14:schemeClr w14:val="tx1"/>
            </w14:solidFill>
          </w14:textFill>
        </w:rPr>
        <w:t>5</w:t>
      </w:r>
      <w:r>
        <w:rPr>
          <w:rFonts w:eastAsiaTheme="minorEastAsia"/>
          <w:color w:val="000000" w:themeColor="text1"/>
          <w14:textFill>
            <w14:solidFill>
              <w14:schemeClr w14:val="tx1"/>
            </w14:solidFill>
          </w14:textFill>
        </w:rPr>
        <w:t>分。</w:t>
      </w:r>
    </w:p>
    <w:p w14:paraId="1A9ABCD0">
      <w:pPr>
        <w:pStyle w:val="254"/>
        <w:adjustRightInd w:val="0"/>
        <w:snapToGrid w:val="0"/>
        <w:ind w:firstLine="171" w:firstLineChars="71"/>
        <w:jc w:val="center"/>
        <w:rPr>
          <w:rFonts w:eastAsia="宋体"/>
          <w:b/>
          <w:sz w:val="24"/>
        </w:rPr>
      </w:pPr>
      <w:r>
        <w:rPr>
          <w:rFonts w:eastAsia="宋体"/>
          <w:b/>
          <w:sz w:val="24"/>
        </w:rPr>
        <w:t>表</w:t>
      </w:r>
      <w:r>
        <w:rPr>
          <w:rFonts w:hint="eastAsia" w:eastAsia="宋体"/>
          <w:b/>
          <w:sz w:val="24"/>
        </w:rPr>
        <w:t>3-1</w:t>
      </w:r>
      <w:r>
        <w:rPr>
          <w:rFonts w:eastAsia="宋体"/>
          <w:b/>
          <w:sz w:val="24"/>
        </w:rPr>
        <w:t>2企业生产工艺</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0D905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68344359">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6C9B831C">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564CC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783352E1">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55464895">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365B6F23">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33C4151A">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3D718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D0FE394">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78B4D761">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2C179F4D">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CC438E5">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67C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DF50E6">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66ECE11B">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F00A949">
            <w:pPr>
              <w:pStyle w:val="4"/>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企业生产中使用</w:t>
            </w:r>
            <w:r>
              <w:rPr>
                <w:rFonts w:hint="eastAsia" w:eastAsiaTheme="minorEastAsia"/>
                <w:color w:val="000000" w:themeColor="text1"/>
                <w:sz w:val="21"/>
                <w:szCs w:val="21"/>
                <w:lang w:val="en-US" w:eastAsia="zh-CN"/>
                <w14:textFill>
                  <w14:solidFill>
                    <w14:schemeClr w14:val="tx1"/>
                  </w14:solidFill>
                </w14:textFill>
              </w:rPr>
              <w:t>水性漆</w:t>
            </w:r>
            <w:r>
              <w:rPr>
                <w:rFonts w:hint="eastAsia" w:eastAsiaTheme="minorEastAsia"/>
                <w:color w:val="000000" w:themeColor="text1"/>
                <w:sz w:val="21"/>
                <w:szCs w:val="21"/>
                <w14:textFill>
                  <w14:solidFill>
                    <w14:schemeClr w14:val="tx1"/>
                  </w14:solidFill>
                </w14:textFill>
              </w:rPr>
              <w:t>等</w:t>
            </w:r>
          </w:p>
        </w:tc>
        <w:tc>
          <w:tcPr>
            <w:tcW w:w="525" w:type="pct"/>
            <w:vAlign w:val="center"/>
          </w:tcPr>
          <w:p w14:paraId="09C99E3B">
            <w:pPr>
              <w:pStyle w:val="4"/>
              <w:ind w:firstLine="0" w:firstLineChars="0"/>
              <w:jc w:val="center"/>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0</w:t>
            </w:r>
          </w:p>
        </w:tc>
      </w:tr>
      <w:tr w14:paraId="24E8F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53B3AAD">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6E99AC0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44630273">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0067DEE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B849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5B84121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5784C397">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5240250B">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11A9C11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20D7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2046489">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7F489EB3">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65955111">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7E1BA8D7">
            <w:pPr>
              <w:pStyle w:val="4"/>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5</w:t>
            </w:r>
          </w:p>
        </w:tc>
      </w:tr>
    </w:tbl>
    <w:p w14:paraId="7FB7491C">
      <w:pPr>
        <w:adjustRightInd w:val="0"/>
        <w:snapToGrid w:val="0"/>
        <w:ind w:firstLine="360" w:firstLineChars="20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3EBF6F35">
      <w:pPr>
        <w:adjustRightInd w:val="0"/>
        <w:ind w:firstLine="360" w:firstLineChars="200"/>
        <w:jc w:val="left"/>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7832C156">
      <w:pPr>
        <w:pStyle w:val="5"/>
        <w:adjustRightInd w:val="0"/>
        <w:snapToGrid w:val="0"/>
        <w:spacing w:line="500" w:lineRule="exact"/>
        <w:rPr>
          <w:rFonts w:eastAsia="宋体"/>
          <w:szCs w:val="24"/>
        </w:rPr>
      </w:pPr>
      <w:bookmarkStart w:id="117" w:name="_Toc10409"/>
      <w:bookmarkStart w:id="118" w:name="_Toc10361"/>
      <w:bookmarkStart w:id="119" w:name="_Toc28286"/>
      <w:r>
        <w:rPr>
          <w:rFonts w:eastAsia="宋体"/>
          <w:szCs w:val="24"/>
        </w:rPr>
        <w:t>3.</w:t>
      </w:r>
      <w:r>
        <w:rPr>
          <w:rFonts w:hint="eastAsia" w:eastAsia="宋体"/>
          <w:szCs w:val="24"/>
        </w:rPr>
        <w:t>5</w:t>
      </w:r>
      <w:r>
        <w:rPr>
          <w:rFonts w:eastAsia="宋体"/>
          <w:szCs w:val="24"/>
        </w:rPr>
        <w:t>.</w:t>
      </w:r>
      <w:r>
        <w:rPr>
          <w:rFonts w:hint="eastAsia" w:eastAsia="宋体"/>
          <w:szCs w:val="24"/>
        </w:rPr>
        <w:t>4</w:t>
      </w:r>
      <w:r>
        <w:rPr>
          <w:rFonts w:eastAsia="宋体"/>
          <w:szCs w:val="24"/>
        </w:rPr>
        <w:t>公用辅助工程情况</w:t>
      </w:r>
      <w:bookmarkEnd w:id="116"/>
      <w:bookmarkEnd w:id="117"/>
      <w:bookmarkEnd w:id="118"/>
      <w:bookmarkEnd w:id="119"/>
    </w:p>
    <w:p w14:paraId="4D670FD9">
      <w:pPr>
        <w:pStyle w:val="251"/>
        <w:snapToGrid w:val="0"/>
        <w:rPr>
          <w:rFonts w:eastAsia="宋体"/>
          <w:szCs w:val="24"/>
        </w:rPr>
      </w:pPr>
      <w:r>
        <w:rPr>
          <w:rFonts w:eastAsia="宋体"/>
          <w:szCs w:val="24"/>
        </w:rPr>
        <w:t>3.</w:t>
      </w:r>
      <w:r>
        <w:rPr>
          <w:rFonts w:hint="eastAsia"/>
          <w:szCs w:val="24"/>
        </w:rPr>
        <w:t>5</w:t>
      </w:r>
      <w:r>
        <w:rPr>
          <w:szCs w:val="24"/>
        </w:rPr>
        <w:t>.</w:t>
      </w:r>
      <w:r>
        <w:rPr>
          <w:rFonts w:hint="eastAsia"/>
          <w:szCs w:val="24"/>
        </w:rPr>
        <w:t>4</w:t>
      </w:r>
      <w:r>
        <w:rPr>
          <w:szCs w:val="24"/>
        </w:rPr>
        <w:t>.1</w:t>
      </w:r>
      <w:r>
        <w:rPr>
          <w:rFonts w:eastAsia="宋体"/>
          <w:szCs w:val="24"/>
        </w:rPr>
        <w:t>给水与排水</w:t>
      </w:r>
    </w:p>
    <w:p w14:paraId="5A4E89D9">
      <w:pPr>
        <w:snapToGrid w:val="0"/>
        <w:spacing w:line="500" w:lineRule="exact"/>
        <w:ind w:firstLine="480" w:firstLineChars="200"/>
        <w:rPr>
          <w:rFonts w:eastAsia="宋体"/>
        </w:rPr>
      </w:pPr>
      <w:r>
        <w:rPr>
          <w:rFonts w:eastAsia="宋体"/>
        </w:rPr>
        <w:t>（1）供水</w:t>
      </w:r>
    </w:p>
    <w:p w14:paraId="4C1DE0A2">
      <w:pPr>
        <w:snapToGrid w:val="0"/>
        <w:spacing w:line="500" w:lineRule="exact"/>
        <w:ind w:firstLine="480" w:firstLineChars="200"/>
        <w:rPr>
          <w:rFonts w:eastAsia="宋体"/>
        </w:rPr>
      </w:pPr>
      <w:r>
        <w:rPr>
          <w:rFonts w:eastAsia="宋体"/>
        </w:rPr>
        <w:t>本项目所需生活用水水源由市政自来水管网统一供给。</w:t>
      </w:r>
    </w:p>
    <w:p w14:paraId="2C61E362">
      <w:pPr>
        <w:snapToGrid w:val="0"/>
        <w:spacing w:line="500" w:lineRule="exact"/>
        <w:ind w:firstLine="480" w:firstLineChars="200"/>
        <w:rPr>
          <w:rFonts w:eastAsia="宋体"/>
        </w:rPr>
      </w:pPr>
      <w:r>
        <w:rPr>
          <w:rFonts w:eastAsia="宋体"/>
        </w:rPr>
        <w:t>（2）排水</w:t>
      </w:r>
    </w:p>
    <w:p w14:paraId="63D81FEE">
      <w:pPr>
        <w:numPr>
          <w:ilvl w:val="0"/>
          <w:numId w:val="0"/>
        </w:numPr>
        <w:snapToGrid/>
        <w:spacing w:line="500" w:lineRule="exact"/>
        <w:ind w:firstLine="480" w:firstLineChars="200"/>
        <w:jc w:val="left"/>
        <w:rPr>
          <w:rFonts w:eastAsia="宋体"/>
        </w:rPr>
      </w:pPr>
      <w:bookmarkStart w:id="120" w:name="_Toc28463"/>
      <w:r>
        <w:rPr>
          <w:rFonts w:eastAsia="宋体"/>
        </w:rPr>
        <w:t>建设项目实行雨污分流、清污分流。</w:t>
      </w:r>
      <w:r>
        <w:rPr>
          <w:rFonts w:hint="eastAsia" w:eastAsia="宋体"/>
          <w:bCs/>
        </w:rPr>
        <w:t>本项目</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6E16BB2A">
      <w:pPr>
        <w:pStyle w:val="251"/>
        <w:rPr>
          <w:rFonts w:eastAsia="宋体"/>
        </w:rPr>
      </w:pPr>
      <w:r>
        <w:rPr>
          <w:rFonts w:eastAsia="宋体"/>
        </w:rPr>
        <w:t>3.</w:t>
      </w:r>
      <w:r>
        <w:rPr>
          <w:rFonts w:hint="eastAsia" w:eastAsia="宋体"/>
        </w:rPr>
        <w:t>5</w:t>
      </w:r>
      <w:r>
        <w:rPr>
          <w:rFonts w:eastAsia="宋体"/>
        </w:rPr>
        <w:t>.</w:t>
      </w:r>
      <w:r>
        <w:rPr>
          <w:rFonts w:hint="eastAsia" w:eastAsia="宋体"/>
        </w:rPr>
        <w:t>4</w:t>
      </w:r>
      <w:r>
        <w:rPr>
          <w:rFonts w:eastAsia="宋体"/>
        </w:rPr>
        <w:t>.2供电、供热及电讯</w:t>
      </w:r>
      <w:bookmarkEnd w:id="120"/>
    </w:p>
    <w:p w14:paraId="6A4FF912">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（1）供电</w:t>
      </w:r>
    </w:p>
    <w:p w14:paraId="3E49B8DB">
      <w:p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供电依托市政电网。</w:t>
      </w:r>
    </w:p>
    <w:p w14:paraId="671734D6">
      <w:pPr>
        <w:numPr>
          <w:ilvl w:val="0"/>
          <w:numId w:val="5"/>
        </w:numPr>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通讯</w:t>
      </w:r>
    </w:p>
    <w:p w14:paraId="319A23CF">
      <w:pPr>
        <w:snapToGrid w:val="0"/>
        <w:spacing w:line="500" w:lineRule="exact"/>
        <w:ind w:firstLine="480" w:firstLineChars="200"/>
        <w:rPr>
          <w:rFonts w:ascii="宋体" w:hAnsi="宋体" w:eastAsia="宋体" w:cs="宋体"/>
        </w:rPr>
      </w:pPr>
      <w:r>
        <w:rPr>
          <w:rFonts w:eastAsia="宋体"/>
        </w:rPr>
        <w:t>公司根据国家有关规范和工艺流程对电讯的要求，设计装置专用电话线</w:t>
      </w:r>
      <w:r>
        <w:rPr>
          <w:rFonts w:hint="eastAsia" w:ascii="宋体" w:hAnsi="宋体" w:eastAsia="宋体" w:cs="宋体"/>
        </w:rPr>
        <w:t>路。</w:t>
      </w:r>
    </w:p>
    <w:p w14:paraId="0FB33F5F">
      <w:pPr>
        <w:pStyle w:val="251"/>
      </w:pPr>
      <w:bookmarkStart w:id="121" w:name="_Toc10586"/>
      <w:r>
        <w:rPr>
          <w:rFonts w:hint="eastAsia"/>
        </w:rPr>
        <w:t>3.5.4.3</w:t>
      </w:r>
      <w:r>
        <w:rPr>
          <w:rFonts w:hint="eastAsia" w:ascii="宋体" w:hAnsi="宋体" w:eastAsia="宋体" w:cs="宋体"/>
        </w:rPr>
        <w:t>仓储及运输</w:t>
      </w:r>
      <w:bookmarkEnd w:id="121"/>
    </w:p>
    <w:p w14:paraId="05C32976">
      <w:pPr>
        <w:snapToGrid w:val="0"/>
        <w:spacing w:line="500" w:lineRule="exact"/>
        <w:ind w:firstLine="480" w:firstLineChars="200"/>
        <w:rPr>
          <w:rFonts w:ascii="宋体" w:hAnsi="宋体" w:eastAsia="宋体" w:cs="宋体"/>
        </w:rPr>
      </w:pPr>
      <w:r>
        <w:rPr>
          <w:rFonts w:hint="eastAsia" w:ascii="宋体" w:hAnsi="宋体" w:eastAsia="宋体" w:cs="宋体"/>
        </w:rPr>
        <w:t>（1）仓储</w:t>
      </w:r>
    </w:p>
    <w:p w14:paraId="0E192A7E">
      <w:pPr>
        <w:snapToGrid w:val="0"/>
        <w:spacing w:line="500" w:lineRule="exact"/>
        <w:ind w:firstLine="480" w:firstLineChars="200"/>
        <w:rPr>
          <w:rFonts w:ascii="宋体" w:hAnsi="宋体" w:eastAsia="宋体" w:cs="宋体"/>
        </w:rPr>
      </w:pPr>
      <w:r>
        <w:rPr>
          <w:rFonts w:hint="eastAsia" w:ascii="宋体" w:hAnsi="宋体" w:eastAsia="宋体" w:cs="宋体"/>
        </w:rPr>
        <w:t>项目划分有油漆仓库</w:t>
      </w:r>
      <w:r>
        <w:rPr>
          <w:rFonts w:eastAsia="宋体"/>
        </w:rPr>
        <w:t>、</w:t>
      </w:r>
      <w:r>
        <w:rPr>
          <w:rFonts w:hint="eastAsia" w:eastAsia="宋体"/>
        </w:rPr>
        <w:t>一般固废仓库、危废仓库及</w:t>
      </w:r>
      <w:r>
        <w:rPr>
          <w:rFonts w:eastAsia="宋体"/>
        </w:rPr>
        <w:t>成品仓库</w:t>
      </w:r>
      <w:r>
        <w:rPr>
          <w:rFonts w:hint="eastAsia" w:ascii="宋体" w:hAnsi="宋体" w:eastAsia="宋体" w:cs="宋体"/>
        </w:rPr>
        <w:t>。</w:t>
      </w:r>
    </w:p>
    <w:p w14:paraId="20D06042">
      <w:pPr>
        <w:snapToGrid w:val="0"/>
        <w:spacing w:line="500" w:lineRule="exact"/>
        <w:ind w:firstLine="480" w:firstLineChars="200"/>
        <w:rPr>
          <w:rFonts w:ascii="宋体" w:hAnsi="宋体" w:eastAsia="宋体" w:cs="宋体"/>
        </w:rPr>
      </w:pPr>
      <w:r>
        <w:rPr>
          <w:rFonts w:hint="eastAsia" w:ascii="宋体" w:hAnsi="宋体" w:eastAsia="宋体" w:cs="宋体"/>
        </w:rPr>
        <w:t>（2）运输</w:t>
      </w:r>
    </w:p>
    <w:p w14:paraId="24F83EDE">
      <w:pPr>
        <w:snapToGrid w:val="0"/>
        <w:spacing w:line="500" w:lineRule="exact"/>
        <w:ind w:firstLine="480" w:firstLineChars="200"/>
        <w:rPr>
          <w:rFonts w:ascii="宋体" w:hAnsi="宋体" w:eastAsia="宋体" w:cs="宋体"/>
        </w:rPr>
      </w:pPr>
      <w:r>
        <w:rPr>
          <w:rFonts w:hint="eastAsia" w:ascii="宋体" w:hAnsi="宋体" w:eastAsia="宋体" w:cs="宋体"/>
        </w:rPr>
        <w:t>项目主要采用汽车公路运输。原料运输外委社会运输单位。产品购买单位自行运输，本公司不负责运输任务。</w:t>
      </w:r>
    </w:p>
    <w:p w14:paraId="750691C0">
      <w:pPr>
        <w:pStyle w:val="5"/>
        <w:adjustRightInd w:val="0"/>
        <w:snapToGrid w:val="0"/>
        <w:spacing w:line="500" w:lineRule="exact"/>
        <w:rPr>
          <w:rFonts w:eastAsia="宋体"/>
          <w:szCs w:val="24"/>
        </w:rPr>
      </w:pPr>
      <w:bookmarkStart w:id="122" w:name="_Toc10543"/>
      <w:bookmarkStart w:id="123" w:name="_Toc18121"/>
      <w:bookmarkStart w:id="124" w:name="_Toc23740"/>
      <w:bookmarkStart w:id="125" w:name="_Toc27428"/>
      <w:bookmarkStart w:id="126" w:name="_Toc535414245"/>
      <w:r>
        <w:rPr>
          <w:rFonts w:eastAsia="宋体"/>
          <w:szCs w:val="24"/>
        </w:rPr>
        <w:t>3.</w:t>
      </w:r>
      <w:r>
        <w:rPr>
          <w:rFonts w:hint="eastAsia" w:eastAsia="宋体"/>
          <w:szCs w:val="24"/>
        </w:rPr>
        <w:t>5</w:t>
      </w:r>
      <w:r>
        <w:rPr>
          <w:rFonts w:eastAsia="宋体"/>
          <w:szCs w:val="24"/>
        </w:rPr>
        <w:t>.</w:t>
      </w:r>
      <w:r>
        <w:rPr>
          <w:rFonts w:hint="eastAsia" w:eastAsia="宋体"/>
          <w:szCs w:val="24"/>
        </w:rPr>
        <w:t>5</w:t>
      </w:r>
      <w:r>
        <w:rPr>
          <w:rFonts w:eastAsia="宋体"/>
          <w:szCs w:val="24"/>
        </w:rPr>
        <w:t>“三废”排放及处理情况</w:t>
      </w:r>
      <w:bookmarkEnd w:id="122"/>
      <w:bookmarkEnd w:id="123"/>
      <w:bookmarkEnd w:id="124"/>
      <w:bookmarkEnd w:id="125"/>
    </w:p>
    <w:p w14:paraId="6FD5864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（1）大气污染源及污染物排放情况</w:t>
      </w:r>
    </w:p>
    <w:p w14:paraId="435868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eastAsia="宋体" w:cs="Times New Roman"/>
          <w:color w:val="000000" w:themeColor="text1"/>
          <w:sz w:val="24"/>
          <w:szCs w:val="24"/>
          <w:highlight w:val="none"/>
          <w:lang w:val="en-US" w:eastAsia="zh-CN"/>
          <w14:textFill>
            <w14:solidFill>
              <w14:schemeClr w14:val="tx1"/>
            </w14:solidFill>
          </w14:textFill>
        </w:rPr>
        <w:t>公司</w:t>
      </w:r>
      <w:r>
        <w:rPr>
          <w:rFonts w:hint="default" w:ascii="Times New Roman" w:hAnsi="Times New Roman" w:eastAsia="宋体" w:cs="Times New Roman"/>
          <w:color w:val="000000" w:themeColor="text1"/>
          <w:sz w:val="24"/>
          <w:szCs w:val="24"/>
          <w:highlight w:val="none"/>
          <w14:textFill>
            <w14:solidFill>
              <w14:schemeClr w14:val="tx1"/>
            </w14:solidFill>
          </w14:textFill>
        </w:rPr>
        <w:t>有组织废气主要为木工粉尘、</w:t>
      </w:r>
      <w:r>
        <w:rPr>
          <w:rFonts w:hint="eastAsia" w:eastAsia="宋体" w:cs="Times New Roman"/>
          <w:color w:val="000000" w:themeColor="text1"/>
          <w:sz w:val="24"/>
          <w:szCs w:val="24"/>
          <w:highlight w:val="none"/>
          <w:lang w:val="en-US" w:eastAsia="zh-CN"/>
          <w14:textFill>
            <w14:solidFill>
              <w14:schemeClr w14:val="tx1"/>
            </w14:solidFill>
          </w14:textFill>
        </w:rPr>
        <w:t>漆雾、有机废气、打磨粉尘</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木工</w:t>
      </w:r>
      <w:r>
        <w:rPr>
          <w:rFonts w:hint="default" w:ascii="Times New Roman" w:hAnsi="Times New Roman" w:eastAsia="宋体" w:cs="Times New Roman"/>
          <w:color w:val="000000" w:themeColor="text1"/>
          <w:sz w:val="24"/>
          <w:szCs w:val="24"/>
          <w:highlight w:val="none"/>
          <w14:textFill>
            <w14:solidFill>
              <w14:schemeClr w14:val="tx1"/>
            </w14:solidFill>
          </w14:textFill>
        </w:rPr>
        <w:t>粉尘经</w:t>
      </w:r>
      <w:r>
        <w:rPr>
          <w:rFonts w:hint="eastAsia" w:eastAsia="宋体" w:cs="Times New Roman"/>
          <w:color w:val="000000" w:themeColor="text1"/>
          <w:sz w:val="24"/>
          <w:szCs w:val="24"/>
          <w:highlight w:val="none"/>
          <w:lang w:val="en-US" w:eastAsia="zh-CN"/>
          <w14:textFill>
            <w14:solidFill>
              <w14:schemeClr w14:val="tx1"/>
            </w14:solidFill>
          </w14:textFill>
        </w:rPr>
        <w:t>袋式除尘器装置收集</w:t>
      </w:r>
      <w:r>
        <w:rPr>
          <w:rFonts w:hint="default" w:ascii="Times New Roman" w:hAnsi="Times New Roman" w:eastAsia="宋体" w:cs="Times New Roman"/>
          <w:color w:val="000000" w:themeColor="text1"/>
          <w:sz w:val="24"/>
          <w:szCs w:val="24"/>
          <w:highlight w:val="none"/>
          <w14:textFill>
            <w14:solidFill>
              <w14:schemeClr w14:val="tx1"/>
            </w14:solidFill>
          </w14:textFill>
        </w:rPr>
        <w:t>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米排气筒</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5#</w:t>
      </w:r>
      <w:r>
        <w:rPr>
          <w:rFonts w:hint="eastAsia"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高空排放；调漆、喷漆及晾干过程中产生的</w:t>
      </w:r>
      <w:r>
        <w:rPr>
          <w:rFonts w:hint="eastAsia" w:eastAsia="宋体" w:cs="Times New Roman"/>
          <w:color w:val="000000" w:themeColor="text1"/>
          <w:sz w:val="24"/>
          <w:szCs w:val="24"/>
          <w:highlight w:val="none"/>
          <w:lang w:val="en-US" w:eastAsia="zh-CN"/>
          <w14:textFill>
            <w14:solidFill>
              <w14:schemeClr w14:val="tx1"/>
            </w14:solidFill>
          </w14:textFill>
        </w:rPr>
        <w:t>漆雾、有机废气</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水旋柜+除雾器+二级</w:t>
      </w:r>
      <w:r>
        <w:rPr>
          <w:rFonts w:hint="default" w:ascii="Times New Roman" w:hAnsi="Times New Roman" w:eastAsia="宋体" w:cs="Times New Roman"/>
          <w:color w:val="000000" w:themeColor="text1"/>
          <w:sz w:val="24"/>
          <w:szCs w:val="24"/>
          <w:highlight w:val="none"/>
          <w14:textFill>
            <w14:solidFill>
              <w14:schemeClr w14:val="tx1"/>
            </w14:solidFill>
          </w14:textFill>
        </w:rPr>
        <w:t>活性炭吸附处理后经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eastAsia="宋体" w:cs="Times New Roman"/>
          <w:color w:val="000000" w:themeColor="text1"/>
          <w:sz w:val="24"/>
          <w:szCs w:val="24"/>
          <w:highlight w:val="none"/>
          <w:lang w:eastAsia="zh-CN"/>
          <w14:textFill>
            <w14:solidFill>
              <w14:schemeClr w14:val="tx1"/>
            </w14:solidFill>
          </w14:textFill>
        </w:rPr>
        <w:t>（活性炭填充量为</w:t>
      </w:r>
      <w:r>
        <w:rPr>
          <w:rFonts w:hint="eastAsia" w:eastAsia="宋体" w:cs="Times New Roman"/>
          <w:color w:val="000000" w:themeColor="text1"/>
          <w:sz w:val="24"/>
          <w:szCs w:val="24"/>
          <w:highlight w:val="none"/>
          <w:lang w:val="en-US" w:eastAsia="zh-CN"/>
          <w14:textFill>
            <w14:solidFill>
              <w14:schemeClr w14:val="tx1"/>
            </w14:solidFill>
          </w14:textFill>
        </w:rPr>
        <w:t>1.2</w:t>
      </w:r>
      <w:r>
        <w:rPr>
          <w:rFonts w:hint="eastAsia" w:eastAsia="宋体" w:cs="Times New Roman"/>
          <w:color w:val="000000" w:themeColor="text1"/>
          <w:sz w:val="24"/>
          <w:szCs w:val="24"/>
          <w:highlight w:val="none"/>
          <w:lang w:eastAsia="zh-CN"/>
          <w14:textFill>
            <w14:solidFill>
              <w14:schemeClr w14:val="tx1"/>
            </w14:solidFill>
          </w14:textFill>
        </w:rPr>
        <w:t>t，</w:t>
      </w:r>
      <w:r>
        <w:rPr>
          <w:rFonts w:hint="eastAsia" w:eastAsia="宋体" w:cs="Times New Roman"/>
          <w:color w:val="000000" w:themeColor="text1"/>
          <w:sz w:val="24"/>
          <w:szCs w:val="24"/>
          <w:highlight w:val="none"/>
          <w:lang w:val="en-US" w:eastAsia="zh-CN"/>
          <w14:textFill>
            <w14:solidFill>
              <w14:schemeClr w14:val="tx1"/>
            </w14:solidFill>
          </w14:textFill>
        </w:rPr>
        <w:t>碘值为800，装填厚度为1.2m，更换周期为2个月</w:t>
      </w:r>
      <w:r>
        <w:rPr>
          <w:rFonts w:hint="eastAsia" w:eastAsia="宋体" w:cs="Times New Roman"/>
          <w:color w:val="000000" w:themeColor="text1"/>
          <w:sz w:val="24"/>
          <w:szCs w:val="24"/>
          <w:highlight w:val="none"/>
          <w:lang w:eastAsia="zh-CN"/>
          <w14:textFill>
            <w14:solidFill>
              <w14:schemeClr w14:val="tx1"/>
            </w14:solidFill>
          </w14:textFill>
        </w:rPr>
        <w:t>）；</w:t>
      </w:r>
      <w:r>
        <w:rPr>
          <w:rFonts w:hint="eastAsia" w:eastAsia="宋体" w:cs="Times New Roman"/>
          <w:color w:val="000000" w:themeColor="text1"/>
          <w:sz w:val="24"/>
          <w:szCs w:val="24"/>
          <w:highlight w:val="none"/>
          <w:lang w:val="en-US" w:eastAsia="zh-CN"/>
          <w14:textFill>
            <w14:solidFill>
              <w14:schemeClr w14:val="tx1"/>
            </w14:solidFill>
          </w14:textFill>
        </w:rPr>
        <w:t>打磨粉尘经干式打磨柜处理后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经</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t>米高排气筒（</w:t>
      </w:r>
      <w:r>
        <w:rPr>
          <w:rFonts w:hint="eastAsia" w:eastAsia="宋体" w:cs="Times New Roman"/>
          <w:color w:val="000000" w:themeColor="text1"/>
          <w:sz w:val="24"/>
          <w:szCs w:val="24"/>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sz w:val="24"/>
          <w:szCs w:val="24"/>
          <w:highlight w:val="none"/>
          <w14:textFill>
            <w14:solidFill>
              <w14:schemeClr w14:val="tx1"/>
            </w14:solidFill>
          </w14:textFill>
        </w:rPr>
        <w:t>）排放。</w:t>
      </w:r>
    </w:p>
    <w:p w14:paraId="0CBAE55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根据环评报告</w:t>
      </w:r>
      <w:r>
        <w:rPr>
          <w:rFonts w:eastAsia="宋体"/>
          <w:color w:val="000000" w:themeColor="text1"/>
          <w14:textFill>
            <w14:solidFill>
              <w14:schemeClr w14:val="tx1"/>
            </w14:solidFill>
          </w14:textFill>
        </w:rPr>
        <w:t>废气产生</w:t>
      </w:r>
      <w:r>
        <w:rPr>
          <w:rFonts w:hint="eastAsia" w:eastAsia="宋体"/>
          <w:color w:val="000000" w:themeColor="text1"/>
          <w14:textFill>
            <w14:solidFill>
              <w14:schemeClr w14:val="tx1"/>
            </w14:solidFill>
          </w14:textFill>
        </w:rPr>
        <w:t>及</w:t>
      </w:r>
      <w:r>
        <w:rPr>
          <w:rFonts w:eastAsia="宋体"/>
          <w:color w:val="000000" w:themeColor="text1"/>
          <w14:textFill>
            <w14:solidFill>
              <w14:schemeClr w14:val="tx1"/>
            </w14:solidFill>
          </w14:textFill>
        </w:rPr>
        <w:t>处理的情况见表3-13。</w:t>
      </w:r>
    </w:p>
    <w:p w14:paraId="0D02928E">
      <w:pPr>
        <w:snapToGrid w:val="0"/>
        <w:spacing w:line="500" w:lineRule="exact"/>
        <w:jc w:val="center"/>
        <w:rPr>
          <w:rFonts w:eastAsia="宋体"/>
          <w:b/>
          <w:bCs/>
        </w:rPr>
      </w:pPr>
      <w:r>
        <w:rPr>
          <w:rFonts w:eastAsia="宋体"/>
          <w:b/>
          <w:bCs/>
        </w:rPr>
        <w:t>表3-13</w:t>
      </w:r>
      <w:r>
        <w:rPr>
          <w:rFonts w:hint="eastAsia" w:eastAsia="宋体"/>
          <w:b/>
          <w:bCs/>
        </w:rPr>
        <w:t>有组织废气产生及处理</w:t>
      </w:r>
      <w:r>
        <w:rPr>
          <w:rFonts w:eastAsia="宋体"/>
          <w:b/>
          <w:bCs/>
        </w:rPr>
        <w:t>一览表</w:t>
      </w:r>
    </w:p>
    <w:tbl>
      <w:tblPr>
        <w:tblStyle w:val="245"/>
        <w:tblW w:w="529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79"/>
        <w:gridCol w:w="855"/>
        <w:gridCol w:w="927"/>
        <w:gridCol w:w="481"/>
        <w:gridCol w:w="495"/>
        <w:gridCol w:w="902"/>
        <w:gridCol w:w="740"/>
        <w:gridCol w:w="931"/>
        <w:gridCol w:w="588"/>
        <w:gridCol w:w="602"/>
        <w:gridCol w:w="980"/>
        <w:gridCol w:w="475"/>
        <w:gridCol w:w="652"/>
        <w:gridCol w:w="626"/>
      </w:tblGrid>
      <w:tr w14:paraId="28A8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246" w:type="pct"/>
            <w:vMerge w:val="restart"/>
            <w:tcBorders>
              <w:top w:val="single" w:color="000000" w:sz="10" w:space="0"/>
              <w:left w:val="single" w:color="000000" w:sz="10" w:space="0"/>
              <w:bottom w:val="nil"/>
            </w:tcBorders>
            <w:vAlign w:val="center"/>
          </w:tcPr>
          <w:p w14:paraId="57691CD1">
            <w:pPr>
              <w:pStyle w:val="258"/>
              <w:autoSpaceDE w:val="0"/>
              <w:autoSpaceDN w:val="0"/>
              <w:spacing w:before="65" w:line="229" w:lineRule="auto"/>
              <w:ind w:left="0"/>
              <w:rPr>
                <w:sz w:val="20"/>
                <w:szCs w:val="20"/>
              </w:rPr>
            </w:pPr>
            <w:r>
              <w:rPr>
                <w:spacing w:val="7"/>
                <w:sz w:val="20"/>
                <w:szCs w:val="20"/>
                <w14:textOutline w14:w="3795" w14:cap="sq" w14:cmpd="sng">
                  <w14:solidFill>
                    <w14:srgbClr w14:val="000000"/>
                  </w14:solidFill>
                  <w14:prstDash w14:val="solid"/>
                  <w14:bevel/>
                </w14:textOutline>
              </w:rPr>
              <w:t>排放源</w:t>
            </w:r>
          </w:p>
        </w:tc>
        <w:tc>
          <w:tcPr>
            <w:tcW w:w="439" w:type="pct"/>
            <w:vMerge w:val="restart"/>
            <w:tcBorders>
              <w:top w:val="single" w:color="000000" w:sz="10" w:space="0"/>
              <w:bottom w:val="nil"/>
            </w:tcBorders>
            <w:vAlign w:val="center"/>
          </w:tcPr>
          <w:p w14:paraId="4B022BED">
            <w:pPr>
              <w:pStyle w:val="258"/>
              <w:autoSpaceDE w:val="0"/>
              <w:autoSpaceDN w:val="0"/>
              <w:spacing w:before="65" w:line="236" w:lineRule="auto"/>
              <w:ind w:left="0" w:right="153" w:firstLine="0"/>
              <w:rPr>
                <w:rFonts w:ascii="Times New Roman" w:hAnsi="Times New Roman" w:eastAsia="Times New Roman" w:cs="Times New Roman"/>
                <w:sz w:val="20"/>
                <w:szCs w:val="20"/>
              </w:rPr>
            </w:pPr>
            <w:r>
              <w:rPr>
                <w:spacing w:val="8"/>
                <w:sz w:val="20"/>
                <w:szCs w:val="20"/>
                <w14:textOutline w14:w="3795" w14:cap="sq" w14:cmpd="sng">
                  <w14:solidFill>
                    <w14:srgbClr w14:val="000000"/>
                  </w14:solidFill>
                  <w14:prstDash w14:val="solid"/>
                  <w14:bevel/>
                </w14:textOutline>
              </w:rPr>
              <w:t>废气量</w:t>
            </w:r>
            <w:r>
              <w:rPr>
                <w:rFonts w:ascii="Times New Roman" w:hAnsi="Times New Roman" w:eastAsia="Times New Roman" w:cs="Times New Roman"/>
                <w:b/>
                <w:bCs/>
                <w:spacing w:val="2"/>
                <w:position w:val="-1"/>
                <w:sz w:val="20"/>
                <w:szCs w:val="20"/>
              </w:rPr>
              <w:t>m</w:t>
            </w:r>
            <w:r>
              <w:rPr>
                <w:rFonts w:ascii="Times New Roman" w:hAnsi="Times New Roman" w:eastAsia="Times New Roman" w:cs="Times New Roman"/>
                <w:b/>
                <w:bCs/>
                <w:spacing w:val="2"/>
                <w:position w:val="5"/>
                <w:sz w:val="13"/>
                <w:szCs w:val="13"/>
              </w:rPr>
              <w:t>3</w:t>
            </w:r>
            <w:r>
              <w:rPr>
                <w:rFonts w:ascii="Times New Roman" w:hAnsi="Times New Roman" w:eastAsia="Times New Roman" w:cs="Times New Roman"/>
                <w:b/>
                <w:bCs/>
                <w:spacing w:val="2"/>
                <w:position w:val="-1"/>
                <w:sz w:val="20"/>
                <w:szCs w:val="20"/>
              </w:rPr>
              <w:t>/h</w:t>
            </w:r>
          </w:p>
        </w:tc>
        <w:tc>
          <w:tcPr>
            <w:tcW w:w="476" w:type="pct"/>
            <w:vMerge w:val="restart"/>
            <w:tcBorders>
              <w:top w:val="single" w:color="000000" w:sz="10" w:space="0"/>
              <w:bottom w:val="nil"/>
            </w:tcBorders>
            <w:vAlign w:val="center"/>
          </w:tcPr>
          <w:p w14:paraId="305BD6AD">
            <w:pPr>
              <w:pStyle w:val="258"/>
              <w:autoSpaceDE w:val="0"/>
              <w:autoSpaceDN w:val="0"/>
              <w:spacing w:before="65" w:line="228" w:lineRule="auto"/>
              <w:ind w:left="0"/>
              <w:rPr>
                <w:sz w:val="20"/>
                <w:szCs w:val="20"/>
              </w:rPr>
            </w:pPr>
            <w:r>
              <w:rPr>
                <w:spacing w:val="7"/>
                <w:sz w:val="20"/>
                <w:szCs w:val="20"/>
                <w14:textOutline w14:w="3795" w14:cap="sq" w14:cmpd="sng">
                  <w14:solidFill>
                    <w14:srgbClr w14:val="000000"/>
                  </w14:solidFill>
                  <w14:prstDash w14:val="solid"/>
                  <w14:bevel/>
                </w14:textOutline>
              </w:rPr>
              <w:t>污染物</w:t>
            </w:r>
            <w:r>
              <w:rPr>
                <w:spacing w:val="4"/>
                <w:sz w:val="20"/>
                <w:szCs w:val="20"/>
                <w14:textOutline w14:w="3795" w14:cap="sq" w14:cmpd="sng">
                  <w14:solidFill>
                    <w14:srgbClr w14:val="000000"/>
                  </w14:solidFill>
                  <w14:prstDash w14:val="solid"/>
                  <w14:bevel/>
                </w14:textOutline>
              </w:rPr>
              <w:t>名称</w:t>
            </w:r>
          </w:p>
        </w:tc>
        <w:tc>
          <w:tcPr>
            <w:tcW w:w="247" w:type="pct"/>
            <w:vMerge w:val="restart"/>
            <w:tcBorders>
              <w:top w:val="single" w:color="000000" w:sz="10" w:space="0"/>
              <w:bottom w:val="nil"/>
            </w:tcBorders>
            <w:vAlign w:val="center"/>
          </w:tcPr>
          <w:p w14:paraId="6C5A2960">
            <w:pPr>
              <w:pStyle w:val="258"/>
              <w:autoSpaceDE w:val="0"/>
              <w:autoSpaceDN w:val="0"/>
              <w:spacing w:before="65" w:line="228" w:lineRule="auto"/>
              <w:ind w:left="0"/>
              <w:rPr>
                <w:sz w:val="20"/>
                <w:szCs w:val="20"/>
              </w:rPr>
            </w:pPr>
            <w:r>
              <w:rPr>
                <w:spacing w:val="7"/>
                <w:sz w:val="20"/>
                <w:szCs w:val="20"/>
                <w14:textOutline w14:w="3795" w14:cap="sq" w14:cmpd="sng">
                  <w14:solidFill>
                    <w14:srgbClr w14:val="000000"/>
                  </w14:solidFill>
                  <w14:prstDash w14:val="solid"/>
                  <w14:bevel/>
                </w14:textOutline>
              </w:rPr>
              <w:t>治理措施</w:t>
            </w:r>
          </w:p>
        </w:tc>
        <w:tc>
          <w:tcPr>
            <w:tcW w:w="254" w:type="pct"/>
            <w:vMerge w:val="restart"/>
            <w:tcBorders>
              <w:top w:val="single" w:color="000000" w:sz="10" w:space="0"/>
              <w:bottom w:val="nil"/>
            </w:tcBorders>
            <w:vAlign w:val="center"/>
          </w:tcPr>
          <w:p w14:paraId="44377F3B">
            <w:pPr>
              <w:pStyle w:val="258"/>
              <w:autoSpaceDE w:val="0"/>
              <w:autoSpaceDN w:val="0"/>
              <w:spacing w:before="65" w:line="232" w:lineRule="auto"/>
              <w:ind w:left="0"/>
              <w:rPr>
                <w:sz w:val="20"/>
                <w:szCs w:val="20"/>
              </w:rPr>
            </w:pPr>
            <w:r>
              <w:rPr>
                <w:spacing w:val="3"/>
                <w:sz w:val="20"/>
                <w:szCs w:val="20"/>
                <w14:textOutline w14:w="3795" w14:cap="sq" w14:cmpd="sng">
                  <w14:solidFill>
                    <w14:srgbClr w14:val="000000"/>
                  </w14:solidFill>
                  <w14:prstDash w14:val="solid"/>
                  <w14:bevel/>
                </w14:textOutline>
              </w:rPr>
              <w:t>处理</w:t>
            </w:r>
          </w:p>
          <w:p w14:paraId="6F2F4F8D">
            <w:pPr>
              <w:pStyle w:val="258"/>
              <w:autoSpaceDE w:val="0"/>
              <w:autoSpaceDN w:val="0"/>
              <w:spacing w:before="19" w:line="228" w:lineRule="auto"/>
              <w:ind w:left="0"/>
              <w:rPr>
                <w:sz w:val="20"/>
                <w:szCs w:val="20"/>
              </w:rPr>
            </w:pPr>
            <w:r>
              <w:rPr>
                <w:spacing w:val="3"/>
                <w:sz w:val="20"/>
                <w:szCs w:val="20"/>
                <w14:textOutline w14:w="3795" w14:cap="sq" w14:cmpd="sng">
                  <w14:solidFill>
                    <w14:srgbClr w14:val="000000"/>
                  </w14:solidFill>
                  <w14:prstDash w14:val="solid"/>
                  <w14:bevel/>
                </w14:textOutline>
              </w:rPr>
              <w:t>效率</w:t>
            </w:r>
          </w:p>
          <w:p w14:paraId="4FEBDC3F">
            <w:pPr>
              <w:pStyle w:val="258"/>
              <w:autoSpaceDE w:val="0"/>
              <w:autoSpaceDN w:val="0"/>
              <w:spacing w:before="26" w:line="269" w:lineRule="exact"/>
              <w:ind w:left="0"/>
              <w:rPr>
                <w:sz w:val="20"/>
                <w:szCs w:val="20"/>
              </w:rPr>
            </w:pPr>
            <w:r>
              <w:rPr>
                <w:spacing w:val="8"/>
                <w:w w:val="141"/>
                <w:position w:val="1"/>
                <w:sz w:val="20"/>
                <w:szCs w:val="20"/>
                <w14:textOutline w14:w="3795" w14:cap="sq" w14:cmpd="sng">
                  <w14:solidFill>
                    <w14:srgbClr w14:val="000000"/>
                  </w14:solidFill>
                  <w14:prstDash w14:val="solid"/>
                  <w14:bevel/>
                </w14:textOutline>
              </w:rPr>
              <w:t>%</w:t>
            </w:r>
          </w:p>
        </w:tc>
        <w:tc>
          <w:tcPr>
            <w:tcW w:w="1321" w:type="pct"/>
            <w:gridSpan w:val="3"/>
            <w:tcBorders>
              <w:top w:val="single" w:color="000000" w:sz="10" w:space="0"/>
            </w:tcBorders>
            <w:vAlign w:val="center"/>
          </w:tcPr>
          <w:p w14:paraId="34607683">
            <w:pPr>
              <w:pStyle w:val="258"/>
              <w:autoSpaceDE w:val="0"/>
              <w:autoSpaceDN w:val="0"/>
              <w:spacing w:before="69" w:line="228" w:lineRule="auto"/>
              <w:ind w:left="699"/>
              <w:rPr>
                <w:sz w:val="20"/>
                <w:szCs w:val="20"/>
              </w:rPr>
            </w:pPr>
            <w:r>
              <w:rPr>
                <w:spacing w:val="8"/>
                <w:sz w:val="20"/>
                <w:szCs w:val="20"/>
                <w14:textOutline w14:w="3795" w14:cap="sq" w14:cmpd="sng">
                  <w14:solidFill>
                    <w14:srgbClr w14:val="000000"/>
                  </w14:solidFill>
                  <w14:prstDash w14:val="solid"/>
                  <w14:bevel/>
                </w14:textOutline>
              </w:rPr>
              <w:t>排放情况</w:t>
            </w:r>
          </w:p>
        </w:tc>
        <w:tc>
          <w:tcPr>
            <w:tcW w:w="611" w:type="pct"/>
            <w:gridSpan w:val="2"/>
            <w:tcBorders>
              <w:top w:val="single" w:color="000000" w:sz="10" w:space="0"/>
            </w:tcBorders>
            <w:shd w:val="clear" w:color="auto" w:fill="D9D9D9"/>
            <w:vAlign w:val="center"/>
          </w:tcPr>
          <w:p w14:paraId="18DF64EF">
            <w:pPr>
              <w:pStyle w:val="258"/>
              <w:autoSpaceDE w:val="0"/>
              <w:autoSpaceDN w:val="0"/>
              <w:spacing w:before="69" w:line="228" w:lineRule="auto"/>
              <w:ind w:left="290"/>
              <w:rPr>
                <w:sz w:val="20"/>
                <w:szCs w:val="20"/>
              </w:rPr>
            </w:pPr>
            <w:r>
              <w:rPr>
                <w:spacing w:val="8"/>
                <w:sz w:val="20"/>
                <w:szCs w:val="20"/>
                <w14:textOutline w14:w="3795" w14:cap="sq" w14:cmpd="sng">
                  <w14:solidFill>
                    <w14:srgbClr w14:val="000000"/>
                  </w14:solidFill>
                  <w14:prstDash w14:val="solid"/>
                  <w14:bevel/>
                </w14:textOutline>
              </w:rPr>
              <w:t>执行标准</w:t>
            </w:r>
          </w:p>
        </w:tc>
        <w:tc>
          <w:tcPr>
            <w:tcW w:w="1081" w:type="pct"/>
            <w:gridSpan w:val="3"/>
            <w:tcBorders>
              <w:top w:val="single" w:color="000000" w:sz="10" w:space="0"/>
            </w:tcBorders>
            <w:vAlign w:val="center"/>
          </w:tcPr>
          <w:p w14:paraId="245C0EE8">
            <w:pPr>
              <w:pStyle w:val="258"/>
              <w:autoSpaceDE w:val="0"/>
              <w:autoSpaceDN w:val="0"/>
              <w:spacing w:before="69" w:line="228" w:lineRule="auto"/>
              <w:ind w:left="349"/>
              <w:rPr>
                <w:sz w:val="20"/>
                <w:szCs w:val="20"/>
              </w:rPr>
            </w:pPr>
            <w:r>
              <w:rPr>
                <w:spacing w:val="8"/>
                <w:sz w:val="20"/>
                <w:szCs w:val="20"/>
                <w14:textOutline w14:w="3795" w14:cap="sq" w14:cmpd="sng">
                  <w14:solidFill>
                    <w14:srgbClr w14:val="000000"/>
                  </w14:solidFill>
                  <w14:prstDash w14:val="solid"/>
                  <w14:bevel/>
                </w14:textOutline>
              </w:rPr>
              <w:t>排放源参数</w:t>
            </w:r>
          </w:p>
        </w:tc>
        <w:tc>
          <w:tcPr>
            <w:tcW w:w="321" w:type="pct"/>
            <w:vMerge w:val="restart"/>
            <w:tcBorders>
              <w:top w:val="single" w:color="000000" w:sz="10" w:space="0"/>
              <w:bottom w:val="nil"/>
              <w:right w:val="single" w:color="000000" w:sz="10" w:space="0"/>
            </w:tcBorders>
            <w:vAlign w:val="center"/>
          </w:tcPr>
          <w:p w14:paraId="7BA0C012">
            <w:pPr>
              <w:pStyle w:val="258"/>
              <w:autoSpaceDE w:val="0"/>
              <w:autoSpaceDN w:val="0"/>
              <w:spacing w:before="209" w:line="241" w:lineRule="auto"/>
              <w:ind w:left="159" w:right="121" w:hanging="9"/>
              <w:rPr>
                <w:sz w:val="20"/>
                <w:szCs w:val="20"/>
              </w:rPr>
            </w:pPr>
            <w:r>
              <w:rPr>
                <w:spacing w:val="6"/>
                <w:sz w:val="20"/>
                <w:szCs w:val="20"/>
                <w14:textOutline w14:w="3795" w14:cap="sq" w14:cmpd="sng">
                  <w14:solidFill>
                    <w14:srgbClr w14:val="000000"/>
                  </w14:solidFill>
                  <w14:prstDash w14:val="solid"/>
                  <w14:bevel/>
                </w14:textOutline>
              </w:rPr>
              <w:t>排放</w:t>
            </w:r>
            <w:r>
              <w:rPr>
                <w:spacing w:val="1"/>
                <w:sz w:val="20"/>
                <w:szCs w:val="20"/>
                <w14:textOutline w14:w="3795" w14:cap="sq" w14:cmpd="sng">
                  <w14:solidFill>
                    <w14:srgbClr w14:val="000000"/>
                  </w14:solidFill>
                  <w14:prstDash w14:val="solid"/>
                  <w14:bevel/>
                </w14:textOutline>
              </w:rPr>
              <w:t>时间</w:t>
            </w:r>
          </w:p>
        </w:tc>
      </w:tr>
      <w:tr w14:paraId="5A205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246" w:type="pct"/>
            <w:vMerge w:val="continue"/>
            <w:tcBorders>
              <w:top w:val="nil"/>
              <w:left w:val="single" w:color="000000" w:sz="10" w:space="0"/>
              <w:bottom w:val="nil"/>
            </w:tcBorders>
            <w:vAlign w:val="center"/>
          </w:tcPr>
          <w:p w14:paraId="5C1285B5">
            <w:pPr>
              <w:autoSpaceDE w:val="0"/>
              <w:autoSpaceDN w:val="0"/>
              <w:rPr>
                <w:rFonts w:ascii="Arial"/>
                <w:sz w:val="21"/>
              </w:rPr>
            </w:pPr>
          </w:p>
        </w:tc>
        <w:tc>
          <w:tcPr>
            <w:tcW w:w="439" w:type="pct"/>
            <w:vMerge w:val="continue"/>
            <w:tcBorders>
              <w:top w:val="nil"/>
              <w:bottom w:val="nil"/>
            </w:tcBorders>
            <w:vAlign w:val="center"/>
          </w:tcPr>
          <w:p w14:paraId="31698765">
            <w:pPr>
              <w:autoSpaceDE w:val="0"/>
              <w:autoSpaceDN w:val="0"/>
              <w:rPr>
                <w:rFonts w:ascii="Arial"/>
                <w:sz w:val="21"/>
              </w:rPr>
            </w:pPr>
          </w:p>
        </w:tc>
        <w:tc>
          <w:tcPr>
            <w:tcW w:w="476" w:type="pct"/>
            <w:vMerge w:val="continue"/>
            <w:tcBorders>
              <w:top w:val="nil"/>
              <w:bottom w:val="nil"/>
            </w:tcBorders>
            <w:vAlign w:val="center"/>
          </w:tcPr>
          <w:p w14:paraId="4D9CB23E">
            <w:pPr>
              <w:autoSpaceDE w:val="0"/>
              <w:autoSpaceDN w:val="0"/>
              <w:rPr>
                <w:rFonts w:ascii="Arial"/>
                <w:sz w:val="21"/>
              </w:rPr>
            </w:pPr>
          </w:p>
        </w:tc>
        <w:tc>
          <w:tcPr>
            <w:tcW w:w="247" w:type="pct"/>
            <w:vMerge w:val="continue"/>
            <w:tcBorders>
              <w:top w:val="nil"/>
              <w:bottom w:val="nil"/>
            </w:tcBorders>
            <w:vAlign w:val="center"/>
          </w:tcPr>
          <w:p w14:paraId="77AB535F">
            <w:pPr>
              <w:autoSpaceDE w:val="0"/>
              <w:autoSpaceDN w:val="0"/>
              <w:rPr>
                <w:rFonts w:ascii="Arial"/>
                <w:sz w:val="21"/>
              </w:rPr>
            </w:pPr>
          </w:p>
        </w:tc>
        <w:tc>
          <w:tcPr>
            <w:tcW w:w="254" w:type="pct"/>
            <w:vMerge w:val="continue"/>
            <w:tcBorders>
              <w:top w:val="nil"/>
              <w:bottom w:val="nil"/>
            </w:tcBorders>
            <w:vAlign w:val="center"/>
          </w:tcPr>
          <w:p w14:paraId="1AB15162">
            <w:pPr>
              <w:autoSpaceDE w:val="0"/>
              <w:autoSpaceDN w:val="0"/>
              <w:rPr>
                <w:rFonts w:ascii="Arial"/>
                <w:sz w:val="21"/>
              </w:rPr>
            </w:pPr>
          </w:p>
        </w:tc>
        <w:tc>
          <w:tcPr>
            <w:tcW w:w="463" w:type="pct"/>
            <w:vAlign w:val="center"/>
          </w:tcPr>
          <w:p w14:paraId="1CE0F27E">
            <w:pPr>
              <w:pStyle w:val="258"/>
              <w:autoSpaceDE w:val="0"/>
              <w:autoSpaceDN w:val="0"/>
              <w:spacing w:before="167" w:line="228" w:lineRule="auto"/>
              <w:ind w:left="178"/>
              <w:rPr>
                <w:sz w:val="20"/>
                <w:szCs w:val="20"/>
              </w:rPr>
            </w:pPr>
            <w:r>
              <w:rPr>
                <w:spacing w:val="6"/>
                <w:sz w:val="20"/>
                <w:szCs w:val="20"/>
                <w14:textOutline w14:w="3795" w14:cap="sq" w14:cmpd="sng">
                  <w14:solidFill>
                    <w14:srgbClr w14:val="000000"/>
                  </w14:solidFill>
                  <w14:prstDash w14:val="solid"/>
                  <w14:bevel/>
                </w14:textOutline>
              </w:rPr>
              <w:t>浓度</w:t>
            </w:r>
          </w:p>
        </w:tc>
        <w:tc>
          <w:tcPr>
            <w:tcW w:w="380" w:type="pct"/>
            <w:vAlign w:val="center"/>
          </w:tcPr>
          <w:p w14:paraId="457CBBF6">
            <w:pPr>
              <w:pStyle w:val="258"/>
              <w:autoSpaceDE w:val="0"/>
              <w:autoSpaceDN w:val="0"/>
              <w:spacing w:before="166" w:line="228" w:lineRule="auto"/>
              <w:ind w:left="171"/>
              <w:rPr>
                <w:sz w:val="20"/>
                <w:szCs w:val="20"/>
              </w:rPr>
            </w:pPr>
            <w:r>
              <w:rPr>
                <w:spacing w:val="6"/>
                <w:sz w:val="20"/>
                <w:szCs w:val="20"/>
                <w14:textOutline w14:w="3795" w14:cap="sq" w14:cmpd="sng">
                  <w14:solidFill>
                    <w14:srgbClr w14:val="000000"/>
                  </w14:solidFill>
                  <w14:prstDash w14:val="solid"/>
                  <w14:bevel/>
                </w14:textOutline>
              </w:rPr>
              <w:t>速率</w:t>
            </w:r>
          </w:p>
        </w:tc>
        <w:tc>
          <w:tcPr>
            <w:tcW w:w="477" w:type="pct"/>
            <w:vAlign w:val="center"/>
          </w:tcPr>
          <w:p w14:paraId="666720C1">
            <w:pPr>
              <w:pStyle w:val="258"/>
              <w:autoSpaceDE w:val="0"/>
              <w:autoSpaceDN w:val="0"/>
              <w:spacing w:before="33" w:line="233" w:lineRule="auto"/>
              <w:ind w:left="264" w:right="139" w:hanging="103"/>
              <w:rPr>
                <w:sz w:val="20"/>
                <w:szCs w:val="20"/>
              </w:rPr>
            </w:pPr>
            <w:r>
              <w:rPr>
                <w:spacing w:val="6"/>
                <w:sz w:val="20"/>
                <w:szCs w:val="20"/>
                <w14:textOutline w14:w="3795" w14:cap="sq" w14:cmpd="sng">
                  <w14:solidFill>
                    <w14:srgbClr w14:val="000000"/>
                  </w14:solidFill>
                  <w14:prstDash w14:val="solid"/>
                  <w14:bevel/>
                </w14:textOutline>
              </w:rPr>
              <w:t>排放</w:t>
            </w:r>
            <w:r>
              <w:rPr>
                <w:sz w:val="20"/>
                <w:szCs w:val="20"/>
                <w14:textOutline w14:w="3795" w14:cap="sq" w14:cmpd="sng">
                  <w14:solidFill>
                    <w14:srgbClr w14:val="000000"/>
                  </w14:solidFill>
                  <w14:prstDash w14:val="solid"/>
                  <w14:bevel/>
                </w14:textOutline>
              </w:rPr>
              <w:t>量</w:t>
            </w:r>
          </w:p>
        </w:tc>
        <w:tc>
          <w:tcPr>
            <w:tcW w:w="302" w:type="pct"/>
            <w:shd w:val="clear" w:color="auto" w:fill="D9D9D9"/>
            <w:vAlign w:val="center"/>
          </w:tcPr>
          <w:p w14:paraId="1C53178A">
            <w:pPr>
              <w:pStyle w:val="258"/>
              <w:autoSpaceDE w:val="0"/>
              <w:autoSpaceDN w:val="0"/>
              <w:spacing w:before="167" w:line="228" w:lineRule="auto"/>
              <w:ind w:left="165"/>
              <w:rPr>
                <w:sz w:val="20"/>
                <w:szCs w:val="20"/>
              </w:rPr>
            </w:pPr>
            <w:r>
              <w:rPr>
                <w:spacing w:val="6"/>
                <w:sz w:val="20"/>
                <w:szCs w:val="20"/>
                <w14:textOutline w14:w="3795" w14:cap="sq" w14:cmpd="sng">
                  <w14:solidFill>
                    <w14:srgbClr w14:val="000000"/>
                  </w14:solidFill>
                  <w14:prstDash w14:val="solid"/>
                  <w14:bevel/>
                </w14:textOutline>
              </w:rPr>
              <w:t>浓度</w:t>
            </w:r>
          </w:p>
        </w:tc>
        <w:tc>
          <w:tcPr>
            <w:tcW w:w="309" w:type="pct"/>
            <w:shd w:val="clear" w:color="auto" w:fill="D9D9D9"/>
            <w:vAlign w:val="center"/>
          </w:tcPr>
          <w:p w14:paraId="00C0B71D">
            <w:pPr>
              <w:pStyle w:val="258"/>
              <w:autoSpaceDE w:val="0"/>
              <w:autoSpaceDN w:val="0"/>
              <w:spacing w:before="166" w:line="228" w:lineRule="auto"/>
              <w:ind w:left="133"/>
              <w:rPr>
                <w:sz w:val="20"/>
                <w:szCs w:val="20"/>
              </w:rPr>
            </w:pPr>
            <w:r>
              <w:rPr>
                <w:spacing w:val="7"/>
                <w:sz w:val="20"/>
                <w:szCs w:val="20"/>
                <w14:textOutline w14:w="3795" w14:cap="sq" w14:cmpd="sng">
                  <w14:solidFill>
                    <w14:srgbClr w14:val="000000"/>
                  </w14:solidFill>
                  <w14:prstDash w14:val="solid"/>
                  <w14:bevel/>
                </w14:textOutline>
              </w:rPr>
              <w:t>速率</w:t>
            </w:r>
          </w:p>
        </w:tc>
        <w:tc>
          <w:tcPr>
            <w:tcW w:w="503" w:type="pct"/>
            <w:vAlign w:val="center"/>
          </w:tcPr>
          <w:p w14:paraId="111784D6">
            <w:pPr>
              <w:pStyle w:val="258"/>
              <w:autoSpaceDE w:val="0"/>
              <w:autoSpaceDN w:val="0"/>
              <w:spacing w:before="166" w:line="228" w:lineRule="auto"/>
              <w:ind w:left="187"/>
              <w:rPr>
                <w:sz w:val="20"/>
                <w:szCs w:val="20"/>
              </w:rPr>
            </w:pPr>
            <w:r>
              <w:rPr>
                <w:spacing w:val="3"/>
                <w:sz w:val="20"/>
                <w:szCs w:val="20"/>
                <w14:textOutline w14:w="3795" w14:cap="sq" w14:cmpd="sng">
                  <w14:solidFill>
                    <w14:srgbClr w14:val="000000"/>
                  </w14:solidFill>
                  <w14:prstDash w14:val="solid"/>
                  <w14:bevel/>
                </w14:textOutline>
              </w:rPr>
              <w:t>高度</w:t>
            </w:r>
          </w:p>
        </w:tc>
        <w:tc>
          <w:tcPr>
            <w:tcW w:w="244" w:type="pct"/>
            <w:textDirection w:val="tbRlV"/>
            <w:vAlign w:val="center"/>
          </w:tcPr>
          <w:p w14:paraId="2B075C50">
            <w:pPr>
              <w:pStyle w:val="258"/>
              <w:autoSpaceDE w:val="0"/>
              <w:autoSpaceDN w:val="0"/>
              <w:spacing w:before="137" w:line="216" w:lineRule="auto"/>
              <w:ind w:left="32"/>
              <w:jc w:val="center"/>
              <w:rPr>
                <w:sz w:val="20"/>
                <w:szCs w:val="20"/>
              </w:rPr>
            </w:pPr>
            <w:r>
              <w:rPr>
                <w:spacing w:val="8"/>
                <w:sz w:val="20"/>
                <w:szCs w:val="20"/>
                <w14:textOutline w14:w="3795" w14:cap="sq" w14:cmpd="sng">
                  <w14:solidFill>
                    <w14:srgbClr w14:val="000000"/>
                  </w14:solidFill>
                  <w14:prstDash w14:val="solid"/>
                  <w14:bevel/>
                </w14:textOutline>
              </w:rPr>
              <w:t>直径</w:t>
            </w:r>
          </w:p>
        </w:tc>
        <w:tc>
          <w:tcPr>
            <w:tcW w:w="333" w:type="pct"/>
            <w:textDirection w:val="tbRlV"/>
            <w:vAlign w:val="center"/>
          </w:tcPr>
          <w:p w14:paraId="3DAEFA47">
            <w:pPr>
              <w:pStyle w:val="258"/>
              <w:autoSpaceDE w:val="0"/>
              <w:autoSpaceDN w:val="0"/>
              <w:spacing w:before="107" w:line="217" w:lineRule="auto"/>
              <w:ind w:left="32"/>
              <w:jc w:val="center"/>
              <w:rPr>
                <w:sz w:val="20"/>
                <w:szCs w:val="20"/>
              </w:rPr>
            </w:pPr>
            <w:r>
              <w:rPr>
                <w:spacing w:val="8"/>
                <w:sz w:val="20"/>
                <w:szCs w:val="20"/>
                <w14:textOutline w14:w="3795" w14:cap="sq" w14:cmpd="sng">
                  <w14:solidFill>
                    <w14:srgbClr w14:val="000000"/>
                  </w14:solidFill>
                  <w14:prstDash w14:val="solid"/>
                  <w14:bevel/>
                </w14:textOutline>
              </w:rPr>
              <w:t>温度</w:t>
            </w:r>
          </w:p>
        </w:tc>
        <w:tc>
          <w:tcPr>
            <w:tcW w:w="321" w:type="pct"/>
            <w:vMerge w:val="continue"/>
            <w:tcBorders>
              <w:top w:val="nil"/>
              <w:right w:val="single" w:color="000000" w:sz="10" w:space="0"/>
            </w:tcBorders>
            <w:vAlign w:val="center"/>
          </w:tcPr>
          <w:p w14:paraId="51DEBF3A">
            <w:pPr>
              <w:autoSpaceDE w:val="0"/>
              <w:autoSpaceDN w:val="0"/>
              <w:rPr>
                <w:rFonts w:ascii="Arial"/>
                <w:sz w:val="21"/>
              </w:rPr>
            </w:pPr>
          </w:p>
        </w:tc>
      </w:tr>
      <w:tr w14:paraId="7BFE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246" w:type="pct"/>
            <w:vMerge w:val="continue"/>
            <w:tcBorders>
              <w:top w:val="nil"/>
              <w:left w:val="single" w:color="000000" w:sz="10" w:space="0"/>
            </w:tcBorders>
            <w:vAlign w:val="center"/>
          </w:tcPr>
          <w:p w14:paraId="625D87E5">
            <w:pPr>
              <w:autoSpaceDE w:val="0"/>
              <w:autoSpaceDN w:val="0"/>
              <w:rPr>
                <w:rFonts w:ascii="Arial"/>
                <w:sz w:val="21"/>
              </w:rPr>
            </w:pPr>
          </w:p>
        </w:tc>
        <w:tc>
          <w:tcPr>
            <w:tcW w:w="439" w:type="pct"/>
            <w:vMerge w:val="continue"/>
            <w:tcBorders>
              <w:top w:val="nil"/>
            </w:tcBorders>
            <w:vAlign w:val="center"/>
          </w:tcPr>
          <w:p w14:paraId="6EAF4F7A">
            <w:pPr>
              <w:autoSpaceDE w:val="0"/>
              <w:autoSpaceDN w:val="0"/>
              <w:rPr>
                <w:rFonts w:ascii="Arial"/>
                <w:sz w:val="21"/>
              </w:rPr>
            </w:pPr>
          </w:p>
        </w:tc>
        <w:tc>
          <w:tcPr>
            <w:tcW w:w="476" w:type="pct"/>
            <w:vMerge w:val="continue"/>
            <w:tcBorders>
              <w:top w:val="nil"/>
            </w:tcBorders>
            <w:vAlign w:val="center"/>
          </w:tcPr>
          <w:p w14:paraId="2B5A58AA">
            <w:pPr>
              <w:autoSpaceDE w:val="0"/>
              <w:autoSpaceDN w:val="0"/>
              <w:rPr>
                <w:rFonts w:ascii="Arial"/>
                <w:sz w:val="21"/>
              </w:rPr>
            </w:pPr>
          </w:p>
        </w:tc>
        <w:tc>
          <w:tcPr>
            <w:tcW w:w="247" w:type="pct"/>
            <w:vMerge w:val="continue"/>
            <w:tcBorders>
              <w:top w:val="nil"/>
            </w:tcBorders>
            <w:vAlign w:val="center"/>
          </w:tcPr>
          <w:p w14:paraId="0149C643">
            <w:pPr>
              <w:autoSpaceDE w:val="0"/>
              <w:autoSpaceDN w:val="0"/>
              <w:rPr>
                <w:rFonts w:ascii="Arial"/>
                <w:sz w:val="21"/>
              </w:rPr>
            </w:pPr>
          </w:p>
        </w:tc>
        <w:tc>
          <w:tcPr>
            <w:tcW w:w="254" w:type="pct"/>
            <w:vMerge w:val="continue"/>
            <w:tcBorders>
              <w:top w:val="nil"/>
            </w:tcBorders>
            <w:vAlign w:val="center"/>
          </w:tcPr>
          <w:p w14:paraId="25290DB7">
            <w:pPr>
              <w:autoSpaceDE w:val="0"/>
              <w:autoSpaceDN w:val="0"/>
              <w:rPr>
                <w:rFonts w:ascii="Arial"/>
                <w:sz w:val="21"/>
              </w:rPr>
            </w:pPr>
          </w:p>
        </w:tc>
        <w:tc>
          <w:tcPr>
            <w:tcW w:w="463" w:type="pct"/>
            <w:vAlign w:val="center"/>
          </w:tcPr>
          <w:p w14:paraId="14F47D4E">
            <w:pPr>
              <w:autoSpaceDE w:val="0"/>
              <w:autoSpaceDN w:val="0"/>
              <w:spacing w:before="55" w:line="216" w:lineRule="auto"/>
              <w:ind w:left="349" w:right="119" w:hanging="21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1"/>
                <w:sz w:val="13"/>
                <w:szCs w:val="13"/>
              </w:rPr>
              <w:t>3</w:t>
            </w:r>
          </w:p>
        </w:tc>
        <w:tc>
          <w:tcPr>
            <w:tcW w:w="380" w:type="pct"/>
            <w:vAlign w:val="center"/>
          </w:tcPr>
          <w:p w14:paraId="7CB6240F">
            <w:pPr>
              <w:autoSpaceDE w:val="0"/>
              <w:autoSpaceDN w:val="0"/>
              <w:spacing w:before="175" w:line="197" w:lineRule="auto"/>
              <w:ind w:left="15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Kg</w:t>
            </w:r>
            <w:r>
              <w:rPr>
                <w:rFonts w:ascii="Times New Roman" w:hAnsi="Times New Roman" w:eastAsia="Times New Roman" w:cs="Times New Roman"/>
                <w:b/>
                <w:bCs/>
                <w:spacing w:val="7"/>
                <w:sz w:val="20"/>
                <w:szCs w:val="20"/>
              </w:rPr>
              <w:t>/h</w:t>
            </w:r>
          </w:p>
        </w:tc>
        <w:tc>
          <w:tcPr>
            <w:tcW w:w="477" w:type="pct"/>
            <w:vAlign w:val="center"/>
          </w:tcPr>
          <w:p w14:paraId="6DE36816">
            <w:pPr>
              <w:autoSpaceDE w:val="0"/>
              <w:autoSpaceDN w:val="0"/>
              <w:spacing w:before="175" w:line="195" w:lineRule="auto"/>
              <w:ind w:left="25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t/a</w:t>
            </w:r>
          </w:p>
        </w:tc>
        <w:tc>
          <w:tcPr>
            <w:tcW w:w="302" w:type="pct"/>
            <w:shd w:val="clear" w:color="auto" w:fill="D9D9D9"/>
            <w:vAlign w:val="center"/>
          </w:tcPr>
          <w:p w14:paraId="10518C58">
            <w:pPr>
              <w:autoSpaceDE w:val="0"/>
              <w:autoSpaceDN w:val="0"/>
              <w:spacing w:before="54" w:line="230" w:lineRule="auto"/>
              <w:ind w:left="206"/>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mg</w:t>
            </w:r>
            <w:r>
              <w:rPr>
                <w:rFonts w:ascii="Times New Roman" w:hAnsi="Times New Roman" w:eastAsia="Times New Roman" w:cs="Times New Roman"/>
                <w:b/>
                <w:bCs/>
                <w:spacing w:val="7"/>
                <w:sz w:val="20"/>
                <w:szCs w:val="20"/>
              </w:rPr>
              <w:t>/</w:t>
            </w:r>
          </w:p>
          <w:p w14:paraId="11010BE3">
            <w:pPr>
              <w:autoSpaceDE w:val="0"/>
              <w:autoSpaceDN w:val="0"/>
              <w:spacing w:line="210" w:lineRule="auto"/>
              <w:ind w:left="254"/>
              <w:rPr>
                <w:rFonts w:ascii="Times New Roman" w:hAnsi="Times New Roman" w:eastAsia="Times New Roman" w:cs="Times New Roman"/>
                <w:sz w:val="13"/>
                <w:szCs w:val="13"/>
              </w:rPr>
            </w:pPr>
            <w:r>
              <w:rPr>
                <w:rFonts w:ascii="Times New Roman" w:hAnsi="Times New Roman" w:eastAsia="Times New Roman" w:cs="Times New Roman"/>
                <w:b/>
                <w:bCs/>
                <w:spacing w:val="2"/>
                <w:position w:val="-3"/>
                <w:sz w:val="20"/>
                <w:szCs w:val="20"/>
              </w:rPr>
              <w:t>m</w:t>
            </w:r>
            <w:r>
              <w:rPr>
                <w:rFonts w:ascii="Times New Roman" w:hAnsi="Times New Roman" w:eastAsia="Times New Roman" w:cs="Times New Roman"/>
                <w:b/>
                <w:bCs/>
                <w:spacing w:val="2"/>
                <w:position w:val="3"/>
                <w:sz w:val="13"/>
                <w:szCs w:val="13"/>
              </w:rPr>
              <w:t>3</w:t>
            </w:r>
          </w:p>
        </w:tc>
        <w:tc>
          <w:tcPr>
            <w:tcW w:w="309" w:type="pct"/>
            <w:shd w:val="clear" w:color="auto" w:fill="D9D9D9"/>
            <w:vAlign w:val="center"/>
          </w:tcPr>
          <w:p w14:paraId="5E59E442">
            <w:pPr>
              <w:autoSpaceDE w:val="0"/>
              <w:autoSpaceDN w:val="0"/>
              <w:spacing w:before="175" w:line="197" w:lineRule="auto"/>
              <w:ind w:left="14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kg</w:t>
            </w:r>
            <w:r>
              <w:rPr>
                <w:rFonts w:ascii="Times New Roman" w:hAnsi="Times New Roman" w:eastAsia="Times New Roman" w:cs="Times New Roman"/>
                <w:b/>
                <w:bCs/>
                <w:spacing w:val="6"/>
                <w:sz w:val="20"/>
                <w:szCs w:val="20"/>
              </w:rPr>
              <w:t>/h</w:t>
            </w:r>
          </w:p>
        </w:tc>
        <w:tc>
          <w:tcPr>
            <w:tcW w:w="503" w:type="pct"/>
            <w:vAlign w:val="center"/>
          </w:tcPr>
          <w:p w14:paraId="00748621">
            <w:pPr>
              <w:autoSpaceDE w:val="0"/>
              <w:autoSpaceDN w:val="0"/>
              <w:spacing w:before="219" w:line="143" w:lineRule="exact"/>
              <w:ind w:left="305"/>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244" w:type="pct"/>
            <w:vAlign w:val="center"/>
          </w:tcPr>
          <w:p w14:paraId="344A51FC">
            <w:pPr>
              <w:autoSpaceDE w:val="0"/>
              <w:autoSpaceDN w:val="0"/>
              <w:spacing w:before="219" w:line="143" w:lineRule="exact"/>
              <w:ind w:left="183"/>
              <w:rPr>
                <w:rFonts w:ascii="Times New Roman" w:hAnsi="Times New Roman" w:eastAsia="Times New Roman" w:cs="Times New Roman"/>
                <w:sz w:val="20"/>
                <w:szCs w:val="20"/>
              </w:rPr>
            </w:pPr>
            <w:r>
              <w:rPr>
                <w:rFonts w:ascii="Times New Roman" w:hAnsi="Times New Roman" w:eastAsia="Times New Roman" w:cs="Times New Roman"/>
                <w:b/>
                <w:bCs/>
                <w:sz w:val="20"/>
                <w:szCs w:val="20"/>
              </w:rPr>
              <w:t>m</w:t>
            </w:r>
          </w:p>
        </w:tc>
        <w:tc>
          <w:tcPr>
            <w:tcW w:w="333" w:type="pct"/>
            <w:vAlign w:val="center"/>
          </w:tcPr>
          <w:p w14:paraId="18326B64">
            <w:pPr>
              <w:autoSpaceDE w:val="0"/>
              <w:autoSpaceDN w:val="0"/>
              <w:spacing w:before="175" w:line="195"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21" w:type="pct"/>
            <w:tcBorders>
              <w:right w:val="single" w:color="000000" w:sz="10" w:space="0"/>
            </w:tcBorders>
            <w:vAlign w:val="center"/>
          </w:tcPr>
          <w:p w14:paraId="21EDE241">
            <w:pPr>
              <w:autoSpaceDE w:val="0"/>
              <w:autoSpaceDN w:val="0"/>
              <w:spacing w:before="175" w:line="195" w:lineRule="auto"/>
              <w:ind w:left="218"/>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h/a</w:t>
            </w:r>
          </w:p>
        </w:tc>
      </w:tr>
      <w:tr w14:paraId="1E915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246" w:type="pct"/>
            <w:tcBorders>
              <w:left w:val="single" w:color="000000" w:sz="10" w:space="0"/>
            </w:tcBorders>
            <w:vAlign w:val="center"/>
          </w:tcPr>
          <w:p w14:paraId="66264C1E">
            <w:pPr>
              <w:pStyle w:val="258"/>
              <w:autoSpaceDE w:val="0"/>
              <w:autoSpaceDN w:val="0"/>
              <w:spacing w:before="143" w:line="228" w:lineRule="auto"/>
              <w:ind w:left="131"/>
              <w:rPr>
                <w:rFonts w:hint="default" w:eastAsia="仿宋"/>
                <w:sz w:val="20"/>
                <w:szCs w:val="20"/>
                <w:lang w:val="en-US" w:eastAsia="zh-CN"/>
              </w:rPr>
            </w:pPr>
            <w:r>
              <w:rPr>
                <w:rFonts w:hint="eastAsia"/>
                <w:spacing w:val="8"/>
                <w:sz w:val="20"/>
                <w:szCs w:val="20"/>
                <w:lang w:val="en-US" w:eastAsia="zh-CN"/>
              </w:rPr>
              <w:t>木工</w:t>
            </w:r>
          </w:p>
        </w:tc>
        <w:tc>
          <w:tcPr>
            <w:tcW w:w="439" w:type="pct"/>
            <w:vAlign w:val="center"/>
          </w:tcPr>
          <w:p w14:paraId="0A2D972E">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6500</w:t>
            </w:r>
          </w:p>
        </w:tc>
        <w:tc>
          <w:tcPr>
            <w:tcW w:w="476" w:type="pct"/>
            <w:vAlign w:val="center"/>
          </w:tcPr>
          <w:p w14:paraId="5F5FFAF1">
            <w:pPr>
              <w:autoSpaceDE w:val="0"/>
              <w:autoSpaceDN w:val="0"/>
              <w:jc w:val="center"/>
              <w:rPr>
                <w:rFonts w:ascii="Times New Roman" w:hAnsi="Times New Roman" w:cs="Times New Roman"/>
                <w:color w:val="000000"/>
                <w:spacing w:val="0"/>
                <w:sz w:val="18"/>
                <w:szCs w:val="18"/>
              </w:rPr>
            </w:pPr>
            <w:r>
              <w:rPr>
                <w:rFonts w:hint="default" w:ascii="Times New Roman" w:hAnsi="Times New Roman" w:cs="Times New Roman"/>
                <w:color w:val="000000"/>
                <w:sz w:val="18"/>
                <w:szCs w:val="18"/>
              </w:rPr>
              <w:t>粉尘</w:t>
            </w:r>
          </w:p>
        </w:tc>
        <w:tc>
          <w:tcPr>
            <w:tcW w:w="247" w:type="pct"/>
            <w:vAlign w:val="center"/>
          </w:tcPr>
          <w:p w14:paraId="0A3CDEA7">
            <w:pPr>
              <w:autoSpaceDE w:val="0"/>
              <w:autoSpaceDN w:val="0"/>
              <w:jc w:val="center"/>
              <w:rPr>
                <w:rFonts w:hint="default" w:ascii="Times New Roman" w:hAnsi="Times New Roman" w:eastAsia="仿宋_GB2312" w:cs="Times New Roman"/>
                <w:color w:val="000000"/>
                <w:sz w:val="18"/>
                <w:szCs w:val="18"/>
                <w:lang w:eastAsia="zh-CN"/>
              </w:rPr>
            </w:pPr>
            <w:r>
              <w:rPr>
                <w:rFonts w:hint="default" w:ascii="Times New Roman" w:hAnsi="Times New Roman" w:cs="Times New Roman"/>
                <w:color w:val="000000"/>
                <w:spacing w:val="0"/>
                <w:sz w:val="18"/>
                <w:szCs w:val="18"/>
                <w:lang w:val="en-US" w:eastAsia="zh-CN"/>
              </w:rPr>
              <w:t>中央除尘</w:t>
            </w:r>
          </w:p>
        </w:tc>
        <w:tc>
          <w:tcPr>
            <w:tcW w:w="254" w:type="pct"/>
            <w:vAlign w:val="center"/>
          </w:tcPr>
          <w:p w14:paraId="1C28BDA7">
            <w:pPr>
              <w:autoSpaceDE w:val="0"/>
              <w:autoSpaceDN w:val="0"/>
              <w:spacing w:before="0" w:line="240" w:lineRule="auto"/>
              <w:ind w:left="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95</w:t>
            </w:r>
          </w:p>
        </w:tc>
        <w:tc>
          <w:tcPr>
            <w:tcW w:w="463" w:type="pct"/>
            <w:shd w:val="clear" w:color="auto" w:fill="auto"/>
            <w:vAlign w:val="center"/>
          </w:tcPr>
          <w:p w14:paraId="2F62A2BA">
            <w:pPr>
              <w:autoSpaceDE w:val="0"/>
              <w:autoSpaceDN w:val="0"/>
              <w:adjustRightInd/>
              <w:snapToGrid/>
              <w:jc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kern w:val="2"/>
                <w:sz w:val="18"/>
                <w:szCs w:val="18"/>
                <w:lang w:val="en-US" w:eastAsia="zh-CN"/>
              </w:rPr>
              <w:t>5.538</w:t>
            </w:r>
          </w:p>
        </w:tc>
        <w:tc>
          <w:tcPr>
            <w:tcW w:w="380" w:type="pct"/>
            <w:shd w:val="clear" w:color="auto" w:fill="auto"/>
            <w:vAlign w:val="center"/>
          </w:tcPr>
          <w:p w14:paraId="1DF229C3">
            <w:pPr>
              <w:autoSpaceDE w:val="0"/>
              <w:autoSpaceDN w:val="0"/>
              <w:adjustRightInd/>
              <w:snapToGrid/>
              <w:jc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kern w:val="2"/>
                <w:sz w:val="18"/>
                <w:szCs w:val="18"/>
                <w:lang w:val="en-US" w:eastAsia="zh-CN"/>
              </w:rPr>
              <w:t>0.036</w:t>
            </w:r>
          </w:p>
        </w:tc>
        <w:tc>
          <w:tcPr>
            <w:tcW w:w="477" w:type="pct"/>
            <w:shd w:val="clear" w:color="auto" w:fill="auto"/>
            <w:vAlign w:val="center"/>
          </w:tcPr>
          <w:p w14:paraId="4C5AEA01">
            <w:pPr>
              <w:autoSpaceDE w:val="0"/>
              <w:autoSpaceDN w:val="0"/>
              <w:adjustRightInd/>
              <w:snapToGrid/>
              <w:jc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eastAsia="仿宋_GB2312" w:cs="Times New Roman"/>
                <w:color w:val="000000"/>
                <w:kern w:val="2"/>
                <w:sz w:val="18"/>
                <w:szCs w:val="18"/>
                <w:lang w:val="en-US" w:eastAsia="zh-CN"/>
              </w:rPr>
              <w:t>0.022</w:t>
            </w:r>
          </w:p>
        </w:tc>
        <w:tc>
          <w:tcPr>
            <w:tcW w:w="302" w:type="pct"/>
            <w:shd w:val="clear" w:color="auto" w:fill="D9D9D9"/>
            <w:vAlign w:val="center"/>
          </w:tcPr>
          <w:p w14:paraId="523BD98B">
            <w:pPr>
              <w:autoSpaceDE w:val="0"/>
              <w:autoSpaceDN w:val="0"/>
              <w:spacing w:before="0" w:line="240" w:lineRule="auto"/>
              <w:ind w:left="0"/>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pacing w:val="0"/>
                <w:sz w:val="18"/>
                <w:szCs w:val="18"/>
                <w:lang w:val="en-US" w:eastAsia="zh-CN"/>
              </w:rPr>
              <w:t>20</w:t>
            </w:r>
          </w:p>
        </w:tc>
        <w:tc>
          <w:tcPr>
            <w:tcW w:w="309" w:type="pct"/>
            <w:shd w:val="clear" w:color="auto" w:fill="D9D9D9"/>
            <w:vAlign w:val="center"/>
          </w:tcPr>
          <w:p w14:paraId="6C85ED16">
            <w:pPr>
              <w:autoSpaceDE w:val="0"/>
              <w:autoSpaceDN w:val="0"/>
              <w:spacing w:before="0" w:line="240" w:lineRule="auto"/>
              <w:ind w:left="0"/>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pacing w:val="0"/>
                <w:sz w:val="18"/>
                <w:szCs w:val="18"/>
                <w:lang w:val="en-US" w:eastAsia="zh-CN"/>
              </w:rPr>
              <w:t>1</w:t>
            </w:r>
          </w:p>
        </w:tc>
        <w:tc>
          <w:tcPr>
            <w:tcW w:w="503" w:type="pct"/>
            <w:vAlign w:val="center"/>
          </w:tcPr>
          <w:p w14:paraId="18428505">
            <w:pPr>
              <w:autoSpaceDE w:val="0"/>
              <w:autoSpaceDN w:val="0"/>
              <w:spacing w:before="0" w:line="240" w:lineRule="auto"/>
              <w:ind w:left="0" w:firstLine="0" w:firstLineChars="0"/>
              <w:jc w:val="center"/>
              <w:rPr>
                <w:rFonts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lang w:val="en-US" w:eastAsia="zh-CN"/>
              </w:rPr>
              <w:t>15</w:t>
            </w:r>
            <w:r>
              <w:rPr>
                <w:rFonts w:ascii="Times New Roman" w:hAnsi="Times New Roman" w:eastAsia="仿宋_GB2312" w:cs="Times New Roman"/>
                <w:color w:val="000000"/>
                <w:spacing w:val="0"/>
                <w:sz w:val="18"/>
                <w:szCs w:val="18"/>
              </w:rPr>
              <w:t>(</w:t>
            </w:r>
            <w:r>
              <w:rPr>
                <w:rFonts w:hint="default" w:ascii="Times New Roman" w:hAnsi="Times New Roman" w:eastAsia="仿宋_GB2312" w:cs="Times New Roman"/>
                <w:color w:val="000000"/>
                <w:spacing w:val="0"/>
                <w:sz w:val="18"/>
                <w:szCs w:val="18"/>
                <w:lang w:val="en-US" w:eastAsia="zh-CN"/>
              </w:rPr>
              <w:t>1</w:t>
            </w:r>
            <w:r>
              <w:rPr>
                <w:rFonts w:ascii="Times New Roman" w:hAnsi="Times New Roman" w:eastAsia="仿宋_GB2312" w:cs="Times New Roman"/>
                <w:color w:val="000000"/>
                <w:spacing w:val="0"/>
                <w:sz w:val="18"/>
                <w:szCs w:val="18"/>
              </w:rPr>
              <w:t>#)</w:t>
            </w:r>
          </w:p>
        </w:tc>
        <w:tc>
          <w:tcPr>
            <w:tcW w:w="244" w:type="pct"/>
            <w:vAlign w:val="center"/>
          </w:tcPr>
          <w:p w14:paraId="2FD6A37D">
            <w:pPr>
              <w:autoSpaceDE w:val="0"/>
              <w:autoSpaceDN w:val="0"/>
              <w:spacing w:before="0" w:line="240" w:lineRule="auto"/>
              <w:ind w:left="0"/>
              <w:jc w:val="center"/>
              <w:rPr>
                <w:rFonts w:hint="default" w:ascii="Times New Roman" w:hAnsi="Times New Roman" w:eastAsia="仿宋_GB2312" w:cs="Times New Roman"/>
                <w:color w:val="000000"/>
                <w:sz w:val="18"/>
                <w:szCs w:val="18"/>
                <w:lang w:eastAsia="zh-CN"/>
              </w:rPr>
            </w:pPr>
            <w:r>
              <w:rPr>
                <w:rFonts w:hint="eastAsia" w:cs="Times New Roman"/>
                <w:color w:val="000000"/>
                <w:spacing w:val="0"/>
                <w:sz w:val="18"/>
                <w:szCs w:val="18"/>
                <w:lang w:val="en-US" w:eastAsia="zh-CN"/>
              </w:rPr>
              <w:t>0.4</w:t>
            </w:r>
          </w:p>
        </w:tc>
        <w:tc>
          <w:tcPr>
            <w:tcW w:w="333" w:type="pct"/>
            <w:vAlign w:val="center"/>
          </w:tcPr>
          <w:p w14:paraId="4DA959EC">
            <w:pPr>
              <w:autoSpaceDE w:val="0"/>
              <w:autoSpaceDN w:val="0"/>
              <w:spacing w:before="0" w:line="240" w:lineRule="auto"/>
              <w:ind w:left="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pacing w:val="0"/>
                <w:sz w:val="18"/>
                <w:szCs w:val="18"/>
              </w:rPr>
              <w:t>25</w:t>
            </w:r>
          </w:p>
        </w:tc>
        <w:tc>
          <w:tcPr>
            <w:tcW w:w="321" w:type="pct"/>
            <w:tcBorders>
              <w:right w:val="single" w:color="000000" w:sz="10" w:space="0"/>
            </w:tcBorders>
            <w:vAlign w:val="center"/>
          </w:tcPr>
          <w:p w14:paraId="02ABF8D1">
            <w:pPr>
              <w:autoSpaceDE w:val="0"/>
              <w:autoSpaceDN w:val="0"/>
              <w:spacing w:before="0" w:line="240" w:lineRule="auto"/>
              <w:ind w:left="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pacing w:val="0"/>
                <w:sz w:val="18"/>
                <w:szCs w:val="18"/>
              </w:rPr>
              <w:t>2400</w:t>
            </w:r>
          </w:p>
        </w:tc>
      </w:tr>
      <w:tr w14:paraId="348BD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46" w:type="pct"/>
            <w:tcBorders>
              <w:left w:val="single" w:color="000000" w:sz="10" w:space="0"/>
            </w:tcBorders>
            <w:vAlign w:val="center"/>
          </w:tcPr>
          <w:p w14:paraId="4A099799">
            <w:pPr>
              <w:pStyle w:val="258"/>
              <w:autoSpaceDE w:val="0"/>
              <w:autoSpaceDN w:val="0"/>
              <w:spacing w:before="143" w:line="228" w:lineRule="auto"/>
              <w:ind w:left="131"/>
              <w:rPr>
                <w:rFonts w:hint="default"/>
                <w:spacing w:val="8"/>
                <w:sz w:val="20"/>
                <w:szCs w:val="20"/>
                <w:lang w:val="en-US" w:eastAsia="zh-CN"/>
              </w:rPr>
            </w:pPr>
            <w:r>
              <w:rPr>
                <w:rFonts w:hint="eastAsia"/>
                <w:spacing w:val="8"/>
                <w:sz w:val="20"/>
                <w:szCs w:val="20"/>
                <w:lang w:val="en-US" w:eastAsia="zh-CN"/>
              </w:rPr>
              <w:t>底漆打磨</w:t>
            </w:r>
          </w:p>
        </w:tc>
        <w:tc>
          <w:tcPr>
            <w:tcW w:w="439" w:type="pct"/>
            <w:vAlign w:val="center"/>
          </w:tcPr>
          <w:p w14:paraId="587CDC51">
            <w:pPr>
              <w:autoSpaceDE w:val="0"/>
              <w:autoSpaceDN w:val="0"/>
              <w:spacing w:before="0" w:line="240" w:lineRule="auto"/>
              <w:ind w:left="0"/>
              <w:jc w:val="center"/>
              <w:rPr>
                <w:rFonts w:hint="default" w:ascii="Times New Roman" w:hAnsi="Times New Roman" w:eastAsia="仿宋_GB2312" w:cs="Times New Roman"/>
                <w:color w:val="000000"/>
                <w:spacing w:val="0"/>
                <w:sz w:val="18"/>
                <w:szCs w:val="18"/>
                <w:lang w:val="en-US" w:eastAsia="zh-CN"/>
              </w:rPr>
            </w:pPr>
            <w:r>
              <w:rPr>
                <w:rFonts w:hint="eastAsia" w:cs="Times New Roman"/>
                <w:color w:val="000000"/>
                <w:spacing w:val="0"/>
                <w:sz w:val="18"/>
                <w:szCs w:val="18"/>
                <w:lang w:val="en-US" w:eastAsia="zh-CN"/>
              </w:rPr>
              <w:t>16000</w:t>
            </w:r>
          </w:p>
        </w:tc>
        <w:tc>
          <w:tcPr>
            <w:tcW w:w="476" w:type="pct"/>
            <w:vAlign w:val="center"/>
          </w:tcPr>
          <w:p w14:paraId="1A22DAFA">
            <w:pPr>
              <w:autoSpaceDE w:val="0"/>
              <w:autoSpaceDN w:val="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粉尘</w:t>
            </w:r>
          </w:p>
        </w:tc>
        <w:tc>
          <w:tcPr>
            <w:tcW w:w="247" w:type="pct"/>
            <w:vAlign w:val="center"/>
          </w:tcPr>
          <w:p w14:paraId="143794CF">
            <w:pPr>
              <w:autoSpaceDE w:val="0"/>
              <w:autoSpaceDN w:val="0"/>
              <w:jc w:val="center"/>
              <w:rPr>
                <w:rFonts w:ascii="Times New Roman" w:hAnsi="Times New Roman" w:cs="Times New Roman"/>
                <w:color w:val="000000"/>
                <w:spacing w:val="0"/>
                <w:sz w:val="18"/>
                <w:szCs w:val="18"/>
              </w:rPr>
            </w:pPr>
            <w:r>
              <w:rPr>
                <w:rFonts w:hint="default" w:ascii="Times New Roman" w:hAnsi="Times New Roman" w:cs="Times New Roman"/>
                <w:color w:val="000000"/>
                <w:spacing w:val="0"/>
                <w:sz w:val="18"/>
                <w:szCs w:val="18"/>
                <w:lang w:val="en-US" w:eastAsia="zh-CN"/>
              </w:rPr>
              <w:t>干式打磨</w:t>
            </w:r>
          </w:p>
        </w:tc>
        <w:tc>
          <w:tcPr>
            <w:tcW w:w="254" w:type="pct"/>
            <w:vAlign w:val="center"/>
          </w:tcPr>
          <w:p w14:paraId="4A5261AE">
            <w:pPr>
              <w:autoSpaceDE w:val="0"/>
              <w:autoSpaceDN w:val="0"/>
              <w:jc w:val="center"/>
              <w:rPr>
                <w:rFonts w:ascii="Times New Roman" w:hAnsi="Times New Roman" w:eastAsia="仿宋_GB2312" w:cs="Times New Roman"/>
                <w:color w:val="000000"/>
                <w:sz w:val="18"/>
                <w:szCs w:val="18"/>
              </w:rPr>
            </w:pPr>
            <w:r>
              <w:rPr>
                <w:rFonts w:hint="default" w:ascii="Times New Roman" w:hAnsi="Times New Roman" w:cs="Times New Roman"/>
                <w:color w:val="000000"/>
                <w:sz w:val="18"/>
                <w:szCs w:val="18"/>
              </w:rPr>
              <w:t>95</w:t>
            </w:r>
          </w:p>
        </w:tc>
        <w:tc>
          <w:tcPr>
            <w:tcW w:w="463" w:type="pct"/>
            <w:shd w:val="clear" w:color="auto" w:fill="auto"/>
            <w:vAlign w:val="center"/>
          </w:tcPr>
          <w:p w14:paraId="3D372614">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3.584</w:t>
            </w:r>
          </w:p>
        </w:tc>
        <w:tc>
          <w:tcPr>
            <w:tcW w:w="380" w:type="pct"/>
            <w:shd w:val="clear" w:color="auto" w:fill="auto"/>
            <w:vAlign w:val="center"/>
          </w:tcPr>
          <w:p w14:paraId="380E7E70">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0.029</w:t>
            </w:r>
          </w:p>
        </w:tc>
        <w:tc>
          <w:tcPr>
            <w:tcW w:w="477" w:type="pct"/>
            <w:shd w:val="clear" w:color="auto" w:fill="auto"/>
            <w:vAlign w:val="center"/>
          </w:tcPr>
          <w:p w14:paraId="6382EBA1">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0.012</w:t>
            </w:r>
          </w:p>
        </w:tc>
        <w:tc>
          <w:tcPr>
            <w:tcW w:w="302" w:type="pct"/>
            <w:shd w:val="clear" w:color="auto" w:fill="D9D9D9"/>
            <w:vAlign w:val="center"/>
          </w:tcPr>
          <w:p w14:paraId="06E86649">
            <w:pPr>
              <w:autoSpaceDE w:val="0"/>
              <w:autoSpaceDN w:val="0"/>
              <w:spacing w:before="0" w:line="240" w:lineRule="auto"/>
              <w:ind w:left="0" w:leftChars="0"/>
              <w:jc w:val="center"/>
              <w:rPr>
                <w:rFonts w:hint="default" w:ascii="Times New Roman" w:hAnsi="Times New Roman" w:eastAsia="仿宋_GB2312" w:cs="Times New Roman"/>
                <w:color w:val="000000"/>
                <w:spacing w:val="0"/>
                <w:sz w:val="18"/>
                <w:szCs w:val="18"/>
                <w:lang w:val="en-US"/>
              </w:rPr>
            </w:pPr>
            <w:r>
              <w:rPr>
                <w:rFonts w:hint="eastAsia" w:cs="Times New Roman"/>
                <w:color w:val="000000"/>
                <w:spacing w:val="0"/>
                <w:sz w:val="18"/>
                <w:szCs w:val="18"/>
                <w:lang w:val="en-US" w:eastAsia="zh-CN"/>
              </w:rPr>
              <w:t>15</w:t>
            </w:r>
          </w:p>
        </w:tc>
        <w:tc>
          <w:tcPr>
            <w:tcW w:w="309" w:type="pct"/>
            <w:shd w:val="clear" w:color="auto" w:fill="D9D9D9"/>
            <w:vAlign w:val="center"/>
          </w:tcPr>
          <w:p w14:paraId="12DF6173">
            <w:pPr>
              <w:autoSpaceDE w:val="0"/>
              <w:autoSpaceDN w:val="0"/>
              <w:spacing w:before="0" w:line="240" w:lineRule="auto"/>
              <w:ind w:left="0" w:leftChars="0"/>
              <w:jc w:val="center"/>
              <w:rPr>
                <w:rFonts w:hint="default" w:ascii="Times New Roman" w:hAnsi="Times New Roman" w:eastAsia="仿宋_GB2312" w:cs="Times New Roman"/>
                <w:color w:val="000000"/>
                <w:spacing w:val="0"/>
                <w:sz w:val="18"/>
                <w:szCs w:val="18"/>
                <w:lang w:val="en-US"/>
              </w:rPr>
            </w:pPr>
            <w:r>
              <w:rPr>
                <w:rFonts w:hint="eastAsia" w:cs="Times New Roman"/>
                <w:color w:val="000000"/>
                <w:spacing w:val="0"/>
                <w:sz w:val="18"/>
                <w:szCs w:val="18"/>
                <w:lang w:val="en-US" w:eastAsia="zh-CN"/>
              </w:rPr>
              <w:t>0.51</w:t>
            </w:r>
          </w:p>
        </w:tc>
        <w:tc>
          <w:tcPr>
            <w:tcW w:w="503" w:type="pct"/>
            <w:vAlign w:val="center"/>
          </w:tcPr>
          <w:p w14:paraId="69D5B540">
            <w:pPr>
              <w:autoSpaceDE w:val="0"/>
              <w:autoSpaceDN w:val="0"/>
              <w:jc w:val="center"/>
              <w:rPr>
                <w:rFonts w:ascii="Times New Roman" w:hAnsi="Times New Roman" w:eastAsia="仿宋_GB2312" w:cs="Times New Roman"/>
                <w:color w:val="000000"/>
                <w:sz w:val="18"/>
                <w:szCs w:val="18"/>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3</w:t>
            </w:r>
            <w:r>
              <w:rPr>
                <w:rFonts w:hint="default" w:ascii="Times New Roman" w:hAnsi="Times New Roman" w:cs="Times New Roman"/>
                <w:color w:val="000000"/>
                <w:sz w:val="18"/>
                <w:szCs w:val="18"/>
              </w:rPr>
              <w:t>#）</w:t>
            </w:r>
          </w:p>
        </w:tc>
        <w:tc>
          <w:tcPr>
            <w:tcW w:w="244" w:type="pct"/>
            <w:vAlign w:val="center"/>
          </w:tcPr>
          <w:p w14:paraId="445A16DF">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hint="eastAsia" w:cs="Times New Roman"/>
                <w:color w:val="000000"/>
                <w:spacing w:val="0"/>
                <w:sz w:val="18"/>
                <w:szCs w:val="18"/>
                <w:lang w:val="en-US" w:eastAsia="zh-CN"/>
              </w:rPr>
              <w:t>0.7</w:t>
            </w:r>
          </w:p>
        </w:tc>
        <w:tc>
          <w:tcPr>
            <w:tcW w:w="333" w:type="pct"/>
            <w:vAlign w:val="center"/>
          </w:tcPr>
          <w:p w14:paraId="0A186A82">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25</w:t>
            </w:r>
          </w:p>
        </w:tc>
        <w:tc>
          <w:tcPr>
            <w:tcW w:w="321" w:type="pct"/>
            <w:tcBorders>
              <w:right w:val="single" w:color="000000" w:sz="10" w:space="0"/>
            </w:tcBorders>
            <w:vAlign w:val="center"/>
          </w:tcPr>
          <w:p w14:paraId="66126681">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2400</w:t>
            </w:r>
          </w:p>
        </w:tc>
      </w:tr>
      <w:tr w14:paraId="2400B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jc w:val="center"/>
        </w:trPr>
        <w:tc>
          <w:tcPr>
            <w:tcW w:w="246" w:type="pct"/>
            <w:tcBorders>
              <w:left w:val="single" w:color="000000" w:sz="10" w:space="0"/>
            </w:tcBorders>
            <w:shd w:val="clear"/>
            <w:vAlign w:val="center"/>
          </w:tcPr>
          <w:p w14:paraId="38389500">
            <w:pPr>
              <w:pStyle w:val="258"/>
              <w:autoSpaceDE w:val="0"/>
              <w:autoSpaceDN w:val="0"/>
              <w:spacing w:before="143" w:line="228" w:lineRule="auto"/>
              <w:ind w:left="131" w:leftChars="0"/>
              <w:rPr>
                <w:rFonts w:hint="eastAsia" w:ascii="仿宋" w:hAnsi="仿宋" w:eastAsia="仿宋" w:cs="仿宋"/>
                <w:spacing w:val="8"/>
                <w:kern w:val="2"/>
                <w:sz w:val="20"/>
                <w:szCs w:val="20"/>
                <w:lang w:val="en-US" w:eastAsia="zh-CN" w:bidi="ar-SA"/>
              </w:rPr>
            </w:pPr>
            <w:r>
              <w:rPr>
                <w:rFonts w:hint="eastAsia"/>
                <w:spacing w:val="8"/>
                <w:sz w:val="20"/>
                <w:szCs w:val="20"/>
                <w:lang w:val="en-US" w:eastAsia="zh-CN"/>
              </w:rPr>
              <w:t>底漆打磨</w:t>
            </w:r>
          </w:p>
        </w:tc>
        <w:tc>
          <w:tcPr>
            <w:tcW w:w="439" w:type="pct"/>
            <w:shd w:val="clear"/>
            <w:vAlign w:val="center"/>
          </w:tcPr>
          <w:p w14:paraId="7D07A6C1">
            <w:pPr>
              <w:autoSpaceDE w:val="0"/>
              <w:autoSpaceDN w:val="0"/>
              <w:spacing w:before="0" w:line="240" w:lineRule="auto"/>
              <w:ind w:left="0" w:leftChars="0"/>
              <w:jc w:val="center"/>
              <w:rPr>
                <w:rFonts w:hint="default" w:ascii="Times New Roman" w:hAnsi="Times New Roman" w:eastAsia="仿宋_GB2312" w:cs="Times New Roman"/>
                <w:color w:val="000000"/>
                <w:spacing w:val="0"/>
                <w:kern w:val="2"/>
                <w:sz w:val="18"/>
                <w:szCs w:val="18"/>
                <w:lang w:val="en-US" w:eastAsia="zh-CN" w:bidi="ar-SA"/>
              </w:rPr>
            </w:pPr>
            <w:r>
              <w:rPr>
                <w:rFonts w:hint="eastAsia" w:cs="Times New Roman"/>
                <w:color w:val="000000"/>
                <w:spacing w:val="0"/>
                <w:sz w:val="18"/>
                <w:szCs w:val="18"/>
                <w:lang w:val="en-US" w:eastAsia="zh-CN"/>
              </w:rPr>
              <w:t>6000</w:t>
            </w:r>
          </w:p>
        </w:tc>
        <w:tc>
          <w:tcPr>
            <w:tcW w:w="476" w:type="pct"/>
            <w:shd w:val="clear"/>
            <w:vAlign w:val="center"/>
          </w:tcPr>
          <w:p w14:paraId="351CF9F1">
            <w:pPr>
              <w:autoSpaceDE w:val="0"/>
              <w:autoSpaceDN w:val="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cs="Times New Roman"/>
                <w:color w:val="000000"/>
                <w:sz w:val="18"/>
                <w:szCs w:val="18"/>
              </w:rPr>
              <w:t>粉尘</w:t>
            </w:r>
          </w:p>
        </w:tc>
        <w:tc>
          <w:tcPr>
            <w:tcW w:w="247" w:type="pct"/>
            <w:shd w:val="clear"/>
            <w:vAlign w:val="center"/>
          </w:tcPr>
          <w:p w14:paraId="29811041">
            <w:pPr>
              <w:autoSpaceDE w:val="0"/>
              <w:autoSpaceDN w:val="0"/>
              <w:jc w:val="center"/>
              <w:rPr>
                <w:rFonts w:hint="default" w:ascii="Times New Roman" w:hAnsi="Times New Roman" w:eastAsia="仿宋_GB2312" w:cs="Times New Roman"/>
                <w:color w:val="000000"/>
                <w:spacing w:val="0"/>
                <w:kern w:val="2"/>
                <w:sz w:val="18"/>
                <w:szCs w:val="18"/>
                <w:lang w:val="en-US" w:eastAsia="zh-CN" w:bidi="ar-SA"/>
              </w:rPr>
            </w:pPr>
            <w:r>
              <w:rPr>
                <w:rFonts w:hint="default" w:ascii="Times New Roman" w:hAnsi="Times New Roman" w:cs="Times New Roman"/>
                <w:color w:val="000000"/>
                <w:spacing w:val="0"/>
                <w:sz w:val="18"/>
                <w:szCs w:val="18"/>
                <w:lang w:val="en-US" w:eastAsia="zh-CN"/>
              </w:rPr>
              <w:t>干式打磨</w:t>
            </w:r>
          </w:p>
        </w:tc>
        <w:tc>
          <w:tcPr>
            <w:tcW w:w="254" w:type="pct"/>
            <w:shd w:val="clear"/>
            <w:vAlign w:val="center"/>
          </w:tcPr>
          <w:p w14:paraId="0384F003">
            <w:pPr>
              <w:autoSpaceDE w:val="0"/>
              <w:autoSpaceDN w:val="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cs="Times New Roman"/>
                <w:color w:val="000000"/>
                <w:sz w:val="18"/>
                <w:szCs w:val="18"/>
              </w:rPr>
              <w:t>95</w:t>
            </w:r>
          </w:p>
        </w:tc>
        <w:tc>
          <w:tcPr>
            <w:tcW w:w="463" w:type="pct"/>
            <w:shd w:val="clear" w:color="auto" w:fill="auto"/>
            <w:vAlign w:val="center"/>
          </w:tcPr>
          <w:p w14:paraId="615D6DB4">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2.695</w:t>
            </w:r>
          </w:p>
        </w:tc>
        <w:tc>
          <w:tcPr>
            <w:tcW w:w="380" w:type="pct"/>
            <w:shd w:val="clear" w:color="auto" w:fill="auto"/>
            <w:vAlign w:val="center"/>
          </w:tcPr>
          <w:p w14:paraId="0D9EF977">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0.022</w:t>
            </w:r>
          </w:p>
        </w:tc>
        <w:tc>
          <w:tcPr>
            <w:tcW w:w="477" w:type="pct"/>
            <w:shd w:val="clear" w:color="auto" w:fill="auto"/>
            <w:vAlign w:val="center"/>
          </w:tcPr>
          <w:p w14:paraId="3A732B36">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0.009</w:t>
            </w:r>
          </w:p>
        </w:tc>
        <w:tc>
          <w:tcPr>
            <w:tcW w:w="302" w:type="pct"/>
            <w:shd w:val="clear" w:color="auto" w:fill="D9D9D9"/>
            <w:vAlign w:val="center"/>
          </w:tcPr>
          <w:p w14:paraId="2FA5325D">
            <w:pPr>
              <w:autoSpaceDE w:val="0"/>
              <w:autoSpaceDN w:val="0"/>
              <w:spacing w:before="0" w:line="240" w:lineRule="auto"/>
              <w:ind w:left="0" w:leftChars="0"/>
              <w:jc w:val="center"/>
              <w:rPr>
                <w:rFonts w:hint="default" w:ascii="Times New Roman" w:hAnsi="Times New Roman" w:eastAsia="仿宋_GB2312" w:cs="Times New Roman"/>
                <w:color w:val="000000"/>
                <w:spacing w:val="0"/>
                <w:kern w:val="2"/>
                <w:sz w:val="18"/>
                <w:szCs w:val="18"/>
                <w:lang w:val="en-US" w:eastAsia="zh-CN" w:bidi="ar-SA"/>
              </w:rPr>
            </w:pPr>
            <w:r>
              <w:rPr>
                <w:rFonts w:hint="eastAsia" w:cs="Times New Roman"/>
                <w:color w:val="000000"/>
                <w:spacing w:val="0"/>
                <w:sz w:val="18"/>
                <w:szCs w:val="18"/>
                <w:lang w:val="en-US" w:eastAsia="zh-CN"/>
              </w:rPr>
              <w:t>15</w:t>
            </w:r>
          </w:p>
        </w:tc>
        <w:tc>
          <w:tcPr>
            <w:tcW w:w="309" w:type="pct"/>
            <w:shd w:val="clear" w:color="auto" w:fill="D9D9D9"/>
            <w:vAlign w:val="center"/>
          </w:tcPr>
          <w:p w14:paraId="16294881">
            <w:pPr>
              <w:autoSpaceDE w:val="0"/>
              <w:autoSpaceDN w:val="0"/>
              <w:spacing w:before="0" w:line="240" w:lineRule="auto"/>
              <w:ind w:left="0" w:leftChars="0"/>
              <w:jc w:val="center"/>
              <w:rPr>
                <w:rFonts w:hint="default" w:ascii="Times New Roman" w:hAnsi="Times New Roman" w:eastAsia="仿宋_GB2312" w:cs="Times New Roman"/>
                <w:color w:val="000000"/>
                <w:spacing w:val="0"/>
                <w:kern w:val="2"/>
                <w:sz w:val="18"/>
                <w:szCs w:val="18"/>
                <w:lang w:val="en-US" w:eastAsia="zh-CN" w:bidi="ar-SA"/>
              </w:rPr>
            </w:pPr>
            <w:r>
              <w:rPr>
                <w:rFonts w:hint="eastAsia" w:cs="Times New Roman"/>
                <w:color w:val="000000"/>
                <w:spacing w:val="0"/>
                <w:sz w:val="18"/>
                <w:szCs w:val="18"/>
                <w:lang w:val="en-US" w:eastAsia="zh-CN"/>
              </w:rPr>
              <w:t>0.51</w:t>
            </w:r>
          </w:p>
        </w:tc>
        <w:tc>
          <w:tcPr>
            <w:tcW w:w="503" w:type="pct"/>
            <w:shd w:val="clear"/>
            <w:vAlign w:val="center"/>
          </w:tcPr>
          <w:p w14:paraId="65DA42A8">
            <w:pPr>
              <w:autoSpaceDE w:val="0"/>
              <w:autoSpaceDN w:val="0"/>
              <w:jc w:val="center"/>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4</w:t>
            </w:r>
            <w:r>
              <w:rPr>
                <w:rFonts w:hint="default" w:ascii="Times New Roman" w:hAnsi="Times New Roman" w:cs="Times New Roman"/>
                <w:color w:val="000000"/>
                <w:sz w:val="18"/>
                <w:szCs w:val="18"/>
              </w:rPr>
              <w:t>#）</w:t>
            </w:r>
          </w:p>
        </w:tc>
        <w:tc>
          <w:tcPr>
            <w:tcW w:w="244" w:type="pct"/>
            <w:shd w:val="clear"/>
            <w:vAlign w:val="center"/>
          </w:tcPr>
          <w:p w14:paraId="33A58A1D">
            <w:pPr>
              <w:autoSpaceDE w:val="0"/>
              <w:autoSpaceDN w:val="0"/>
              <w:spacing w:before="0" w:line="240" w:lineRule="auto"/>
              <w:ind w:left="0" w:leftChars="0"/>
              <w:jc w:val="center"/>
              <w:rPr>
                <w:rFonts w:hint="default" w:ascii="Times New Roman" w:hAnsi="Times New Roman" w:eastAsia="仿宋_GB2312" w:cs="Times New Roman"/>
                <w:color w:val="000000"/>
                <w:spacing w:val="0"/>
                <w:kern w:val="2"/>
                <w:sz w:val="18"/>
                <w:szCs w:val="18"/>
                <w:lang w:val="en-US" w:eastAsia="zh-CN" w:bidi="ar-SA"/>
              </w:rPr>
            </w:pPr>
            <w:r>
              <w:rPr>
                <w:rFonts w:hint="eastAsia" w:cs="Times New Roman"/>
                <w:color w:val="000000"/>
                <w:spacing w:val="0"/>
                <w:kern w:val="2"/>
                <w:sz w:val="18"/>
                <w:szCs w:val="18"/>
                <w:lang w:val="en-US" w:eastAsia="zh-CN" w:bidi="ar-SA"/>
              </w:rPr>
              <w:t>0.4</w:t>
            </w:r>
          </w:p>
        </w:tc>
        <w:tc>
          <w:tcPr>
            <w:tcW w:w="333" w:type="pct"/>
            <w:shd w:val="clear"/>
            <w:vAlign w:val="center"/>
          </w:tcPr>
          <w:p w14:paraId="6991FAA1">
            <w:pPr>
              <w:autoSpaceDE w:val="0"/>
              <w:autoSpaceDN w:val="0"/>
              <w:spacing w:before="0" w:line="240" w:lineRule="auto"/>
              <w:ind w:left="0" w:leftChars="0"/>
              <w:jc w:val="center"/>
              <w:rPr>
                <w:rFonts w:ascii="Times New Roman" w:hAnsi="Times New Roman" w:eastAsia="仿宋_GB2312" w:cs="Times New Roman"/>
                <w:color w:val="000000"/>
                <w:spacing w:val="0"/>
                <w:kern w:val="2"/>
                <w:sz w:val="18"/>
                <w:szCs w:val="18"/>
                <w:lang w:val="en-US" w:eastAsia="zh-CN" w:bidi="ar-SA"/>
              </w:rPr>
            </w:pPr>
            <w:r>
              <w:rPr>
                <w:rFonts w:ascii="Times New Roman" w:hAnsi="Times New Roman" w:eastAsia="仿宋_GB2312" w:cs="Times New Roman"/>
                <w:color w:val="000000"/>
                <w:spacing w:val="0"/>
                <w:sz w:val="18"/>
                <w:szCs w:val="18"/>
              </w:rPr>
              <w:t>25</w:t>
            </w:r>
          </w:p>
        </w:tc>
        <w:tc>
          <w:tcPr>
            <w:tcW w:w="321" w:type="pct"/>
            <w:tcBorders>
              <w:right w:val="single" w:color="000000" w:sz="10" w:space="0"/>
            </w:tcBorders>
            <w:shd w:val="clear"/>
            <w:vAlign w:val="center"/>
          </w:tcPr>
          <w:p w14:paraId="42F0E947">
            <w:pPr>
              <w:autoSpaceDE w:val="0"/>
              <w:autoSpaceDN w:val="0"/>
              <w:spacing w:before="0" w:line="240" w:lineRule="auto"/>
              <w:ind w:left="0" w:leftChars="0"/>
              <w:jc w:val="center"/>
              <w:rPr>
                <w:rFonts w:ascii="Times New Roman" w:hAnsi="Times New Roman" w:eastAsia="仿宋_GB2312" w:cs="Times New Roman"/>
                <w:color w:val="000000"/>
                <w:spacing w:val="0"/>
                <w:kern w:val="2"/>
                <w:sz w:val="18"/>
                <w:szCs w:val="18"/>
                <w:lang w:val="en-US" w:eastAsia="zh-CN" w:bidi="ar-SA"/>
              </w:rPr>
            </w:pPr>
            <w:r>
              <w:rPr>
                <w:rFonts w:ascii="Times New Roman" w:hAnsi="Times New Roman" w:eastAsia="仿宋_GB2312" w:cs="Times New Roman"/>
                <w:color w:val="000000"/>
                <w:spacing w:val="0"/>
                <w:sz w:val="18"/>
                <w:szCs w:val="18"/>
              </w:rPr>
              <w:t>2400</w:t>
            </w:r>
          </w:p>
        </w:tc>
      </w:tr>
      <w:tr w14:paraId="4024B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jc w:val="center"/>
        </w:trPr>
        <w:tc>
          <w:tcPr>
            <w:tcW w:w="246" w:type="pct"/>
            <w:vMerge w:val="restart"/>
            <w:tcBorders>
              <w:left w:val="single" w:color="000000" w:sz="10" w:space="0"/>
            </w:tcBorders>
            <w:vAlign w:val="center"/>
          </w:tcPr>
          <w:p w14:paraId="74883658">
            <w:pPr>
              <w:pStyle w:val="258"/>
              <w:autoSpaceDE w:val="0"/>
              <w:autoSpaceDN w:val="0"/>
              <w:spacing w:before="143" w:line="228" w:lineRule="auto"/>
              <w:ind w:left="131"/>
              <w:rPr>
                <w:rFonts w:hint="eastAsia"/>
                <w:spacing w:val="8"/>
                <w:sz w:val="20"/>
                <w:szCs w:val="20"/>
                <w:lang w:val="en-US" w:eastAsia="zh-CN"/>
              </w:rPr>
            </w:pPr>
            <w:r>
              <w:rPr>
                <w:rFonts w:hint="eastAsia"/>
                <w:spacing w:val="8"/>
                <w:sz w:val="20"/>
                <w:szCs w:val="20"/>
                <w:lang w:val="en-US" w:eastAsia="zh-CN"/>
              </w:rPr>
              <w:t>喷漆</w:t>
            </w:r>
          </w:p>
        </w:tc>
        <w:tc>
          <w:tcPr>
            <w:tcW w:w="439" w:type="pct"/>
            <w:vMerge w:val="restart"/>
            <w:vAlign w:val="center"/>
          </w:tcPr>
          <w:p w14:paraId="7612A2EB">
            <w:pPr>
              <w:autoSpaceDE w:val="0"/>
              <w:autoSpaceDN w:val="0"/>
              <w:spacing w:before="178" w:line="195" w:lineRule="auto"/>
              <w:ind w:left="210"/>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58000</w:t>
            </w:r>
          </w:p>
        </w:tc>
        <w:tc>
          <w:tcPr>
            <w:tcW w:w="476" w:type="pct"/>
            <w:vAlign w:val="center"/>
          </w:tcPr>
          <w:p w14:paraId="5FF76FF6">
            <w:pPr>
              <w:pStyle w:val="258"/>
              <w:autoSpaceDE w:val="0"/>
              <w:autoSpaceDN w:val="0"/>
              <w:spacing w:before="143" w:line="228" w:lineRule="auto"/>
              <w:ind w:left="253" w:leftChars="0"/>
              <w:rPr>
                <w:rFonts w:hint="eastAsia" w:ascii="Times New Roman" w:hAnsi="Times New Roman"/>
                <w:sz w:val="18"/>
                <w:szCs w:val="18"/>
              </w:rPr>
            </w:pPr>
            <w:r>
              <w:rPr>
                <w:rFonts w:hint="eastAsia" w:ascii="Times New Roman" w:hAnsi="Times New Roman"/>
                <w:sz w:val="18"/>
                <w:szCs w:val="18"/>
              </w:rPr>
              <w:t>粉尘</w:t>
            </w:r>
          </w:p>
        </w:tc>
        <w:tc>
          <w:tcPr>
            <w:tcW w:w="247" w:type="pct"/>
            <w:vMerge w:val="restart"/>
            <w:vAlign w:val="center"/>
          </w:tcPr>
          <w:p w14:paraId="0D87151D">
            <w:pPr>
              <w:pStyle w:val="258"/>
              <w:autoSpaceDE w:val="0"/>
              <w:autoSpaceDN w:val="0"/>
              <w:spacing w:before="142" w:line="227" w:lineRule="auto"/>
              <w:ind w:left="159" w:leftChars="0"/>
              <w:rPr>
                <w:rFonts w:ascii="Times New Roman" w:hAnsi="Times New Roman" w:eastAsia="仿宋_GB2312" w:cs="Times New Roman"/>
                <w:color w:val="000000"/>
                <w:spacing w:val="0"/>
                <w:sz w:val="18"/>
                <w:szCs w:val="18"/>
                <w:lang w:eastAsia="zh-CN"/>
              </w:rPr>
            </w:pPr>
            <w:r>
              <w:rPr>
                <w:rFonts w:ascii="Times New Roman" w:hAnsi="Times New Roman" w:eastAsia="仿宋_GB2312" w:cs="Times New Roman"/>
                <w:color w:val="000000"/>
                <w:sz w:val="18"/>
                <w:szCs w:val="18"/>
                <w:lang w:eastAsia="zh-CN"/>
              </w:rPr>
              <w:t>水旋柜+</w:t>
            </w:r>
            <w:r>
              <w:rPr>
                <w:rFonts w:hint="default" w:ascii="Times New Roman" w:hAnsi="Times New Roman" w:eastAsia="仿宋_GB2312" w:cs="Times New Roman"/>
                <w:color w:val="000000"/>
                <w:sz w:val="18"/>
                <w:szCs w:val="18"/>
                <w:lang w:val="en-US" w:eastAsia="zh-CN"/>
              </w:rPr>
              <w:t>除雾器+</w:t>
            </w:r>
            <w:r>
              <w:rPr>
                <w:rFonts w:hint="default" w:ascii="Times New Roman" w:hAnsi="Times New Roman" w:eastAsia="仿宋_GB2312" w:cs="Times New Roman"/>
                <w:color w:val="000000"/>
                <w:sz w:val="18"/>
                <w:szCs w:val="18"/>
                <w:lang w:eastAsia="zh-CN"/>
              </w:rPr>
              <w:t>二级</w:t>
            </w:r>
            <w:r>
              <w:rPr>
                <w:rFonts w:ascii="Times New Roman" w:hAnsi="Times New Roman" w:eastAsia="仿宋_GB2312" w:cs="Times New Roman"/>
                <w:color w:val="000000"/>
                <w:sz w:val="18"/>
                <w:szCs w:val="18"/>
                <w:lang w:eastAsia="zh-CN"/>
              </w:rPr>
              <w:t>活性炭吸附</w:t>
            </w:r>
          </w:p>
        </w:tc>
        <w:tc>
          <w:tcPr>
            <w:tcW w:w="254" w:type="pct"/>
            <w:vAlign w:val="center"/>
          </w:tcPr>
          <w:p w14:paraId="747EECB8">
            <w:pPr>
              <w:autoSpaceDE w:val="0"/>
              <w:autoSpaceDN w:val="0"/>
              <w:jc w:val="center"/>
              <w:rPr>
                <w:rFonts w:ascii="Times New Roman" w:hAnsi="Times New Roman" w:eastAsia="Times New Roman" w:cs="Times New Roman"/>
                <w:sz w:val="20"/>
                <w:szCs w:val="20"/>
              </w:rPr>
            </w:pPr>
            <w:r>
              <w:rPr>
                <w:rFonts w:hint="eastAsia" w:ascii="Times New Roman" w:hAnsi="Times New Roman"/>
                <w:sz w:val="18"/>
                <w:szCs w:val="18"/>
              </w:rPr>
              <w:t>95</w:t>
            </w:r>
          </w:p>
        </w:tc>
        <w:tc>
          <w:tcPr>
            <w:tcW w:w="463" w:type="pct"/>
            <w:shd w:val="clear" w:color="auto" w:fill="auto"/>
            <w:vAlign w:val="center"/>
          </w:tcPr>
          <w:p w14:paraId="36868E04">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10.125 </w:t>
            </w:r>
          </w:p>
        </w:tc>
        <w:tc>
          <w:tcPr>
            <w:tcW w:w="380" w:type="pct"/>
            <w:shd w:val="clear" w:color="auto" w:fill="auto"/>
            <w:vAlign w:val="center"/>
          </w:tcPr>
          <w:p w14:paraId="221F9751">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0.142 </w:t>
            </w:r>
          </w:p>
        </w:tc>
        <w:tc>
          <w:tcPr>
            <w:tcW w:w="477" w:type="pct"/>
            <w:shd w:val="clear" w:color="auto" w:fill="auto"/>
            <w:vAlign w:val="center"/>
          </w:tcPr>
          <w:p w14:paraId="1ABB7179">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0.076 </w:t>
            </w:r>
          </w:p>
        </w:tc>
        <w:tc>
          <w:tcPr>
            <w:tcW w:w="302" w:type="pct"/>
            <w:shd w:val="clear" w:color="auto" w:fill="D9D9D9"/>
            <w:vAlign w:val="center"/>
          </w:tcPr>
          <w:p w14:paraId="27DF7DD9">
            <w:pPr>
              <w:autoSpaceDE w:val="0"/>
              <w:autoSpaceDN w:val="0"/>
              <w:spacing w:before="0" w:line="240" w:lineRule="auto"/>
              <w:ind w:left="0" w:leftChars="0"/>
              <w:jc w:val="center"/>
              <w:rPr>
                <w:rFonts w:hint="default" w:ascii="Times New Roman" w:hAnsi="Times New Roman" w:eastAsia="仿宋_GB2312" w:cs="Times New Roman"/>
                <w:color w:val="000000"/>
                <w:spacing w:val="0"/>
                <w:sz w:val="18"/>
                <w:szCs w:val="18"/>
                <w:lang w:val="en-US" w:eastAsia="zh-CN"/>
              </w:rPr>
            </w:pPr>
          </w:p>
          <w:p w14:paraId="651F067D">
            <w:pPr>
              <w:autoSpaceDE w:val="0"/>
              <w:autoSpaceDN w:val="0"/>
              <w:spacing w:before="0" w:line="240" w:lineRule="auto"/>
              <w:ind w:left="0" w:leftChars="0"/>
              <w:jc w:val="center"/>
              <w:rPr>
                <w:rFonts w:hint="default" w:ascii="Times New Roman" w:hAnsi="Times New Roman" w:eastAsia="仿宋_GB2312" w:cs="Times New Roman"/>
                <w:color w:val="000000"/>
                <w:kern w:val="2"/>
                <w:sz w:val="18"/>
                <w:szCs w:val="18"/>
                <w:lang w:val="en-US" w:eastAsia="zh-CN" w:bidi="ar-SA"/>
              </w:rPr>
            </w:pPr>
            <w:r>
              <w:rPr>
                <w:rFonts w:hint="eastAsia" w:cs="Times New Roman"/>
                <w:color w:val="000000"/>
                <w:spacing w:val="0"/>
                <w:sz w:val="18"/>
                <w:szCs w:val="18"/>
                <w:lang w:val="en-US" w:eastAsia="zh-CN"/>
              </w:rPr>
              <w:t>15</w:t>
            </w:r>
          </w:p>
        </w:tc>
        <w:tc>
          <w:tcPr>
            <w:tcW w:w="309" w:type="pct"/>
            <w:shd w:val="clear" w:color="auto" w:fill="D9D9D9"/>
            <w:vAlign w:val="center"/>
          </w:tcPr>
          <w:p w14:paraId="02D7C087">
            <w:pPr>
              <w:autoSpaceDE w:val="0"/>
              <w:autoSpaceDN w:val="0"/>
              <w:spacing w:before="178" w:line="195" w:lineRule="auto"/>
              <w:ind w:left="216" w:leftChars="0"/>
              <w:rPr>
                <w:rFonts w:hint="default" w:ascii="Times New Roman" w:hAnsi="Times New Roman" w:eastAsia="宋体" w:cs="Times New Roman"/>
                <w:kern w:val="2"/>
                <w:sz w:val="20"/>
                <w:szCs w:val="20"/>
                <w:lang w:val="en-US" w:eastAsia="zh-CN" w:bidi="ar-SA"/>
              </w:rPr>
            </w:pPr>
            <w:r>
              <w:rPr>
                <w:rFonts w:hint="eastAsia" w:eastAsia="宋体" w:cs="Times New Roman"/>
                <w:spacing w:val="1"/>
                <w:sz w:val="20"/>
                <w:szCs w:val="20"/>
                <w:lang w:val="en-US" w:eastAsia="zh-CN"/>
              </w:rPr>
              <w:t>0.51</w:t>
            </w:r>
          </w:p>
        </w:tc>
        <w:tc>
          <w:tcPr>
            <w:tcW w:w="503" w:type="pct"/>
            <w:vMerge w:val="restart"/>
            <w:vAlign w:val="center"/>
          </w:tcPr>
          <w:p w14:paraId="308A80B5">
            <w:pPr>
              <w:autoSpaceDE w:val="0"/>
              <w:autoSpaceDN w:val="0"/>
              <w:jc w:val="center"/>
              <w:rPr>
                <w:rFonts w:ascii="Times New Roman" w:hAnsi="Times New Roman" w:eastAsia="Times New Roman" w:cs="Times New Roman"/>
                <w:sz w:val="20"/>
                <w:szCs w:val="20"/>
              </w:rPr>
            </w:pPr>
            <w:r>
              <w:rPr>
                <w:rFonts w:hint="eastAsia" w:ascii="Times New Roman" w:hAnsi="Times New Roman"/>
                <w:sz w:val="18"/>
                <w:szCs w:val="18"/>
              </w:rPr>
              <w:t>15（</w:t>
            </w:r>
            <w:r>
              <w:rPr>
                <w:rFonts w:hint="eastAsia"/>
                <w:sz w:val="18"/>
                <w:szCs w:val="18"/>
                <w:lang w:val="en-US" w:eastAsia="zh-CN"/>
              </w:rPr>
              <w:t>2</w:t>
            </w:r>
            <w:r>
              <w:rPr>
                <w:rFonts w:hint="eastAsia" w:ascii="Times New Roman" w:hAnsi="Times New Roman"/>
                <w:sz w:val="18"/>
                <w:szCs w:val="18"/>
              </w:rPr>
              <w:t>#）</w:t>
            </w:r>
          </w:p>
        </w:tc>
        <w:tc>
          <w:tcPr>
            <w:tcW w:w="244" w:type="pct"/>
            <w:vMerge w:val="restart"/>
            <w:vAlign w:val="center"/>
          </w:tcPr>
          <w:p w14:paraId="30C7947C">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hint="default" w:ascii="Times New Roman" w:hAnsi="Times New Roman" w:eastAsia="仿宋_GB2312" w:cs="Times New Roman"/>
                <w:color w:val="000000"/>
                <w:spacing w:val="0"/>
                <w:sz w:val="18"/>
                <w:szCs w:val="18"/>
                <w:lang w:val="en-US" w:eastAsia="zh-CN"/>
              </w:rPr>
              <w:t>1</w:t>
            </w:r>
          </w:p>
        </w:tc>
        <w:tc>
          <w:tcPr>
            <w:tcW w:w="333" w:type="pct"/>
            <w:vMerge w:val="restart"/>
            <w:vAlign w:val="center"/>
          </w:tcPr>
          <w:p w14:paraId="4E70A914">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25</w:t>
            </w:r>
          </w:p>
        </w:tc>
        <w:tc>
          <w:tcPr>
            <w:tcW w:w="321" w:type="pct"/>
            <w:vMerge w:val="restart"/>
            <w:tcBorders>
              <w:right w:val="single" w:color="000000" w:sz="10" w:space="0"/>
            </w:tcBorders>
            <w:vAlign w:val="center"/>
          </w:tcPr>
          <w:p w14:paraId="17E0A895">
            <w:pPr>
              <w:autoSpaceDE w:val="0"/>
              <w:autoSpaceDN w:val="0"/>
              <w:spacing w:before="0" w:line="240" w:lineRule="auto"/>
              <w:ind w:left="0"/>
              <w:jc w:val="center"/>
              <w:rPr>
                <w:rFonts w:ascii="Times New Roman" w:hAnsi="Times New Roman" w:eastAsia="仿宋_GB2312" w:cs="Times New Roman"/>
                <w:color w:val="000000"/>
                <w:spacing w:val="0"/>
                <w:sz w:val="18"/>
                <w:szCs w:val="18"/>
              </w:rPr>
            </w:pPr>
            <w:r>
              <w:rPr>
                <w:rFonts w:ascii="Times New Roman" w:hAnsi="Times New Roman" w:eastAsia="仿宋_GB2312" w:cs="Times New Roman"/>
                <w:color w:val="000000"/>
                <w:spacing w:val="0"/>
                <w:sz w:val="18"/>
                <w:szCs w:val="18"/>
              </w:rPr>
              <w:t>2400</w:t>
            </w:r>
          </w:p>
        </w:tc>
      </w:tr>
      <w:tr w14:paraId="78FF9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246" w:type="pct"/>
            <w:vMerge w:val="continue"/>
            <w:tcBorders>
              <w:left w:val="single" w:color="000000" w:sz="10" w:space="0"/>
            </w:tcBorders>
            <w:vAlign w:val="center"/>
          </w:tcPr>
          <w:p w14:paraId="705A95E4">
            <w:pPr>
              <w:pStyle w:val="258"/>
              <w:autoSpaceDE w:val="0"/>
              <w:autoSpaceDN w:val="0"/>
              <w:spacing w:before="143" w:line="228" w:lineRule="auto"/>
              <w:ind w:left="131" w:right="0" w:firstLine="0"/>
              <w:rPr>
                <w:rFonts w:hint="eastAsia" w:cs="仿宋"/>
                <w:spacing w:val="8"/>
                <w:sz w:val="20"/>
                <w:szCs w:val="20"/>
                <w:lang w:val="en-US" w:eastAsia="zh-CN"/>
              </w:rPr>
            </w:pPr>
          </w:p>
        </w:tc>
        <w:tc>
          <w:tcPr>
            <w:tcW w:w="439" w:type="pct"/>
            <w:vMerge w:val="continue"/>
            <w:vAlign w:val="center"/>
          </w:tcPr>
          <w:p w14:paraId="163DE7C8">
            <w:pPr>
              <w:pStyle w:val="258"/>
              <w:autoSpaceDE w:val="0"/>
              <w:autoSpaceDN w:val="0"/>
              <w:spacing w:before="143" w:line="228" w:lineRule="auto"/>
              <w:ind w:left="131"/>
              <w:rPr>
                <w:rFonts w:hint="eastAsia" w:cs="仿宋"/>
                <w:spacing w:val="8"/>
                <w:sz w:val="20"/>
                <w:szCs w:val="20"/>
                <w:lang w:val="en-US" w:eastAsia="zh-CN"/>
              </w:rPr>
            </w:pPr>
          </w:p>
        </w:tc>
        <w:tc>
          <w:tcPr>
            <w:tcW w:w="476" w:type="pct"/>
            <w:vAlign w:val="center"/>
          </w:tcPr>
          <w:p w14:paraId="10F34D65">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VOCS</w:t>
            </w:r>
          </w:p>
        </w:tc>
        <w:tc>
          <w:tcPr>
            <w:tcW w:w="247" w:type="pct"/>
            <w:vMerge w:val="continue"/>
            <w:tcBorders/>
            <w:vAlign w:val="center"/>
          </w:tcPr>
          <w:p w14:paraId="188F17B8">
            <w:pPr>
              <w:pStyle w:val="258"/>
              <w:autoSpaceDE w:val="0"/>
              <w:autoSpaceDN w:val="0"/>
              <w:spacing w:before="143" w:line="228" w:lineRule="auto"/>
              <w:ind w:left="131"/>
              <w:rPr>
                <w:rFonts w:hint="default" w:ascii="Times New Roman" w:hAnsi="Times New Roman" w:eastAsia="仿宋_GB2312" w:cs="Times New Roman"/>
                <w:color w:val="000000"/>
                <w:sz w:val="18"/>
                <w:szCs w:val="18"/>
                <w:lang w:eastAsia="zh-CN"/>
              </w:rPr>
            </w:pPr>
          </w:p>
        </w:tc>
        <w:tc>
          <w:tcPr>
            <w:tcW w:w="254" w:type="pct"/>
            <w:vAlign w:val="center"/>
          </w:tcPr>
          <w:p w14:paraId="57ED4A4E">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95</w:t>
            </w:r>
          </w:p>
        </w:tc>
        <w:tc>
          <w:tcPr>
            <w:tcW w:w="463" w:type="pct"/>
            <w:shd w:val="clear" w:color="auto" w:fill="auto"/>
            <w:vAlign w:val="center"/>
          </w:tcPr>
          <w:p w14:paraId="001BDFD8">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rPr>
              <w:t>5.354</w:t>
            </w:r>
          </w:p>
        </w:tc>
        <w:tc>
          <w:tcPr>
            <w:tcW w:w="380" w:type="pct"/>
            <w:shd w:val="clear" w:color="auto" w:fill="auto"/>
            <w:vAlign w:val="center"/>
          </w:tcPr>
          <w:p w14:paraId="5F69F586">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0.075</w:t>
            </w:r>
          </w:p>
        </w:tc>
        <w:tc>
          <w:tcPr>
            <w:tcW w:w="477" w:type="pct"/>
            <w:shd w:val="clear" w:color="auto" w:fill="auto"/>
            <w:vAlign w:val="center"/>
          </w:tcPr>
          <w:p w14:paraId="04179570">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0.040</w:t>
            </w:r>
          </w:p>
        </w:tc>
        <w:tc>
          <w:tcPr>
            <w:tcW w:w="302" w:type="pct"/>
            <w:shd w:val="clear" w:color="auto" w:fill="D9D9D9"/>
            <w:vAlign w:val="center"/>
          </w:tcPr>
          <w:p w14:paraId="7171D473">
            <w:pPr>
              <w:autoSpaceDE w:val="0"/>
              <w:autoSpaceDN w:val="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40</w:t>
            </w:r>
          </w:p>
        </w:tc>
        <w:tc>
          <w:tcPr>
            <w:tcW w:w="309" w:type="pct"/>
            <w:shd w:val="clear" w:color="auto" w:fill="D9D9D9"/>
            <w:vAlign w:val="center"/>
          </w:tcPr>
          <w:p w14:paraId="2A84441B">
            <w:pPr>
              <w:autoSpaceDE w:val="0"/>
              <w:autoSpaceDN w:val="0"/>
              <w:jc w:val="center"/>
              <w:rPr>
                <w:rFonts w:hint="default"/>
                <w:color w:val="000000"/>
                <w:sz w:val="18"/>
                <w:szCs w:val="18"/>
                <w:lang w:val="en-US" w:eastAsia="zh-CN"/>
              </w:rPr>
            </w:pPr>
            <w:r>
              <w:rPr>
                <w:rFonts w:hint="eastAsia"/>
                <w:color w:val="000000"/>
                <w:sz w:val="18"/>
                <w:szCs w:val="18"/>
                <w:lang w:val="en-US" w:eastAsia="zh-CN"/>
              </w:rPr>
              <w:t>2.9</w:t>
            </w:r>
          </w:p>
        </w:tc>
        <w:tc>
          <w:tcPr>
            <w:tcW w:w="503" w:type="pct"/>
            <w:vMerge w:val="continue"/>
            <w:tcBorders/>
            <w:vAlign w:val="center"/>
          </w:tcPr>
          <w:p w14:paraId="3EE84CD1">
            <w:pPr>
              <w:pStyle w:val="258"/>
              <w:autoSpaceDE w:val="0"/>
              <w:autoSpaceDN w:val="0"/>
              <w:spacing w:before="143" w:line="228" w:lineRule="auto"/>
              <w:ind w:left="131"/>
              <w:rPr>
                <w:rFonts w:hint="eastAsia"/>
                <w:spacing w:val="8"/>
                <w:sz w:val="20"/>
                <w:szCs w:val="20"/>
                <w:lang w:val="en-US" w:eastAsia="zh-CN"/>
              </w:rPr>
            </w:pPr>
          </w:p>
        </w:tc>
        <w:tc>
          <w:tcPr>
            <w:tcW w:w="244" w:type="pct"/>
            <w:vMerge w:val="continue"/>
            <w:tcBorders/>
            <w:vAlign w:val="center"/>
          </w:tcPr>
          <w:p w14:paraId="554A229D">
            <w:pPr>
              <w:pStyle w:val="258"/>
              <w:autoSpaceDE w:val="0"/>
              <w:autoSpaceDN w:val="0"/>
              <w:spacing w:before="143" w:line="228" w:lineRule="auto"/>
              <w:ind w:left="131" w:leftChars="0"/>
              <w:rPr>
                <w:rFonts w:hint="eastAsia"/>
                <w:spacing w:val="8"/>
                <w:sz w:val="20"/>
                <w:szCs w:val="20"/>
                <w:lang w:val="en-US" w:eastAsia="zh-CN"/>
              </w:rPr>
            </w:pPr>
          </w:p>
        </w:tc>
        <w:tc>
          <w:tcPr>
            <w:tcW w:w="333" w:type="pct"/>
            <w:vMerge w:val="continue"/>
            <w:tcBorders/>
            <w:vAlign w:val="center"/>
          </w:tcPr>
          <w:p w14:paraId="22CFEE34">
            <w:pPr>
              <w:pStyle w:val="258"/>
              <w:autoSpaceDE w:val="0"/>
              <w:autoSpaceDN w:val="0"/>
              <w:spacing w:before="143" w:line="228" w:lineRule="auto"/>
              <w:ind w:left="131" w:leftChars="0"/>
              <w:rPr>
                <w:rFonts w:hint="eastAsia"/>
                <w:spacing w:val="8"/>
                <w:sz w:val="20"/>
                <w:szCs w:val="20"/>
                <w:lang w:val="en-US" w:eastAsia="zh-CN"/>
              </w:rPr>
            </w:pPr>
          </w:p>
        </w:tc>
        <w:tc>
          <w:tcPr>
            <w:tcW w:w="321" w:type="pct"/>
            <w:vMerge w:val="continue"/>
            <w:tcBorders>
              <w:right w:val="single" w:color="000000" w:sz="10" w:space="0"/>
            </w:tcBorders>
            <w:vAlign w:val="center"/>
          </w:tcPr>
          <w:p w14:paraId="0579A93A">
            <w:pPr>
              <w:pStyle w:val="258"/>
              <w:autoSpaceDE w:val="0"/>
              <w:autoSpaceDN w:val="0"/>
              <w:spacing w:before="143" w:line="228" w:lineRule="auto"/>
              <w:ind w:left="131"/>
              <w:rPr>
                <w:rFonts w:ascii="仿宋" w:hAnsi="仿宋" w:eastAsia="仿宋" w:cs="仿宋"/>
                <w:spacing w:val="8"/>
                <w:sz w:val="20"/>
                <w:szCs w:val="20"/>
              </w:rPr>
            </w:pPr>
          </w:p>
        </w:tc>
      </w:tr>
      <w:tr w14:paraId="11D5A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jc w:val="center"/>
        </w:trPr>
        <w:tc>
          <w:tcPr>
            <w:tcW w:w="246" w:type="pct"/>
            <w:vMerge w:val="restart"/>
            <w:tcBorders>
              <w:left w:val="single" w:color="000000" w:sz="10" w:space="0"/>
            </w:tcBorders>
            <w:vAlign w:val="center"/>
          </w:tcPr>
          <w:p w14:paraId="61031212">
            <w:pPr>
              <w:pStyle w:val="258"/>
              <w:autoSpaceDE w:val="0"/>
              <w:autoSpaceDN w:val="0"/>
              <w:spacing w:before="143" w:line="228" w:lineRule="auto"/>
              <w:ind w:left="131" w:right="0" w:firstLine="0"/>
              <w:rPr>
                <w:rFonts w:hint="eastAsia" w:cs="仿宋"/>
                <w:spacing w:val="8"/>
                <w:sz w:val="20"/>
                <w:szCs w:val="20"/>
                <w:lang w:val="en-US" w:eastAsia="zh-CN"/>
              </w:rPr>
            </w:pPr>
            <w:r>
              <w:rPr>
                <w:rFonts w:hint="eastAsia"/>
                <w:spacing w:val="8"/>
                <w:sz w:val="20"/>
                <w:szCs w:val="20"/>
                <w:lang w:val="en-US" w:eastAsia="zh-CN"/>
              </w:rPr>
              <w:t>喷漆</w:t>
            </w:r>
          </w:p>
        </w:tc>
        <w:tc>
          <w:tcPr>
            <w:tcW w:w="439" w:type="pct"/>
            <w:vMerge w:val="restart"/>
            <w:vAlign w:val="center"/>
          </w:tcPr>
          <w:p w14:paraId="4D1BA8BD">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56000</w:t>
            </w:r>
          </w:p>
        </w:tc>
        <w:tc>
          <w:tcPr>
            <w:tcW w:w="476" w:type="pct"/>
            <w:shd w:val="clear"/>
            <w:vAlign w:val="center"/>
          </w:tcPr>
          <w:p w14:paraId="03D368BD">
            <w:pPr>
              <w:pStyle w:val="258"/>
              <w:autoSpaceDE w:val="0"/>
              <w:autoSpaceDN w:val="0"/>
              <w:spacing w:before="143" w:line="228" w:lineRule="auto"/>
              <w:ind w:left="253" w:leftChars="0"/>
              <w:rPr>
                <w:rFonts w:hint="eastAsia" w:ascii="Times New Roman" w:hAnsi="Times New Roman" w:eastAsia="仿宋" w:cs="仿宋"/>
                <w:kern w:val="2"/>
                <w:sz w:val="18"/>
                <w:szCs w:val="18"/>
                <w:lang w:val="en-US" w:eastAsia="zh-CN" w:bidi="ar-SA"/>
              </w:rPr>
            </w:pPr>
            <w:r>
              <w:rPr>
                <w:rFonts w:hint="eastAsia" w:ascii="Times New Roman" w:hAnsi="Times New Roman"/>
                <w:sz w:val="18"/>
                <w:szCs w:val="18"/>
              </w:rPr>
              <w:t>粉尘</w:t>
            </w:r>
          </w:p>
        </w:tc>
        <w:tc>
          <w:tcPr>
            <w:tcW w:w="247" w:type="pct"/>
            <w:vMerge w:val="restart"/>
            <w:vAlign w:val="center"/>
          </w:tcPr>
          <w:p w14:paraId="2D029785">
            <w:pPr>
              <w:pStyle w:val="258"/>
              <w:autoSpaceDE w:val="0"/>
              <w:autoSpaceDN w:val="0"/>
              <w:spacing w:before="143" w:line="228" w:lineRule="auto"/>
              <w:ind w:left="131"/>
              <w:rPr>
                <w:rFonts w:hint="default"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sz w:val="18"/>
                <w:szCs w:val="18"/>
                <w:lang w:eastAsia="zh-CN"/>
              </w:rPr>
              <w:t>水旋柜+</w:t>
            </w:r>
            <w:r>
              <w:rPr>
                <w:rFonts w:hint="default" w:ascii="Times New Roman" w:hAnsi="Times New Roman" w:eastAsia="仿宋_GB2312" w:cs="Times New Roman"/>
                <w:color w:val="000000"/>
                <w:sz w:val="18"/>
                <w:szCs w:val="18"/>
                <w:lang w:val="en-US" w:eastAsia="zh-CN"/>
              </w:rPr>
              <w:t>除雾器+</w:t>
            </w:r>
            <w:r>
              <w:rPr>
                <w:rFonts w:hint="default" w:ascii="Times New Roman" w:hAnsi="Times New Roman" w:eastAsia="仿宋_GB2312" w:cs="Times New Roman"/>
                <w:color w:val="000000"/>
                <w:sz w:val="18"/>
                <w:szCs w:val="18"/>
                <w:lang w:eastAsia="zh-CN"/>
              </w:rPr>
              <w:t>二级</w:t>
            </w:r>
            <w:r>
              <w:rPr>
                <w:rFonts w:ascii="Times New Roman" w:hAnsi="Times New Roman" w:eastAsia="仿宋_GB2312" w:cs="Times New Roman"/>
                <w:color w:val="000000"/>
                <w:sz w:val="18"/>
                <w:szCs w:val="18"/>
                <w:lang w:eastAsia="zh-CN"/>
              </w:rPr>
              <w:t>活性炭吸</w:t>
            </w:r>
          </w:p>
        </w:tc>
        <w:tc>
          <w:tcPr>
            <w:tcW w:w="254" w:type="pct"/>
            <w:vAlign w:val="center"/>
          </w:tcPr>
          <w:p w14:paraId="02DDDF0B">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95</w:t>
            </w:r>
          </w:p>
        </w:tc>
        <w:tc>
          <w:tcPr>
            <w:tcW w:w="463" w:type="pct"/>
            <w:shd w:val="clear" w:color="auto" w:fill="auto"/>
            <w:vAlign w:val="center"/>
          </w:tcPr>
          <w:p w14:paraId="06DEC335">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10.125 </w:t>
            </w:r>
          </w:p>
        </w:tc>
        <w:tc>
          <w:tcPr>
            <w:tcW w:w="380" w:type="pct"/>
            <w:shd w:val="clear" w:color="auto" w:fill="auto"/>
            <w:vAlign w:val="center"/>
          </w:tcPr>
          <w:p w14:paraId="33371F85">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0.142 </w:t>
            </w:r>
          </w:p>
        </w:tc>
        <w:tc>
          <w:tcPr>
            <w:tcW w:w="477" w:type="pct"/>
            <w:shd w:val="clear" w:color="auto" w:fill="auto"/>
            <w:vAlign w:val="center"/>
          </w:tcPr>
          <w:p w14:paraId="47D0FD81">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 xml:space="preserve">0.076 </w:t>
            </w:r>
          </w:p>
        </w:tc>
        <w:tc>
          <w:tcPr>
            <w:tcW w:w="302" w:type="pct"/>
            <w:shd w:val="clear" w:color="auto" w:fill="D9D9D9"/>
            <w:vAlign w:val="center"/>
          </w:tcPr>
          <w:p w14:paraId="3516855D">
            <w:pPr>
              <w:autoSpaceDE w:val="0"/>
              <w:autoSpaceDN w:val="0"/>
              <w:spacing w:before="0" w:line="240" w:lineRule="auto"/>
              <w:ind w:left="0" w:leftChars="0"/>
              <w:jc w:val="center"/>
              <w:rPr>
                <w:rFonts w:hint="default" w:ascii="Times New Roman" w:hAnsi="Times New Roman" w:eastAsia="仿宋_GB2312" w:cs="Times New Roman"/>
                <w:color w:val="000000"/>
                <w:spacing w:val="0"/>
                <w:sz w:val="18"/>
                <w:szCs w:val="18"/>
                <w:lang w:val="en-US" w:eastAsia="zh-CN"/>
              </w:rPr>
            </w:pPr>
          </w:p>
          <w:p w14:paraId="156D0E6B">
            <w:pPr>
              <w:autoSpaceDE w:val="0"/>
              <w:autoSpaceDN w:val="0"/>
              <w:spacing w:before="0" w:line="240" w:lineRule="auto"/>
              <w:ind w:left="0" w:leftChars="0"/>
              <w:jc w:val="center"/>
              <w:rPr>
                <w:rFonts w:hint="eastAsia" w:ascii="Times New Roman" w:hAnsi="Times New Roman" w:eastAsia="仿宋_GB2312" w:cs="Times New Roman"/>
                <w:color w:val="000000"/>
                <w:kern w:val="2"/>
                <w:sz w:val="18"/>
                <w:szCs w:val="18"/>
                <w:lang w:val="en-US" w:eastAsia="zh-CN" w:bidi="ar-SA"/>
              </w:rPr>
            </w:pPr>
            <w:r>
              <w:rPr>
                <w:rFonts w:hint="eastAsia" w:cs="Times New Roman"/>
                <w:color w:val="000000"/>
                <w:spacing w:val="0"/>
                <w:sz w:val="18"/>
                <w:szCs w:val="18"/>
                <w:lang w:val="en-US" w:eastAsia="zh-CN"/>
              </w:rPr>
              <w:t>15</w:t>
            </w:r>
          </w:p>
        </w:tc>
        <w:tc>
          <w:tcPr>
            <w:tcW w:w="309" w:type="pct"/>
            <w:shd w:val="clear" w:color="auto" w:fill="D9D9D9"/>
            <w:vAlign w:val="center"/>
          </w:tcPr>
          <w:p w14:paraId="2E1CC091">
            <w:pPr>
              <w:autoSpaceDE w:val="0"/>
              <w:autoSpaceDN w:val="0"/>
              <w:spacing w:before="178" w:line="195" w:lineRule="auto"/>
              <w:ind w:left="216" w:leftChars="0"/>
              <w:rPr>
                <w:rFonts w:hint="eastAsia" w:ascii="Times New Roman" w:hAnsi="Times New Roman" w:eastAsia="宋体" w:cs="Times New Roman"/>
                <w:kern w:val="2"/>
                <w:sz w:val="20"/>
                <w:szCs w:val="20"/>
                <w:lang w:val="en-US" w:eastAsia="zh-CN" w:bidi="ar-SA"/>
              </w:rPr>
            </w:pPr>
            <w:r>
              <w:rPr>
                <w:rFonts w:hint="eastAsia" w:eastAsia="宋体" w:cs="Times New Roman"/>
                <w:spacing w:val="1"/>
                <w:sz w:val="20"/>
                <w:szCs w:val="20"/>
                <w:lang w:val="en-US" w:eastAsia="zh-CN"/>
              </w:rPr>
              <w:t>0.51</w:t>
            </w:r>
          </w:p>
        </w:tc>
        <w:tc>
          <w:tcPr>
            <w:tcW w:w="503" w:type="pct"/>
            <w:vMerge w:val="restart"/>
            <w:vAlign w:val="center"/>
          </w:tcPr>
          <w:p w14:paraId="67E8B87A">
            <w:pPr>
              <w:pStyle w:val="258"/>
              <w:autoSpaceDE w:val="0"/>
              <w:autoSpaceDN w:val="0"/>
              <w:spacing w:before="143" w:line="228" w:lineRule="auto"/>
              <w:ind w:left="131"/>
              <w:rPr>
                <w:rFonts w:hint="default"/>
                <w:spacing w:val="8"/>
                <w:sz w:val="20"/>
                <w:szCs w:val="20"/>
                <w:lang w:val="en-US" w:eastAsia="zh-CN"/>
              </w:rPr>
            </w:pPr>
            <w:r>
              <w:rPr>
                <w:rFonts w:hint="eastAsia"/>
                <w:spacing w:val="8"/>
                <w:sz w:val="20"/>
                <w:szCs w:val="20"/>
                <w:lang w:val="en-US" w:eastAsia="zh-CN"/>
              </w:rPr>
              <w:t>15（5#）</w:t>
            </w:r>
          </w:p>
        </w:tc>
        <w:tc>
          <w:tcPr>
            <w:tcW w:w="244" w:type="pct"/>
            <w:vMerge w:val="restart"/>
            <w:vAlign w:val="center"/>
          </w:tcPr>
          <w:p w14:paraId="22D1A580">
            <w:pPr>
              <w:pStyle w:val="258"/>
              <w:autoSpaceDE w:val="0"/>
              <w:autoSpaceDN w:val="0"/>
              <w:spacing w:before="143" w:line="228" w:lineRule="auto"/>
              <w:ind w:left="131" w:leftChars="0"/>
              <w:rPr>
                <w:rFonts w:hint="default"/>
                <w:spacing w:val="8"/>
                <w:sz w:val="20"/>
                <w:szCs w:val="20"/>
                <w:lang w:val="en-US" w:eastAsia="zh-CN"/>
              </w:rPr>
            </w:pPr>
            <w:r>
              <w:rPr>
                <w:rFonts w:hint="eastAsia"/>
                <w:spacing w:val="8"/>
                <w:sz w:val="20"/>
                <w:szCs w:val="20"/>
                <w:lang w:val="en-US" w:eastAsia="zh-CN"/>
              </w:rPr>
              <w:t>1</w:t>
            </w:r>
          </w:p>
        </w:tc>
        <w:tc>
          <w:tcPr>
            <w:tcW w:w="333" w:type="pct"/>
            <w:vMerge w:val="restart"/>
            <w:vAlign w:val="center"/>
          </w:tcPr>
          <w:p w14:paraId="50FED862">
            <w:pPr>
              <w:pStyle w:val="258"/>
              <w:autoSpaceDE w:val="0"/>
              <w:autoSpaceDN w:val="0"/>
              <w:spacing w:before="143" w:line="228" w:lineRule="auto"/>
              <w:ind w:left="131" w:leftChars="0"/>
              <w:rPr>
                <w:rFonts w:hint="default"/>
                <w:spacing w:val="8"/>
                <w:sz w:val="20"/>
                <w:szCs w:val="20"/>
                <w:lang w:val="en-US" w:eastAsia="zh-CN"/>
              </w:rPr>
            </w:pPr>
            <w:r>
              <w:rPr>
                <w:rFonts w:hint="eastAsia"/>
                <w:spacing w:val="8"/>
                <w:sz w:val="20"/>
                <w:szCs w:val="20"/>
                <w:lang w:val="en-US" w:eastAsia="zh-CN"/>
              </w:rPr>
              <w:t>25</w:t>
            </w:r>
          </w:p>
        </w:tc>
        <w:tc>
          <w:tcPr>
            <w:tcW w:w="321" w:type="pct"/>
            <w:vMerge w:val="restart"/>
            <w:tcBorders>
              <w:right w:val="single" w:color="000000" w:sz="10" w:space="0"/>
            </w:tcBorders>
            <w:vAlign w:val="center"/>
          </w:tcPr>
          <w:p w14:paraId="121905D7">
            <w:pPr>
              <w:pStyle w:val="258"/>
              <w:autoSpaceDE w:val="0"/>
              <w:autoSpaceDN w:val="0"/>
              <w:spacing w:before="143" w:line="228" w:lineRule="auto"/>
              <w:ind w:left="131"/>
              <w:rPr>
                <w:rFonts w:hint="default" w:ascii="仿宋" w:hAnsi="仿宋" w:eastAsia="仿宋" w:cs="仿宋"/>
                <w:spacing w:val="8"/>
                <w:sz w:val="20"/>
                <w:szCs w:val="20"/>
                <w:lang w:val="en-US" w:eastAsia="zh-CN"/>
              </w:rPr>
            </w:pPr>
            <w:r>
              <w:rPr>
                <w:rFonts w:hint="eastAsia" w:cs="仿宋"/>
                <w:spacing w:val="8"/>
                <w:sz w:val="20"/>
                <w:szCs w:val="20"/>
                <w:lang w:val="en-US" w:eastAsia="zh-CN"/>
              </w:rPr>
              <w:t>2400</w:t>
            </w:r>
          </w:p>
        </w:tc>
      </w:tr>
      <w:tr w14:paraId="67FE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246" w:type="pct"/>
            <w:vMerge w:val="continue"/>
            <w:tcBorders>
              <w:left w:val="single" w:color="000000" w:sz="10" w:space="0"/>
            </w:tcBorders>
            <w:vAlign w:val="center"/>
          </w:tcPr>
          <w:p w14:paraId="2BD242D1">
            <w:pPr>
              <w:pStyle w:val="258"/>
              <w:autoSpaceDE w:val="0"/>
              <w:autoSpaceDN w:val="0"/>
              <w:spacing w:before="143" w:line="228" w:lineRule="auto"/>
              <w:ind w:left="131" w:right="0" w:firstLine="0"/>
              <w:rPr>
                <w:rFonts w:hint="eastAsia"/>
                <w:spacing w:val="8"/>
                <w:sz w:val="20"/>
                <w:szCs w:val="20"/>
                <w:lang w:val="en-US" w:eastAsia="zh-CN"/>
              </w:rPr>
            </w:pPr>
          </w:p>
        </w:tc>
        <w:tc>
          <w:tcPr>
            <w:tcW w:w="439" w:type="pct"/>
            <w:vMerge w:val="continue"/>
            <w:tcBorders/>
            <w:vAlign w:val="center"/>
          </w:tcPr>
          <w:p w14:paraId="1C1ABE08">
            <w:pPr>
              <w:pStyle w:val="258"/>
              <w:autoSpaceDE w:val="0"/>
              <w:autoSpaceDN w:val="0"/>
              <w:spacing w:before="143" w:line="228" w:lineRule="auto"/>
              <w:ind w:left="131"/>
              <w:rPr>
                <w:rFonts w:hint="eastAsia" w:cs="仿宋"/>
                <w:spacing w:val="8"/>
                <w:sz w:val="20"/>
                <w:szCs w:val="20"/>
                <w:lang w:val="en-US" w:eastAsia="zh-CN"/>
              </w:rPr>
            </w:pPr>
          </w:p>
        </w:tc>
        <w:tc>
          <w:tcPr>
            <w:tcW w:w="476" w:type="pct"/>
            <w:shd w:val="clear"/>
            <w:vAlign w:val="center"/>
          </w:tcPr>
          <w:p w14:paraId="7EEE1749">
            <w:pPr>
              <w:pStyle w:val="258"/>
              <w:autoSpaceDE w:val="0"/>
              <w:autoSpaceDN w:val="0"/>
              <w:spacing w:before="143" w:line="228" w:lineRule="auto"/>
              <w:ind w:left="131" w:leftChars="0"/>
              <w:rPr>
                <w:rFonts w:hint="eastAsia" w:ascii="仿宋" w:hAnsi="仿宋" w:eastAsia="仿宋" w:cs="仿宋"/>
                <w:spacing w:val="8"/>
                <w:kern w:val="2"/>
                <w:sz w:val="20"/>
                <w:szCs w:val="20"/>
                <w:lang w:val="en-US" w:eastAsia="zh-CN" w:bidi="ar-SA"/>
              </w:rPr>
            </w:pPr>
            <w:r>
              <w:rPr>
                <w:rFonts w:hint="eastAsia" w:cs="仿宋"/>
                <w:spacing w:val="8"/>
                <w:sz w:val="20"/>
                <w:szCs w:val="20"/>
                <w:lang w:val="en-US" w:eastAsia="zh-CN"/>
              </w:rPr>
              <w:t>VOCS</w:t>
            </w:r>
          </w:p>
        </w:tc>
        <w:tc>
          <w:tcPr>
            <w:tcW w:w="247" w:type="pct"/>
            <w:vMerge w:val="continue"/>
            <w:tcBorders>
              <w:bottom w:val="nil"/>
            </w:tcBorders>
            <w:vAlign w:val="center"/>
          </w:tcPr>
          <w:p w14:paraId="1677FC77">
            <w:pPr>
              <w:pStyle w:val="258"/>
              <w:autoSpaceDE w:val="0"/>
              <w:autoSpaceDN w:val="0"/>
              <w:spacing w:before="143" w:line="228" w:lineRule="auto"/>
              <w:ind w:left="131"/>
              <w:rPr>
                <w:rFonts w:hint="default" w:ascii="Times New Roman" w:hAnsi="Times New Roman" w:eastAsia="仿宋_GB2312" w:cs="Times New Roman"/>
                <w:color w:val="000000"/>
                <w:sz w:val="18"/>
                <w:szCs w:val="18"/>
                <w:lang w:eastAsia="zh-CN"/>
              </w:rPr>
            </w:pPr>
          </w:p>
        </w:tc>
        <w:tc>
          <w:tcPr>
            <w:tcW w:w="254" w:type="pct"/>
            <w:vAlign w:val="center"/>
          </w:tcPr>
          <w:p w14:paraId="10607643">
            <w:pPr>
              <w:pStyle w:val="258"/>
              <w:autoSpaceDE w:val="0"/>
              <w:autoSpaceDN w:val="0"/>
              <w:spacing w:before="143" w:line="228" w:lineRule="auto"/>
              <w:ind w:left="131"/>
              <w:rPr>
                <w:rFonts w:hint="default" w:cs="仿宋"/>
                <w:spacing w:val="8"/>
                <w:sz w:val="20"/>
                <w:szCs w:val="20"/>
                <w:lang w:val="en-US" w:eastAsia="zh-CN"/>
              </w:rPr>
            </w:pPr>
            <w:r>
              <w:rPr>
                <w:rFonts w:hint="eastAsia" w:cs="仿宋"/>
                <w:spacing w:val="8"/>
                <w:sz w:val="20"/>
                <w:szCs w:val="20"/>
                <w:lang w:val="en-US" w:eastAsia="zh-CN"/>
              </w:rPr>
              <w:t>95</w:t>
            </w:r>
          </w:p>
        </w:tc>
        <w:tc>
          <w:tcPr>
            <w:tcW w:w="463" w:type="pct"/>
            <w:shd w:val="clear" w:color="auto" w:fill="auto"/>
            <w:vAlign w:val="center"/>
          </w:tcPr>
          <w:p w14:paraId="59C01DA4">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rPr>
              <w:t>5.354</w:t>
            </w:r>
          </w:p>
        </w:tc>
        <w:tc>
          <w:tcPr>
            <w:tcW w:w="380" w:type="pct"/>
            <w:shd w:val="clear" w:color="auto" w:fill="auto"/>
            <w:vAlign w:val="center"/>
          </w:tcPr>
          <w:p w14:paraId="0937C5AB">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0.075</w:t>
            </w:r>
          </w:p>
        </w:tc>
        <w:tc>
          <w:tcPr>
            <w:tcW w:w="477" w:type="pct"/>
            <w:shd w:val="clear" w:color="auto" w:fill="auto"/>
            <w:vAlign w:val="center"/>
          </w:tcPr>
          <w:p w14:paraId="573E4DDE">
            <w:pPr>
              <w:widowControl/>
              <w:autoSpaceDE w:val="0"/>
              <w:autoSpaceDN w:val="0"/>
              <w:jc w:val="center"/>
              <w:textAlignment w:val="auto"/>
              <w:rPr>
                <w:rFonts w:hint="eastAsia" w:ascii="Times New Roman" w:hAnsi="Times New Roman" w:eastAsia="仿宋_GB2312" w:cs="Times New Roman"/>
                <w:color w:val="000000"/>
                <w:kern w:val="2"/>
                <w:sz w:val="18"/>
                <w:szCs w:val="18"/>
                <w:lang w:val="en-US" w:eastAsia="zh-CN" w:bidi="ar"/>
              </w:rPr>
            </w:pPr>
            <w:r>
              <w:rPr>
                <w:rFonts w:hint="eastAsia" w:ascii="Times New Roman" w:hAnsi="Times New Roman" w:cs="Times New Roman"/>
                <w:color w:val="000000"/>
                <w:kern w:val="2"/>
                <w:sz w:val="18"/>
                <w:szCs w:val="18"/>
                <w:lang w:bidi="ar"/>
              </w:rPr>
              <w:t>0.040</w:t>
            </w:r>
          </w:p>
        </w:tc>
        <w:tc>
          <w:tcPr>
            <w:tcW w:w="302" w:type="pct"/>
            <w:shd w:val="clear" w:color="auto" w:fill="D9D9D9"/>
            <w:vAlign w:val="center"/>
          </w:tcPr>
          <w:p w14:paraId="2B6FF67C">
            <w:pPr>
              <w:autoSpaceDE w:val="0"/>
              <w:autoSpaceDN w:val="0"/>
              <w:jc w:val="center"/>
              <w:rPr>
                <w:rFonts w:hint="eastAsia" w:ascii="Times New Roman" w:hAnsi="Times New Roman" w:eastAsia="仿宋_GB2312"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40</w:t>
            </w:r>
          </w:p>
        </w:tc>
        <w:tc>
          <w:tcPr>
            <w:tcW w:w="309" w:type="pct"/>
            <w:shd w:val="clear" w:color="auto" w:fill="D9D9D9"/>
            <w:vAlign w:val="center"/>
          </w:tcPr>
          <w:p w14:paraId="148F09B5">
            <w:pPr>
              <w:autoSpaceDE w:val="0"/>
              <w:autoSpaceDN w:val="0"/>
              <w:jc w:val="center"/>
              <w:rPr>
                <w:rFonts w:hint="eastAsia" w:ascii="Times New Roman" w:hAnsi="Times New Roman" w:eastAsia="仿宋_GB2312" w:cs="Times New Roman"/>
                <w:color w:val="000000"/>
                <w:kern w:val="2"/>
                <w:sz w:val="18"/>
                <w:szCs w:val="18"/>
                <w:lang w:val="en-US" w:eastAsia="zh-CN" w:bidi="ar-SA"/>
              </w:rPr>
            </w:pPr>
            <w:r>
              <w:rPr>
                <w:rFonts w:hint="eastAsia"/>
                <w:color w:val="000000"/>
                <w:sz w:val="18"/>
                <w:szCs w:val="18"/>
                <w:lang w:val="en-US" w:eastAsia="zh-CN"/>
              </w:rPr>
              <w:t>2.9</w:t>
            </w:r>
          </w:p>
        </w:tc>
        <w:tc>
          <w:tcPr>
            <w:tcW w:w="503" w:type="pct"/>
            <w:vMerge w:val="continue"/>
            <w:tcBorders>
              <w:bottom w:val="nil"/>
            </w:tcBorders>
            <w:vAlign w:val="center"/>
          </w:tcPr>
          <w:p w14:paraId="25DEDE9D">
            <w:pPr>
              <w:pStyle w:val="258"/>
              <w:autoSpaceDE w:val="0"/>
              <w:autoSpaceDN w:val="0"/>
              <w:spacing w:before="143" w:line="228" w:lineRule="auto"/>
              <w:ind w:left="131"/>
              <w:rPr>
                <w:rFonts w:hint="eastAsia"/>
                <w:spacing w:val="8"/>
                <w:sz w:val="20"/>
                <w:szCs w:val="20"/>
                <w:lang w:val="en-US" w:eastAsia="zh-CN"/>
              </w:rPr>
            </w:pPr>
          </w:p>
        </w:tc>
        <w:tc>
          <w:tcPr>
            <w:tcW w:w="244" w:type="pct"/>
            <w:vMerge w:val="continue"/>
            <w:tcBorders>
              <w:bottom w:val="nil"/>
            </w:tcBorders>
            <w:vAlign w:val="center"/>
          </w:tcPr>
          <w:p w14:paraId="49B982BE">
            <w:pPr>
              <w:pStyle w:val="258"/>
              <w:autoSpaceDE w:val="0"/>
              <w:autoSpaceDN w:val="0"/>
              <w:spacing w:before="143" w:line="228" w:lineRule="auto"/>
              <w:ind w:left="131" w:leftChars="0"/>
              <w:rPr>
                <w:rFonts w:hint="eastAsia"/>
                <w:spacing w:val="8"/>
                <w:sz w:val="20"/>
                <w:szCs w:val="20"/>
                <w:lang w:val="en-US" w:eastAsia="zh-CN"/>
              </w:rPr>
            </w:pPr>
          </w:p>
        </w:tc>
        <w:tc>
          <w:tcPr>
            <w:tcW w:w="333" w:type="pct"/>
            <w:vMerge w:val="continue"/>
            <w:tcBorders>
              <w:bottom w:val="nil"/>
            </w:tcBorders>
            <w:vAlign w:val="center"/>
          </w:tcPr>
          <w:p w14:paraId="2CE65FF0">
            <w:pPr>
              <w:pStyle w:val="258"/>
              <w:autoSpaceDE w:val="0"/>
              <w:autoSpaceDN w:val="0"/>
              <w:spacing w:before="143" w:line="228" w:lineRule="auto"/>
              <w:ind w:left="131" w:leftChars="0"/>
              <w:rPr>
                <w:rFonts w:hint="eastAsia"/>
                <w:spacing w:val="8"/>
                <w:sz w:val="20"/>
                <w:szCs w:val="20"/>
                <w:lang w:val="en-US" w:eastAsia="zh-CN"/>
              </w:rPr>
            </w:pPr>
          </w:p>
        </w:tc>
        <w:tc>
          <w:tcPr>
            <w:tcW w:w="321" w:type="pct"/>
            <w:vMerge w:val="continue"/>
            <w:tcBorders>
              <w:right w:val="single" w:color="000000" w:sz="10" w:space="0"/>
            </w:tcBorders>
            <w:vAlign w:val="center"/>
          </w:tcPr>
          <w:p w14:paraId="75A931F1">
            <w:pPr>
              <w:pStyle w:val="258"/>
              <w:autoSpaceDE w:val="0"/>
              <w:autoSpaceDN w:val="0"/>
              <w:spacing w:before="143" w:line="228" w:lineRule="auto"/>
              <w:ind w:left="131"/>
              <w:rPr>
                <w:rFonts w:ascii="仿宋" w:hAnsi="仿宋" w:eastAsia="仿宋" w:cs="仿宋"/>
                <w:spacing w:val="8"/>
                <w:sz w:val="20"/>
                <w:szCs w:val="20"/>
              </w:rPr>
            </w:pPr>
          </w:p>
        </w:tc>
      </w:tr>
    </w:tbl>
    <w:p w14:paraId="406C12C6">
      <w:pPr>
        <w:adjustRightInd w:val="0"/>
        <w:snapToGrid w:val="0"/>
        <w:spacing w:line="500" w:lineRule="exact"/>
        <w:ind w:firstLine="480" w:firstLineChars="200"/>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（2）水污染物排放情况</w:t>
      </w:r>
    </w:p>
    <w:p w14:paraId="5709745F">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w:t>
      </w:r>
      <w:r>
        <w:rPr>
          <w:rFonts w:hint="eastAsia" w:eastAsia="宋体"/>
          <w:color w:val="000000" w:themeColor="text1"/>
          <w14:textFill>
            <w14:solidFill>
              <w14:schemeClr w14:val="tx1"/>
            </w14:solidFill>
          </w14:textFill>
        </w:rPr>
        <w:t>产生的废水主要为</w:t>
      </w:r>
      <w:r>
        <w:rPr>
          <w:rFonts w:hint="eastAsia" w:eastAsia="宋体"/>
          <w:color w:val="000000" w:themeColor="text1"/>
          <w:lang w:val="en-US" w:eastAsia="zh-CN"/>
          <w14:textFill>
            <w14:solidFill>
              <w14:schemeClr w14:val="tx1"/>
            </w14:solidFill>
          </w14:textFill>
        </w:rPr>
        <w:t>生活污水、</w:t>
      </w:r>
      <w:r>
        <w:rPr>
          <w:rFonts w:hint="eastAsia" w:eastAsia="Times New Roman"/>
          <w:color w:val="auto"/>
          <w:sz w:val="24"/>
          <w:szCs w:val="24"/>
          <w:lang w:val="en-US" w:eastAsia="zh-CN"/>
        </w:rPr>
        <w:t>喷淋废水</w:t>
      </w:r>
      <w:r>
        <w:rPr>
          <w:rFonts w:hint="eastAsia" w:eastAsia="宋体"/>
          <w:color w:val="000000" w:themeColor="text1"/>
          <w:lang w:val="en-US" w:eastAsia="zh-CN"/>
          <w14:textFill>
            <w14:solidFill>
              <w14:schemeClr w14:val="tx1"/>
            </w14:solidFill>
          </w14:textFill>
        </w:rPr>
        <w:t>。其中，</w:t>
      </w:r>
      <w:r>
        <w:rPr>
          <w:rFonts w:hint="eastAsia" w:eastAsia="Times New Roman"/>
          <w:color w:val="auto"/>
          <w:sz w:val="24"/>
          <w:szCs w:val="24"/>
          <w:lang w:val="en-US" w:eastAsia="zh-CN"/>
        </w:rPr>
        <w:t>喷淋废水经气浮+絮凝沉淀处理后回用于水喷淋装置，不外排；</w:t>
      </w:r>
      <w:r>
        <w:rPr>
          <w:rFonts w:hint="eastAsia" w:eastAsia="宋体"/>
          <w:color w:val="000000" w:themeColor="text1"/>
          <w:lang w:val="en-US" w:eastAsia="zh-CN"/>
          <w14:textFill>
            <w14:solidFill>
              <w14:schemeClr w14:val="tx1"/>
            </w14:solidFill>
          </w14:textFill>
        </w:rPr>
        <w:t>生活污水经化粪池预处理达到接管标准后排入</w:t>
      </w:r>
      <w:r>
        <w:rPr>
          <w:rFonts w:hint="eastAsia" w:eastAsia="宋体"/>
          <w:color w:val="000000" w:themeColor="text1"/>
          <w:lang w:eastAsia="zh-CN"/>
          <w14:textFill>
            <w14:solidFill>
              <w14:schemeClr w14:val="tx1"/>
            </w14:solidFill>
          </w14:textFill>
        </w:rPr>
        <w:t>海安金港水务环保科技有限公司</w:t>
      </w:r>
      <w:r>
        <w:rPr>
          <w:rFonts w:hint="eastAsia" w:eastAsia="宋体"/>
          <w:color w:val="000000" w:themeColor="text1"/>
          <w:lang w:val="en-US" w:eastAsia="zh-CN"/>
          <w14:textFill>
            <w14:solidFill>
              <w14:schemeClr w14:val="tx1"/>
            </w14:solidFill>
          </w14:textFill>
        </w:rPr>
        <w:t>集中处理。</w:t>
      </w:r>
    </w:p>
    <w:p w14:paraId="76AB4DC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废水产生</w:t>
      </w:r>
      <w:r>
        <w:rPr>
          <w:rFonts w:eastAsia="宋体"/>
          <w:color w:val="000000" w:themeColor="text1"/>
          <w14:textFill>
            <w14:solidFill>
              <w14:schemeClr w14:val="tx1"/>
            </w14:solidFill>
          </w14:textFill>
        </w:rPr>
        <w:t>及排放的情况见表3-14。</w:t>
      </w:r>
    </w:p>
    <w:p w14:paraId="7D7895A2">
      <w:pPr>
        <w:snapToGrid w:val="0"/>
        <w:spacing w:line="500" w:lineRule="exact"/>
        <w:jc w:val="center"/>
        <w:rPr>
          <w:rFonts w:eastAsia="宋体"/>
          <w:b/>
          <w:bCs/>
        </w:rPr>
      </w:pPr>
      <w:r>
        <w:rPr>
          <w:rFonts w:eastAsia="宋体"/>
          <w:b/>
          <w:bCs/>
        </w:rPr>
        <w:t>表3-14</w:t>
      </w:r>
      <w:r>
        <w:rPr>
          <w:rFonts w:hint="eastAsia" w:eastAsia="宋体"/>
          <w:b/>
          <w:bCs/>
        </w:rPr>
        <w:t>废水产生及</w:t>
      </w:r>
      <w:r>
        <w:rPr>
          <w:rFonts w:eastAsia="宋体"/>
          <w:b/>
          <w:bCs/>
        </w:rPr>
        <w:t>排放一览表</w:t>
      </w:r>
    </w:p>
    <w:tbl>
      <w:tblPr>
        <w:tblStyle w:val="38"/>
        <w:tblW w:w="507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57"/>
        <w:gridCol w:w="846"/>
        <w:gridCol w:w="955"/>
        <w:gridCol w:w="1091"/>
        <w:gridCol w:w="989"/>
        <w:gridCol w:w="787"/>
        <w:gridCol w:w="1291"/>
        <w:gridCol w:w="1140"/>
        <w:gridCol w:w="1610"/>
      </w:tblGrid>
      <w:tr w14:paraId="608FB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restart"/>
            <w:tcBorders>
              <w:top w:val="single" w:color="auto" w:sz="12" w:space="0"/>
            </w:tcBorders>
            <w:noWrap w:val="0"/>
            <w:vAlign w:val="center"/>
          </w:tcPr>
          <w:p w14:paraId="0983C284">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类别</w:t>
            </w:r>
          </w:p>
        </w:tc>
        <w:tc>
          <w:tcPr>
            <w:tcW w:w="426" w:type="pct"/>
            <w:vMerge w:val="restart"/>
            <w:tcBorders>
              <w:top w:val="single" w:color="auto" w:sz="12" w:space="0"/>
            </w:tcBorders>
            <w:noWrap w:val="0"/>
            <w:vAlign w:val="center"/>
          </w:tcPr>
          <w:p w14:paraId="5392CF44">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废水量</w:t>
            </w:r>
          </w:p>
          <w:p w14:paraId="23E6E038">
            <w:pPr>
              <w:pStyle w:val="181"/>
              <w:rPr>
                <w:rFonts w:hint="default" w:ascii="Times New Roman" w:hAnsi="Times New Roman" w:eastAsia="宋体" w:cs="Times New Roman"/>
                <w:b/>
                <w:sz w:val="21"/>
              </w:rPr>
            </w:pPr>
            <w:r>
              <w:rPr>
                <w:rFonts w:hint="default" w:ascii="Times New Roman" w:hAnsi="Times New Roman" w:eastAsia="宋体" w:cs="Times New Roman"/>
                <w:b/>
                <w:bCs w:val="0"/>
                <w:sz w:val="21"/>
              </w:rPr>
              <w:t>t/a</w:t>
            </w:r>
          </w:p>
        </w:tc>
        <w:tc>
          <w:tcPr>
            <w:tcW w:w="481" w:type="pct"/>
            <w:vMerge w:val="restart"/>
            <w:tcBorders>
              <w:top w:val="single" w:color="auto" w:sz="12" w:space="0"/>
            </w:tcBorders>
            <w:noWrap w:val="0"/>
            <w:vAlign w:val="center"/>
          </w:tcPr>
          <w:p w14:paraId="1267B10E">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污染物</w:t>
            </w:r>
          </w:p>
          <w:p w14:paraId="57B999B1">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名称</w:t>
            </w:r>
          </w:p>
        </w:tc>
        <w:tc>
          <w:tcPr>
            <w:tcW w:w="1047" w:type="pct"/>
            <w:gridSpan w:val="2"/>
            <w:tcBorders>
              <w:top w:val="single" w:color="auto" w:sz="12" w:space="0"/>
            </w:tcBorders>
            <w:noWrap w:val="0"/>
            <w:vAlign w:val="center"/>
          </w:tcPr>
          <w:p w14:paraId="7FE92183">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产生情况</w:t>
            </w:r>
          </w:p>
        </w:tc>
        <w:tc>
          <w:tcPr>
            <w:tcW w:w="396" w:type="pct"/>
            <w:vMerge w:val="restart"/>
            <w:tcBorders>
              <w:top w:val="single" w:color="auto" w:sz="12" w:space="0"/>
            </w:tcBorders>
            <w:noWrap w:val="0"/>
            <w:vAlign w:val="center"/>
          </w:tcPr>
          <w:p w14:paraId="420BC739">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治理</w:t>
            </w:r>
          </w:p>
          <w:p w14:paraId="59FD4902">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措施</w:t>
            </w:r>
          </w:p>
        </w:tc>
        <w:tc>
          <w:tcPr>
            <w:tcW w:w="1224" w:type="pct"/>
            <w:gridSpan w:val="2"/>
            <w:tcBorders>
              <w:top w:val="single" w:color="auto" w:sz="12" w:space="0"/>
            </w:tcBorders>
            <w:noWrap w:val="0"/>
            <w:vAlign w:val="center"/>
          </w:tcPr>
          <w:p w14:paraId="7837C7C9">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污染物排放量</w:t>
            </w:r>
          </w:p>
        </w:tc>
        <w:tc>
          <w:tcPr>
            <w:tcW w:w="810" w:type="pct"/>
            <w:vMerge w:val="restart"/>
            <w:tcBorders>
              <w:top w:val="single" w:color="auto" w:sz="12" w:space="0"/>
            </w:tcBorders>
            <w:noWrap w:val="0"/>
            <w:vAlign w:val="center"/>
          </w:tcPr>
          <w:p w14:paraId="1CD72BBE">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排放方式与去向</w:t>
            </w:r>
          </w:p>
        </w:tc>
      </w:tr>
      <w:tr w14:paraId="15467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continue"/>
            <w:noWrap w:val="0"/>
            <w:vAlign w:val="center"/>
          </w:tcPr>
          <w:p w14:paraId="7BD7EB73">
            <w:pPr>
              <w:pStyle w:val="181"/>
              <w:rPr>
                <w:rFonts w:hint="default" w:ascii="Times New Roman" w:hAnsi="Times New Roman" w:eastAsia="宋体" w:cs="Times New Roman"/>
                <w:b/>
                <w:sz w:val="21"/>
              </w:rPr>
            </w:pPr>
          </w:p>
        </w:tc>
        <w:tc>
          <w:tcPr>
            <w:tcW w:w="426" w:type="pct"/>
            <w:vMerge w:val="continue"/>
            <w:noWrap w:val="0"/>
            <w:vAlign w:val="center"/>
          </w:tcPr>
          <w:p w14:paraId="1DB4A513">
            <w:pPr>
              <w:pStyle w:val="181"/>
              <w:rPr>
                <w:rFonts w:hint="default" w:ascii="Times New Roman" w:hAnsi="Times New Roman" w:eastAsia="宋体" w:cs="Times New Roman"/>
                <w:b/>
                <w:sz w:val="21"/>
              </w:rPr>
            </w:pPr>
          </w:p>
        </w:tc>
        <w:tc>
          <w:tcPr>
            <w:tcW w:w="481" w:type="pct"/>
            <w:vMerge w:val="continue"/>
            <w:noWrap w:val="0"/>
            <w:vAlign w:val="center"/>
          </w:tcPr>
          <w:p w14:paraId="6452F9A4">
            <w:pPr>
              <w:pStyle w:val="181"/>
              <w:rPr>
                <w:rFonts w:hint="default" w:ascii="Times New Roman" w:hAnsi="Times New Roman" w:eastAsia="宋体" w:cs="Times New Roman"/>
                <w:b/>
                <w:sz w:val="21"/>
              </w:rPr>
            </w:pPr>
          </w:p>
        </w:tc>
        <w:tc>
          <w:tcPr>
            <w:tcW w:w="549" w:type="pct"/>
            <w:noWrap w:val="0"/>
            <w:vAlign w:val="center"/>
          </w:tcPr>
          <w:p w14:paraId="01D0DC1F">
            <w:pPr>
              <w:pStyle w:val="181"/>
              <w:rPr>
                <w:rFonts w:hint="default" w:ascii="Times New Roman" w:hAnsi="Times New Roman" w:eastAsia="宋体" w:cs="Times New Roman"/>
                <w:b/>
                <w:bCs w:val="0"/>
                <w:sz w:val="21"/>
              </w:rPr>
            </w:pPr>
            <w:r>
              <w:rPr>
                <w:rFonts w:hint="default" w:ascii="Times New Roman" w:hAnsi="Times New Roman" w:eastAsia="宋体" w:cs="Times New Roman"/>
                <w:b/>
                <w:bCs w:val="0"/>
                <w:sz w:val="21"/>
              </w:rPr>
              <w:t>产生浓度mg/L</w:t>
            </w:r>
          </w:p>
        </w:tc>
        <w:tc>
          <w:tcPr>
            <w:tcW w:w="497" w:type="pct"/>
            <w:noWrap w:val="0"/>
            <w:vAlign w:val="center"/>
          </w:tcPr>
          <w:p w14:paraId="77E19B6A">
            <w:pPr>
              <w:pStyle w:val="181"/>
              <w:rPr>
                <w:rFonts w:hint="default" w:ascii="Times New Roman" w:hAnsi="Times New Roman" w:eastAsia="宋体" w:cs="Times New Roman"/>
                <w:b/>
                <w:bCs w:val="0"/>
                <w:sz w:val="21"/>
              </w:rPr>
            </w:pPr>
            <w:r>
              <w:rPr>
                <w:rFonts w:hint="default" w:ascii="Times New Roman" w:hAnsi="Times New Roman" w:eastAsia="宋体" w:cs="Times New Roman"/>
                <w:b/>
                <w:bCs w:val="0"/>
                <w:sz w:val="21"/>
              </w:rPr>
              <w:t>产生量</w:t>
            </w:r>
          </w:p>
          <w:p w14:paraId="3DA06338">
            <w:pPr>
              <w:pStyle w:val="181"/>
              <w:rPr>
                <w:rFonts w:hint="default" w:ascii="Times New Roman" w:hAnsi="Times New Roman" w:eastAsia="宋体" w:cs="Times New Roman"/>
                <w:b/>
                <w:bCs w:val="0"/>
                <w:sz w:val="21"/>
              </w:rPr>
            </w:pPr>
            <w:r>
              <w:rPr>
                <w:rFonts w:hint="default" w:ascii="Times New Roman" w:hAnsi="Times New Roman" w:eastAsia="宋体" w:cs="Times New Roman"/>
                <w:b/>
                <w:bCs w:val="0"/>
                <w:sz w:val="21"/>
              </w:rPr>
              <w:t>t/a</w:t>
            </w:r>
          </w:p>
        </w:tc>
        <w:tc>
          <w:tcPr>
            <w:tcW w:w="396" w:type="pct"/>
            <w:vMerge w:val="continue"/>
            <w:noWrap w:val="0"/>
            <w:vAlign w:val="center"/>
          </w:tcPr>
          <w:p w14:paraId="4FABA613">
            <w:pPr>
              <w:pStyle w:val="181"/>
              <w:rPr>
                <w:rFonts w:hint="default" w:ascii="Times New Roman" w:hAnsi="Times New Roman" w:eastAsia="宋体" w:cs="Times New Roman"/>
                <w:b/>
                <w:sz w:val="21"/>
              </w:rPr>
            </w:pPr>
          </w:p>
        </w:tc>
        <w:tc>
          <w:tcPr>
            <w:tcW w:w="650" w:type="pct"/>
            <w:noWrap w:val="0"/>
            <w:vAlign w:val="center"/>
          </w:tcPr>
          <w:p w14:paraId="6494A78E">
            <w:pPr>
              <w:pStyle w:val="181"/>
              <w:rPr>
                <w:rFonts w:hint="default" w:ascii="Times New Roman" w:hAnsi="Times New Roman" w:eastAsia="宋体" w:cs="Times New Roman"/>
                <w:b/>
                <w:bCs w:val="0"/>
                <w:sz w:val="21"/>
              </w:rPr>
            </w:pPr>
            <w:r>
              <w:rPr>
                <w:rFonts w:hint="default" w:ascii="Times New Roman" w:hAnsi="Times New Roman" w:eastAsia="宋体" w:cs="Times New Roman"/>
                <w:b/>
                <w:sz w:val="21"/>
              </w:rPr>
              <w:t>排放</w:t>
            </w:r>
            <w:r>
              <w:rPr>
                <w:rFonts w:hint="default" w:ascii="Times New Roman" w:hAnsi="Times New Roman" w:eastAsia="宋体" w:cs="Times New Roman"/>
                <w:b/>
                <w:bCs w:val="0"/>
                <w:sz w:val="21"/>
              </w:rPr>
              <w:t>浓度</w:t>
            </w:r>
          </w:p>
          <w:p w14:paraId="1B7E07B5">
            <w:pPr>
              <w:pStyle w:val="181"/>
              <w:rPr>
                <w:rFonts w:hint="default" w:ascii="Times New Roman" w:hAnsi="Times New Roman" w:eastAsia="宋体" w:cs="Times New Roman"/>
                <w:b/>
                <w:sz w:val="21"/>
              </w:rPr>
            </w:pPr>
            <w:r>
              <w:rPr>
                <w:rFonts w:hint="default" w:ascii="Times New Roman" w:hAnsi="Times New Roman" w:eastAsia="宋体" w:cs="Times New Roman"/>
                <w:b/>
                <w:bCs w:val="0"/>
                <w:sz w:val="21"/>
              </w:rPr>
              <w:t>mg/L</w:t>
            </w:r>
          </w:p>
        </w:tc>
        <w:tc>
          <w:tcPr>
            <w:tcW w:w="574" w:type="pct"/>
            <w:noWrap w:val="0"/>
            <w:vAlign w:val="center"/>
          </w:tcPr>
          <w:p w14:paraId="4142E544">
            <w:pPr>
              <w:pStyle w:val="181"/>
              <w:rPr>
                <w:rFonts w:hint="default" w:ascii="Times New Roman" w:hAnsi="Times New Roman" w:eastAsia="宋体" w:cs="Times New Roman"/>
                <w:b/>
                <w:sz w:val="21"/>
              </w:rPr>
            </w:pPr>
            <w:r>
              <w:rPr>
                <w:rFonts w:hint="default" w:ascii="Times New Roman" w:hAnsi="Times New Roman" w:eastAsia="宋体" w:cs="Times New Roman"/>
                <w:b/>
                <w:sz w:val="21"/>
              </w:rPr>
              <w:t>排放量</w:t>
            </w:r>
          </w:p>
          <w:p w14:paraId="6A1EA398">
            <w:pPr>
              <w:pStyle w:val="181"/>
              <w:rPr>
                <w:rFonts w:hint="default" w:ascii="Times New Roman" w:hAnsi="Times New Roman" w:eastAsia="宋体" w:cs="Times New Roman"/>
                <w:b/>
                <w:sz w:val="21"/>
              </w:rPr>
            </w:pPr>
            <w:r>
              <w:rPr>
                <w:rFonts w:hint="default" w:ascii="Times New Roman" w:hAnsi="Times New Roman" w:eastAsia="宋体" w:cs="Times New Roman"/>
                <w:b/>
                <w:bCs w:val="0"/>
                <w:sz w:val="21"/>
              </w:rPr>
              <w:t>t/a</w:t>
            </w:r>
          </w:p>
        </w:tc>
        <w:tc>
          <w:tcPr>
            <w:tcW w:w="810" w:type="pct"/>
            <w:vMerge w:val="continue"/>
            <w:noWrap w:val="0"/>
            <w:vAlign w:val="center"/>
          </w:tcPr>
          <w:p w14:paraId="02AB5101">
            <w:pPr>
              <w:pStyle w:val="181"/>
              <w:rPr>
                <w:rFonts w:hint="default" w:ascii="Times New Roman" w:hAnsi="Times New Roman" w:eastAsia="宋体" w:cs="Times New Roman"/>
                <w:b/>
                <w:sz w:val="21"/>
              </w:rPr>
            </w:pPr>
          </w:p>
        </w:tc>
      </w:tr>
      <w:tr w14:paraId="17F6E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restart"/>
            <w:noWrap w:val="0"/>
            <w:vAlign w:val="center"/>
          </w:tcPr>
          <w:p w14:paraId="18816EFE">
            <w:pPr>
              <w:pStyle w:val="181"/>
              <w:rPr>
                <w:rFonts w:hint="default" w:ascii="Times New Roman" w:hAnsi="Times New Roman" w:eastAsia="宋体" w:cs="Times New Roman"/>
                <w:sz w:val="21"/>
              </w:rPr>
            </w:pPr>
            <w:r>
              <w:rPr>
                <w:rFonts w:hint="default" w:ascii="Times New Roman" w:hAnsi="Times New Roman" w:eastAsia="宋体" w:cs="Times New Roman"/>
                <w:sz w:val="21"/>
              </w:rPr>
              <w:t>生活</w:t>
            </w:r>
          </w:p>
          <w:p w14:paraId="52AC25C1">
            <w:pPr>
              <w:pStyle w:val="181"/>
              <w:rPr>
                <w:rFonts w:hint="default" w:ascii="Times New Roman" w:hAnsi="Times New Roman" w:eastAsia="宋体" w:cs="Times New Roman"/>
                <w:sz w:val="21"/>
              </w:rPr>
            </w:pPr>
            <w:r>
              <w:rPr>
                <w:rFonts w:hint="default" w:ascii="Times New Roman" w:hAnsi="Times New Roman" w:eastAsia="宋体" w:cs="Times New Roman"/>
                <w:sz w:val="21"/>
              </w:rPr>
              <w:t>污水</w:t>
            </w:r>
          </w:p>
        </w:tc>
        <w:tc>
          <w:tcPr>
            <w:tcW w:w="426" w:type="pct"/>
            <w:vMerge w:val="restart"/>
            <w:noWrap w:val="0"/>
            <w:vAlign w:val="center"/>
          </w:tcPr>
          <w:p w14:paraId="6C52F3D5">
            <w:pPr>
              <w:pStyle w:val="181"/>
              <w:rPr>
                <w:rFonts w:hint="default" w:ascii="Times New Roman" w:hAnsi="Times New Roman" w:eastAsia="宋体" w:cs="Times New Roman"/>
                <w:sz w:val="21"/>
              </w:rPr>
            </w:pPr>
            <w:r>
              <w:rPr>
                <w:rFonts w:hint="default" w:ascii="Times New Roman" w:hAnsi="Times New Roman" w:eastAsia="宋体" w:cs="Times New Roman"/>
                <w:sz w:val="21"/>
              </w:rPr>
              <w:t>360</w:t>
            </w:r>
          </w:p>
        </w:tc>
        <w:tc>
          <w:tcPr>
            <w:tcW w:w="481" w:type="pct"/>
            <w:noWrap w:val="0"/>
            <w:vAlign w:val="center"/>
          </w:tcPr>
          <w:p w14:paraId="79A651BC">
            <w:pPr>
              <w:pStyle w:val="181"/>
              <w:rPr>
                <w:rFonts w:hint="default" w:ascii="Times New Roman" w:hAnsi="Times New Roman" w:eastAsia="宋体" w:cs="Times New Roman"/>
                <w:sz w:val="21"/>
              </w:rPr>
            </w:pPr>
            <w:r>
              <w:rPr>
                <w:rFonts w:hint="default" w:ascii="Times New Roman" w:hAnsi="Times New Roman" w:eastAsia="宋体" w:cs="Times New Roman"/>
                <w:sz w:val="21"/>
              </w:rPr>
              <w:t>COD</w:t>
            </w:r>
          </w:p>
        </w:tc>
        <w:tc>
          <w:tcPr>
            <w:tcW w:w="549" w:type="pct"/>
            <w:noWrap w:val="0"/>
            <w:vAlign w:val="center"/>
          </w:tcPr>
          <w:p w14:paraId="456EA956">
            <w:pPr>
              <w:pStyle w:val="181"/>
              <w:rPr>
                <w:rFonts w:hint="default" w:ascii="Times New Roman" w:hAnsi="Times New Roman" w:eastAsia="宋体" w:cs="Times New Roman"/>
                <w:sz w:val="21"/>
              </w:rPr>
            </w:pPr>
            <w:r>
              <w:rPr>
                <w:rFonts w:hint="default" w:ascii="Times New Roman" w:hAnsi="Times New Roman" w:eastAsia="宋体" w:cs="Times New Roman"/>
                <w:sz w:val="21"/>
              </w:rPr>
              <w:t>400</w:t>
            </w:r>
          </w:p>
        </w:tc>
        <w:tc>
          <w:tcPr>
            <w:tcW w:w="497" w:type="pct"/>
            <w:noWrap w:val="0"/>
            <w:vAlign w:val="center"/>
          </w:tcPr>
          <w:p w14:paraId="73ACC816">
            <w:pPr>
              <w:pStyle w:val="181"/>
              <w:rPr>
                <w:rFonts w:hint="default" w:ascii="Times New Roman" w:hAnsi="Times New Roman" w:cs="Times New Roman"/>
                <w:szCs w:val="20"/>
              </w:rPr>
            </w:pPr>
            <w:r>
              <w:rPr>
                <w:rFonts w:hint="default" w:ascii="Times New Roman" w:hAnsi="Times New Roman" w:cs="Times New Roman"/>
                <w:szCs w:val="20"/>
              </w:rPr>
              <w:t>0.144</w:t>
            </w:r>
          </w:p>
        </w:tc>
        <w:tc>
          <w:tcPr>
            <w:tcW w:w="396" w:type="pct"/>
            <w:vMerge w:val="restart"/>
            <w:noWrap w:val="0"/>
            <w:vAlign w:val="center"/>
          </w:tcPr>
          <w:p w14:paraId="799294A1">
            <w:pPr>
              <w:pStyle w:val="181"/>
              <w:rPr>
                <w:rFonts w:hint="default" w:ascii="Times New Roman" w:hAnsi="Times New Roman" w:eastAsia="宋体" w:cs="Times New Roman"/>
                <w:sz w:val="21"/>
              </w:rPr>
            </w:pPr>
            <w:r>
              <w:rPr>
                <w:rFonts w:hint="default" w:ascii="Times New Roman" w:hAnsi="Times New Roman" w:eastAsia="宋体" w:cs="Times New Roman"/>
                <w:sz w:val="21"/>
              </w:rPr>
              <w:t>化粪池</w:t>
            </w:r>
          </w:p>
        </w:tc>
        <w:tc>
          <w:tcPr>
            <w:tcW w:w="650" w:type="pct"/>
            <w:noWrap w:val="0"/>
            <w:vAlign w:val="center"/>
          </w:tcPr>
          <w:p w14:paraId="3DD335A9">
            <w:pPr>
              <w:pStyle w:val="181"/>
              <w:rPr>
                <w:rFonts w:hint="default" w:ascii="Times New Roman" w:hAnsi="Times New Roman" w:eastAsia="宋体" w:cs="Times New Roman"/>
                <w:sz w:val="21"/>
              </w:rPr>
            </w:pPr>
            <w:r>
              <w:rPr>
                <w:rFonts w:hint="default" w:ascii="Times New Roman" w:hAnsi="Times New Roman" w:eastAsia="宋体" w:cs="Times New Roman"/>
                <w:sz w:val="21"/>
              </w:rPr>
              <w:t>350</w:t>
            </w:r>
          </w:p>
        </w:tc>
        <w:tc>
          <w:tcPr>
            <w:tcW w:w="574" w:type="pct"/>
            <w:noWrap w:val="0"/>
            <w:vAlign w:val="center"/>
          </w:tcPr>
          <w:p w14:paraId="692EE890">
            <w:pPr>
              <w:pStyle w:val="181"/>
              <w:rPr>
                <w:rFonts w:hint="default" w:ascii="Times New Roman" w:hAnsi="Times New Roman" w:cs="Times New Roman"/>
                <w:szCs w:val="20"/>
              </w:rPr>
            </w:pPr>
            <w:r>
              <w:rPr>
                <w:rFonts w:hint="default" w:ascii="Times New Roman" w:hAnsi="Times New Roman" w:cs="Times New Roman"/>
                <w:szCs w:val="20"/>
              </w:rPr>
              <w:t>0.126</w:t>
            </w:r>
          </w:p>
        </w:tc>
        <w:tc>
          <w:tcPr>
            <w:tcW w:w="810" w:type="pct"/>
            <w:vMerge w:val="restart"/>
            <w:noWrap w:val="0"/>
            <w:vAlign w:val="center"/>
          </w:tcPr>
          <w:p w14:paraId="13BAD30B">
            <w:pPr>
              <w:pStyle w:val="181"/>
              <w:rPr>
                <w:rFonts w:hint="default" w:ascii="Times New Roman" w:hAnsi="Times New Roman" w:eastAsia="宋体" w:cs="Times New Roman"/>
                <w:sz w:val="21"/>
              </w:rPr>
            </w:pPr>
            <w:r>
              <w:rPr>
                <w:rFonts w:hint="default" w:ascii="Times New Roman" w:hAnsi="Times New Roman" w:eastAsia="宋体" w:cs="Times New Roman"/>
                <w:sz w:val="21"/>
              </w:rPr>
              <w:t>老坝港滨海新区污水处理厂</w:t>
            </w:r>
          </w:p>
        </w:tc>
      </w:tr>
      <w:tr w14:paraId="52CED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continue"/>
            <w:noWrap w:val="0"/>
            <w:vAlign w:val="center"/>
          </w:tcPr>
          <w:p w14:paraId="5FE29DF5">
            <w:pPr>
              <w:pStyle w:val="181"/>
              <w:rPr>
                <w:rFonts w:hint="default" w:ascii="Times New Roman" w:hAnsi="Times New Roman" w:eastAsia="宋体" w:cs="Times New Roman"/>
                <w:sz w:val="21"/>
              </w:rPr>
            </w:pPr>
          </w:p>
        </w:tc>
        <w:tc>
          <w:tcPr>
            <w:tcW w:w="426" w:type="pct"/>
            <w:vMerge w:val="continue"/>
            <w:noWrap w:val="0"/>
            <w:vAlign w:val="center"/>
          </w:tcPr>
          <w:p w14:paraId="62EACF1C">
            <w:pPr>
              <w:pStyle w:val="181"/>
              <w:rPr>
                <w:rFonts w:hint="default" w:ascii="Times New Roman" w:hAnsi="Times New Roman" w:eastAsia="宋体" w:cs="Times New Roman"/>
                <w:sz w:val="21"/>
              </w:rPr>
            </w:pPr>
          </w:p>
        </w:tc>
        <w:tc>
          <w:tcPr>
            <w:tcW w:w="481" w:type="pct"/>
            <w:noWrap w:val="0"/>
            <w:vAlign w:val="center"/>
          </w:tcPr>
          <w:p w14:paraId="546E3022">
            <w:pPr>
              <w:pStyle w:val="181"/>
              <w:rPr>
                <w:rFonts w:hint="default" w:ascii="Times New Roman" w:hAnsi="Times New Roman" w:eastAsia="宋体" w:cs="Times New Roman"/>
                <w:bCs w:val="0"/>
                <w:sz w:val="21"/>
              </w:rPr>
            </w:pPr>
            <w:r>
              <w:rPr>
                <w:rFonts w:hint="default" w:ascii="Times New Roman" w:hAnsi="Times New Roman" w:eastAsia="宋体" w:cs="Times New Roman"/>
                <w:bCs w:val="0"/>
                <w:sz w:val="21"/>
              </w:rPr>
              <w:t>SS</w:t>
            </w:r>
          </w:p>
        </w:tc>
        <w:tc>
          <w:tcPr>
            <w:tcW w:w="549" w:type="pct"/>
            <w:noWrap w:val="0"/>
            <w:vAlign w:val="center"/>
          </w:tcPr>
          <w:p w14:paraId="457EAA9C">
            <w:pPr>
              <w:pStyle w:val="181"/>
              <w:rPr>
                <w:rFonts w:hint="default" w:ascii="Times New Roman" w:hAnsi="Times New Roman" w:cs="Times New Roman"/>
                <w:szCs w:val="20"/>
              </w:rPr>
            </w:pPr>
            <w:r>
              <w:rPr>
                <w:rFonts w:hint="default" w:ascii="Times New Roman" w:hAnsi="Times New Roman" w:cs="Times New Roman"/>
                <w:szCs w:val="20"/>
              </w:rPr>
              <w:t>300</w:t>
            </w:r>
          </w:p>
        </w:tc>
        <w:tc>
          <w:tcPr>
            <w:tcW w:w="497" w:type="pct"/>
            <w:noWrap w:val="0"/>
            <w:vAlign w:val="center"/>
          </w:tcPr>
          <w:p w14:paraId="18F802BC">
            <w:pPr>
              <w:pStyle w:val="181"/>
              <w:rPr>
                <w:rFonts w:hint="default" w:ascii="Times New Roman" w:hAnsi="Times New Roman" w:cs="Times New Roman"/>
                <w:szCs w:val="20"/>
              </w:rPr>
            </w:pPr>
            <w:r>
              <w:rPr>
                <w:rFonts w:hint="default" w:ascii="Times New Roman" w:hAnsi="Times New Roman" w:cs="Times New Roman"/>
                <w:szCs w:val="20"/>
              </w:rPr>
              <w:t>0.108</w:t>
            </w:r>
          </w:p>
        </w:tc>
        <w:tc>
          <w:tcPr>
            <w:tcW w:w="396" w:type="pct"/>
            <w:vMerge w:val="continue"/>
            <w:noWrap w:val="0"/>
            <w:vAlign w:val="center"/>
          </w:tcPr>
          <w:p w14:paraId="6691E8F0">
            <w:pPr>
              <w:pStyle w:val="181"/>
              <w:rPr>
                <w:rFonts w:hint="default" w:ascii="Times New Roman" w:hAnsi="Times New Roman" w:eastAsia="宋体" w:cs="Times New Roman"/>
                <w:sz w:val="21"/>
              </w:rPr>
            </w:pPr>
          </w:p>
        </w:tc>
        <w:tc>
          <w:tcPr>
            <w:tcW w:w="650" w:type="pct"/>
            <w:noWrap w:val="0"/>
            <w:vAlign w:val="center"/>
          </w:tcPr>
          <w:p w14:paraId="412452E4">
            <w:pPr>
              <w:pStyle w:val="181"/>
              <w:rPr>
                <w:rFonts w:hint="default" w:ascii="Times New Roman" w:hAnsi="Times New Roman" w:eastAsia="宋体" w:cs="Times New Roman"/>
                <w:sz w:val="21"/>
              </w:rPr>
            </w:pPr>
            <w:r>
              <w:rPr>
                <w:rFonts w:hint="default" w:ascii="Times New Roman" w:hAnsi="Times New Roman" w:eastAsia="宋体" w:cs="Times New Roman"/>
                <w:sz w:val="21"/>
              </w:rPr>
              <w:t>200</w:t>
            </w:r>
          </w:p>
        </w:tc>
        <w:tc>
          <w:tcPr>
            <w:tcW w:w="574" w:type="pct"/>
            <w:noWrap w:val="0"/>
            <w:vAlign w:val="center"/>
          </w:tcPr>
          <w:p w14:paraId="0AA1C956">
            <w:pPr>
              <w:pStyle w:val="181"/>
              <w:rPr>
                <w:rFonts w:hint="default" w:ascii="Times New Roman" w:hAnsi="Times New Roman" w:cs="Times New Roman"/>
                <w:szCs w:val="20"/>
              </w:rPr>
            </w:pPr>
            <w:r>
              <w:rPr>
                <w:rFonts w:hint="default" w:ascii="Times New Roman" w:hAnsi="Times New Roman" w:cs="Times New Roman"/>
                <w:szCs w:val="20"/>
              </w:rPr>
              <w:t>0.072</w:t>
            </w:r>
          </w:p>
        </w:tc>
        <w:tc>
          <w:tcPr>
            <w:tcW w:w="810" w:type="pct"/>
            <w:vMerge w:val="continue"/>
            <w:noWrap w:val="0"/>
            <w:vAlign w:val="center"/>
          </w:tcPr>
          <w:p w14:paraId="0BA41D61">
            <w:pPr>
              <w:pStyle w:val="181"/>
              <w:rPr>
                <w:rFonts w:hint="default" w:ascii="Times New Roman" w:hAnsi="Times New Roman" w:eastAsia="宋体" w:cs="Times New Roman"/>
                <w:sz w:val="21"/>
              </w:rPr>
            </w:pPr>
          </w:p>
        </w:tc>
      </w:tr>
      <w:tr w14:paraId="75D5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continue"/>
            <w:noWrap w:val="0"/>
            <w:vAlign w:val="center"/>
          </w:tcPr>
          <w:p w14:paraId="263ACFDD">
            <w:pPr>
              <w:pStyle w:val="181"/>
              <w:rPr>
                <w:rFonts w:hint="default" w:ascii="Times New Roman" w:hAnsi="Times New Roman" w:eastAsia="宋体" w:cs="Times New Roman"/>
                <w:sz w:val="21"/>
              </w:rPr>
            </w:pPr>
          </w:p>
        </w:tc>
        <w:tc>
          <w:tcPr>
            <w:tcW w:w="426" w:type="pct"/>
            <w:vMerge w:val="continue"/>
            <w:noWrap w:val="0"/>
            <w:vAlign w:val="center"/>
          </w:tcPr>
          <w:p w14:paraId="3B87A0B8">
            <w:pPr>
              <w:pStyle w:val="181"/>
              <w:rPr>
                <w:rFonts w:hint="default" w:ascii="Times New Roman" w:hAnsi="Times New Roman" w:eastAsia="宋体" w:cs="Times New Roman"/>
                <w:sz w:val="21"/>
              </w:rPr>
            </w:pPr>
          </w:p>
        </w:tc>
        <w:tc>
          <w:tcPr>
            <w:tcW w:w="481" w:type="pct"/>
            <w:noWrap w:val="0"/>
            <w:vAlign w:val="center"/>
          </w:tcPr>
          <w:p w14:paraId="6DBCDFE4">
            <w:pPr>
              <w:pStyle w:val="181"/>
              <w:rPr>
                <w:rFonts w:hint="default" w:ascii="Times New Roman" w:hAnsi="Times New Roman" w:eastAsia="宋体" w:cs="Times New Roman"/>
                <w:bCs w:val="0"/>
                <w:sz w:val="21"/>
              </w:rPr>
            </w:pPr>
            <w:r>
              <w:rPr>
                <w:rFonts w:hint="default" w:ascii="Times New Roman" w:hAnsi="Times New Roman" w:eastAsia="宋体" w:cs="Times New Roman"/>
                <w:bCs w:val="0"/>
                <w:sz w:val="21"/>
              </w:rPr>
              <w:t>NH</w:t>
            </w:r>
            <w:r>
              <w:rPr>
                <w:rFonts w:hint="default" w:ascii="Times New Roman" w:hAnsi="Times New Roman" w:eastAsia="宋体" w:cs="Times New Roman"/>
                <w:bCs w:val="0"/>
                <w:sz w:val="21"/>
                <w:vertAlign w:val="subscript"/>
              </w:rPr>
              <w:t>3</w:t>
            </w:r>
            <w:r>
              <w:rPr>
                <w:rFonts w:hint="default" w:ascii="Times New Roman" w:hAnsi="Times New Roman" w:eastAsia="宋体" w:cs="Times New Roman"/>
                <w:bCs w:val="0"/>
                <w:sz w:val="21"/>
              </w:rPr>
              <w:t>-N</w:t>
            </w:r>
          </w:p>
        </w:tc>
        <w:tc>
          <w:tcPr>
            <w:tcW w:w="549" w:type="pct"/>
            <w:noWrap w:val="0"/>
            <w:vAlign w:val="center"/>
          </w:tcPr>
          <w:p w14:paraId="5FA38083">
            <w:pPr>
              <w:pStyle w:val="181"/>
              <w:rPr>
                <w:rFonts w:hint="default" w:ascii="Times New Roman" w:hAnsi="Times New Roman" w:cs="Times New Roman"/>
                <w:szCs w:val="20"/>
              </w:rPr>
            </w:pPr>
            <w:r>
              <w:rPr>
                <w:rFonts w:hint="default" w:ascii="Times New Roman" w:hAnsi="Times New Roman" w:cs="Times New Roman"/>
                <w:szCs w:val="20"/>
              </w:rPr>
              <w:t>25</w:t>
            </w:r>
          </w:p>
        </w:tc>
        <w:tc>
          <w:tcPr>
            <w:tcW w:w="497" w:type="pct"/>
            <w:noWrap w:val="0"/>
            <w:vAlign w:val="center"/>
          </w:tcPr>
          <w:p w14:paraId="7239D8DE">
            <w:pPr>
              <w:pStyle w:val="181"/>
              <w:rPr>
                <w:rFonts w:hint="default" w:ascii="Times New Roman" w:hAnsi="Times New Roman" w:cs="Times New Roman"/>
                <w:szCs w:val="20"/>
              </w:rPr>
            </w:pPr>
            <w:r>
              <w:rPr>
                <w:rFonts w:hint="default" w:ascii="Times New Roman" w:hAnsi="Times New Roman" w:cs="Times New Roman"/>
                <w:szCs w:val="20"/>
              </w:rPr>
              <w:t>0.009</w:t>
            </w:r>
          </w:p>
        </w:tc>
        <w:tc>
          <w:tcPr>
            <w:tcW w:w="396" w:type="pct"/>
            <w:vMerge w:val="continue"/>
            <w:noWrap w:val="0"/>
            <w:vAlign w:val="center"/>
          </w:tcPr>
          <w:p w14:paraId="6FDA139E">
            <w:pPr>
              <w:pStyle w:val="181"/>
              <w:rPr>
                <w:rFonts w:hint="default" w:ascii="Times New Roman" w:hAnsi="Times New Roman" w:eastAsia="宋体" w:cs="Times New Roman"/>
                <w:sz w:val="21"/>
              </w:rPr>
            </w:pPr>
          </w:p>
        </w:tc>
        <w:tc>
          <w:tcPr>
            <w:tcW w:w="650" w:type="pct"/>
            <w:noWrap w:val="0"/>
            <w:vAlign w:val="center"/>
          </w:tcPr>
          <w:p w14:paraId="37ECC03F">
            <w:pPr>
              <w:pStyle w:val="181"/>
              <w:rPr>
                <w:rFonts w:hint="default" w:ascii="Times New Roman" w:hAnsi="Times New Roman" w:eastAsia="宋体" w:cs="Times New Roman"/>
                <w:sz w:val="21"/>
              </w:rPr>
            </w:pPr>
            <w:r>
              <w:rPr>
                <w:rFonts w:hint="default" w:ascii="Times New Roman" w:hAnsi="Times New Roman" w:eastAsia="宋体" w:cs="Times New Roman"/>
                <w:sz w:val="21"/>
              </w:rPr>
              <w:t>25</w:t>
            </w:r>
          </w:p>
        </w:tc>
        <w:tc>
          <w:tcPr>
            <w:tcW w:w="574" w:type="pct"/>
            <w:noWrap w:val="0"/>
            <w:vAlign w:val="center"/>
          </w:tcPr>
          <w:p w14:paraId="3C0BB981">
            <w:pPr>
              <w:pStyle w:val="181"/>
              <w:rPr>
                <w:rFonts w:hint="default" w:ascii="Times New Roman" w:hAnsi="Times New Roman" w:cs="Times New Roman"/>
                <w:szCs w:val="20"/>
              </w:rPr>
            </w:pPr>
            <w:r>
              <w:rPr>
                <w:rFonts w:hint="default" w:ascii="Times New Roman" w:hAnsi="Times New Roman" w:cs="Times New Roman"/>
                <w:szCs w:val="20"/>
              </w:rPr>
              <w:t>0.009</w:t>
            </w:r>
          </w:p>
        </w:tc>
        <w:tc>
          <w:tcPr>
            <w:tcW w:w="810" w:type="pct"/>
            <w:vMerge w:val="continue"/>
            <w:noWrap w:val="0"/>
            <w:vAlign w:val="center"/>
          </w:tcPr>
          <w:p w14:paraId="3268C28A">
            <w:pPr>
              <w:pStyle w:val="181"/>
              <w:rPr>
                <w:rFonts w:hint="default" w:ascii="Times New Roman" w:hAnsi="Times New Roman" w:eastAsia="宋体" w:cs="Times New Roman"/>
                <w:sz w:val="21"/>
              </w:rPr>
            </w:pPr>
          </w:p>
        </w:tc>
      </w:tr>
      <w:tr w14:paraId="1BF70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continue"/>
            <w:noWrap w:val="0"/>
            <w:vAlign w:val="center"/>
          </w:tcPr>
          <w:p w14:paraId="675DEC50">
            <w:pPr>
              <w:pStyle w:val="181"/>
              <w:rPr>
                <w:rFonts w:hint="default" w:ascii="Times New Roman" w:hAnsi="Times New Roman" w:eastAsia="宋体" w:cs="Times New Roman"/>
                <w:sz w:val="21"/>
              </w:rPr>
            </w:pPr>
          </w:p>
        </w:tc>
        <w:tc>
          <w:tcPr>
            <w:tcW w:w="426" w:type="pct"/>
            <w:vMerge w:val="continue"/>
            <w:noWrap w:val="0"/>
            <w:vAlign w:val="center"/>
          </w:tcPr>
          <w:p w14:paraId="70ED0D41">
            <w:pPr>
              <w:pStyle w:val="181"/>
              <w:rPr>
                <w:rFonts w:hint="default" w:ascii="Times New Roman" w:hAnsi="Times New Roman" w:eastAsia="宋体" w:cs="Times New Roman"/>
                <w:sz w:val="21"/>
              </w:rPr>
            </w:pPr>
          </w:p>
        </w:tc>
        <w:tc>
          <w:tcPr>
            <w:tcW w:w="481" w:type="pct"/>
            <w:noWrap w:val="0"/>
            <w:vAlign w:val="center"/>
          </w:tcPr>
          <w:p w14:paraId="1E96EA54">
            <w:pPr>
              <w:pStyle w:val="181"/>
              <w:rPr>
                <w:rFonts w:hint="default" w:ascii="Times New Roman" w:hAnsi="Times New Roman" w:eastAsia="宋体" w:cs="Times New Roman"/>
                <w:bCs w:val="0"/>
                <w:sz w:val="21"/>
              </w:rPr>
            </w:pPr>
            <w:r>
              <w:rPr>
                <w:rFonts w:hint="default" w:ascii="Times New Roman" w:hAnsi="Times New Roman" w:eastAsia="宋体" w:cs="Times New Roman"/>
                <w:bCs w:val="0"/>
                <w:sz w:val="21"/>
              </w:rPr>
              <w:t>TN</w:t>
            </w:r>
          </w:p>
        </w:tc>
        <w:tc>
          <w:tcPr>
            <w:tcW w:w="549" w:type="pct"/>
            <w:noWrap w:val="0"/>
            <w:vAlign w:val="center"/>
          </w:tcPr>
          <w:p w14:paraId="7E2C80FB">
            <w:pPr>
              <w:pStyle w:val="181"/>
              <w:rPr>
                <w:rFonts w:hint="default" w:ascii="Times New Roman" w:hAnsi="Times New Roman" w:cs="Times New Roman"/>
                <w:szCs w:val="20"/>
              </w:rPr>
            </w:pPr>
            <w:r>
              <w:rPr>
                <w:rFonts w:hint="default" w:ascii="Times New Roman" w:hAnsi="Times New Roman" w:cs="Times New Roman"/>
                <w:szCs w:val="20"/>
              </w:rPr>
              <w:t>35</w:t>
            </w:r>
          </w:p>
        </w:tc>
        <w:tc>
          <w:tcPr>
            <w:tcW w:w="497" w:type="pct"/>
            <w:noWrap w:val="0"/>
            <w:vAlign w:val="center"/>
          </w:tcPr>
          <w:p w14:paraId="40531075">
            <w:pPr>
              <w:pStyle w:val="181"/>
              <w:rPr>
                <w:rFonts w:hint="default" w:ascii="Times New Roman" w:hAnsi="Times New Roman" w:cs="Times New Roman"/>
                <w:szCs w:val="20"/>
              </w:rPr>
            </w:pPr>
            <w:r>
              <w:rPr>
                <w:rFonts w:hint="default" w:ascii="Times New Roman" w:hAnsi="Times New Roman" w:cs="Times New Roman"/>
                <w:szCs w:val="20"/>
              </w:rPr>
              <w:t>0.013</w:t>
            </w:r>
          </w:p>
        </w:tc>
        <w:tc>
          <w:tcPr>
            <w:tcW w:w="396" w:type="pct"/>
            <w:vMerge w:val="continue"/>
            <w:noWrap w:val="0"/>
            <w:vAlign w:val="center"/>
          </w:tcPr>
          <w:p w14:paraId="761D3D32">
            <w:pPr>
              <w:pStyle w:val="181"/>
              <w:rPr>
                <w:rFonts w:hint="default" w:ascii="Times New Roman" w:hAnsi="Times New Roman" w:eastAsia="宋体" w:cs="Times New Roman"/>
                <w:sz w:val="21"/>
              </w:rPr>
            </w:pPr>
          </w:p>
        </w:tc>
        <w:tc>
          <w:tcPr>
            <w:tcW w:w="650" w:type="pct"/>
            <w:noWrap w:val="0"/>
            <w:vAlign w:val="center"/>
          </w:tcPr>
          <w:p w14:paraId="6443E12E">
            <w:pPr>
              <w:pStyle w:val="181"/>
              <w:rPr>
                <w:rFonts w:hint="default" w:ascii="Times New Roman" w:hAnsi="Times New Roman" w:eastAsia="宋体" w:cs="Times New Roman"/>
                <w:sz w:val="21"/>
              </w:rPr>
            </w:pPr>
            <w:r>
              <w:rPr>
                <w:rFonts w:hint="default" w:ascii="Times New Roman" w:hAnsi="Times New Roman" w:eastAsia="宋体" w:cs="Times New Roman"/>
                <w:sz w:val="21"/>
              </w:rPr>
              <w:t>35</w:t>
            </w:r>
          </w:p>
        </w:tc>
        <w:tc>
          <w:tcPr>
            <w:tcW w:w="574" w:type="pct"/>
            <w:noWrap w:val="0"/>
            <w:vAlign w:val="center"/>
          </w:tcPr>
          <w:p w14:paraId="1F230012">
            <w:pPr>
              <w:pStyle w:val="181"/>
              <w:rPr>
                <w:rFonts w:hint="default" w:ascii="Times New Roman" w:hAnsi="Times New Roman" w:cs="Times New Roman"/>
                <w:szCs w:val="20"/>
              </w:rPr>
            </w:pPr>
            <w:r>
              <w:rPr>
                <w:rFonts w:hint="default" w:ascii="Times New Roman" w:hAnsi="Times New Roman" w:cs="Times New Roman"/>
                <w:szCs w:val="20"/>
              </w:rPr>
              <w:t>0.013</w:t>
            </w:r>
          </w:p>
        </w:tc>
        <w:tc>
          <w:tcPr>
            <w:tcW w:w="810" w:type="pct"/>
            <w:vMerge w:val="continue"/>
            <w:noWrap w:val="0"/>
            <w:vAlign w:val="center"/>
          </w:tcPr>
          <w:p w14:paraId="4C421431">
            <w:pPr>
              <w:pStyle w:val="181"/>
              <w:rPr>
                <w:rFonts w:hint="default" w:ascii="Times New Roman" w:hAnsi="Times New Roman" w:eastAsia="宋体" w:cs="Times New Roman"/>
                <w:sz w:val="21"/>
              </w:rPr>
            </w:pPr>
          </w:p>
        </w:tc>
      </w:tr>
      <w:tr w14:paraId="73774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After w:w="281" w:type="pct"/>
          <w:trHeight w:val="340" w:hRule="atLeast"/>
          <w:jc w:val="center"/>
        </w:trPr>
        <w:tc>
          <w:tcPr>
            <w:tcW w:w="331" w:type="pct"/>
            <w:vMerge w:val="continue"/>
            <w:noWrap w:val="0"/>
            <w:vAlign w:val="center"/>
          </w:tcPr>
          <w:p w14:paraId="275ABE58">
            <w:pPr>
              <w:pStyle w:val="181"/>
              <w:rPr>
                <w:rFonts w:hint="default" w:ascii="Times New Roman" w:hAnsi="Times New Roman" w:eastAsia="宋体" w:cs="Times New Roman"/>
                <w:sz w:val="21"/>
              </w:rPr>
            </w:pPr>
          </w:p>
        </w:tc>
        <w:tc>
          <w:tcPr>
            <w:tcW w:w="426" w:type="pct"/>
            <w:vMerge w:val="continue"/>
            <w:noWrap w:val="0"/>
            <w:vAlign w:val="center"/>
          </w:tcPr>
          <w:p w14:paraId="6BBC5FB1">
            <w:pPr>
              <w:pStyle w:val="181"/>
              <w:rPr>
                <w:rFonts w:hint="default" w:ascii="Times New Roman" w:hAnsi="Times New Roman" w:eastAsia="宋体" w:cs="Times New Roman"/>
                <w:sz w:val="21"/>
              </w:rPr>
            </w:pPr>
          </w:p>
        </w:tc>
        <w:tc>
          <w:tcPr>
            <w:tcW w:w="481" w:type="pct"/>
            <w:noWrap w:val="0"/>
            <w:vAlign w:val="center"/>
          </w:tcPr>
          <w:p w14:paraId="073C74B6">
            <w:pPr>
              <w:pStyle w:val="181"/>
              <w:rPr>
                <w:rFonts w:hint="default" w:ascii="Times New Roman" w:hAnsi="Times New Roman" w:eastAsia="宋体" w:cs="Times New Roman"/>
                <w:bCs w:val="0"/>
                <w:sz w:val="21"/>
              </w:rPr>
            </w:pPr>
            <w:r>
              <w:rPr>
                <w:rFonts w:hint="default" w:ascii="Times New Roman" w:hAnsi="Times New Roman" w:eastAsia="宋体" w:cs="Times New Roman"/>
                <w:sz w:val="21"/>
              </w:rPr>
              <w:t>TP</w:t>
            </w:r>
          </w:p>
        </w:tc>
        <w:tc>
          <w:tcPr>
            <w:tcW w:w="549" w:type="pct"/>
            <w:noWrap w:val="0"/>
            <w:vAlign w:val="center"/>
          </w:tcPr>
          <w:p w14:paraId="5FA67E48">
            <w:pPr>
              <w:pStyle w:val="181"/>
              <w:rPr>
                <w:rFonts w:hint="default" w:ascii="Times New Roman" w:hAnsi="Times New Roman" w:eastAsia="宋体" w:cs="Times New Roman"/>
                <w:szCs w:val="20"/>
                <w:lang w:val="en-US" w:eastAsia="zh-CN"/>
              </w:rPr>
            </w:pPr>
            <w:r>
              <w:rPr>
                <w:rFonts w:hint="default" w:ascii="Times New Roman" w:hAnsi="Times New Roman" w:cs="Times New Roman"/>
                <w:szCs w:val="20"/>
                <w:lang w:val="en-US" w:eastAsia="zh-CN"/>
              </w:rPr>
              <w:t>2</w:t>
            </w:r>
          </w:p>
        </w:tc>
        <w:tc>
          <w:tcPr>
            <w:tcW w:w="497" w:type="pct"/>
            <w:noWrap w:val="0"/>
            <w:vAlign w:val="center"/>
          </w:tcPr>
          <w:p w14:paraId="2C4E2E1E">
            <w:pPr>
              <w:pStyle w:val="181"/>
              <w:rPr>
                <w:rFonts w:hint="default" w:ascii="Times New Roman" w:hAnsi="Times New Roman" w:eastAsia="宋体" w:cs="Times New Roman"/>
                <w:szCs w:val="20"/>
                <w:lang w:val="en-US" w:eastAsia="zh-CN"/>
              </w:rPr>
            </w:pPr>
            <w:r>
              <w:rPr>
                <w:rFonts w:hint="default" w:ascii="Times New Roman" w:hAnsi="Times New Roman" w:cs="Times New Roman"/>
                <w:szCs w:val="20"/>
              </w:rPr>
              <w:t>0.00</w:t>
            </w:r>
            <w:r>
              <w:rPr>
                <w:rFonts w:hint="default" w:ascii="Times New Roman" w:hAnsi="Times New Roman" w:cs="Times New Roman"/>
                <w:szCs w:val="20"/>
                <w:lang w:val="en-US" w:eastAsia="zh-CN"/>
              </w:rPr>
              <w:t>072</w:t>
            </w:r>
          </w:p>
        </w:tc>
        <w:tc>
          <w:tcPr>
            <w:tcW w:w="396" w:type="pct"/>
            <w:vMerge w:val="continue"/>
            <w:noWrap w:val="0"/>
            <w:vAlign w:val="center"/>
          </w:tcPr>
          <w:p w14:paraId="222E6AF7">
            <w:pPr>
              <w:pStyle w:val="181"/>
              <w:rPr>
                <w:rFonts w:hint="default" w:ascii="Times New Roman" w:hAnsi="Times New Roman" w:eastAsia="宋体" w:cs="Times New Roman"/>
                <w:sz w:val="21"/>
                <w:highlight w:val="none"/>
              </w:rPr>
            </w:pPr>
          </w:p>
        </w:tc>
        <w:tc>
          <w:tcPr>
            <w:tcW w:w="650" w:type="pct"/>
            <w:noWrap w:val="0"/>
            <w:vAlign w:val="center"/>
          </w:tcPr>
          <w:p w14:paraId="43F9B426">
            <w:pPr>
              <w:pStyle w:val="181"/>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w:t>
            </w:r>
          </w:p>
        </w:tc>
        <w:tc>
          <w:tcPr>
            <w:tcW w:w="574" w:type="pct"/>
            <w:noWrap w:val="0"/>
            <w:vAlign w:val="center"/>
          </w:tcPr>
          <w:p w14:paraId="400E4F32">
            <w:pPr>
              <w:pStyle w:val="181"/>
              <w:rPr>
                <w:rFonts w:hint="default" w:ascii="Times New Roman" w:hAnsi="Times New Roman" w:eastAsia="宋体" w:cs="Times New Roman"/>
                <w:szCs w:val="20"/>
                <w:lang w:val="en-US" w:eastAsia="zh-CN"/>
              </w:rPr>
            </w:pPr>
            <w:r>
              <w:rPr>
                <w:rFonts w:hint="default" w:ascii="Times New Roman" w:hAnsi="Times New Roman" w:cs="Times New Roman"/>
                <w:szCs w:val="20"/>
              </w:rPr>
              <w:t>0.00</w:t>
            </w:r>
            <w:r>
              <w:rPr>
                <w:rFonts w:hint="default" w:ascii="Times New Roman" w:hAnsi="Times New Roman" w:cs="Times New Roman"/>
                <w:szCs w:val="20"/>
                <w:lang w:val="en-US" w:eastAsia="zh-CN"/>
              </w:rPr>
              <w:t>072</w:t>
            </w:r>
          </w:p>
        </w:tc>
        <w:tc>
          <w:tcPr>
            <w:tcW w:w="810" w:type="pct"/>
            <w:vMerge w:val="continue"/>
            <w:noWrap w:val="0"/>
            <w:vAlign w:val="center"/>
          </w:tcPr>
          <w:p w14:paraId="0E5E2A04">
            <w:pPr>
              <w:pStyle w:val="181"/>
              <w:rPr>
                <w:rFonts w:hint="default" w:ascii="Times New Roman" w:hAnsi="Times New Roman" w:eastAsia="宋体" w:cs="Times New Roman"/>
                <w:sz w:val="21"/>
              </w:rPr>
            </w:pPr>
          </w:p>
        </w:tc>
      </w:tr>
    </w:tbl>
    <w:p w14:paraId="3D9DAF90">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（3）固废排放情况</w:t>
      </w:r>
    </w:p>
    <w:p w14:paraId="4C8D27E3">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建设项目产生的</w:t>
      </w:r>
      <w:r>
        <w:rPr>
          <w:rFonts w:hint="eastAsia" w:eastAsia="宋体"/>
          <w:color w:val="000000" w:themeColor="text1"/>
          <w:lang w:val="en-US" w:eastAsia="zh-CN"/>
          <w14:textFill>
            <w14:solidFill>
              <w14:schemeClr w14:val="tx1"/>
            </w14:solidFill>
          </w14:textFill>
        </w:rPr>
        <w:t>一般固（液）体废物有</w:t>
      </w:r>
      <w:r>
        <w:rPr>
          <w:rFonts w:hint="eastAsia" w:eastAsia="宋体" w:cs="Times New Roman"/>
          <w:color w:val="auto"/>
          <w:spacing w:val="10"/>
          <w:kern w:val="2"/>
          <w:sz w:val="24"/>
          <w:szCs w:val="22"/>
          <w:lang w:val="en-US" w:eastAsia="zh-CN" w:bidi="ar-SA"/>
        </w:rPr>
        <w:t>废木料、除尘器粉尘和</w:t>
      </w:r>
      <w:r>
        <w:rPr>
          <w:rFonts w:hint="default" w:ascii="Times New Roman" w:hAnsi="Times New Roman" w:eastAsia="宋体" w:cs="Times New Roman"/>
          <w:b w:val="0"/>
          <w:bCs w:val="0"/>
          <w:color w:val="auto"/>
          <w:kern w:val="0"/>
          <w:sz w:val="24"/>
          <w:szCs w:val="24"/>
          <w:lang w:val="en-US" w:eastAsia="zh-CN" w:bidi="ar-SA"/>
        </w:rPr>
        <w:t>生活垃圾</w:t>
      </w:r>
      <w:r>
        <w:rPr>
          <w:rFonts w:hint="eastAsia" w:eastAsia="宋体"/>
          <w:color w:val="000000" w:themeColor="text1"/>
          <w:lang w:val="en-US" w:eastAsia="zh-CN"/>
          <w14:textFill>
            <w14:solidFill>
              <w14:schemeClr w14:val="tx1"/>
            </w14:solidFill>
          </w14:textFill>
        </w:rPr>
        <w:t>，其中，生活垃圾由环卫清运；</w:t>
      </w:r>
      <w:r>
        <w:rPr>
          <w:rFonts w:hint="eastAsia" w:eastAsia="宋体" w:cs="Times New Roman"/>
          <w:color w:val="auto"/>
          <w:spacing w:val="10"/>
          <w:kern w:val="2"/>
          <w:sz w:val="24"/>
          <w:szCs w:val="22"/>
          <w:lang w:val="en-US" w:eastAsia="zh-CN" w:bidi="ar-SA"/>
        </w:rPr>
        <w:t>废木料、除尘器粉尘</w:t>
      </w:r>
      <w:r>
        <w:rPr>
          <w:rFonts w:hint="eastAsia" w:eastAsia="宋体"/>
          <w:color w:val="000000" w:themeColor="text1"/>
          <w:lang w:val="en-US" w:eastAsia="zh-CN"/>
          <w14:textFill>
            <w14:solidFill>
              <w14:schemeClr w14:val="tx1"/>
            </w14:solidFill>
          </w14:textFill>
        </w:rPr>
        <w:t>收集后外售综合利用；危险固（液）体废物包括</w:t>
      </w:r>
      <w:r>
        <w:rPr>
          <w:rFonts w:hint="default" w:ascii="Times New Roman" w:hAnsi="Times New Roman" w:eastAsia="宋体" w:cs="Times New Roman"/>
          <w:color w:val="auto"/>
          <w:sz w:val="24"/>
          <w:szCs w:val="24"/>
          <w:lang w:val="en-US" w:eastAsia="zh-CN"/>
        </w:rPr>
        <w:t>废活性炭、漆渣</w:t>
      </w:r>
      <w:r>
        <w:rPr>
          <w:rFonts w:hint="eastAsia" w:ascii="Times New Roman" w:hAnsi="Times New Roman" w:eastAsia="宋体" w:cs="Times New Roman"/>
          <w:color w:val="auto"/>
          <w:sz w:val="24"/>
          <w:szCs w:val="24"/>
          <w:lang w:val="en-US" w:eastAsia="zh-CN"/>
        </w:rPr>
        <w:t>、</w:t>
      </w:r>
      <w:r>
        <w:rPr>
          <w:rFonts w:hint="eastAsia" w:eastAsia="宋体"/>
          <w:color w:val="000000" w:themeColor="text1"/>
          <w:lang w:val="en-US" w:eastAsia="zh-CN"/>
          <w14:textFill>
            <w14:solidFill>
              <w14:schemeClr w14:val="tx1"/>
            </w14:solidFill>
          </w14:textFill>
        </w:rPr>
        <w:t>委托海安蔚蓝环保服务有限公司处置。</w:t>
      </w:r>
    </w:p>
    <w:p w14:paraId="5409E482">
      <w:pPr>
        <w:widowControl/>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危险固（液）体废物和一般固体废物产生</w:t>
      </w:r>
      <w:r>
        <w:rPr>
          <w:rFonts w:eastAsia="宋体"/>
          <w:color w:val="000000" w:themeColor="text1"/>
          <w14:textFill>
            <w14:solidFill>
              <w14:schemeClr w14:val="tx1"/>
            </w14:solidFill>
          </w14:textFill>
        </w:rPr>
        <w:t>情况见表3-1</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、3-1</w:t>
      </w:r>
      <w:r>
        <w:rPr>
          <w:rFonts w:hint="eastAsia" w:eastAsia="宋体"/>
          <w:color w:val="000000" w:themeColor="text1"/>
          <w:lang w:val="en-US" w:eastAsia="zh-CN"/>
          <w14:textFill>
            <w14:solidFill>
              <w14:schemeClr w14:val="tx1"/>
            </w14:solidFill>
          </w14:textFill>
        </w:rPr>
        <w:t>6</w:t>
      </w:r>
      <w:r>
        <w:rPr>
          <w:rFonts w:eastAsia="宋体"/>
          <w:color w:val="000000" w:themeColor="text1"/>
          <w14:textFill>
            <w14:solidFill>
              <w14:schemeClr w14:val="tx1"/>
            </w14:solidFill>
          </w14:textFill>
        </w:rPr>
        <w:t>。</w:t>
      </w:r>
    </w:p>
    <w:p w14:paraId="4C88A472">
      <w:pPr>
        <w:snapToGrid w:val="0"/>
        <w:spacing w:line="500" w:lineRule="exact"/>
        <w:jc w:val="center"/>
        <w:rPr>
          <w:rFonts w:eastAsia="宋体"/>
          <w:b/>
          <w:bCs/>
        </w:rPr>
      </w:pPr>
      <w:r>
        <w:rPr>
          <w:rFonts w:eastAsia="宋体"/>
          <w:b/>
          <w:bCs/>
        </w:rPr>
        <w:t>表3-1</w:t>
      </w:r>
      <w:r>
        <w:rPr>
          <w:rFonts w:hint="eastAsia" w:eastAsia="宋体"/>
          <w:b/>
          <w:bCs/>
          <w:lang w:val="en-US" w:eastAsia="zh-CN"/>
        </w:rPr>
        <w:t>5</w:t>
      </w:r>
      <w:r>
        <w:rPr>
          <w:rFonts w:eastAsia="宋体"/>
          <w:b/>
          <w:bCs/>
        </w:rPr>
        <w:t>危险固（液）体</w:t>
      </w:r>
      <w:r>
        <w:rPr>
          <w:rFonts w:hint="eastAsia" w:eastAsia="宋体"/>
          <w:b/>
          <w:bCs/>
        </w:rPr>
        <w:t>废物产生</w:t>
      </w:r>
      <w:r>
        <w:rPr>
          <w:rFonts w:eastAsia="宋体"/>
          <w:b/>
          <w:bCs/>
        </w:rPr>
        <w:t>情况一览表</w:t>
      </w:r>
    </w:p>
    <w:tbl>
      <w:tblPr>
        <w:tblStyle w:val="38"/>
        <w:tblW w:w="501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115"/>
        <w:gridCol w:w="898"/>
        <w:gridCol w:w="1405"/>
        <w:gridCol w:w="1012"/>
        <w:gridCol w:w="730"/>
        <w:gridCol w:w="569"/>
        <w:gridCol w:w="768"/>
        <w:gridCol w:w="728"/>
        <w:gridCol w:w="565"/>
        <w:gridCol w:w="662"/>
        <w:gridCol w:w="480"/>
      </w:tblGrid>
      <w:tr w14:paraId="01E0C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1253" w:hRule="atLeast"/>
          <w:jc w:val="center"/>
        </w:trPr>
        <w:tc>
          <w:tcPr>
            <w:tcW w:w="231" w:type="pct"/>
            <w:noWrap w:val="0"/>
            <w:vAlign w:val="center"/>
          </w:tcPr>
          <w:p w14:paraId="744635A9">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序号</w:t>
            </w:r>
          </w:p>
        </w:tc>
        <w:tc>
          <w:tcPr>
            <w:tcW w:w="539" w:type="pct"/>
            <w:noWrap w:val="0"/>
            <w:vAlign w:val="center"/>
          </w:tcPr>
          <w:p w14:paraId="54704BAE">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名称</w:t>
            </w:r>
          </w:p>
        </w:tc>
        <w:tc>
          <w:tcPr>
            <w:tcW w:w="434" w:type="pct"/>
            <w:noWrap w:val="0"/>
            <w:vAlign w:val="center"/>
          </w:tcPr>
          <w:p w14:paraId="722C2536">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危险废物类别</w:t>
            </w:r>
          </w:p>
        </w:tc>
        <w:tc>
          <w:tcPr>
            <w:tcW w:w="679" w:type="pct"/>
            <w:noWrap w:val="0"/>
            <w:vAlign w:val="center"/>
          </w:tcPr>
          <w:p w14:paraId="7BE72D73">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废物代码</w:t>
            </w:r>
          </w:p>
        </w:tc>
        <w:tc>
          <w:tcPr>
            <w:tcW w:w="489" w:type="pct"/>
            <w:noWrap w:val="0"/>
            <w:vAlign w:val="center"/>
          </w:tcPr>
          <w:p w14:paraId="63D89B92">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产生量（t/a）</w:t>
            </w:r>
          </w:p>
        </w:tc>
        <w:tc>
          <w:tcPr>
            <w:tcW w:w="353" w:type="pct"/>
            <w:noWrap w:val="0"/>
            <w:vAlign w:val="center"/>
          </w:tcPr>
          <w:p w14:paraId="756C7DA8">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产生工序</w:t>
            </w:r>
          </w:p>
        </w:tc>
        <w:tc>
          <w:tcPr>
            <w:tcW w:w="275" w:type="pct"/>
            <w:noWrap w:val="0"/>
            <w:vAlign w:val="center"/>
          </w:tcPr>
          <w:p w14:paraId="2C3D4E97">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形态</w:t>
            </w:r>
          </w:p>
        </w:tc>
        <w:tc>
          <w:tcPr>
            <w:tcW w:w="371" w:type="pct"/>
            <w:noWrap w:val="0"/>
            <w:vAlign w:val="center"/>
          </w:tcPr>
          <w:p w14:paraId="12D8B074">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主要成分</w:t>
            </w:r>
          </w:p>
        </w:tc>
        <w:tc>
          <w:tcPr>
            <w:tcW w:w="352" w:type="pct"/>
            <w:noWrap w:val="0"/>
            <w:vAlign w:val="center"/>
          </w:tcPr>
          <w:p w14:paraId="58D04A7A">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有害成分</w:t>
            </w:r>
          </w:p>
        </w:tc>
        <w:tc>
          <w:tcPr>
            <w:tcW w:w="273" w:type="pct"/>
            <w:noWrap w:val="0"/>
            <w:vAlign w:val="center"/>
          </w:tcPr>
          <w:p w14:paraId="5422709F">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产废周期</w:t>
            </w:r>
          </w:p>
        </w:tc>
        <w:tc>
          <w:tcPr>
            <w:tcW w:w="320" w:type="pct"/>
            <w:noWrap w:val="0"/>
            <w:vAlign w:val="center"/>
          </w:tcPr>
          <w:p w14:paraId="7C26BCE1">
            <w:pPr>
              <w:widowControl/>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危险特性</w:t>
            </w:r>
          </w:p>
        </w:tc>
        <w:tc>
          <w:tcPr>
            <w:tcW w:w="232" w:type="pct"/>
            <w:noWrap w:val="0"/>
            <w:vAlign w:val="center"/>
          </w:tcPr>
          <w:p w14:paraId="34D4D14D">
            <w:pPr>
              <w:widowControl/>
              <w:jc w:val="center"/>
              <w:rPr>
                <w:rFonts w:hint="default" w:ascii="Times New Roman" w:hAnsi="Times New Roman" w:cs="Times New Roman"/>
                <w:color w:val="000000"/>
                <w:szCs w:val="21"/>
              </w:rPr>
            </w:pPr>
            <w:r>
              <w:rPr>
                <w:rFonts w:hint="default" w:ascii="Times New Roman" w:hAnsi="Times New Roman" w:cs="Times New Roman"/>
                <w:b/>
                <w:bCs/>
                <w:color w:val="000000"/>
                <w:szCs w:val="21"/>
              </w:rPr>
              <w:t>处置方法</w:t>
            </w:r>
          </w:p>
        </w:tc>
      </w:tr>
      <w:tr w14:paraId="4C89B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771" w:hRule="exact"/>
          <w:jc w:val="center"/>
        </w:trPr>
        <w:tc>
          <w:tcPr>
            <w:tcW w:w="231" w:type="pct"/>
            <w:noWrap w:val="0"/>
            <w:vAlign w:val="center"/>
          </w:tcPr>
          <w:p w14:paraId="3283A18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539" w:type="pct"/>
            <w:noWrap w:val="0"/>
            <w:vAlign w:val="center"/>
          </w:tcPr>
          <w:p w14:paraId="5C32A1AA">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废活性炭</w:t>
            </w:r>
          </w:p>
        </w:tc>
        <w:tc>
          <w:tcPr>
            <w:tcW w:w="434" w:type="pct"/>
            <w:noWrap w:val="0"/>
            <w:vAlign w:val="center"/>
          </w:tcPr>
          <w:p w14:paraId="22B9071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HW49</w:t>
            </w:r>
          </w:p>
        </w:tc>
        <w:tc>
          <w:tcPr>
            <w:tcW w:w="679" w:type="pct"/>
            <w:noWrap w:val="0"/>
            <w:vAlign w:val="center"/>
          </w:tcPr>
          <w:p w14:paraId="1A05346C">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900-041-49</w:t>
            </w:r>
          </w:p>
        </w:tc>
        <w:tc>
          <w:tcPr>
            <w:tcW w:w="489" w:type="pct"/>
            <w:noWrap w:val="0"/>
            <w:vAlign w:val="center"/>
          </w:tcPr>
          <w:p w14:paraId="51D7659C">
            <w:pPr>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18.543</w:t>
            </w:r>
          </w:p>
        </w:tc>
        <w:tc>
          <w:tcPr>
            <w:tcW w:w="353" w:type="pct"/>
            <w:noWrap w:val="0"/>
            <w:vAlign w:val="center"/>
          </w:tcPr>
          <w:p w14:paraId="4D6C22A4">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废气处理</w:t>
            </w:r>
          </w:p>
        </w:tc>
        <w:tc>
          <w:tcPr>
            <w:tcW w:w="275" w:type="pct"/>
            <w:noWrap w:val="0"/>
            <w:vAlign w:val="center"/>
          </w:tcPr>
          <w:p w14:paraId="7A0D833E">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371" w:type="pct"/>
            <w:noWrap w:val="0"/>
            <w:vAlign w:val="center"/>
          </w:tcPr>
          <w:p w14:paraId="4232E479">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活性炭、有机物</w:t>
            </w:r>
          </w:p>
        </w:tc>
        <w:tc>
          <w:tcPr>
            <w:tcW w:w="352" w:type="pct"/>
            <w:noWrap w:val="0"/>
            <w:vAlign w:val="center"/>
          </w:tcPr>
          <w:p w14:paraId="2E196832">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有机物</w:t>
            </w:r>
          </w:p>
        </w:tc>
        <w:tc>
          <w:tcPr>
            <w:tcW w:w="273" w:type="pct"/>
            <w:noWrap w:val="0"/>
            <w:vAlign w:val="center"/>
          </w:tcPr>
          <w:p w14:paraId="546BE307">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3个月</w:t>
            </w:r>
          </w:p>
        </w:tc>
        <w:tc>
          <w:tcPr>
            <w:tcW w:w="320" w:type="pct"/>
            <w:noWrap w:val="0"/>
            <w:vAlign w:val="center"/>
          </w:tcPr>
          <w:p w14:paraId="6F002775">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T/In</w:t>
            </w:r>
          </w:p>
        </w:tc>
        <w:tc>
          <w:tcPr>
            <w:tcW w:w="232" w:type="pct"/>
            <w:vMerge w:val="restart"/>
            <w:noWrap w:val="0"/>
            <w:vAlign w:val="center"/>
          </w:tcPr>
          <w:p w14:paraId="0DE54DA3">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委托有资质单位处理</w:t>
            </w:r>
          </w:p>
          <w:p w14:paraId="7B2AE56A">
            <w:pPr>
              <w:widowControl/>
              <w:jc w:val="center"/>
              <w:rPr>
                <w:rFonts w:hint="default" w:ascii="Times New Roman" w:hAnsi="Times New Roman" w:cs="Times New Roman"/>
                <w:color w:val="000000"/>
                <w:szCs w:val="21"/>
              </w:rPr>
            </w:pPr>
          </w:p>
        </w:tc>
      </w:tr>
      <w:tr w14:paraId="23068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928" w:hRule="exact"/>
          <w:jc w:val="center"/>
        </w:trPr>
        <w:tc>
          <w:tcPr>
            <w:tcW w:w="231" w:type="pct"/>
            <w:noWrap w:val="0"/>
            <w:vAlign w:val="center"/>
          </w:tcPr>
          <w:p w14:paraId="0D53B955">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539" w:type="pct"/>
            <w:noWrap w:val="0"/>
            <w:vAlign w:val="center"/>
          </w:tcPr>
          <w:p w14:paraId="382E039C">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灰渣、漆渣、气浮渣</w:t>
            </w:r>
          </w:p>
        </w:tc>
        <w:tc>
          <w:tcPr>
            <w:tcW w:w="434" w:type="pct"/>
            <w:noWrap w:val="0"/>
            <w:vAlign w:val="center"/>
          </w:tcPr>
          <w:p w14:paraId="76202CC5">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HW12</w:t>
            </w:r>
          </w:p>
        </w:tc>
        <w:tc>
          <w:tcPr>
            <w:tcW w:w="679" w:type="pct"/>
            <w:noWrap w:val="0"/>
            <w:vAlign w:val="center"/>
          </w:tcPr>
          <w:p w14:paraId="4DA6E4A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900-252-12</w:t>
            </w:r>
          </w:p>
        </w:tc>
        <w:tc>
          <w:tcPr>
            <w:tcW w:w="489" w:type="pct"/>
            <w:noWrap w:val="0"/>
            <w:vAlign w:val="center"/>
          </w:tcPr>
          <w:p w14:paraId="58C1BEFD">
            <w:pPr>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31.917</w:t>
            </w:r>
          </w:p>
        </w:tc>
        <w:tc>
          <w:tcPr>
            <w:tcW w:w="353" w:type="pct"/>
            <w:noWrap w:val="0"/>
            <w:vAlign w:val="center"/>
          </w:tcPr>
          <w:p w14:paraId="02CB9389">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喷漆、底漆</w:t>
            </w:r>
          </w:p>
          <w:p w14:paraId="474E7065">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打磨</w:t>
            </w:r>
          </w:p>
        </w:tc>
        <w:tc>
          <w:tcPr>
            <w:tcW w:w="275" w:type="pct"/>
            <w:noWrap w:val="0"/>
            <w:vAlign w:val="center"/>
          </w:tcPr>
          <w:p w14:paraId="4F04E4E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371" w:type="pct"/>
            <w:noWrap w:val="0"/>
            <w:vAlign w:val="center"/>
          </w:tcPr>
          <w:p w14:paraId="4253EDBB">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树脂、有机物</w:t>
            </w:r>
          </w:p>
        </w:tc>
        <w:tc>
          <w:tcPr>
            <w:tcW w:w="352" w:type="pct"/>
            <w:noWrap w:val="0"/>
            <w:vAlign w:val="center"/>
          </w:tcPr>
          <w:p w14:paraId="0F018636">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有机物</w:t>
            </w:r>
          </w:p>
        </w:tc>
        <w:tc>
          <w:tcPr>
            <w:tcW w:w="273" w:type="pct"/>
            <w:noWrap w:val="0"/>
            <w:vAlign w:val="center"/>
          </w:tcPr>
          <w:p w14:paraId="2D621CC6">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5d</w:t>
            </w:r>
          </w:p>
        </w:tc>
        <w:tc>
          <w:tcPr>
            <w:tcW w:w="320" w:type="pct"/>
            <w:noWrap w:val="0"/>
            <w:vAlign w:val="center"/>
          </w:tcPr>
          <w:p w14:paraId="4D63485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T/I</w:t>
            </w:r>
          </w:p>
        </w:tc>
        <w:tc>
          <w:tcPr>
            <w:tcW w:w="232" w:type="pct"/>
            <w:vMerge w:val="continue"/>
            <w:noWrap w:val="0"/>
            <w:vAlign w:val="center"/>
          </w:tcPr>
          <w:p w14:paraId="27E46F2A">
            <w:pPr>
              <w:widowControl/>
              <w:jc w:val="center"/>
              <w:rPr>
                <w:rFonts w:hint="default" w:ascii="Times New Roman" w:hAnsi="Times New Roman" w:cs="Times New Roman"/>
                <w:color w:val="000000"/>
                <w:szCs w:val="21"/>
              </w:rPr>
            </w:pPr>
          </w:p>
        </w:tc>
      </w:tr>
      <w:tr w14:paraId="360A8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952" w:hRule="exact"/>
          <w:jc w:val="center"/>
        </w:trPr>
        <w:tc>
          <w:tcPr>
            <w:tcW w:w="231" w:type="pct"/>
            <w:noWrap w:val="0"/>
            <w:vAlign w:val="center"/>
          </w:tcPr>
          <w:p w14:paraId="2302CE29">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539" w:type="pct"/>
            <w:noWrap w:val="0"/>
            <w:vAlign w:val="center"/>
          </w:tcPr>
          <w:p w14:paraId="0A2EA5C2">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废包装桶</w:t>
            </w:r>
          </w:p>
        </w:tc>
        <w:tc>
          <w:tcPr>
            <w:tcW w:w="434" w:type="pct"/>
            <w:noWrap w:val="0"/>
            <w:vAlign w:val="center"/>
          </w:tcPr>
          <w:p w14:paraId="465B07CB">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HW49</w:t>
            </w:r>
          </w:p>
        </w:tc>
        <w:tc>
          <w:tcPr>
            <w:tcW w:w="679" w:type="pct"/>
            <w:noWrap w:val="0"/>
            <w:vAlign w:val="center"/>
          </w:tcPr>
          <w:p w14:paraId="4B9697F3">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900-041-49</w:t>
            </w:r>
          </w:p>
        </w:tc>
        <w:tc>
          <w:tcPr>
            <w:tcW w:w="489" w:type="pct"/>
            <w:noWrap w:val="0"/>
            <w:vAlign w:val="center"/>
          </w:tcPr>
          <w:p w14:paraId="5B30CF85">
            <w:pPr>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0.332</w:t>
            </w:r>
          </w:p>
        </w:tc>
        <w:tc>
          <w:tcPr>
            <w:tcW w:w="353" w:type="pct"/>
            <w:noWrap w:val="0"/>
            <w:vAlign w:val="center"/>
          </w:tcPr>
          <w:p w14:paraId="4CFBBBCB">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原料包装</w:t>
            </w:r>
          </w:p>
        </w:tc>
        <w:tc>
          <w:tcPr>
            <w:tcW w:w="275" w:type="pct"/>
            <w:noWrap w:val="0"/>
            <w:vAlign w:val="center"/>
          </w:tcPr>
          <w:p w14:paraId="6EC23230">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371" w:type="pct"/>
            <w:noWrap w:val="0"/>
            <w:vAlign w:val="center"/>
          </w:tcPr>
          <w:p w14:paraId="425CAFBB">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塑料、树脂</w:t>
            </w:r>
          </w:p>
        </w:tc>
        <w:tc>
          <w:tcPr>
            <w:tcW w:w="352" w:type="pct"/>
            <w:noWrap w:val="0"/>
            <w:vAlign w:val="center"/>
          </w:tcPr>
          <w:p w14:paraId="18BDC8C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有机物</w:t>
            </w:r>
          </w:p>
        </w:tc>
        <w:tc>
          <w:tcPr>
            <w:tcW w:w="273" w:type="pct"/>
            <w:noWrap w:val="0"/>
            <w:vAlign w:val="center"/>
          </w:tcPr>
          <w:p w14:paraId="28C2DDA4">
            <w:pPr>
              <w:widowControl/>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w:t>
            </w:r>
            <w:r>
              <w:rPr>
                <w:rFonts w:hint="default" w:ascii="Times New Roman" w:hAnsi="Times New Roman" w:cs="Times New Roman"/>
                <w:color w:val="000000"/>
                <w:szCs w:val="21"/>
              </w:rPr>
              <w:t>d</w:t>
            </w:r>
          </w:p>
        </w:tc>
        <w:tc>
          <w:tcPr>
            <w:tcW w:w="320" w:type="pct"/>
            <w:noWrap w:val="0"/>
            <w:vAlign w:val="center"/>
          </w:tcPr>
          <w:p w14:paraId="1D4C503D">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T/In</w:t>
            </w:r>
          </w:p>
        </w:tc>
        <w:tc>
          <w:tcPr>
            <w:tcW w:w="232" w:type="pct"/>
            <w:vMerge w:val="continue"/>
            <w:noWrap w:val="0"/>
            <w:vAlign w:val="center"/>
          </w:tcPr>
          <w:p w14:paraId="47D8A71B">
            <w:pPr>
              <w:widowControl/>
              <w:jc w:val="center"/>
              <w:rPr>
                <w:rFonts w:hint="default" w:ascii="Times New Roman" w:hAnsi="Times New Roman" w:cs="Times New Roman"/>
                <w:color w:val="000000"/>
                <w:szCs w:val="21"/>
              </w:rPr>
            </w:pPr>
          </w:p>
        </w:tc>
      </w:tr>
      <w:tr w14:paraId="7C3B6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952" w:hRule="exact"/>
          <w:jc w:val="center"/>
        </w:trPr>
        <w:tc>
          <w:tcPr>
            <w:tcW w:w="231" w:type="pct"/>
            <w:noWrap w:val="0"/>
            <w:vAlign w:val="center"/>
          </w:tcPr>
          <w:p w14:paraId="0DA8A821">
            <w:pPr>
              <w:widowControl/>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4</w:t>
            </w:r>
          </w:p>
        </w:tc>
        <w:tc>
          <w:tcPr>
            <w:tcW w:w="539" w:type="pct"/>
            <w:noWrap w:val="0"/>
            <w:vAlign w:val="center"/>
          </w:tcPr>
          <w:p w14:paraId="68466410">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含油废水</w:t>
            </w:r>
          </w:p>
        </w:tc>
        <w:tc>
          <w:tcPr>
            <w:tcW w:w="434" w:type="pct"/>
            <w:noWrap w:val="0"/>
            <w:vAlign w:val="center"/>
          </w:tcPr>
          <w:p w14:paraId="1DD0C0DC">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679" w:type="pct"/>
            <w:noWrap w:val="0"/>
            <w:vAlign w:val="center"/>
          </w:tcPr>
          <w:p w14:paraId="255B32D9">
            <w:pPr>
              <w:widowControl/>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900-007-09</w:t>
            </w:r>
          </w:p>
        </w:tc>
        <w:tc>
          <w:tcPr>
            <w:tcW w:w="489" w:type="pct"/>
            <w:noWrap w:val="0"/>
            <w:vAlign w:val="center"/>
          </w:tcPr>
          <w:p w14:paraId="56149C9C">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0.03</w:t>
            </w:r>
          </w:p>
        </w:tc>
        <w:tc>
          <w:tcPr>
            <w:tcW w:w="353" w:type="pct"/>
            <w:noWrap w:val="0"/>
            <w:vAlign w:val="center"/>
          </w:tcPr>
          <w:p w14:paraId="4CEFDD54">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空压机</w:t>
            </w:r>
          </w:p>
        </w:tc>
        <w:tc>
          <w:tcPr>
            <w:tcW w:w="275" w:type="pct"/>
            <w:noWrap w:val="0"/>
            <w:vAlign w:val="center"/>
          </w:tcPr>
          <w:p w14:paraId="68E4E77C">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液态</w:t>
            </w:r>
          </w:p>
        </w:tc>
        <w:tc>
          <w:tcPr>
            <w:tcW w:w="371" w:type="pct"/>
            <w:noWrap w:val="0"/>
            <w:vAlign w:val="center"/>
          </w:tcPr>
          <w:p w14:paraId="44F5FA09">
            <w:pPr>
              <w:widowControl/>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油水混合物</w:t>
            </w:r>
          </w:p>
        </w:tc>
        <w:tc>
          <w:tcPr>
            <w:tcW w:w="352" w:type="pct"/>
            <w:noWrap w:val="0"/>
            <w:vAlign w:val="center"/>
          </w:tcPr>
          <w:p w14:paraId="784A1DE6">
            <w:pPr>
              <w:widowControl/>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油水混合物</w:t>
            </w:r>
          </w:p>
        </w:tc>
        <w:tc>
          <w:tcPr>
            <w:tcW w:w="273" w:type="pct"/>
            <w:noWrap w:val="0"/>
            <w:vAlign w:val="center"/>
          </w:tcPr>
          <w:p w14:paraId="66A22B06">
            <w:pPr>
              <w:widowControl/>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1d</w:t>
            </w:r>
          </w:p>
        </w:tc>
        <w:tc>
          <w:tcPr>
            <w:tcW w:w="320" w:type="pct"/>
            <w:noWrap w:val="0"/>
            <w:vAlign w:val="center"/>
          </w:tcPr>
          <w:p w14:paraId="5A90653B">
            <w:pPr>
              <w:widowControl/>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T</w:t>
            </w:r>
          </w:p>
        </w:tc>
        <w:tc>
          <w:tcPr>
            <w:tcW w:w="232" w:type="pct"/>
            <w:noWrap w:val="0"/>
            <w:vAlign w:val="center"/>
          </w:tcPr>
          <w:p w14:paraId="5FEE3565">
            <w:pPr>
              <w:widowControl/>
              <w:jc w:val="center"/>
              <w:rPr>
                <w:rFonts w:hint="default" w:ascii="Times New Roman" w:hAnsi="Times New Roman" w:cs="Times New Roman"/>
                <w:color w:val="000000"/>
                <w:szCs w:val="21"/>
              </w:rPr>
            </w:pPr>
          </w:p>
        </w:tc>
      </w:tr>
      <w:tr w14:paraId="0E951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446" w:type="pct"/>
          <w:trHeight w:val="1283" w:hRule="atLeast"/>
          <w:jc w:val="center"/>
        </w:trPr>
        <w:tc>
          <w:tcPr>
            <w:tcW w:w="231" w:type="pct"/>
            <w:noWrap w:val="0"/>
            <w:vAlign w:val="center"/>
          </w:tcPr>
          <w:p w14:paraId="66456ECF">
            <w:pPr>
              <w:widowControl/>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c>
          <w:tcPr>
            <w:tcW w:w="539" w:type="pct"/>
            <w:noWrap w:val="0"/>
            <w:vAlign w:val="center"/>
          </w:tcPr>
          <w:p w14:paraId="412E1B7E">
            <w:pPr>
              <w:jc w:val="center"/>
              <w:rPr>
                <w:rFonts w:hint="default" w:ascii="Times New Roman" w:hAnsi="Times New Roman" w:cs="Times New Roman"/>
                <w:color w:val="000000"/>
                <w:szCs w:val="21"/>
              </w:rPr>
            </w:pPr>
            <w:r>
              <w:rPr>
                <w:rFonts w:hint="default" w:ascii="Times New Roman" w:hAnsi="Times New Roman" w:cs="Times New Roman"/>
                <w:szCs w:val="21"/>
              </w:rPr>
              <w:t>废劳保用品</w:t>
            </w:r>
          </w:p>
        </w:tc>
        <w:tc>
          <w:tcPr>
            <w:tcW w:w="434" w:type="pct"/>
            <w:noWrap w:val="0"/>
            <w:vAlign w:val="center"/>
          </w:tcPr>
          <w:p w14:paraId="20E3EC92">
            <w:pPr>
              <w:jc w:val="center"/>
              <w:rPr>
                <w:rFonts w:hint="default" w:ascii="Times New Roman" w:hAnsi="Times New Roman" w:cs="Times New Roman"/>
                <w:color w:val="000000"/>
                <w:szCs w:val="21"/>
              </w:rPr>
            </w:pPr>
            <w:r>
              <w:rPr>
                <w:rFonts w:hint="default" w:ascii="Times New Roman" w:hAnsi="Times New Roman" w:cs="Times New Roman"/>
                <w:szCs w:val="21"/>
              </w:rPr>
              <w:t>HW49</w:t>
            </w:r>
          </w:p>
        </w:tc>
        <w:tc>
          <w:tcPr>
            <w:tcW w:w="679" w:type="pct"/>
            <w:noWrap w:val="0"/>
            <w:vAlign w:val="center"/>
          </w:tcPr>
          <w:p w14:paraId="273E9660">
            <w:pPr>
              <w:jc w:val="center"/>
              <w:rPr>
                <w:rFonts w:hint="default" w:ascii="Times New Roman" w:hAnsi="Times New Roman" w:cs="Times New Roman"/>
                <w:color w:val="000000"/>
                <w:szCs w:val="21"/>
              </w:rPr>
            </w:pPr>
            <w:r>
              <w:rPr>
                <w:rFonts w:hint="default" w:ascii="Times New Roman" w:hAnsi="Times New Roman" w:cs="Times New Roman"/>
                <w:szCs w:val="21"/>
              </w:rPr>
              <w:t>900-041-49</w:t>
            </w:r>
          </w:p>
        </w:tc>
        <w:tc>
          <w:tcPr>
            <w:tcW w:w="489" w:type="pct"/>
            <w:noWrap w:val="0"/>
            <w:vAlign w:val="center"/>
          </w:tcPr>
          <w:p w14:paraId="4272B269">
            <w:pPr>
              <w:jc w:val="center"/>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1.0</w:t>
            </w:r>
          </w:p>
        </w:tc>
        <w:tc>
          <w:tcPr>
            <w:tcW w:w="353" w:type="pct"/>
            <w:noWrap w:val="0"/>
            <w:vAlign w:val="center"/>
          </w:tcPr>
          <w:p w14:paraId="61C56E1F">
            <w:pPr>
              <w:jc w:val="center"/>
              <w:rPr>
                <w:rFonts w:hint="default" w:ascii="Times New Roman" w:hAnsi="Times New Roman" w:cs="Times New Roman"/>
                <w:color w:val="000000"/>
                <w:szCs w:val="21"/>
              </w:rPr>
            </w:pPr>
            <w:r>
              <w:rPr>
                <w:rFonts w:hint="default" w:ascii="Times New Roman" w:hAnsi="Times New Roman" w:cs="Times New Roman"/>
                <w:szCs w:val="21"/>
              </w:rPr>
              <w:t>/</w:t>
            </w:r>
          </w:p>
        </w:tc>
        <w:tc>
          <w:tcPr>
            <w:tcW w:w="275" w:type="pct"/>
            <w:noWrap w:val="0"/>
            <w:vAlign w:val="center"/>
          </w:tcPr>
          <w:p w14:paraId="7A348DD0">
            <w:pPr>
              <w:jc w:val="center"/>
              <w:rPr>
                <w:rFonts w:hint="default" w:ascii="Times New Roman" w:hAnsi="Times New Roman" w:cs="Times New Roman"/>
                <w:color w:val="000000"/>
                <w:szCs w:val="21"/>
              </w:rPr>
            </w:pPr>
            <w:r>
              <w:rPr>
                <w:rFonts w:hint="default" w:ascii="Times New Roman" w:hAnsi="Times New Roman" w:cs="Times New Roman"/>
                <w:szCs w:val="21"/>
              </w:rPr>
              <w:t>固态</w:t>
            </w:r>
          </w:p>
        </w:tc>
        <w:tc>
          <w:tcPr>
            <w:tcW w:w="371" w:type="pct"/>
            <w:noWrap w:val="0"/>
            <w:vAlign w:val="center"/>
          </w:tcPr>
          <w:p w14:paraId="5A6D8F10">
            <w:pPr>
              <w:jc w:val="center"/>
              <w:rPr>
                <w:rFonts w:hint="default" w:ascii="Times New Roman" w:hAnsi="Times New Roman" w:cs="Times New Roman"/>
                <w:color w:val="000000"/>
                <w:szCs w:val="21"/>
              </w:rPr>
            </w:pPr>
            <w:r>
              <w:rPr>
                <w:rFonts w:hint="default" w:ascii="Times New Roman" w:hAnsi="Times New Roman" w:cs="Times New Roman"/>
                <w:szCs w:val="21"/>
              </w:rPr>
              <w:t>抹布、手套</w:t>
            </w:r>
          </w:p>
        </w:tc>
        <w:tc>
          <w:tcPr>
            <w:tcW w:w="352" w:type="pct"/>
            <w:noWrap w:val="0"/>
            <w:vAlign w:val="center"/>
          </w:tcPr>
          <w:p w14:paraId="16ED4327">
            <w:pPr>
              <w:widowControl/>
              <w:jc w:val="center"/>
              <w:rPr>
                <w:rFonts w:hint="default" w:ascii="Times New Roman" w:hAnsi="Times New Roman" w:cs="Times New Roman"/>
                <w:color w:val="000000"/>
                <w:szCs w:val="21"/>
              </w:rPr>
            </w:pPr>
            <w:r>
              <w:rPr>
                <w:rFonts w:hint="default" w:ascii="Times New Roman" w:hAnsi="Times New Roman" w:cs="Times New Roman"/>
                <w:szCs w:val="21"/>
              </w:rPr>
              <w:t>抹布、手套</w:t>
            </w:r>
          </w:p>
        </w:tc>
        <w:tc>
          <w:tcPr>
            <w:tcW w:w="273" w:type="pct"/>
            <w:noWrap w:val="0"/>
            <w:vAlign w:val="center"/>
          </w:tcPr>
          <w:p w14:paraId="2949E945">
            <w:pPr>
              <w:widowControl/>
              <w:jc w:val="center"/>
              <w:rPr>
                <w:rFonts w:hint="default" w:ascii="Times New Roman" w:hAnsi="Times New Roman" w:cs="Times New Roman"/>
                <w:color w:val="000000"/>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d</w:t>
            </w:r>
          </w:p>
        </w:tc>
        <w:tc>
          <w:tcPr>
            <w:tcW w:w="320" w:type="pct"/>
            <w:noWrap w:val="0"/>
            <w:vAlign w:val="center"/>
          </w:tcPr>
          <w:p w14:paraId="4FEFEA78">
            <w:pPr>
              <w:widowControl/>
              <w:jc w:val="center"/>
              <w:rPr>
                <w:rFonts w:hint="default" w:ascii="Times New Roman" w:hAnsi="Times New Roman" w:cs="Times New Roman"/>
                <w:color w:val="000000"/>
                <w:szCs w:val="21"/>
              </w:rPr>
            </w:pPr>
            <w:r>
              <w:rPr>
                <w:rFonts w:hint="default" w:ascii="Times New Roman" w:hAnsi="Times New Roman" w:cs="Times New Roman"/>
                <w:szCs w:val="21"/>
              </w:rPr>
              <w:t>T/In</w:t>
            </w:r>
          </w:p>
        </w:tc>
        <w:tc>
          <w:tcPr>
            <w:tcW w:w="232" w:type="pct"/>
            <w:noWrap w:val="0"/>
            <w:vAlign w:val="center"/>
          </w:tcPr>
          <w:p w14:paraId="6788DAF4">
            <w:pPr>
              <w:widowControl/>
              <w:jc w:val="center"/>
              <w:rPr>
                <w:rFonts w:hint="default" w:ascii="Times New Roman" w:hAnsi="Times New Roman" w:cs="Times New Roman"/>
                <w:color w:val="000000"/>
                <w:szCs w:val="21"/>
              </w:rPr>
            </w:pPr>
            <w:r>
              <w:rPr>
                <w:rFonts w:hint="default" w:ascii="Times New Roman" w:hAnsi="Times New Roman" w:cs="Times New Roman"/>
                <w:szCs w:val="21"/>
              </w:rPr>
              <w:t>环卫清运</w:t>
            </w:r>
          </w:p>
        </w:tc>
      </w:tr>
    </w:tbl>
    <w:p w14:paraId="142580E6">
      <w:pPr>
        <w:snapToGrid w:val="0"/>
        <w:spacing w:line="500" w:lineRule="exact"/>
        <w:jc w:val="center"/>
        <w:rPr>
          <w:rFonts w:eastAsia="宋体"/>
          <w:b/>
          <w:bCs/>
        </w:rPr>
      </w:pPr>
      <w:r>
        <w:rPr>
          <w:rFonts w:eastAsia="宋体"/>
          <w:b/>
          <w:bCs/>
        </w:rPr>
        <w:t>表3-1</w:t>
      </w:r>
      <w:r>
        <w:rPr>
          <w:rFonts w:hint="eastAsia" w:eastAsia="宋体"/>
          <w:b/>
          <w:bCs/>
          <w:lang w:val="en-US" w:eastAsia="zh-CN"/>
        </w:rPr>
        <w:t>6</w:t>
      </w:r>
      <w:r>
        <w:rPr>
          <w:rFonts w:hint="eastAsia" w:eastAsia="宋体"/>
          <w:b/>
          <w:bCs/>
        </w:rPr>
        <w:t>一般</w:t>
      </w:r>
      <w:r>
        <w:rPr>
          <w:rFonts w:eastAsia="宋体"/>
          <w:b/>
          <w:bCs/>
        </w:rPr>
        <w:t>固（液）体</w:t>
      </w:r>
      <w:r>
        <w:rPr>
          <w:rFonts w:hint="eastAsia" w:eastAsia="宋体"/>
          <w:b/>
          <w:bCs/>
        </w:rPr>
        <w:t>废物产生</w:t>
      </w:r>
      <w:r>
        <w:rPr>
          <w:rFonts w:eastAsia="宋体"/>
          <w:b/>
          <w:bCs/>
        </w:rPr>
        <w:t>情况一览表</w:t>
      </w:r>
    </w:p>
    <w:tbl>
      <w:tblPr>
        <w:tblStyle w:val="38"/>
        <w:tblW w:w="50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480"/>
        <w:gridCol w:w="1068"/>
        <w:gridCol w:w="1068"/>
        <w:gridCol w:w="1542"/>
        <w:gridCol w:w="1566"/>
        <w:gridCol w:w="1844"/>
      </w:tblGrid>
      <w:tr w14:paraId="555AE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13" w:hRule="atLeast"/>
          <w:jc w:val="center"/>
        </w:trPr>
        <w:tc>
          <w:tcPr>
            <w:tcW w:w="439" w:type="pct"/>
            <w:noWrap w:val="0"/>
            <w:vAlign w:val="center"/>
          </w:tcPr>
          <w:p w14:paraId="2E1C48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bookmarkStart w:id="127" w:name="_Toc6390"/>
            <w:bookmarkStart w:id="128" w:name="_Toc8506"/>
            <w:bookmarkStart w:id="129" w:name="_Toc20765"/>
            <w:bookmarkStart w:id="130" w:name="_Toc398"/>
            <w:bookmarkStart w:id="131" w:name="_Toc16315"/>
            <w:r>
              <w:rPr>
                <w:rFonts w:hint="default" w:ascii="Times New Roman" w:hAnsi="Times New Roman" w:cs="Times New Roman"/>
                <w:b/>
                <w:bCs/>
                <w:color w:val="000000"/>
                <w:szCs w:val="21"/>
              </w:rPr>
              <w:t>序号</w:t>
            </w:r>
          </w:p>
        </w:tc>
        <w:tc>
          <w:tcPr>
            <w:tcW w:w="787" w:type="pct"/>
            <w:noWrap w:val="0"/>
            <w:vAlign w:val="center"/>
          </w:tcPr>
          <w:p w14:paraId="368CD2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名称</w:t>
            </w:r>
          </w:p>
        </w:tc>
        <w:tc>
          <w:tcPr>
            <w:tcW w:w="568" w:type="pct"/>
            <w:noWrap w:val="0"/>
            <w:vAlign w:val="center"/>
          </w:tcPr>
          <w:p w14:paraId="2EBA5B6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产生工序</w:t>
            </w:r>
          </w:p>
        </w:tc>
        <w:tc>
          <w:tcPr>
            <w:tcW w:w="568" w:type="pct"/>
            <w:noWrap w:val="0"/>
            <w:vAlign w:val="center"/>
          </w:tcPr>
          <w:p w14:paraId="34D5E5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形态</w:t>
            </w:r>
          </w:p>
        </w:tc>
        <w:tc>
          <w:tcPr>
            <w:tcW w:w="820" w:type="pct"/>
            <w:noWrap w:val="0"/>
            <w:vAlign w:val="center"/>
          </w:tcPr>
          <w:p w14:paraId="7A9460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主要成分</w:t>
            </w:r>
          </w:p>
        </w:tc>
        <w:tc>
          <w:tcPr>
            <w:tcW w:w="833" w:type="pct"/>
            <w:noWrap w:val="0"/>
            <w:vAlign w:val="center"/>
          </w:tcPr>
          <w:p w14:paraId="432C8E6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产生量（t/a）</w:t>
            </w:r>
          </w:p>
        </w:tc>
        <w:tc>
          <w:tcPr>
            <w:tcW w:w="981" w:type="pct"/>
            <w:noWrap w:val="0"/>
            <w:vAlign w:val="center"/>
          </w:tcPr>
          <w:p w14:paraId="1BEFBA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处置方法</w:t>
            </w:r>
          </w:p>
        </w:tc>
      </w:tr>
      <w:tr w14:paraId="4DAA9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13" w:hRule="atLeast"/>
          <w:jc w:val="center"/>
        </w:trPr>
        <w:tc>
          <w:tcPr>
            <w:tcW w:w="439" w:type="pct"/>
            <w:noWrap w:val="0"/>
            <w:vAlign w:val="center"/>
          </w:tcPr>
          <w:p w14:paraId="334908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787" w:type="pct"/>
            <w:noWrap w:val="0"/>
            <w:vAlign w:val="center"/>
          </w:tcPr>
          <w:p w14:paraId="6156454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废木条</w:t>
            </w:r>
          </w:p>
        </w:tc>
        <w:tc>
          <w:tcPr>
            <w:tcW w:w="568" w:type="pct"/>
            <w:noWrap w:val="0"/>
            <w:vAlign w:val="center"/>
          </w:tcPr>
          <w:p w14:paraId="2E3141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木工加工</w:t>
            </w:r>
          </w:p>
        </w:tc>
        <w:tc>
          <w:tcPr>
            <w:tcW w:w="568" w:type="pct"/>
            <w:noWrap w:val="0"/>
            <w:vAlign w:val="center"/>
          </w:tcPr>
          <w:p w14:paraId="2FCD2FE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820" w:type="pct"/>
            <w:noWrap w:val="0"/>
            <w:vAlign w:val="center"/>
          </w:tcPr>
          <w:p w14:paraId="39A8647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板材等</w:t>
            </w:r>
          </w:p>
        </w:tc>
        <w:tc>
          <w:tcPr>
            <w:tcW w:w="833" w:type="pct"/>
            <w:noWrap w:val="0"/>
            <w:vAlign w:val="center"/>
          </w:tcPr>
          <w:p w14:paraId="07FEA62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4.8</w:t>
            </w:r>
          </w:p>
        </w:tc>
        <w:tc>
          <w:tcPr>
            <w:tcW w:w="981" w:type="pct"/>
            <w:vMerge w:val="restart"/>
            <w:noWrap w:val="0"/>
            <w:vAlign w:val="center"/>
          </w:tcPr>
          <w:p w14:paraId="114EB2E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外售综合利用</w:t>
            </w:r>
          </w:p>
        </w:tc>
      </w:tr>
      <w:tr w14:paraId="35C2C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jc w:val="center"/>
        </w:trPr>
        <w:tc>
          <w:tcPr>
            <w:tcW w:w="439" w:type="pct"/>
            <w:noWrap w:val="0"/>
            <w:vAlign w:val="center"/>
          </w:tcPr>
          <w:p w14:paraId="335E81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787" w:type="pct"/>
            <w:noWrap w:val="0"/>
            <w:vAlign w:val="center"/>
          </w:tcPr>
          <w:p w14:paraId="0D64440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废皮革、废海绵</w:t>
            </w:r>
          </w:p>
        </w:tc>
        <w:tc>
          <w:tcPr>
            <w:tcW w:w="568" w:type="pct"/>
            <w:noWrap w:val="0"/>
            <w:vAlign w:val="center"/>
          </w:tcPr>
          <w:p w14:paraId="16478A3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软包</w:t>
            </w:r>
          </w:p>
        </w:tc>
        <w:tc>
          <w:tcPr>
            <w:tcW w:w="568" w:type="pct"/>
            <w:noWrap w:val="0"/>
            <w:vAlign w:val="center"/>
          </w:tcPr>
          <w:p w14:paraId="1EB541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820" w:type="pct"/>
            <w:noWrap w:val="0"/>
            <w:vAlign w:val="center"/>
          </w:tcPr>
          <w:p w14:paraId="403D1E7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皮革、海绵</w:t>
            </w:r>
          </w:p>
        </w:tc>
        <w:tc>
          <w:tcPr>
            <w:tcW w:w="833" w:type="pct"/>
            <w:noWrap w:val="0"/>
            <w:vAlign w:val="center"/>
          </w:tcPr>
          <w:p w14:paraId="0A134BA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0.1</w:t>
            </w:r>
          </w:p>
        </w:tc>
        <w:tc>
          <w:tcPr>
            <w:tcW w:w="981" w:type="pct"/>
            <w:vMerge w:val="continue"/>
            <w:noWrap w:val="0"/>
            <w:vAlign w:val="center"/>
          </w:tcPr>
          <w:p w14:paraId="30FFC13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p>
        </w:tc>
      </w:tr>
      <w:tr w14:paraId="7B00D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jc w:val="center"/>
        </w:trPr>
        <w:tc>
          <w:tcPr>
            <w:tcW w:w="439" w:type="pct"/>
            <w:noWrap w:val="0"/>
            <w:vAlign w:val="center"/>
          </w:tcPr>
          <w:p w14:paraId="14AD1F9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787" w:type="pct"/>
            <w:noWrap w:val="0"/>
            <w:vAlign w:val="center"/>
          </w:tcPr>
          <w:p w14:paraId="0C91806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木屑、除尘灰</w:t>
            </w:r>
          </w:p>
        </w:tc>
        <w:tc>
          <w:tcPr>
            <w:tcW w:w="568" w:type="pct"/>
            <w:noWrap w:val="0"/>
            <w:vAlign w:val="center"/>
          </w:tcPr>
          <w:p w14:paraId="791DF17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除尘</w:t>
            </w:r>
          </w:p>
        </w:tc>
        <w:tc>
          <w:tcPr>
            <w:tcW w:w="568" w:type="pct"/>
            <w:noWrap w:val="0"/>
            <w:vAlign w:val="center"/>
          </w:tcPr>
          <w:p w14:paraId="3F5A20F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820" w:type="pct"/>
            <w:noWrap w:val="0"/>
            <w:vAlign w:val="center"/>
          </w:tcPr>
          <w:p w14:paraId="0660A95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木屑等</w:t>
            </w:r>
          </w:p>
        </w:tc>
        <w:tc>
          <w:tcPr>
            <w:tcW w:w="833" w:type="pct"/>
            <w:noWrap w:val="0"/>
            <w:vAlign w:val="center"/>
          </w:tcPr>
          <w:p w14:paraId="24719D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2.37</w:t>
            </w:r>
          </w:p>
        </w:tc>
        <w:tc>
          <w:tcPr>
            <w:tcW w:w="981" w:type="pct"/>
            <w:vMerge w:val="continue"/>
            <w:noWrap w:val="0"/>
            <w:vAlign w:val="center"/>
          </w:tcPr>
          <w:p w14:paraId="41468B9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p>
        </w:tc>
      </w:tr>
      <w:tr w14:paraId="67654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13" w:hRule="atLeast"/>
          <w:jc w:val="center"/>
        </w:trPr>
        <w:tc>
          <w:tcPr>
            <w:tcW w:w="439" w:type="pct"/>
            <w:noWrap w:val="0"/>
            <w:vAlign w:val="center"/>
          </w:tcPr>
          <w:p w14:paraId="32ED03E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4</w:t>
            </w:r>
          </w:p>
        </w:tc>
        <w:tc>
          <w:tcPr>
            <w:tcW w:w="787" w:type="pct"/>
            <w:noWrap w:val="0"/>
            <w:vAlign w:val="center"/>
          </w:tcPr>
          <w:p w14:paraId="30A2A73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白坯打磨粉尘</w:t>
            </w:r>
          </w:p>
        </w:tc>
        <w:tc>
          <w:tcPr>
            <w:tcW w:w="568" w:type="pct"/>
            <w:noWrap w:val="0"/>
            <w:vAlign w:val="center"/>
          </w:tcPr>
          <w:p w14:paraId="358EA579">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打磨</w:t>
            </w:r>
          </w:p>
        </w:tc>
        <w:tc>
          <w:tcPr>
            <w:tcW w:w="568" w:type="pct"/>
            <w:noWrap w:val="0"/>
            <w:vAlign w:val="center"/>
          </w:tcPr>
          <w:p w14:paraId="23F89D82">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固态</w:t>
            </w:r>
          </w:p>
        </w:tc>
        <w:tc>
          <w:tcPr>
            <w:tcW w:w="820" w:type="pct"/>
            <w:noWrap w:val="0"/>
            <w:vAlign w:val="center"/>
          </w:tcPr>
          <w:p w14:paraId="67559159">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木粉尘</w:t>
            </w:r>
          </w:p>
        </w:tc>
        <w:tc>
          <w:tcPr>
            <w:tcW w:w="833" w:type="pct"/>
            <w:noWrap w:val="0"/>
            <w:vAlign w:val="center"/>
          </w:tcPr>
          <w:p w14:paraId="126C103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0.07</w:t>
            </w:r>
          </w:p>
        </w:tc>
        <w:tc>
          <w:tcPr>
            <w:tcW w:w="981" w:type="pct"/>
            <w:vMerge w:val="continue"/>
            <w:noWrap w:val="0"/>
            <w:vAlign w:val="center"/>
          </w:tcPr>
          <w:p w14:paraId="7E9AED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p>
        </w:tc>
      </w:tr>
      <w:tr w14:paraId="31661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trHeight w:val="671" w:hRule="atLeast"/>
          <w:jc w:val="center"/>
        </w:trPr>
        <w:tc>
          <w:tcPr>
            <w:tcW w:w="439" w:type="pct"/>
            <w:noWrap w:val="0"/>
            <w:vAlign w:val="center"/>
          </w:tcPr>
          <w:p w14:paraId="7583398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5</w:t>
            </w:r>
          </w:p>
        </w:tc>
        <w:tc>
          <w:tcPr>
            <w:tcW w:w="787" w:type="pct"/>
            <w:noWrap w:val="0"/>
            <w:vAlign w:val="center"/>
          </w:tcPr>
          <w:p w14:paraId="1359AEE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生活垃圾</w:t>
            </w:r>
          </w:p>
        </w:tc>
        <w:tc>
          <w:tcPr>
            <w:tcW w:w="568" w:type="pct"/>
            <w:noWrap w:val="0"/>
            <w:vAlign w:val="center"/>
          </w:tcPr>
          <w:p w14:paraId="4CD3456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办公生活</w:t>
            </w:r>
          </w:p>
        </w:tc>
        <w:tc>
          <w:tcPr>
            <w:tcW w:w="568" w:type="pct"/>
            <w:noWrap w:val="0"/>
            <w:vAlign w:val="center"/>
          </w:tcPr>
          <w:p w14:paraId="7A468C8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固态</w:t>
            </w:r>
          </w:p>
        </w:tc>
        <w:tc>
          <w:tcPr>
            <w:tcW w:w="820" w:type="pct"/>
            <w:noWrap w:val="0"/>
            <w:vAlign w:val="center"/>
          </w:tcPr>
          <w:p w14:paraId="0C7200C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纸屑、果皮等</w:t>
            </w:r>
          </w:p>
        </w:tc>
        <w:tc>
          <w:tcPr>
            <w:tcW w:w="833" w:type="pct"/>
            <w:noWrap w:val="0"/>
            <w:vAlign w:val="center"/>
          </w:tcPr>
          <w:p w14:paraId="0599D3D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4.5</w:t>
            </w:r>
          </w:p>
        </w:tc>
        <w:tc>
          <w:tcPr>
            <w:tcW w:w="981" w:type="pct"/>
            <w:noWrap w:val="0"/>
            <w:vAlign w:val="center"/>
          </w:tcPr>
          <w:p w14:paraId="2F8BB3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环卫清运</w:t>
            </w:r>
          </w:p>
        </w:tc>
      </w:tr>
    </w:tbl>
    <w:p w14:paraId="2539C677">
      <w:pPr>
        <w:pStyle w:val="3"/>
        <w:snapToGrid w:val="0"/>
        <w:spacing w:line="500" w:lineRule="exact"/>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27"/>
      <w:bookmarkEnd w:id="128"/>
      <w:bookmarkEnd w:id="129"/>
      <w:bookmarkEnd w:id="130"/>
      <w:bookmarkEnd w:id="131"/>
    </w:p>
    <w:p w14:paraId="12C74C06">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公司成立至今未发生过</w:t>
      </w:r>
      <w:r>
        <w:rPr>
          <w:rFonts w:eastAsiaTheme="minorEastAsia"/>
          <w:color w:val="000000" w:themeColor="text1"/>
          <w14:textFill>
            <w14:solidFill>
              <w14:schemeClr w14:val="tx1"/>
            </w14:solidFill>
          </w14:textFill>
        </w:rPr>
        <w:t>重大环境风险事故。</w:t>
      </w:r>
    </w:p>
    <w:p w14:paraId="38E9A8D5">
      <w:pPr>
        <w:pStyle w:val="3"/>
        <w:snapToGrid w:val="0"/>
        <w:spacing w:line="500" w:lineRule="exact"/>
        <w:rPr>
          <w:rFonts w:eastAsiaTheme="minorEastAsia"/>
          <w:color w:val="000000" w:themeColor="text1"/>
          <w:sz w:val="24"/>
          <w:szCs w:val="24"/>
          <w14:textFill>
            <w14:solidFill>
              <w14:schemeClr w14:val="tx1"/>
            </w14:solidFill>
          </w14:textFill>
        </w:rPr>
      </w:pPr>
      <w:bookmarkStart w:id="132" w:name="_Toc31165"/>
      <w:bookmarkStart w:id="133" w:name="_Toc17748"/>
      <w:bookmarkStart w:id="134" w:name="_Toc10457"/>
      <w:bookmarkStart w:id="135" w:name="_Toc22281"/>
      <w:bookmarkStart w:id="136" w:name="_Toc19769"/>
      <w:bookmarkStart w:id="137" w:name="_Toc456642258"/>
      <w:bookmarkStart w:id="138" w:name="_Toc25591"/>
      <w:r>
        <w:rPr>
          <w:rFonts w:hint="eastAsia" w:eastAsiaTheme="minorEastAsia"/>
          <w:color w:val="000000" w:themeColor="text1"/>
          <w:sz w:val="24"/>
          <w:szCs w:val="24"/>
          <w14:textFill>
            <w14:solidFill>
              <w14:schemeClr w14:val="tx1"/>
            </w14:solidFill>
          </w14:textFill>
        </w:rPr>
        <w:t>3.7安全生产管理</w:t>
      </w:r>
      <w:bookmarkEnd w:id="132"/>
      <w:bookmarkEnd w:id="133"/>
      <w:bookmarkEnd w:id="134"/>
      <w:bookmarkEnd w:id="135"/>
      <w:bookmarkEnd w:id="136"/>
      <w:bookmarkEnd w:id="137"/>
      <w:bookmarkEnd w:id="138"/>
    </w:p>
    <w:p w14:paraId="0CEAACD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7A710A9F">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7</w:t>
      </w:r>
      <w:r>
        <w:rPr>
          <w:rFonts w:eastAsia="宋体"/>
          <w:b/>
          <w:bCs/>
        </w:rPr>
        <w:t>企业安全生产管理</w:t>
      </w:r>
    </w:p>
    <w:tbl>
      <w:tblPr>
        <w:tblStyle w:val="3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08BB3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71699C13">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3D416FA7">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6C876E87">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5F68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D4272CD">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921E26">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14A1DCD9">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2FE2D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26D714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07B884B">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202792C5">
            <w:pPr>
              <w:adjustRightInd w:val="0"/>
              <w:jc w:val="center"/>
              <w:rPr>
                <w:rFonts w:ascii="宋体" w:hAnsi="宋体" w:eastAsia="宋体" w:cs="宋体"/>
                <w:sz w:val="21"/>
                <w:szCs w:val="21"/>
              </w:rPr>
            </w:pPr>
          </w:p>
        </w:tc>
      </w:tr>
      <w:tr w14:paraId="19B8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E7253F4">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42B2D66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32A69F4A">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3BD6D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56EEE0F7">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470438C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059BF7E2">
            <w:pPr>
              <w:adjustRightInd w:val="0"/>
              <w:jc w:val="center"/>
              <w:rPr>
                <w:rFonts w:ascii="宋体" w:hAnsi="宋体" w:eastAsia="宋体" w:cs="宋体"/>
                <w:sz w:val="21"/>
                <w:szCs w:val="21"/>
              </w:rPr>
            </w:pPr>
          </w:p>
        </w:tc>
      </w:tr>
      <w:tr w14:paraId="0FAAB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268E745E">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304F58BB">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62A0C8F6">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B176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115DF731">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106117">
            <w:pPr>
              <w:adjustRightInd w:val="0"/>
              <w:jc w:val="center"/>
              <w:rPr>
                <w:rFonts w:ascii="宋体" w:hAnsi="宋体" w:eastAsia="宋体" w:cs="宋体"/>
                <w:sz w:val="21"/>
                <w:szCs w:val="21"/>
              </w:rPr>
            </w:pPr>
            <w:r>
              <w:rPr>
                <w:rFonts w:hint="eastAsia" w:ascii="宋体" w:hAnsi="宋体" w:eastAsia="宋体" w:cs="宋体"/>
                <w:sz w:val="21"/>
                <w:szCs w:val="21"/>
              </w:rPr>
              <w:t>未展开化学物质安全评价，或未通过安全设施竣工验收</w:t>
            </w:r>
          </w:p>
        </w:tc>
        <w:tc>
          <w:tcPr>
            <w:tcW w:w="656" w:type="pct"/>
            <w:tcBorders>
              <w:tl2br w:val="nil"/>
              <w:tr2bl w:val="nil"/>
            </w:tcBorders>
            <w:vAlign w:val="center"/>
          </w:tcPr>
          <w:p w14:paraId="2D1F3077">
            <w:pPr>
              <w:adjustRightInd w:val="0"/>
              <w:jc w:val="center"/>
              <w:rPr>
                <w:rFonts w:ascii="宋体" w:hAnsi="宋体" w:eastAsia="宋体" w:cs="宋体"/>
                <w:sz w:val="21"/>
                <w:szCs w:val="21"/>
              </w:rPr>
            </w:pPr>
          </w:p>
        </w:tc>
      </w:tr>
      <w:tr w14:paraId="11777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AA05185">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4208A56F">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3C67CC50">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42784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E06821D">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059BA1C">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0E2FBB76">
            <w:pPr>
              <w:jc w:val="center"/>
              <w:rPr>
                <w:rFonts w:ascii="宋体" w:hAnsi="宋体" w:eastAsia="宋体" w:cs="宋体"/>
                <w:sz w:val="21"/>
                <w:szCs w:val="21"/>
              </w:rPr>
            </w:pPr>
          </w:p>
        </w:tc>
      </w:tr>
    </w:tbl>
    <w:p w14:paraId="2BE4399A">
      <w:pPr>
        <w:pStyle w:val="3"/>
        <w:snapToGrid w:val="0"/>
        <w:spacing w:line="500" w:lineRule="exact"/>
        <w:rPr>
          <w:rFonts w:eastAsiaTheme="minorEastAsia"/>
          <w:color w:val="000000" w:themeColor="text1"/>
          <w:sz w:val="24"/>
          <w:szCs w:val="24"/>
          <w14:textFill>
            <w14:solidFill>
              <w14:schemeClr w14:val="tx1"/>
            </w14:solidFill>
          </w14:textFill>
        </w:rPr>
      </w:pPr>
      <w:bookmarkStart w:id="139" w:name="_Toc32103"/>
      <w:bookmarkStart w:id="140" w:name="_Toc31931"/>
      <w:bookmarkStart w:id="141" w:name="_Toc23508"/>
      <w:bookmarkStart w:id="142" w:name="_Toc22123"/>
      <w:bookmarkStart w:id="143" w:name="_Toc21635"/>
      <w:r>
        <w:rPr>
          <w:rFonts w:hint="eastAsia" w:eastAsiaTheme="minorEastAsia"/>
          <w:color w:val="000000" w:themeColor="text1"/>
          <w:sz w:val="24"/>
          <w:szCs w:val="24"/>
          <w14:textFill>
            <w14:solidFill>
              <w14:schemeClr w14:val="tx1"/>
            </w14:solidFill>
          </w14:textFill>
        </w:rPr>
        <w:t>3.8现有环境风险防控与应急措施情况</w:t>
      </w:r>
      <w:bookmarkEnd w:id="139"/>
      <w:bookmarkEnd w:id="140"/>
      <w:bookmarkEnd w:id="141"/>
      <w:bookmarkEnd w:id="142"/>
      <w:bookmarkEnd w:id="143"/>
    </w:p>
    <w:p w14:paraId="18E59501">
      <w:pPr>
        <w:pStyle w:val="5"/>
        <w:adjustRightInd w:val="0"/>
        <w:snapToGrid w:val="0"/>
        <w:spacing w:line="500" w:lineRule="exact"/>
        <w:rPr>
          <w:rFonts w:eastAsia="宋体"/>
          <w:szCs w:val="24"/>
        </w:rPr>
      </w:pPr>
      <w:bookmarkStart w:id="144" w:name="_Toc13776"/>
      <w:bookmarkStart w:id="145" w:name="_Toc21216"/>
      <w:bookmarkStart w:id="146" w:name="_Toc15542"/>
      <w:r>
        <w:rPr>
          <w:rFonts w:eastAsia="宋体"/>
          <w:szCs w:val="24"/>
        </w:rPr>
        <w:t>3.</w:t>
      </w:r>
      <w:r>
        <w:rPr>
          <w:rFonts w:hint="eastAsia" w:eastAsia="宋体"/>
          <w:szCs w:val="24"/>
        </w:rPr>
        <w:t>8</w:t>
      </w:r>
      <w:r>
        <w:rPr>
          <w:rFonts w:eastAsia="宋体"/>
          <w:szCs w:val="24"/>
        </w:rPr>
        <w:t>.</w:t>
      </w:r>
      <w:r>
        <w:rPr>
          <w:rFonts w:hint="eastAsia" w:eastAsia="宋体"/>
          <w:szCs w:val="24"/>
        </w:rPr>
        <w:t>1现有环境风险防控措施情况</w:t>
      </w:r>
      <w:bookmarkEnd w:id="144"/>
      <w:bookmarkEnd w:id="145"/>
      <w:bookmarkEnd w:id="146"/>
    </w:p>
    <w:p w14:paraId="027182F3">
      <w:pPr>
        <w:spacing w:line="500" w:lineRule="exact"/>
        <w:ind w:firstLine="480" w:firstLineChars="200"/>
        <w:rPr>
          <w:sz w:val="21"/>
        </w:rPr>
      </w:pPr>
      <w:bookmarkStart w:id="147" w:name="_Toc412725538"/>
      <w:bookmarkStart w:id="148" w:name="_Toc18304"/>
      <w:bookmarkStart w:id="149" w:name="_Toc446074790"/>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根据企业提供的资料和现场踏勘情况，并对照企业提供的其他资料，厂区涉及环境风险物质的环境风险单元及其环境风险防控措施的实施和日常管理情况见下表。</w:t>
      </w:r>
      <w: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5pt;height:0pt;width:714.35pt;mso-position-horizontal-relative:page;mso-position-vertical-relative:page;z-index:251661312;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E5&#10;ZcjWAAAADAEAAA8AAAAAAAAAAQAgAAAAIgAAAGRycy9kb3ducmV2LnhtbFBLAQIUABQAAAAIAIdO&#10;4kBGhaIl7AEAANgDAAAOAAAAAAAAAAEAIAAAACUBAABkcnMvZTJvRG9jLnhtbFBLBQYAAAAABgAG&#10;AFkBAACDBQAAAAA=&#10;">
                <v:fill on="f" focussize="0,0"/>
                <v:stroke weight="0.72pt" color="#000000" joinstyle="round"/>
                <v:imagedata o:title=""/>
                <o:lock v:ext="edit" aspectratio="f"/>
              </v:line>
            </w:pict>
          </mc:Fallback>
        </mc:AlternateContent>
      </w:r>
    </w:p>
    <w:p w14:paraId="0319C16D">
      <w:pPr>
        <w:snapToGrid w:val="0"/>
        <w:spacing w:line="500" w:lineRule="exact"/>
        <w:jc w:val="center"/>
        <w:rPr>
          <w:rFonts w:ascii="宋体" w:hAnsi="宋体" w:eastAsia="宋体" w:cs="宋体"/>
          <w:b/>
          <w:bCs/>
        </w:rPr>
      </w:pPr>
      <w:r>
        <w:rPr>
          <w:rFonts w:eastAsia="宋体"/>
          <w:b/>
          <w:bCs/>
        </w:rPr>
        <w:t>表3-1</w:t>
      </w:r>
      <w:r>
        <w:rPr>
          <w:rFonts w:hint="eastAsia" w:eastAsia="宋体"/>
          <w:b/>
          <w:bCs/>
          <w:lang w:val="en-US" w:eastAsia="zh-CN"/>
        </w:rPr>
        <w:t>8</w:t>
      </w:r>
      <w:r>
        <w:rPr>
          <w:rFonts w:eastAsia="宋体"/>
          <w:b/>
          <w:bCs/>
        </w:rPr>
        <w:t>企业现有环境风险单元及防控措施一览表</w:t>
      </w:r>
    </w:p>
    <w:tbl>
      <w:tblPr>
        <w:tblStyle w:val="38"/>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574"/>
        <w:gridCol w:w="870"/>
        <w:gridCol w:w="1533"/>
        <w:gridCol w:w="1628"/>
        <w:gridCol w:w="1724"/>
        <w:gridCol w:w="2865"/>
      </w:tblGrid>
      <w:tr w14:paraId="30B32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312" w:type="pct"/>
            <w:tcBorders>
              <w:tl2br w:val="nil"/>
              <w:tr2bl w:val="nil"/>
            </w:tcBorders>
            <w:vAlign w:val="center"/>
          </w:tcPr>
          <w:p w14:paraId="6DEA294F">
            <w:pPr>
              <w:pStyle w:val="142"/>
              <w:rPr>
                <w:b/>
                <w:sz w:val="21"/>
              </w:rPr>
            </w:pPr>
            <w:r>
              <w:rPr>
                <w:b/>
                <w:sz w:val="21"/>
              </w:rPr>
              <w:t>类别</w:t>
            </w:r>
          </w:p>
        </w:tc>
        <w:tc>
          <w:tcPr>
            <w:tcW w:w="473" w:type="pct"/>
            <w:tcBorders>
              <w:tl2br w:val="nil"/>
              <w:tr2bl w:val="nil"/>
            </w:tcBorders>
            <w:vAlign w:val="center"/>
          </w:tcPr>
          <w:p w14:paraId="03384F23">
            <w:pPr>
              <w:pStyle w:val="142"/>
              <w:rPr>
                <w:b/>
                <w:sz w:val="21"/>
              </w:rPr>
            </w:pPr>
            <w:r>
              <w:rPr>
                <w:b/>
                <w:sz w:val="21"/>
              </w:rPr>
              <w:t>位置</w:t>
            </w:r>
          </w:p>
        </w:tc>
        <w:tc>
          <w:tcPr>
            <w:tcW w:w="833" w:type="pct"/>
            <w:tcBorders>
              <w:tl2br w:val="nil"/>
              <w:tr2bl w:val="nil"/>
            </w:tcBorders>
            <w:vAlign w:val="center"/>
          </w:tcPr>
          <w:p w14:paraId="73194CFF">
            <w:pPr>
              <w:pStyle w:val="142"/>
              <w:rPr>
                <w:b/>
                <w:sz w:val="21"/>
              </w:rPr>
            </w:pPr>
            <w:r>
              <w:rPr>
                <w:b/>
                <w:sz w:val="21"/>
              </w:rPr>
              <w:t>主要危险物质</w:t>
            </w:r>
          </w:p>
        </w:tc>
        <w:tc>
          <w:tcPr>
            <w:tcW w:w="885" w:type="pct"/>
            <w:tcBorders>
              <w:tl2br w:val="nil"/>
              <w:tr2bl w:val="nil"/>
            </w:tcBorders>
            <w:vAlign w:val="center"/>
          </w:tcPr>
          <w:p w14:paraId="33F9A2B1">
            <w:pPr>
              <w:pStyle w:val="142"/>
              <w:rPr>
                <w:b/>
                <w:sz w:val="21"/>
              </w:rPr>
            </w:pPr>
            <w:r>
              <w:rPr>
                <w:b/>
                <w:sz w:val="21"/>
              </w:rPr>
              <w:t>主要环境风险分析</w:t>
            </w:r>
          </w:p>
        </w:tc>
        <w:tc>
          <w:tcPr>
            <w:tcW w:w="937" w:type="pct"/>
            <w:tcBorders>
              <w:tl2br w:val="nil"/>
              <w:tr2bl w:val="nil"/>
            </w:tcBorders>
            <w:vAlign w:val="center"/>
          </w:tcPr>
          <w:p w14:paraId="13BF28A4">
            <w:pPr>
              <w:pStyle w:val="142"/>
              <w:rPr>
                <w:b/>
                <w:sz w:val="21"/>
              </w:rPr>
            </w:pPr>
            <w:r>
              <w:rPr>
                <w:b/>
                <w:sz w:val="21"/>
              </w:rPr>
              <w:t>风险防控</w:t>
            </w:r>
          </w:p>
        </w:tc>
        <w:tc>
          <w:tcPr>
            <w:tcW w:w="1557" w:type="pct"/>
            <w:tcBorders>
              <w:tl2br w:val="nil"/>
              <w:tr2bl w:val="nil"/>
            </w:tcBorders>
            <w:vAlign w:val="center"/>
          </w:tcPr>
          <w:p w14:paraId="25DFC749">
            <w:pPr>
              <w:pStyle w:val="142"/>
              <w:rPr>
                <w:b/>
                <w:sz w:val="21"/>
              </w:rPr>
            </w:pPr>
            <w:r>
              <w:rPr>
                <w:b/>
                <w:sz w:val="21"/>
              </w:rPr>
              <w:t>应急处置措施</w:t>
            </w:r>
          </w:p>
        </w:tc>
      </w:tr>
      <w:tr w14:paraId="4ABE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312" w:type="pct"/>
            <w:tcBorders>
              <w:tl2br w:val="nil"/>
              <w:tr2bl w:val="nil"/>
            </w:tcBorders>
            <w:vAlign w:val="center"/>
          </w:tcPr>
          <w:p w14:paraId="555F6072">
            <w:pPr>
              <w:pStyle w:val="142"/>
              <w:rPr>
                <w:sz w:val="21"/>
              </w:rPr>
            </w:pPr>
            <w:r>
              <w:rPr>
                <w:sz w:val="21"/>
              </w:rPr>
              <w:t>辅助工程</w:t>
            </w:r>
          </w:p>
        </w:tc>
        <w:tc>
          <w:tcPr>
            <w:tcW w:w="473" w:type="pct"/>
            <w:tcBorders>
              <w:tl2br w:val="nil"/>
              <w:tr2bl w:val="nil"/>
            </w:tcBorders>
            <w:vAlign w:val="center"/>
          </w:tcPr>
          <w:p w14:paraId="3D751EAB">
            <w:pPr>
              <w:pStyle w:val="142"/>
              <w:rPr>
                <w:sz w:val="21"/>
              </w:rPr>
            </w:pPr>
            <w:r>
              <w:rPr>
                <w:rFonts w:hint="eastAsia"/>
                <w:sz w:val="21"/>
              </w:rPr>
              <w:t>油漆仓库</w:t>
            </w:r>
          </w:p>
        </w:tc>
        <w:tc>
          <w:tcPr>
            <w:tcW w:w="833" w:type="pct"/>
            <w:tcBorders>
              <w:tl2br w:val="nil"/>
              <w:tr2bl w:val="nil"/>
            </w:tcBorders>
            <w:vAlign w:val="center"/>
          </w:tcPr>
          <w:p w14:paraId="4F84A578">
            <w:pPr>
              <w:pStyle w:val="142"/>
              <w:rPr>
                <w:sz w:val="21"/>
              </w:rPr>
            </w:pPr>
            <w:r>
              <w:rPr>
                <w:rFonts w:hint="eastAsia"/>
                <w:sz w:val="21"/>
              </w:rPr>
              <w:t>水性漆等</w:t>
            </w:r>
          </w:p>
        </w:tc>
        <w:tc>
          <w:tcPr>
            <w:tcW w:w="885" w:type="pct"/>
            <w:tcBorders>
              <w:tl2br w:val="nil"/>
              <w:tr2bl w:val="nil"/>
            </w:tcBorders>
            <w:vAlign w:val="center"/>
          </w:tcPr>
          <w:p w14:paraId="08DF5C14">
            <w:pPr>
              <w:pStyle w:val="142"/>
              <w:rPr>
                <w:sz w:val="21"/>
              </w:rPr>
            </w:pPr>
            <w:r>
              <w:rPr>
                <w:sz w:val="21"/>
              </w:rPr>
              <w:t>遇高温或明火引发火灾、爆炸事故；污染下风向大气环境；泄漏物料进入外环境，污染地表水和土壤</w:t>
            </w:r>
          </w:p>
        </w:tc>
        <w:tc>
          <w:tcPr>
            <w:tcW w:w="937" w:type="pct"/>
            <w:tcBorders>
              <w:tl2br w:val="nil"/>
              <w:tr2bl w:val="nil"/>
            </w:tcBorders>
            <w:vAlign w:val="center"/>
          </w:tcPr>
          <w:p w14:paraId="733EFFE8">
            <w:pPr>
              <w:pStyle w:val="142"/>
              <w:rPr>
                <w:sz w:val="21"/>
              </w:rPr>
            </w:pPr>
            <w:r>
              <w:rPr>
                <w:sz w:val="21"/>
              </w:rPr>
              <w:t>摄像头、人工巡视点检；地面防腐防渗</w:t>
            </w:r>
          </w:p>
        </w:tc>
        <w:tc>
          <w:tcPr>
            <w:tcW w:w="1557" w:type="pct"/>
            <w:tcBorders>
              <w:tl2br w:val="nil"/>
              <w:tr2bl w:val="nil"/>
            </w:tcBorders>
            <w:vAlign w:val="center"/>
          </w:tcPr>
          <w:p w14:paraId="2766C5CE">
            <w:pPr>
              <w:jc w:val="center"/>
              <w:rPr>
                <w:rFonts w:ascii="宋体" w:hAnsi="宋体" w:eastAsia="宋体" w:cs="宋体"/>
                <w:sz w:val="21"/>
                <w:szCs w:val="21"/>
              </w:rPr>
            </w:pPr>
            <w:r>
              <w:rPr>
                <w:rFonts w:hint="eastAsia" w:ascii="宋体" w:hAnsi="宋体" w:eastAsia="宋体" w:cs="宋体"/>
                <w:sz w:val="21"/>
                <w:szCs w:val="21"/>
              </w:rPr>
              <w:t>查明泄漏点，将泄漏部位与系统隔离</w:t>
            </w:r>
          </w:p>
          <w:p w14:paraId="027B3BD9">
            <w:pPr>
              <w:jc w:val="center"/>
              <w:rPr>
                <w:sz w:val="2"/>
                <w:szCs w:val="2"/>
              </w:rPr>
            </w:pPr>
          </w:p>
        </w:tc>
      </w:tr>
      <w:tr w14:paraId="6E09A3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312" w:type="pct"/>
            <w:vMerge w:val="restart"/>
            <w:tcBorders>
              <w:tl2br w:val="nil"/>
              <w:tr2bl w:val="nil"/>
            </w:tcBorders>
            <w:vAlign w:val="center"/>
          </w:tcPr>
          <w:p w14:paraId="67AB9618">
            <w:pPr>
              <w:pStyle w:val="142"/>
              <w:rPr>
                <w:sz w:val="21"/>
              </w:rPr>
            </w:pPr>
            <w:r>
              <w:rPr>
                <w:sz w:val="21"/>
              </w:rPr>
              <w:t>环保设施</w:t>
            </w:r>
          </w:p>
        </w:tc>
        <w:tc>
          <w:tcPr>
            <w:tcW w:w="473" w:type="pct"/>
            <w:tcBorders>
              <w:tl2br w:val="nil"/>
              <w:tr2bl w:val="nil"/>
            </w:tcBorders>
            <w:vAlign w:val="center"/>
          </w:tcPr>
          <w:p w14:paraId="30CC0675">
            <w:pPr>
              <w:pStyle w:val="142"/>
              <w:rPr>
                <w:sz w:val="21"/>
              </w:rPr>
            </w:pPr>
            <w:r>
              <w:rPr>
                <w:sz w:val="21"/>
              </w:rPr>
              <w:t>废气处理</w:t>
            </w:r>
            <w:r>
              <w:rPr>
                <w:rFonts w:hint="eastAsia"/>
                <w:sz w:val="21"/>
              </w:rPr>
              <w:t>设施</w:t>
            </w:r>
            <w:r>
              <w:rPr>
                <w:sz w:val="21"/>
              </w:rPr>
              <w:t>置</w:t>
            </w:r>
          </w:p>
        </w:tc>
        <w:tc>
          <w:tcPr>
            <w:tcW w:w="833" w:type="pct"/>
            <w:tcBorders>
              <w:tl2br w:val="nil"/>
              <w:tr2bl w:val="nil"/>
            </w:tcBorders>
            <w:vAlign w:val="center"/>
          </w:tcPr>
          <w:p w14:paraId="7E8CDCF8">
            <w:pPr>
              <w:pStyle w:val="142"/>
              <w:rPr>
                <w:sz w:val="21"/>
              </w:rPr>
            </w:pPr>
            <w:r>
              <w:rPr>
                <w:sz w:val="21"/>
              </w:rPr>
              <w:t>颗粒物、</w:t>
            </w:r>
            <w:r>
              <w:rPr>
                <w:rFonts w:hint="eastAsia"/>
                <w:sz w:val="21"/>
              </w:rPr>
              <w:t>挥发性有机物</w:t>
            </w:r>
          </w:p>
        </w:tc>
        <w:tc>
          <w:tcPr>
            <w:tcW w:w="885" w:type="pct"/>
            <w:tcBorders>
              <w:tl2br w:val="nil"/>
              <w:tr2bl w:val="nil"/>
            </w:tcBorders>
            <w:vAlign w:val="center"/>
          </w:tcPr>
          <w:p w14:paraId="16E0F155">
            <w:pPr>
              <w:pStyle w:val="142"/>
              <w:rPr>
                <w:sz w:val="21"/>
              </w:rPr>
            </w:pPr>
            <w:r>
              <w:rPr>
                <w:sz w:val="21"/>
              </w:rPr>
              <w:t>处理措施故障，废气不达标排放</w:t>
            </w:r>
          </w:p>
        </w:tc>
        <w:tc>
          <w:tcPr>
            <w:tcW w:w="937" w:type="pct"/>
            <w:tcBorders>
              <w:tl2br w:val="nil"/>
              <w:tr2bl w:val="nil"/>
            </w:tcBorders>
            <w:vAlign w:val="center"/>
          </w:tcPr>
          <w:p w14:paraId="1E87C688">
            <w:pPr>
              <w:pStyle w:val="142"/>
              <w:rPr>
                <w:sz w:val="21"/>
              </w:rPr>
            </w:pPr>
            <w:r>
              <w:rPr>
                <w:sz w:val="21"/>
              </w:rPr>
              <w:t>定期委托资质单位进行监测；定期对废气处理措施进行维护等</w:t>
            </w:r>
          </w:p>
        </w:tc>
        <w:tc>
          <w:tcPr>
            <w:tcW w:w="1557" w:type="pct"/>
            <w:tcBorders>
              <w:tl2br w:val="nil"/>
              <w:tr2bl w:val="nil"/>
            </w:tcBorders>
            <w:vAlign w:val="center"/>
          </w:tcPr>
          <w:p w14:paraId="36905374">
            <w:pPr>
              <w:pStyle w:val="142"/>
              <w:rPr>
                <w:sz w:val="21"/>
              </w:rPr>
            </w:pPr>
            <w:r>
              <w:rPr>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r>
      <w:tr w14:paraId="501666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7D4AE0C9">
            <w:pPr>
              <w:jc w:val="center"/>
              <w:rPr>
                <w:sz w:val="2"/>
                <w:szCs w:val="2"/>
              </w:rPr>
            </w:pPr>
          </w:p>
        </w:tc>
        <w:tc>
          <w:tcPr>
            <w:tcW w:w="473" w:type="pct"/>
            <w:tcBorders>
              <w:tl2br w:val="nil"/>
              <w:tr2bl w:val="nil"/>
            </w:tcBorders>
            <w:vAlign w:val="center"/>
          </w:tcPr>
          <w:p w14:paraId="2BFC45C3">
            <w:pPr>
              <w:pStyle w:val="142"/>
              <w:rPr>
                <w:rFonts w:hint="eastAsia" w:eastAsia="宋体"/>
                <w:sz w:val="21"/>
                <w:lang w:eastAsia="zh-CN"/>
              </w:rPr>
            </w:pPr>
            <w:r>
              <w:rPr>
                <w:rFonts w:hint="eastAsia"/>
                <w:sz w:val="21"/>
                <w:lang w:eastAsia="zh-CN"/>
              </w:rPr>
              <w:t>回用水设施</w:t>
            </w:r>
          </w:p>
        </w:tc>
        <w:tc>
          <w:tcPr>
            <w:tcW w:w="833" w:type="pct"/>
            <w:tcBorders>
              <w:tl2br w:val="nil"/>
              <w:tr2bl w:val="nil"/>
            </w:tcBorders>
            <w:vAlign w:val="center"/>
          </w:tcPr>
          <w:p w14:paraId="602FBF9E">
            <w:pPr>
              <w:pStyle w:val="142"/>
              <w:rPr>
                <w:sz w:val="21"/>
              </w:rPr>
            </w:pPr>
            <w:r>
              <w:rPr>
                <w:rFonts w:ascii="Times New Roman" w:hAnsi="Times New Roman" w:cs="Times New Roman"/>
                <w:sz w:val="21"/>
              </w:rPr>
              <w:t>COD、SS、</w:t>
            </w:r>
            <w:r>
              <w:rPr>
                <w:rFonts w:hint="eastAsia"/>
                <w:sz w:val="21"/>
              </w:rPr>
              <w:t>氨氮、总氮、总磷</w:t>
            </w:r>
          </w:p>
        </w:tc>
        <w:tc>
          <w:tcPr>
            <w:tcW w:w="885" w:type="pct"/>
            <w:tcBorders>
              <w:tl2br w:val="nil"/>
              <w:tr2bl w:val="nil"/>
            </w:tcBorders>
            <w:vAlign w:val="center"/>
          </w:tcPr>
          <w:p w14:paraId="7553B270">
            <w:pPr>
              <w:pStyle w:val="142"/>
              <w:rPr>
                <w:sz w:val="21"/>
              </w:rPr>
            </w:pPr>
            <w:r>
              <w:rPr>
                <w:sz w:val="21"/>
              </w:rPr>
              <w:t>处理措施故障，废</w:t>
            </w:r>
            <w:r>
              <w:rPr>
                <w:rFonts w:hint="eastAsia"/>
                <w:sz w:val="21"/>
              </w:rPr>
              <w:t>水</w:t>
            </w:r>
            <w:r>
              <w:rPr>
                <w:sz w:val="21"/>
              </w:rPr>
              <w:t>不达标排放</w:t>
            </w:r>
          </w:p>
        </w:tc>
        <w:tc>
          <w:tcPr>
            <w:tcW w:w="937" w:type="pct"/>
            <w:tcBorders>
              <w:tl2br w:val="nil"/>
              <w:tr2bl w:val="nil"/>
            </w:tcBorders>
            <w:vAlign w:val="center"/>
          </w:tcPr>
          <w:p w14:paraId="0C327495">
            <w:pPr>
              <w:pStyle w:val="142"/>
              <w:rPr>
                <w:sz w:val="21"/>
              </w:rPr>
            </w:pPr>
            <w:r>
              <w:rPr>
                <w:sz w:val="21"/>
              </w:rPr>
              <w:t>定期委托资质单位进行监测；定期对废</w:t>
            </w:r>
            <w:r>
              <w:rPr>
                <w:rFonts w:hint="eastAsia"/>
                <w:sz w:val="21"/>
              </w:rPr>
              <w:t>水</w:t>
            </w:r>
            <w:r>
              <w:rPr>
                <w:sz w:val="21"/>
              </w:rPr>
              <w:t>处理措施进行维护等</w:t>
            </w:r>
          </w:p>
        </w:tc>
        <w:tc>
          <w:tcPr>
            <w:tcW w:w="1557" w:type="pct"/>
            <w:tcBorders>
              <w:tl2br w:val="nil"/>
              <w:tr2bl w:val="nil"/>
            </w:tcBorders>
            <w:vAlign w:val="center"/>
          </w:tcPr>
          <w:p w14:paraId="01B3CE81">
            <w:pPr>
              <w:pStyle w:val="142"/>
              <w:rPr>
                <w:w w:val="95"/>
                <w:sz w:val="21"/>
              </w:rPr>
            </w:pPr>
            <w:r>
              <w:rPr>
                <w:sz w:val="21"/>
              </w:rPr>
              <w:t>一旦超标立即停止生产；采用便携式监测仪监测或委托资质单位进行检测，若超标严重，上报上级管理部门。</w:t>
            </w:r>
          </w:p>
        </w:tc>
      </w:tr>
      <w:tr w14:paraId="566E16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312" w:type="pct"/>
            <w:vMerge w:val="continue"/>
            <w:tcBorders>
              <w:tl2br w:val="nil"/>
              <w:tr2bl w:val="nil"/>
            </w:tcBorders>
            <w:vAlign w:val="center"/>
          </w:tcPr>
          <w:p w14:paraId="6258ACD4">
            <w:pPr>
              <w:jc w:val="center"/>
              <w:rPr>
                <w:sz w:val="2"/>
                <w:szCs w:val="2"/>
              </w:rPr>
            </w:pPr>
          </w:p>
        </w:tc>
        <w:tc>
          <w:tcPr>
            <w:tcW w:w="473" w:type="pct"/>
            <w:tcBorders>
              <w:tl2br w:val="nil"/>
              <w:tr2bl w:val="nil"/>
            </w:tcBorders>
            <w:vAlign w:val="center"/>
          </w:tcPr>
          <w:p w14:paraId="26E6C249">
            <w:pPr>
              <w:pStyle w:val="142"/>
              <w:rPr>
                <w:sz w:val="21"/>
              </w:rPr>
            </w:pPr>
            <w:r>
              <w:rPr>
                <w:sz w:val="21"/>
              </w:rPr>
              <w:t>危废仓库</w:t>
            </w:r>
          </w:p>
        </w:tc>
        <w:tc>
          <w:tcPr>
            <w:tcW w:w="833" w:type="pct"/>
            <w:tcBorders>
              <w:tl2br w:val="nil"/>
              <w:tr2bl w:val="nil"/>
            </w:tcBorders>
            <w:vAlign w:val="center"/>
          </w:tcPr>
          <w:p w14:paraId="738248F9">
            <w:pPr>
              <w:pStyle w:val="142"/>
              <w:rPr>
                <w:sz w:val="21"/>
              </w:rPr>
            </w:pPr>
            <w:r>
              <w:rPr>
                <w:rFonts w:hint="eastAsia"/>
                <w:sz w:val="21"/>
              </w:rPr>
              <w:t>废活性炭、</w:t>
            </w:r>
            <w:r>
              <w:rPr>
                <w:rFonts w:hint="eastAsia"/>
                <w:sz w:val="21"/>
                <w:lang w:val="en-US" w:eastAsia="zh-CN"/>
              </w:rPr>
              <w:t>废机油、</w:t>
            </w:r>
            <w:r>
              <w:rPr>
                <w:rFonts w:hint="eastAsia"/>
                <w:sz w:val="21"/>
              </w:rPr>
              <w:t>漆渣等</w:t>
            </w:r>
          </w:p>
        </w:tc>
        <w:tc>
          <w:tcPr>
            <w:tcW w:w="885" w:type="pct"/>
            <w:tcBorders>
              <w:tl2br w:val="nil"/>
              <w:tr2bl w:val="nil"/>
            </w:tcBorders>
            <w:vAlign w:val="center"/>
          </w:tcPr>
          <w:p w14:paraId="73E87546">
            <w:pPr>
              <w:pStyle w:val="142"/>
              <w:rPr>
                <w:sz w:val="21"/>
              </w:rPr>
            </w:pPr>
            <w:r>
              <w:rPr>
                <w:sz w:val="21"/>
              </w:rPr>
              <w:t>危废进入地下</w:t>
            </w:r>
          </w:p>
        </w:tc>
        <w:tc>
          <w:tcPr>
            <w:tcW w:w="937" w:type="pct"/>
            <w:tcBorders>
              <w:tl2br w:val="nil"/>
              <w:tr2bl w:val="nil"/>
            </w:tcBorders>
            <w:vAlign w:val="center"/>
          </w:tcPr>
          <w:p w14:paraId="58F80A3A">
            <w:pPr>
              <w:pStyle w:val="142"/>
              <w:rPr>
                <w:sz w:val="21"/>
              </w:rPr>
            </w:pPr>
            <w:r>
              <w:rPr>
                <w:sz w:val="21"/>
              </w:rPr>
              <w:t>摄像头、人工巡视点检；地面防腐防渗，设有导流沟、收集井</w:t>
            </w:r>
          </w:p>
        </w:tc>
        <w:tc>
          <w:tcPr>
            <w:tcW w:w="1557" w:type="pct"/>
            <w:tcBorders>
              <w:tl2br w:val="nil"/>
              <w:tr2bl w:val="nil"/>
            </w:tcBorders>
            <w:vAlign w:val="center"/>
          </w:tcPr>
          <w:p w14:paraId="7471A11C">
            <w:pPr>
              <w:pStyle w:val="142"/>
              <w:rPr>
                <w:sz w:val="21"/>
              </w:rPr>
            </w:pPr>
            <w:r>
              <w:rPr>
                <w:sz w:val="21"/>
              </w:rPr>
              <w:t>危废暂存于危废仓库，定期委托资质单位处置。</w:t>
            </w:r>
          </w:p>
        </w:tc>
      </w:tr>
      <w:bookmarkEnd w:id="126"/>
      <w:bookmarkEnd w:id="147"/>
      <w:bookmarkEnd w:id="148"/>
      <w:bookmarkEnd w:id="149"/>
    </w:tbl>
    <w:p w14:paraId="5C7806AC">
      <w:pPr>
        <w:pStyle w:val="251"/>
        <w:snapToGrid w:val="0"/>
        <w:rPr>
          <w:rFonts w:eastAsia="宋体"/>
          <w:szCs w:val="24"/>
        </w:rPr>
      </w:pPr>
      <w:bookmarkStart w:id="150" w:name="_Toc402776210"/>
      <w:r>
        <w:rPr>
          <w:rFonts w:eastAsia="宋体"/>
          <w:szCs w:val="24"/>
        </w:rPr>
        <w:t>3.</w:t>
      </w:r>
      <w:r>
        <w:rPr>
          <w:rFonts w:hint="eastAsia"/>
          <w:szCs w:val="24"/>
        </w:rPr>
        <w:t>8.1</w:t>
      </w:r>
      <w:r>
        <w:rPr>
          <w:szCs w:val="24"/>
        </w:rPr>
        <w:t>.1</w:t>
      </w:r>
      <w:r>
        <w:rPr>
          <w:rFonts w:hint="eastAsia" w:eastAsia="宋体"/>
          <w:szCs w:val="24"/>
        </w:rPr>
        <w:t>环境风险防控分析</w:t>
      </w:r>
    </w:p>
    <w:p w14:paraId="0397425A">
      <w:pPr>
        <w:pStyle w:val="251"/>
        <w:snapToGrid w:val="0"/>
        <w:ind w:firstLine="482" w:firstLineChars="200"/>
        <w:outlineLvl w:val="9"/>
        <w:rPr>
          <w:rFonts w:eastAsia="宋体"/>
          <w:szCs w:val="24"/>
        </w:rPr>
      </w:pPr>
      <w:r>
        <w:rPr>
          <w:rFonts w:hint="eastAsia" w:eastAsia="宋体"/>
          <w:szCs w:val="24"/>
        </w:rPr>
        <w:t>1、人工监控</w:t>
      </w:r>
    </w:p>
    <w:p w14:paraId="49C27B23">
      <w:pPr>
        <w:pStyle w:val="13"/>
        <w:spacing w:before="160"/>
        <w:ind w:left="777"/>
        <w:rPr>
          <w:rFonts w:eastAsia="宋体"/>
        </w:rPr>
      </w:pPr>
      <w:r>
        <w:rPr>
          <w:rFonts w:eastAsia="宋体"/>
        </w:rPr>
        <w:t>①全厂设置摄像监控系统，人工进行监管；</w:t>
      </w:r>
    </w:p>
    <w:p w14:paraId="18A21889">
      <w:pPr>
        <w:pStyle w:val="13"/>
        <w:spacing w:before="159"/>
        <w:ind w:left="777"/>
        <w:rPr>
          <w:rFonts w:eastAsia="宋体"/>
        </w:rPr>
      </w:pPr>
      <w:r>
        <w:rPr>
          <w:rFonts w:eastAsia="宋体"/>
        </w:rPr>
        <w:t>②原料库装卸料过程，以及危废厂内运输过程，全程人工监管。</w:t>
      </w:r>
    </w:p>
    <w:p w14:paraId="00987C27">
      <w:pPr>
        <w:pStyle w:val="251"/>
        <w:snapToGrid w:val="0"/>
        <w:ind w:firstLine="482" w:firstLineChars="200"/>
        <w:outlineLvl w:val="9"/>
        <w:rPr>
          <w:rFonts w:eastAsia="宋体"/>
          <w:szCs w:val="24"/>
        </w:rPr>
      </w:pPr>
      <w:r>
        <w:rPr>
          <w:rFonts w:hint="eastAsia" w:eastAsia="宋体"/>
          <w:szCs w:val="24"/>
        </w:rPr>
        <w:t>2、设备监控</w:t>
      </w:r>
    </w:p>
    <w:p w14:paraId="6D1C008D">
      <w:pPr>
        <w:spacing w:before="160" w:line="362" w:lineRule="auto"/>
        <w:ind w:left="777" w:right="6706"/>
        <w:jc w:val="left"/>
      </w:pPr>
      <w:r>
        <w:rPr>
          <w:rFonts w:eastAsia="宋体"/>
        </w:rPr>
        <w:t>有视频监控。</w:t>
      </w:r>
    </w:p>
    <w:p w14:paraId="435F8FBF">
      <w:pPr>
        <w:pStyle w:val="251"/>
        <w:snapToGrid w:val="0"/>
        <w:rPr>
          <w:rFonts w:eastAsia="宋体"/>
          <w:szCs w:val="24"/>
        </w:rPr>
      </w:pPr>
      <w:bookmarkStart w:id="151" w:name="3.7.1.2事故废水收集情况分析"/>
      <w:bookmarkEnd w:id="151"/>
      <w:r>
        <w:rPr>
          <w:rFonts w:eastAsia="宋体"/>
          <w:szCs w:val="24"/>
        </w:rPr>
        <w:t>3.</w:t>
      </w:r>
      <w:r>
        <w:rPr>
          <w:rFonts w:hint="eastAsia"/>
          <w:szCs w:val="24"/>
        </w:rPr>
        <w:t>8.1</w:t>
      </w:r>
      <w:r>
        <w:rPr>
          <w:szCs w:val="24"/>
        </w:rPr>
        <w:t>.</w:t>
      </w:r>
      <w:r>
        <w:rPr>
          <w:rFonts w:hint="eastAsia"/>
          <w:szCs w:val="24"/>
        </w:rPr>
        <w:t>2</w:t>
      </w:r>
      <w:r>
        <w:rPr>
          <w:rFonts w:hint="eastAsia" w:eastAsia="宋体"/>
          <w:szCs w:val="24"/>
        </w:rPr>
        <w:t>事故废水收集情况分析</w:t>
      </w:r>
    </w:p>
    <w:p w14:paraId="01CC9F9E">
      <w:pPr>
        <w:pStyle w:val="251"/>
        <w:snapToGrid w:val="0"/>
        <w:ind w:firstLine="482" w:firstLineChars="200"/>
        <w:outlineLvl w:val="9"/>
        <w:rPr>
          <w:rFonts w:eastAsia="宋体"/>
          <w:szCs w:val="24"/>
        </w:rPr>
      </w:pPr>
      <w:r>
        <w:rPr>
          <w:rFonts w:hint="eastAsia" w:eastAsia="宋体"/>
          <w:szCs w:val="24"/>
        </w:rPr>
        <w:t>1、事故废水收集情况</w:t>
      </w:r>
    </w:p>
    <w:p w14:paraId="00318F9D">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设置110m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雨水排口设置闸控，常态情况下，关闭雨水阀门，开启应急池阀门，</w:t>
      </w:r>
      <w:r>
        <w:rPr>
          <w:rFonts w:eastAsia="宋体"/>
          <w:spacing w:val="0"/>
        </w:rPr>
        <w:t>事故状态</w:t>
      </w:r>
      <w:r>
        <w:rPr>
          <w:rFonts w:hint="eastAsia" w:eastAsia="宋体"/>
          <w:spacing w:val="0"/>
          <w:lang w:val="en-US" w:eastAsia="zh-CN"/>
        </w:rPr>
        <w:t>后</w:t>
      </w:r>
      <w:r>
        <w:rPr>
          <w:rFonts w:eastAsia="宋体"/>
          <w:spacing w:val="0"/>
        </w:rPr>
        <w:t>可将泄漏物、消防水截流在事故应急</w:t>
      </w:r>
      <w:r>
        <w:rPr>
          <w:rFonts w:eastAsia="宋体"/>
        </w:rPr>
        <w:t>池内</w:t>
      </w:r>
      <w:r>
        <w:rPr>
          <w:rFonts w:hint="eastAsia" w:eastAsia="宋体"/>
          <w:lang w:eastAsia="zh-CN"/>
        </w:rPr>
        <w:t>，</w:t>
      </w:r>
      <w:r>
        <w:rPr>
          <w:rFonts w:hint="eastAsia" w:eastAsia="宋体"/>
          <w:lang w:val="en-US" w:eastAsia="zh-CN"/>
        </w:rPr>
        <w:t>下雨时开启雨水阀门</w:t>
      </w:r>
      <w:r>
        <w:rPr>
          <w:rFonts w:eastAsia="宋体"/>
        </w:rPr>
        <w:t>。</w:t>
      </w:r>
    </w:p>
    <w:p w14:paraId="5C834AE7">
      <w:pPr>
        <w:pStyle w:val="251"/>
        <w:snapToGrid w:val="0"/>
        <w:ind w:firstLine="482" w:firstLineChars="200"/>
        <w:outlineLvl w:val="9"/>
        <w:rPr>
          <w:rFonts w:eastAsia="宋体"/>
          <w:szCs w:val="24"/>
        </w:rPr>
      </w:pPr>
      <w:r>
        <w:rPr>
          <w:rFonts w:hint="eastAsia" w:eastAsia="宋体"/>
          <w:szCs w:val="24"/>
        </w:rPr>
        <w:t>2、生产废水收集情况</w:t>
      </w:r>
    </w:p>
    <w:p w14:paraId="6CADC84E">
      <w:pPr>
        <w:spacing w:line="500" w:lineRule="exact"/>
        <w:ind w:firstLine="480" w:firstLineChars="200"/>
        <w:jc w:val="left"/>
        <w:rPr>
          <w:rFonts w:eastAsia="宋体"/>
        </w:rPr>
      </w:pPr>
      <w:r>
        <w:rPr>
          <w:rFonts w:hint="eastAsia" w:eastAsia="宋体"/>
        </w:rPr>
        <w:t>企业在实际运行中，</w:t>
      </w:r>
      <w:r>
        <w:rPr>
          <w:rFonts w:hint="eastAsia" w:eastAsia="Times New Roman"/>
          <w:color w:val="auto"/>
          <w:sz w:val="24"/>
          <w:szCs w:val="24"/>
          <w:lang w:val="en-US" w:eastAsia="zh-CN"/>
        </w:rPr>
        <w:t>喷淋废水经气浮+絮凝沉淀处理后回用于水喷淋装置，不外排</w:t>
      </w:r>
      <w:r>
        <w:rPr>
          <w:rFonts w:eastAsia="宋体"/>
        </w:rPr>
        <w:t>。</w:t>
      </w:r>
    </w:p>
    <w:p w14:paraId="45E0D208">
      <w:pPr>
        <w:spacing w:line="500" w:lineRule="exact"/>
        <w:ind w:firstLine="482" w:firstLineChars="200"/>
        <w:jc w:val="left"/>
        <w:rPr>
          <w:rFonts w:hint="eastAsia" w:eastAsia="仿宋_GB2312"/>
          <w:b/>
          <w:lang w:eastAsia="zh-CN"/>
        </w:rPr>
      </w:pPr>
      <w:r>
        <w:rPr>
          <w:rFonts w:hint="eastAsia" w:eastAsia="宋体"/>
          <w:b/>
          <w:bCs/>
        </w:rPr>
        <w:t>3、收集、处理能力评估</w:t>
      </w:r>
    </w:p>
    <w:p w14:paraId="5BEF7328">
      <w:pPr>
        <w:widowControl/>
        <w:autoSpaceDE w:val="0"/>
        <w:autoSpaceDN w:val="0"/>
        <w:adjustRightInd w:val="0"/>
        <w:snapToGrid w:val="0"/>
        <w:spacing w:line="500" w:lineRule="exact"/>
        <w:ind w:firstLine="480" w:firstLineChars="200"/>
        <w:jc w:val="left"/>
        <w:textAlignment w:val="bottom"/>
        <w:rPr>
          <w:rFonts w:eastAsia="宋体"/>
          <w:color w:val="000000" w:themeColor="text1"/>
          <w:szCs w:val="21"/>
          <w14:textFill>
            <w14:solidFill>
              <w14:schemeClr w14:val="tx1"/>
            </w14:solidFill>
          </w14:textFill>
        </w:rPr>
      </w:pPr>
      <w:r>
        <w:rPr>
          <w:rFonts w:eastAsia="宋体"/>
          <w:color w:val="000000" w:themeColor="text1"/>
          <w:szCs w:val="21"/>
          <w14:textFill>
            <w14:solidFill>
              <w14:schemeClr w14:val="tx1"/>
            </w14:solidFill>
          </w14:textFill>
        </w:rPr>
        <w:t>应急池容量计算过程如下：</w:t>
      </w:r>
    </w:p>
    <w:p w14:paraId="6FF12BE8">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color w:val="000000" w:themeColor="text1"/>
          <w:szCs w:val="21"/>
          <w14:textFill>
            <w14:solidFill>
              <w14:schemeClr w14:val="tx1"/>
            </w14:solidFill>
          </w14:textFill>
        </w:rPr>
      </w:pPr>
      <w:bookmarkStart w:id="152" w:name="3.7.2应急物资及装备情况"/>
      <w:bookmarkEnd w:id="152"/>
      <w:bookmarkStart w:id="153" w:name="_TOC_250048"/>
      <w:bookmarkEnd w:id="153"/>
      <w:r>
        <w:rPr>
          <w:rFonts w:hint="default" w:ascii="Times New Roman" w:hAnsi="Times New Roman" w:eastAsia="宋体" w:cs="Times New Roman"/>
          <w:color w:val="000000" w:themeColor="text1"/>
          <w:szCs w:val="21"/>
          <w14:textFill>
            <w14:solidFill>
              <w14:schemeClr w14:val="tx1"/>
            </w14:solidFill>
          </w14:textFill>
        </w:rPr>
        <w:t>①事故应急水池容量按下式计算：</w:t>
      </w:r>
    </w:p>
    <w:p w14:paraId="3182F850">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根据《事故状态下水体污染的预防与控制技术要求》（Q/SY1190-2013），计算本项目所需事故应急池容积。事故储存设施总有效容积：</w:t>
      </w:r>
    </w:p>
    <w:p w14:paraId="4770B9B8">
      <w:pPr>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总</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）max+V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p>
    <w:p w14:paraId="46E7AD29">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：收集系统范围内发生事故时的泄漏物料量（事故1个罐或1个装置物料），m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29CFFF17">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：发生事故时的消防水量；V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 xml:space="preserve">   </w:t>
      </w:r>
    </w:p>
    <w:p w14:paraId="6FC9FE9B">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：发生事故的储气瓶或工艺装置同时使用的消防设施给水流量，包括室内外消火栓、消防炮、喷淋系统、泡沫系统等等，各种设施的配置和流量根据保护对象的火灾危险程度，按相关消防规范确定。</w:t>
      </w:r>
    </w:p>
    <w:p w14:paraId="26DD2A3A">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：各种消防设施对应的设计消防历时。对于不同的消防设施，对于同一次火灾和同一个保护对象，历时不尽相同，可根据消防规范确定。</w:t>
      </w:r>
    </w:p>
    <w:p w14:paraId="609D4A71">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：事故时可以转输到其它储存或处理设施的物料量，m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226C6DF8">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：发生事故时必须进入该收集系统的生产废水量，m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7467FA37">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：发生事故时可能进入该收集系统的降雨量，m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0334E82A">
      <w:pPr>
        <w:pStyle w:val="255"/>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=10qF</w:t>
      </w:r>
    </w:p>
    <w:p w14:paraId="6463D987">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w:t>
      </w:r>
    </w:p>
    <w:p w14:paraId="51A552D1">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auto"/>
          <w:kern w:val="2"/>
          <w:sz w:val="24"/>
          <w:szCs w:val="24"/>
          <w:lang w:val="en-US" w:eastAsia="zh-CN" w:bidi="ar-SA"/>
        </w:rPr>
        <w:t>q——平均日降雨量；q=年平均降雨量/年平均降雨日数。本设计中年平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均降雨量为900mm，年平均降雨日数为122天，则q=7.4mm。</w:t>
      </w:r>
    </w:p>
    <w:p w14:paraId="7A884F5E">
      <w:pPr>
        <w:pStyle w:val="255"/>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F——必须进入事故废水收集系统的雨水汇水面积，</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公司</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可能受污染雨水面积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ha。则V5=10*7.4*</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0.3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16DBF770">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：消防用水量按同一时间内火灾次数为一次计。根据《消防给水及消火栓系统技术规范》（GB50974</w:t>
      </w:r>
      <w:r>
        <w:rPr>
          <w:rFonts w:hint="eastAsia" w:eastAsia="宋体" w:cs="Times New Roman"/>
          <w:color w:val="000000" w:themeColor="text1"/>
          <w:kern w:val="2"/>
          <w:sz w:val="24"/>
          <w:szCs w:val="24"/>
          <w:lang w:val="en-US" w:eastAsia="zh-CN" w:bidi="ar-SA"/>
          <w14:textFill>
            <w14:solidFill>
              <w14:schemeClr w14:val="tx1"/>
            </w14:solidFill>
          </w14:textFill>
        </w:rPr>
        <w:t>-2014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）消防总用水量</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5L/s，火灾延续</w:t>
      </w:r>
      <w:r>
        <w:rPr>
          <w:rFonts w:hint="eastAsia" w:eastAsia="宋体" w:cs="Times New Roman"/>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小时，一次消防水量为</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。事故时无其它储存或处理设施可转移泄漏物料，其中</w:t>
      </w:r>
      <w:r>
        <w:rPr>
          <w:rFonts w:hint="eastAsia" w:eastAsia="宋体" w:cs="Times New Roman"/>
          <w:color w:val="000000" w:themeColor="text1"/>
          <w:kern w:val="2"/>
          <w:sz w:val="24"/>
          <w:szCs w:val="24"/>
          <w:lang w:val="en-US" w:eastAsia="zh-CN" w:bidi="ar-SA"/>
          <w14:textFill>
            <w14:solidFill>
              <w14:schemeClr w14:val="tx1"/>
            </w14:solidFill>
          </w14:textFill>
        </w:rPr>
        <w:t>原料泄露</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，雨水管网容积约为1</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，因此V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03FB27AC">
      <w:pPr>
        <w:keepNext w:val="0"/>
        <w:keepLines w:val="0"/>
        <w:pageBreakBefore w:val="0"/>
        <w:widowControl/>
        <w:tabs>
          <w:tab w:val="left" w:pos="2297"/>
          <w:tab w:val="center" w:pos="4393"/>
        </w:tabs>
        <w:kinsoku/>
        <w:wordWrap/>
        <w:overflowPunct/>
        <w:topLinePunct w:val="0"/>
        <w:bidi w:val="0"/>
        <w:adjustRightInd w:val="0"/>
        <w:snapToGrid w:val="0"/>
        <w:spacing w:line="500" w:lineRule="exact"/>
        <w:ind w:firstLine="480" w:firstLineChars="200"/>
        <w:jc w:val="left"/>
        <w:rPr>
          <w:rFonts w:hint="default"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）max+V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4+108-10+22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124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p w14:paraId="7295781E">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厂区内设置</w:t>
      </w:r>
      <w:r>
        <w:rPr>
          <w:rFonts w:hint="eastAsia" w:eastAsia="宋体" w:cs="Times New Roman"/>
          <w:color w:val="auto"/>
          <w:kern w:val="2"/>
          <w:sz w:val="24"/>
          <w:szCs w:val="24"/>
          <w:highlight w:val="none"/>
          <w:lang w:val="en-US" w:eastAsia="zh-CN" w:bidi="ar-SA"/>
        </w:rPr>
        <w:t>140m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事故应急池</w:t>
      </w:r>
      <w:r>
        <w:rPr>
          <w:rFonts w:hint="eastAsia" w:eastAsia="宋体" w:cs="Times New Roman"/>
          <w:color w:val="auto"/>
          <w:kern w:val="2"/>
          <w:sz w:val="24"/>
          <w:szCs w:val="24"/>
          <w:lang w:val="en-US" w:eastAsia="zh-CN" w:bidi="ar-SA"/>
        </w:rPr>
        <w:t>一座</w:t>
      </w:r>
      <w:r>
        <w:rPr>
          <w:rFonts w:hint="eastAsia" w:ascii="Times New Roman" w:hAnsi="Times New Roman" w:eastAsia="宋体" w:cs="Times New Roman"/>
          <w:color w:val="auto"/>
          <w:kern w:val="2"/>
          <w:sz w:val="24"/>
          <w:szCs w:val="24"/>
          <w:lang w:val="en-US" w:eastAsia="zh-CN" w:bidi="ar-SA"/>
        </w:rPr>
        <w:t>，符合</w:t>
      </w:r>
      <w:r>
        <w:rPr>
          <w:rFonts w:hint="eastAsia" w:eastAsia="宋体" w:cs="Times New Roman"/>
          <w:color w:val="auto"/>
          <w:kern w:val="2"/>
          <w:sz w:val="24"/>
          <w:szCs w:val="24"/>
          <w:lang w:val="en-US" w:eastAsia="zh-CN" w:bidi="ar-SA"/>
        </w:rPr>
        <w:t>突发环境事件应急124</w:t>
      </w:r>
      <w:r>
        <w:rPr>
          <w:rFonts w:hint="eastAsia" w:ascii="Times New Roman" w:hAnsi="Times New Roman" w:eastAsia="宋体" w:cs="Times New Roman"/>
          <w:color w:val="auto"/>
          <w:kern w:val="2"/>
          <w:sz w:val="24"/>
          <w:szCs w:val="24"/>
          <w:lang w:val="en-US" w:eastAsia="zh-CN" w:bidi="ar-SA"/>
        </w:rPr>
        <w:t>m</w:t>
      </w:r>
      <w:r>
        <w:rPr>
          <w:rFonts w:hint="eastAsia" w:ascii="Times New Roman" w:hAnsi="Times New Roman" w:eastAsia="宋体" w:cs="Times New Roman"/>
          <w:color w:val="auto"/>
          <w:kern w:val="2"/>
          <w:sz w:val="24"/>
          <w:szCs w:val="24"/>
          <w:vertAlign w:val="superscript"/>
          <w:lang w:val="en-US" w:eastAsia="zh-CN" w:bidi="ar-SA"/>
        </w:rPr>
        <w:t>3</w:t>
      </w:r>
      <w:r>
        <w:rPr>
          <w:rFonts w:hint="eastAsia" w:eastAsia="宋体" w:cs="Times New Roman"/>
          <w:color w:val="auto"/>
          <w:kern w:val="2"/>
          <w:sz w:val="24"/>
          <w:szCs w:val="24"/>
          <w:lang w:val="en-US" w:eastAsia="zh-CN" w:bidi="ar-SA"/>
        </w:rPr>
        <w:t>需求。</w:t>
      </w:r>
    </w:p>
    <w:p w14:paraId="1674B35A">
      <w:pPr>
        <w:snapToGrid w:val="0"/>
        <w:spacing w:line="500" w:lineRule="exact"/>
        <w:ind w:firstLine="480" w:firstLineChars="200"/>
        <w:rPr>
          <w:rFonts w:eastAsia="宋体"/>
        </w:rPr>
      </w:pPr>
      <w:r>
        <w:rPr>
          <w:rFonts w:eastAsia="宋体"/>
        </w:rPr>
        <w:t>厂区事故池平时必须为空池，以便紧急状态下接纳大量事故废水</w:t>
      </w:r>
      <w:r>
        <w:rPr>
          <w:rFonts w:hint="eastAsia" w:eastAsia="宋体"/>
        </w:rPr>
        <w:t>。</w:t>
      </w:r>
    </w:p>
    <w:p w14:paraId="271C1669">
      <w:pPr>
        <w:pStyle w:val="251"/>
        <w:snapToGrid w:val="0"/>
        <w:outlineLvl w:val="2"/>
        <w:rPr>
          <w:rFonts w:eastAsia="宋体"/>
          <w:szCs w:val="24"/>
        </w:rPr>
      </w:pPr>
      <w:bookmarkStart w:id="154" w:name="_Toc14002"/>
      <w:bookmarkStart w:id="155" w:name="_Toc13078"/>
      <w:bookmarkStart w:id="156" w:name="_Toc1474"/>
      <w:r>
        <w:rPr>
          <w:rFonts w:eastAsia="宋体"/>
          <w:szCs w:val="24"/>
        </w:rPr>
        <w:t>3.</w:t>
      </w:r>
      <w:r>
        <w:rPr>
          <w:rFonts w:hint="eastAsia"/>
          <w:szCs w:val="24"/>
        </w:rPr>
        <w:t>8.2</w:t>
      </w:r>
      <w:r>
        <w:rPr>
          <w:rFonts w:hint="eastAsia" w:eastAsia="宋体"/>
          <w:szCs w:val="24"/>
        </w:rPr>
        <w:t>应急物资及装备情况</w:t>
      </w:r>
      <w:bookmarkEnd w:id="154"/>
      <w:bookmarkEnd w:id="155"/>
      <w:bookmarkEnd w:id="156"/>
    </w:p>
    <w:p w14:paraId="5C466A26">
      <w:pPr>
        <w:pStyle w:val="13"/>
        <w:spacing w:after="0" w:line="500" w:lineRule="exact"/>
        <w:ind w:firstLine="440" w:firstLineChars="200"/>
        <w:rPr>
          <w:rFonts w:eastAsia="宋体"/>
        </w:rPr>
      </w:pPr>
      <w:r>
        <w:rPr>
          <w:rFonts w:eastAsia="宋体"/>
          <w:spacing w:val="-10"/>
        </w:rPr>
        <w:t>应急物资、应急装备是突发环境事件应急救援的重要物质保障，也是保证应</w:t>
      </w:r>
      <w:r>
        <w:rPr>
          <w:rFonts w:eastAsia="宋体"/>
          <w:spacing w:val="-3"/>
        </w:rPr>
        <w:t>急队伍有效开展工作的基础，本公司的应急物资及装备见表</w:t>
      </w:r>
      <w:r>
        <w:rPr>
          <w:rFonts w:eastAsia="宋体"/>
        </w:rPr>
        <w:t>3-</w:t>
      </w:r>
      <w:r>
        <w:rPr>
          <w:rFonts w:hint="eastAsia" w:eastAsia="宋体"/>
          <w:lang w:val="en-US" w:eastAsia="zh-CN"/>
        </w:rPr>
        <w:t>19</w:t>
      </w:r>
      <w:r>
        <w:rPr>
          <w:rFonts w:eastAsia="宋体"/>
        </w:rPr>
        <w:t>。</w:t>
      </w:r>
    </w:p>
    <w:p w14:paraId="7D057A58">
      <w:pPr>
        <w:pStyle w:val="13"/>
        <w:spacing w:line="500" w:lineRule="exact"/>
        <w:jc w:val="center"/>
        <w:rPr>
          <w:rFonts w:eastAsia="宋体"/>
          <w:b/>
          <w:bCs/>
        </w:rPr>
      </w:pPr>
      <w:r>
        <w:rPr>
          <w:rFonts w:eastAsia="宋体"/>
          <w:b/>
          <w:bCs/>
          <w:highlight w:val="none"/>
        </w:rPr>
        <w:t>表3-</w:t>
      </w:r>
      <w:r>
        <w:rPr>
          <w:rFonts w:hint="eastAsia" w:eastAsia="宋体"/>
          <w:b/>
          <w:bCs/>
          <w:highlight w:val="none"/>
          <w:lang w:val="en-US" w:eastAsia="zh-CN"/>
        </w:rPr>
        <w:t>19</w:t>
      </w:r>
      <w:r>
        <w:rPr>
          <w:rFonts w:eastAsia="宋体"/>
          <w:b/>
          <w:bCs/>
          <w:highlight w:val="none"/>
        </w:rPr>
        <w:t>应急物资及装备一</w:t>
      </w:r>
      <w:r>
        <w:rPr>
          <w:rFonts w:eastAsia="宋体"/>
          <w:b/>
          <w:bCs/>
        </w:rPr>
        <w:t>览表</w:t>
      </w:r>
    </w:p>
    <w:tbl>
      <w:tblPr>
        <w:tblStyle w:val="38"/>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54"/>
        <w:gridCol w:w="1909"/>
        <w:gridCol w:w="819"/>
        <w:gridCol w:w="1189"/>
        <w:gridCol w:w="859"/>
        <w:gridCol w:w="1232"/>
        <w:gridCol w:w="969"/>
        <w:gridCol w:w="1134"/>
      </w:tblGrid>
      <w:tr w14:paraId="57518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2BAEFB1E">
            <w:pPr>
              <w:spacing w:line="240" w:lineRule="auto"/>
              <w:jc w:val="center"/>
              <w:rPr>
                <w:rFonts w:hint="default" w:ascii="Times New Roman" w:hAnsi="Times New Roman" w:eastAsia="宋体" w:cs="Times New Roman"/>
                <w:bCs/>
                <w:color w:val="000000"/>
                <w:sz w:val="21"/>
                <w:szCs w:val="21"/>
                <w:highlight w:val="none"/>
              </w:rPr>
            </w:pPr>
            <w:bookmarkStart w:id="157" w:name="_Toc3357"/>
            <w:bookmarkStart w:id="158" w:name="_Toc14714"/>
            <w:bookmarkStart w:id="159" w:name="_Toc28616"/>
            <w:r>
              <w:rPr>
                <w:rFonts w:hint="default" w:ascii="Times New Roman" w:hAnsi="Times New Roman" w:eastAsia="宋体" w:cs="Times New Roman"/>
                <w:bCs/>
                <w:color w:val="000000"/>
                <w:sz w:val="21"/>
                <w:szCs w:val="21"/>
                <w:highlight w:val="none"/>
              </w:rPr>
              <w:t>序号</w:t>
            </w:r>
          </w:p>
        </w:tc>
        <w:tc>
          <w:tcPr>
            <w:tcW w:w="1909" w:type="dxa"/>
            <w:tcBorders>
              <w:tl2br w:val="nil"/>
              <w:tr2bl w:val="nil"/>
            </w:tcBorders>
            <w:noWrap w:val="0"/>
            <w:vAlign w:val="center"/>
          </w:tcPr>
          <w:p w14:paraId="1CBB772F">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应急物资名称</w:t>
            </w:r>
          </w:p>
        </w:tc>
        <w:tc>
          <w:tcPr>
            <w:tcW w:w="819" w:type="dxa"/>
            <w:tcBorders>
              <w:tl2br w:val="nil"/>
              <w:tr2bl w:val="nil"/>
            </w:tcBorders>
            <w:noWrap w:val="0"/>
            <w:vAlign w:val="center"/>
          </w:tcPr>
          <w:p w14:paraId="65B03AF9">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数量</w:t>
            </w:r>
          </w:p>
        </w:tc>
        <w:tc>
          <w:tcPr>
            <w:tcW w:w="1189" w:type="dxa"/>
            <w:tcBorders>
              <w:tl2br w:val="nil"/>
              <w:tr2bl w:val="nil"/>
            </w:tcBorders>
            <w:noWrap w:val="0"/>
            <w:vAlign w:val="center"/>
          </w:tcPr>
          <w:p w14:paraId="7DC2F4B8">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存放位置</w:t>
            </w:r>
          </w:p>
        </w:tc>
        <w:tc>
          <w:tcPr>
            <w:tcW w:w="859" w:type="dxa"/>
            <w:tcBorders>
              <w:tl2br w:val="nil"/>
              <w:tr2bl w:val="nil"/>
            </w:tcBorders>
            <w:noWrap w:val="0"/>
            <w:vAlign w:val="center"/>
          </w:tcPr>
          <w:p w14:paraId="0DFAEF4A">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default" w:ascii="Times New Roman" w:hAnsi="Times New Roman" w:eastAsia="宋体" w:cs="Times New Roman"/>
                <w:bCs/>
                <w:color w:val="000000"/>
                <w:sz w:val="21"/>
                <w:szCs w:val="21"/>
                <w:highlight w:val="none"/>
                <w:lang w:val="en-US" w:eastAsia="zh-CN"/>
              </w:rPr>
              <w:t>型号</w:t>
            </w:r>
          </w:p>
        </w:tc>
        <w:tc>
          <w:tcPr>
            <w:tcW w:w="1232" w:type="dxa"/>
            <w:tcBorders>
              <w:tl2br w:val="nil"/>
              <w:tr2bl w:val="nil"/>
            </w:tcBorders>
            <w:noWrap w:val="0"/>
            <w:vAlign w:val="center"/>
          </w:tcPr>
          <w:p w14:paraId="30D3F464">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有效期</w:t>
            </w:r>
          </w:p>
        </w:tc>
        <w:tc>
          <w:tcPr>
            <w:tcW w:w="969" w:type="dxa"/>
            <w:tcBorders>
              <w:tl2br w:val="nil"/>
              <w:tr2bl w:val="nil"/>
            </w:tcBorders>
            <w:noWrap w:val="0"/>
            <w:vAlign w:val="center"/>
          </w:tcPr>
          <w:p w14:paraId="6938EABD">
            <w:pPr>
              <w:spacing w:line="240" w:lineRule="auto"/>
              <w:jc w:val="center"/>
              <w:rPr>
                <w:rFonts w:hint="default" w:ascii="Times New Roman" w:hAnsi="Times New Roman" w:eastAsia="宋体" w:cs="Times New Roman"/>
                <w:bCs/>
                <w:color w:val="000000"/>
                <w:sz w:val="21"/>
                <w:szCs w:val="21"/>
                <w:highlight w:val="none"/>
                <w:lang w:eastAsia="zh-CN"/>
              </w:rPr>
            </w:pPr>
            <w:r>
              <w:rPr>
                <w:rFonts w:hint="default" w:ascii="Times New Roman" w:hAnsi="Times New Roman" w:eastAsia="宋体" w:cs="Times New Roman"/>
                <w:bCs/>
                <w:color w:val="000000"/>
                <w:sz w:val="21"/>
                <w:szCs w:val="21"/>
                <w:highlight w:val="none"/>
                <w:lang w:val="en-US" w:eastAsia="zh-CN"/>
              </w:rPr>
              <w:t>管理员</w:t>
            </w:r>
          </w:p>
        </w:tc>
        <w:tc>
          <w:tcPr>
            <w:tcW w:w="1134" w:type="dxa"/>
            <w:tcBorders>
              <w:tl2br w:val="nil"/>
              <w:tr2bl w:val="nil"/>
            </w:tcBorders>
            <w:noWrap w:val="0"/>
            <w:vAlign w:val="center"/>
          </w:tcPr>
          <w:p w14:paraId="597A8343">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检查周期</w:t>
            </w:r>
          </w:p>
        </w:tc>
      </w:tr>
      <w:tr w14:paraId="7B24FB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14A38621">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w:t>
            </w:r>
          </w:p>
        </w:tc>
        <w:tc>
          <w:tcPr>
            <w:tcW w:w="1909" w:type="dxa"/>
            <w:tcBorders>
              <w:tl2br w:val="nil"/>
              <w:tr2bl w:val="nil"/>
            </w:tcBorders>
            <w:noWrap w:val="0"/>
            <w:vAlign w:val="center"/>
          </w:tcPr>
          <w:p w14:paraId="1446B650">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手提式磷酸铵盐灭火器</w:t>
            </w:r>
          </w:p>
        </w:tc>
        <w:tc>
          <w:tcPr>
            <w:tcW w:w="819" w:type="dxa"/>
            <w:tcBorders>
              <w:tl2br w:val="nil"/>
              <w:tr2bl w:val="nil"/>
            </w:tcBorders>
            <w:noWrap w:val="0"/>
            <w:vAlign w:val="center"/>
          </w:tcPr>
          <w:p w14:paraId="6925DCF0">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55个</w:t>
            </w:r>
          </w:p>
        </w:tc>
        <w:tc>
          <w:tcPr>
            <w:tcW w:w="1189" w:type="dxa"/>
            <w:tcBorders>
              <w:tl2br w:val="nil"/>
              <w:tr2bl w:val="nil"/>
            </w:tcBorders>
            <w:noWrap w:val="0"/>
            <w:vAlign w:val="center"/>
          </w:tcPr>
          <w:p w14:paraId="0531CE0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14:paraId="4857B50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68A41CE7">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2022.6</w:t>
            </w:r>
          </w:p>
        </w:tc>
        <w:tc>
          <w:tcPr>
            <w:tcW w:w="969" w:type="dxa"/>
            <w:tcBorders>
              <w:tl2br w:val="nil"/>
              <w:tr2bl w:val="nil"/>
            </w:tcBorders>
            <w:noWrap w:val="0"/>
            <w:vAlign w:val="center"/>
          </w:tcPr>
          <w:p w14:paraId="5D05C16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51D988F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9FD14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D643FB4">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2</w:t>
            </w:r>
          </w:p>
        </w:tc>
        <w:tc>
          <w:tcPr>
            <w:tcW w:w="1909" w:type="dxa"/>
            <w:tcBorders>
              <w:tl2br w:val="nil"/>
              <w:tr2bl w:val="nil"/>
            </w:tcBorders>
            <w:noWrap w:val="0"/>
            <w:vAlign w:val="center"/>
          </w:tcPr>
          <w:p w14:paraId="60ABBE5A">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消防水带</w:t>
            </w:r>
          </w:p>
        </w:tc>
        <w:tc>
          <w:tcPr>
            <w:tcW w:w="819" w:type="dxa"/>
            <w:tcBorders>
              <w:tl2br w:val="nil"/>
              <w:tr2bl w:val="nil"/>
            </w:tcBorders>
            <w:noWrap w:val="0"/>
            <w:vAlign w:val="center"/>
          </w:tcPr>
          <w:p w14:paraId="71E4645A">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25个</w:t>
            </w:r>
          </w:p>
        </w:tc>
        <w:tc>
          <w:tcPr>
            <w:tcW w:w="1189" w:type="dxa"/>
            <w:tcBorders>
              <w:tl2br w:val="nil"/>
              <w:tr2bl w:val="nil"/>
            </w:tcBorders>
            <w:noWrap w:val="0"/>
            <w:vAlign w:val="center"/>
          </w:tcPr>
          <w:p w14:paraId="3563F15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14:paraId="5728DE4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CE0317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2A7A765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7E8C136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5224B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4C81531D">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3</w:t>
            </w:r>
          </w:p>
        </w:tc>
        <w:tc>
          <w:tcPr>
            <w:tcW w:w="1909" w:type="dxa"/>
            <w:tcBorders>
              <w:tl2br w:val="nil"/>
              <w:tr2bl w:val="nil"/>
            </w:tcBorders>
            <w:noWrap w:val="0"/>
            <w:vAlign w:val="center"/>
          </w:tcPr>
          <w:p w14:paraId="5FB474BB">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应急照明、出口灯</w:t>
            </w:r>
          </w:p>
        </w:tc>
        <w:tc>
          <w:tcPr>
            <w:tcW w:w="819" w:type="dxa"/>
            <w:tcBorders>
              <w:tl2br w:val="nil"/>
              <w:tr2bl w:val="nil"/>
            </w:tcBorders>
            <w:noWrap w:val="0"/>
            <w:vAlign w:val="center"/>
          </w:tcPr>
          <w:p w14:paraId="510871C8">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6个</w:t>
            </w:r>
          </w:p>
        </w:tc>
        <w:tc>
          <w:tcPr>
            <w:tcW w:w="1189" w:type="dxa"/>
            <w:tcBorders>
              <w:tl2br w:val="nil"/>
              <w:tr2bl w:val="nil"/>
            </w:tcBorders>
            <w:noWrap w:val="0"/>
            <w:vAlign w:val="center"/>
          </w:tcPr>
          <w:p w14:paraId="56021BF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14:paraId="612095C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4BF5EE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4D9B1FA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6216F5E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6173F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08BA0ECD">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4</w:t>
            </w:r>
          </w:p>
        </w:tc>
        <w:tc>
          <w:tcPr>
            <w:tcW w:w="1909" w:type="dxa"/>
            <w:tcBorders>
              <w:tl2br w:val="nil"/>
              <w:tr2bl w:val="nil"/>
            </w:tcBorders>
            <w:noWrap w:val="0"/>
            <w:vAlign w:val="center"/>
          </w:tcPr>
          <w:p w14:paraId="7A51FF0D">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安全绳</w:t>
            </w:r>
          </w:p>
        </w:tc>
        <w:tc>
          <w:tcPr>
            <w:tcW w:w="819" w:type="dxa"/>
            <w:tcBorders>
              <w:tl2br w:val="nil"/>
              <w:tr2bl w:val="nil"/>
            </w:tcBorders>
            <w:noWrap w:val="0"/>
            <w:vAlign w:val="center"/>
          </w:tcPr>
          <w:p w14:paraId="539C9DFA">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14:paraId="46C39AFB">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14:paraId="6A4862C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251851F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6219445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7E1048C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04E0792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5AF2B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10FFED4">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5</w:t>
            </w:r>
          </w:p>
        </w:tc>
        <w:tc>
          <w:tcPr>
            <w:tcW w:w="1909" w:type="dxa"/>
            <w:tcBorders>
              <w:tl2br w:val="nil"/>
              <w:tr2bl w:val="nil"/>
            </w:tcBorders>
            <w:noWrap w:val="0"/>
            <w:vAlign w:val="center"/>
          </w:tcPr>
          <w:p w14:paraId="4EE2E70D">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eastAsia="宋体" w:cs="Times New Roman"/>
                <w:bCs w:val="0"/>
                <w:i w:val="0"/>
                <w:color w:val="000000"/>
                <w:spacing w:val="0"/>
                <w:kern w:val="0"/>
                <w:sz w:val="21"/>
                <w:szCs w:val="21"/>
                <w:u w:val="none"/>
                <w:lang w:val="en-US" w:eastAsia="zh-CN" w:bidi="ar"/>
              </w:rPr>
              <w:t>防火服</w:t>
            </w:r>
          </w:p>
        </w:tc>
        <w:tc>
          <w:tcPr>
            <w:tcW w:w="819" w:type="dxa"/>
            <w:tcBorders>
              <w:tl2br w:val="nil"/>
              <w:tr2bl w:val="nil"/>
            </w:tcBorders>
            <w:noWrap w:val="0"/>
            <w:vAlign w:val="center"/>
          </w:tcPr>
          <w:p w14:paraId="037C758C">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2套</w:t>
            </w:r>
          </w:p>
        </w:tc>
        <w:tc>
          <w:tcPr>
            <w:tcW w:w="1189" w:type="dxa"/>
            <w:tcBorders>
              <w:tl2br w:val="nil"/>
              <w:tr2bl w:val="nil"/>
            </w:tcBorders>
            <w:noWrap w:val="0"/>
            <w:vAlign w:val="center"/>
          </w:tcPr>
          <w:p w14:paraId="73B5621F">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14:paraId="0DBAC62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7F8CFE7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056B9A2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0DF0F032">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4CA3A91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449E6E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479C46B4">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6</w:t>
            </w:r>
          </w:p>
        </w:tc>
        <w:tc>
          <w:tcPr>
            <w:tcW w:w="1909" w:type="dxa"/>
            <w:tcBorders>
              <w:tl2br w:val="nil"/>
              <w:tr2bl w:val="nil"/>
            </w:tcBorders>
            <w:noWrap w:val="0"/>
            <w:vAlign w:val="center"/>
          </w:tcPr>
          <w:p w14:paraId="6DB22C9A">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呼吸器</w:t>
            </w:r>
          </w:p>
        </w:tc>
        <w:tc>
          <w:tcPr>
            <w:tcW w:w="819" w:type="dxa"/>
            <w:tcBorders>
              <w:tl2br w:val="nil"/>
              <w:tr2bl w:val="nil"/>
            </w:tcBorders>
            <w:noWrap w:val="0"/>
            <w:vAlign w:val="center"/>
          </w:tcPr>
          <w:p w14:paraId="59030EF9">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14:paraId="266F37F8">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14:paraId="2C55DB2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6310592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7353112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570A36A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062C004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18288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A9CAA90">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7</w:t>
            </w:r>
          </w:p>
        </w:tc>
        <w:tc>
          <w:tcPr>
            <w:tcW w:w="1909" w:type="dxa"/>
            <w:tcBorders>
              <w:tl2br w:val="nil"/>
              <w:tr2bl w:val="nil"/>
            </w:tcBorders>
            <w:noWrap w:val="0"/>
            <w:vAlign w:val="center"/>
          </w:tcPr>
          <w:p w14:paraId="3C518ACC">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担架</w:t>
            </w:r>
          </w:p>
        </w:tc>
        <w:tc>
          <w:tcPr>
            <w:tcW w:w="819" w:type="dxa"/>
            <w:tcBorders>
              <w:tl2br w:val="nil"/>
              <w:tr2bl w:val="nil"/>
            </w:tcBorders>
            <w:noWrap w:val="0"/>
            <w:vAlign w:val="center"/>
          </w:tcPr>
          <w:p w14:paraId="2E18049F">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14:paraId="49541758">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859" w:type="dxa"/>
            <w:tcBorders>
              <w:tl2br w:val="nil"/>
              <w:tr2bl w:val="nil"/>
            </w:tcBorders>
            <w:noWrap w:val="0"/>
            <w:vAlign w:val="center"/>
          </w:tcPr>
          <w:p w14:paraId="5174350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1F6E231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lang w:eastAsia="zh-CN"/>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142DB00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1687564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5F41BD8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2B194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78050E2F">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8</w:t>
            </w:r>
          </w:p>
        </w:tc>
        <w:tc>
          <w:tcPr>
            <w:tcW w:w="1909" w:type="dxa"/>
            <w:tcBorders>
              <w:tl2br w:val="nil"/>
              <w:tr2bl w:val="nil"/>
            </w:tcBorders>
            <w:noWrap w:val="0"/>
            <w:vAlign w:val="center"/>
          </w:tcPr>
          <w:p w14:paraId="10E8BFE3">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急救药箱</w:t>
            </w:r>
          </w:p>
        </w:tc>
        <w:tc>
          <w:tcPr>
            <w:tcW w:w="819" w:type="dxa"/>
            <w:tcBorders>
              <w:tl2br w:val="nil"/>
              <w:tr2bl w:val="nil"/>
            </w:tcBorders>
            <w:noWrap w:val="0"/>
            <w:vAlign w:val="center"/>
          </w:tcPr>
          <w:p w14:paraId="335EBC7F">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1个</w:t>
            </w:r>
          </w:p>
        </w:tc>
        <w:tc>
          <w:tcPr>
            <w:tcW w:w="1189" w:type="dxa"/>
            <w:tcBorders>
              <w:tl2br w:val="nil"/>
              <w:tr2bl w:val="nil"/>
            </w:tcBorders>
            <w:noWrap w:val="0"/>
            <w:vAlign w:val="center"/>
          </w:tcPr>
          <w:p w14:paraId="04F19E27">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444D007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532A2D3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68F6977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ascii="Times New Roman" w:hAnsi="Times New Roman" w:eastAsia="宋体"/>
                <w:w w:val="99"/>
                <w:sz w:val="21"/>
                <w:highlight w:val="none"/>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42BA637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69540BB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9B476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06F8A79E">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9</w:t>
            </w:r>
          </w:p>
        </w:tc>
        <w:tc>
          <w:tcPr>
            <w:tcW w:w="1909" w:type="dxa"/>
            <w:tcBorders>
              <w:tl2br w:val="nil"/>
              <w:tr2bl w:val="nil"/>
            </w:tcBorders>
            <w:noWrap w:val="0"/>
            <w:vAlign w:val="center"/>
          </w:tcPr>
          <w:p w14:paraId="77980FB7">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纱布</w:t>
            </w:r>
          </w:p>
        </w:tc>
        <w:tc>
          <w:tcPr>
            <w:tcW w:w="819" w:type="dxa"/>
            <w:tcBorders>
              <w:tl2br w:val="nil"/>
              <w:tr2bl w:val="nil"/>
            </w:tcBorders>
            <w:noWrap w:val="0"/>
            <w:vAlign w:val="center"/>
          </w:tcPr>
          <w:p w14:paraId="7289BC9C">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189" w:type="dxa"/>
            <w:tcBorders>
              <w:tl2br w:val="nil"/>
              <w:tr2bl w:val="nil"/>
            </w:tcBorders>
            <w:noWrap w:val="0"/>
            <w:vAlign w:val="center"/>
          </w:tcPr>
          <w:p w14:paraId="5ABC35CA">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11E9D4F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1C0B4A2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206B08C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2022.12</w:t>
            </w:r>
          </w:p>
        </w:tc>
        <w:tc>
          <w:tcPr>
            <w:tcW w:w="969" w:type="dxa"/>
            <w:tcBorders>
              <w:tl2br w:val="nil"/>
              <w:tr2bl w:val="nil"/>
            </w:tcBorders>
            <w:noWrap w:val="0"/>
            <w:vAlign w:val="center"/>
          </w:tcPr>
          <w:p w14:paraId="267B884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29AA441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631395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13ACA798">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10</w:t>
            </w:r>
          </w:p>
        </w:tc>
        <w:tc>
          <w:tcPr>
            <w:tcW w:w="1909" w:type="dxa"/>
            <w:tcBorders>
              <w:tl2br w:val="nil"/>
              <w:tr2bl w:val="nil"/>
            </w:tcBorders>
            <w:noWrap w:val="0"/>
            <w:vAlign w:val="center"/>
          </w:tcPr>
          <w:p w14:paraId="1C7AAAEB">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绷带</w:t>
            </w:r>
          </w:p>
        </w:tc>
        <w:tc>
          <w:tcPr>
            <w:tcW w:w="819" w:type="dxa"/>
            <w:tcBorders>
              <w:tl2br w:val="nil"/>
              <w:tr2bl w:val="nil"/>
            </w:tcBorders>
            <w:noWrap w:val="0"/>
            <w:vAlign w:val="center"/>
          </w:tcPr>
          <w:p w14:paraId="0C1A61D7">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189" w:type="dxa"/>
            <w:tcBorders>
              <w:tl2br w:val="nil"/>
              <w:tr2bl w:val="nil"/>
            </w:tcBorders>
            <w:noWrap w:val="0"/>
            <w:vAlign w:val="center"/>
          </w:tcPr>
          <w:p w14:paraId="0F1DC25E">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6342BD7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1BC012F7">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682EB2A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2022.8</w:t>
            </w:r>
          </w:p>
        </w:tc>
        <w:tc>
          <w:tcPr>
            <w:tcW w:w="969" w:type="dxa"/>
            <w:tcBorders>
              <w:tl2br w:val="nil"/>
              <w:tr2bl w:val="nil"/>
            </w:tcBorders>
            <w:noWrap w:val="0"/>
            <w:vAlign w:val="center"/>
          </w:tcPr>
          <w:p w14:paraId="613D517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71D35FB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700F00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45985350">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11</w:t>
            </w:r>
          </w:p>
        </w:tc>
        <w:tc>
          <w:tcPr>
            <w:tcW w:w="1909" w:type="dxa"/>
            <w:tcBorders>
              <w:tl2br w:val="nil"/>
              <w:tr2bl w:val="nil"/>
            </w:tcBorders>
            <w:noWrap w:val="0"/>
            <w:vAlign w:val="center"/>
          </w:tcPr>
          <w:p w14:paraId="258997B1">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创口贴</w:t>
            </w:r>
          </w:p>
        </w:tc>
        <w:tc>
          <w:tcPr>
            <w:tcW w:w="819" w:type="dxa"/>
            <w:tcBorders>
              <w:tl2br w:val="nil"/>
              <w:tr2bl w:val="nil"/>
            </w:tcBorders>
            <w:noWrap w:val="0"/>
            <w:vAlign w:val="center"/>
          </w:tcPr>
          <w:p w14:paraId="4225EE91">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2盒</w:t>
            </w:r>
          </w:p>
        </w:tc>
        <w:tc>
          <w:tcPr>
            <w:tcW w:w="1189" w:type="dxa"/>
            <w:tcBorders>
              <w:tl2br w:val="nil"/>
              <w:tr2bl w:val="nil"/>
            </w:tcBorders>
            <w:noWrap w:val="0"/>
            <w:vAlign w:val="center"/>
          </w:tcPr>
          <w:p w14:paraId="4E627EB3">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6B15F3E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7497FB1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1FF6328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2023.2</w:t>
            </w:r>
          </w:p>
        </w:tc>
        <w:tc>
          <w:tcPr>
            <w:tcW w:w="969" w:type="dxa"/>
            <w:tcBorders>
              <w:tl2br w:val="nil"/>
              <w:tr2bl w:val="nil"/>
            </w:tcBorders>
            <w:noWrap w:val="0"/>
            <w:vAlign w:val="center"/>
          </w:tcPr>
          <w:p w14:paraId="3EB7860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33FAB66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20C7C4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4FE6B892">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12</w:t>
            </w:r>
          </w:p>
        </w:tc>
        <w:tc>
          <w:tcPr>
            <w:tcW w:w="1909" w:type="dxa"/>
            <w:tcBorders>
              <w:tl2br w:val="nil"/>
              <w:tr2bl w:val="nil"/>
            </w:tcBorders>
            <w:noWrap w:val="0"/>
            <w:vAlign w:val="center"/>
          </w:tcPr>
          <w:p w14:paraId="6005391E">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烫伤膏</w:t>
            </w:r>
          </w:p>
        </w:tc>
        <w:tc>
          <w:tcPr>
            <w:tcW w:w="819" w:type="dxa"/>
            <w:tcBorders>
              <w:tl2br w:val="nil"/>
              <w:tr2bl w:val="nil"/>
            </w:tcBorders>
            <w:noWrap w:val="0"/>
            <w:vAlign w:val="center"/>
          </w:tcPr>
          <w:p w14:paraId="0F9CCB95">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2支</w:t>
            </w:r>
          </w:p>
        </w:tc>
        <w:tc>
          <w:tcPr>
            <w:tcW w:w="1189" w:type="dxa"/>
            <w:tcBorders>
              <w:tl2br w:val="nil"/>
              <w:tr2bl w:val="nil"/>
            </w:tcBorders>
            <w:noWrap w:val="0"/>
            <w:vAlign w:val="center"/>
          </w:tcPr>
          <w:p w14:paraId="30EC8FF0">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7415096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57754E4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0DCA9A2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2022.9</w:t>
            </w:r>
          </w:p>
        </w:tc>
        <w:tc>
          <w:tcPr>
            <w:tcW w:w="969" w:type="dxa"/>
            <w:tcBorders>
              <w:tl2br w:val="nil"/>
              <w:tr2bl w:val="nil"/>
            </w:tcBorders>
            <w:noWrap w:val="0"/>
            <w:vAlign w:val="center"/>
          </w:tcPr>
          <w:p w14:paraId="753E6E57">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469E21C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1C7264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E617DE4">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13</w:t>
            </w:r>
          </w:p>
        </w:tc>
        <w:tc>
          <w:tcPr>
            <w:tcW w:w="1909" w:type="dxa"/>
            <w:tcBorders>
              <w:tl2br w:val="nil"/>
              <w:tr2bl w:val="nil"/>
            </w:tcBorders>
            <w:noWrap w:val="0"/>
            <w:vAlign w:val="center"/>
          </w:tcPr>
          <w:p w14:paraId="7672FB34">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藿香正气水</w:t>
            </w:r>
          </w:p>
        </w:tc>
        <w:tc>
          <w:tcPr>
            <w:tcW w:w="819" w:type="dxa"/>
            <w:tcBorders>
              <w:tl2br w:val="nil"/>
              <w:tr2bl w:val="nil"/>
            </w:tcBorders>
            <w:noWrap w:val="0"/>
            <w:vAlign w:val="center"/>
          </w:tcPr>
          <w:p w14:paraId="06A8E35F">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5盒</w:t>
            </w:r>
          </w:p>
        </w:tc>
        <w:tc>
          <w:tcPr>
            <w:tcW w:w="1189" w:type="dxa"/>
            <w:tcBorders>
              <w:tl2br w:val="nil"/>
              <w:tr2bl w:val="nil"/>
            </w:tcBorders>
            <w:noWrap w:val="0"/>
            <w:vAlign w:val="center"/>
          </w:tcPr>
          <w:p w14:paraId="351E1B59">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17B3C7C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C3504B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4333D5A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2023.3</w:t>
            </w:r>
          </w:p>
        </w:tc>
        <w:tc>
          <w:tcPr>
            <w:tcW w:w="969" w:type="dxa"/>
            <w:tcBorders>
              <w:tl2br w:val="nil"/>
              <w:tr2bl w:val="nil"/>
            </w:tcBorders>
            <w:noWrap w:val="0"/>
            <w:vAlign w:val="center"/>
          </w:tcPr>
          <w:p w14:paraId="653E5D1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34D01C4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758055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01D19085">
            <w:pPr>
              <w:spacing w:line="240" w:lineRule="auto"/>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14</w:t>
            </w:r>
          </w:p>
        </w:tc>
        <w:tc>
          <w:tcPr>
            <w:tcW w:w="1909" w:type="dxa"/>
            <w:tcBorders>
              <w:tl2br w:val="nil"/>
              <w:tr2bl w:val="nil"/>
            </w:tcBorders>
            <w:noWrap w:val="0"/>
            <w:vAlign w:val="center"/>
          </w:tcPr>
          <w:p w14:paraId="295203A7">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酒精</w:t>
            </w:r>
          </w:p>
        </w:tc>
        <w:tc>
          <w:tcPr>
            <w:tcW w:w="819" w:type="dxa"/>
            <w:tcBorders>
              <w:tl2br w:val="nil"/>
              <w:tr2bl w:val="nil"/>
            </w:tcBorders>
            <w:noWrap w:val="0"/>
            <w:vAlign w:val="center"/>
          </w:tcPr>
          <w:p w14:paraId="2E1EF15B">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1瓶</w:t>
            </w:r>
          </w:p>
        </w:tc>
        <w:tc>
          <w:tcPr>
            <w:tcW w:w="1189" w:type="dxa"/>
            <w:tcBorders>
              <w:tl2br w:val="nil"/>
              <w:tr2bl w:val="nil"/>
            </w:tcBorders>
            <w:noWrap w:val="0"/>
            <w:vAlign w:val="center"/>
          </w:tcPr>
          <w:p w14:paraId="232D4274">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859" w:type="dxa"/>
            <w:tcBorders>
              <w:tl2br w:val="nil"/>
              <w:tr2bl w:val="nil"/>
            </w:tcBorders>
            <w:noWrap w:val="0"/>
            <w:vAlign w:val="center"/>
          </w:tcPr>
          <w:p w14:paraId="05D5121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8BCA5C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sz w:val="21"/>
                <w:szCs w:val="21"/>
                <w:highlight w:val="none"/>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7688861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w w:val="99"/>
                <w:sz w:val="21"/>
                <w:highlight w:val="none"/>
                <w:lang w:val="en-US" w:eastAsia="zh-CN"/>
              </w:rPr>
            </w:pPr>
            <w:r>
              <w:rPr>
                <w:rFonts w:hint="eastAsia" w:ascii="Times New Roman" w:hAnsi="Times New Roman"/>
                <w:w w:val="99"/>
                <w:sz w:val="21"/>
                <w:highlight w:val="none"/>
                <w:lang w:val="en-US" w:eastAsia="zh-CN"/>
              </w:rPr>
              <w:t>2022.10</w:t>
            </w:r>
          </w:p>
        </w:tc>
        <w:tc>
          <w:tcPr>
            <w:tcW w:w="969" w:type="dxa"/>
            <w:tcBorders>
              <w:tl2br w:val="nil"/>
              <w:tr2bl w:val="nil"/>
            </w:tcBorders>
            <w:noWrap w:val="0"/>
            <w:vAlign w:val="center"/>
          </w:tcPr>
          <w:p w14:paraId="1A848F5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5C59C7E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r w14:paraId="49CD84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wBefore w:w="80" w:type="dxa"/>
          <w:trHeight w:val="340" w:hRule="atLeast"/>
          <w:jc w:val="center"/>
        </w:trPr>
        <w:tc>
          <w:tcPr>
            <w:tcW w:w="654" w:type="dxa"/>
            <w:tcBorders>
              <w:tl2br w:val="nil"/>
              <w:tr2bl w:val="nil"/>
            </w:tcBorders>
            <w:noWrap w:val="0"/>
            <w:vAlign w:val="center"/>
          </w:tcPr>
          <w:p w14:paraId="5C48CD0C">
            <w:pPr>
              <w:spacing w:line="240" w:lineRule="auto"/>
              <w:jc w:val="center"/>
              <w:rPr>
                <w:rFonts w:hint="default" w:ascii="Times New Roman" w:hAnsi="Times New Roman" w:eastAsia="宋体" w:cs="Times New Roman"/>
                <w:bCs/>
                <w:color w:val="000000"/>
                <w:sz w:val="21"/>
                <w:szCs w:val="21"/>
                <w:highlight w:val="none"/>
                <w:lang w:val="en-US" w:eastAsia="zh-CN"/>
              </w:rPr>
            </w:pPr>
            <w:r>
              <w:rPr>
                <w:rFonts w:hint="eastAsia" w:eastAsia="宋体" w:cs="Times New Roman"/>
                <w:bCs/>
                <w:color w:val="000000"/>
                <w:sz w:val="21"/>
                <w:szCs w:val="21"/>
                <w:highlight w:val="none"/>
                <w:lang w:val="en-US" w:eastAsia="zh-CN"/>
              </w:rPr>
              <w:t>15</w:t>
            </w:r>
          </w:p>
        </w:tc>
        <w:tc>
          <w:tcPr>
            <w:tcW w:w="1909" w:type="dxa"/>
            <w:tcBorders>
              <w:tl2br w:val="nil"/>
              <w:tr2bl w:val="nil"/>
            </w:tcBorders>
            <w:noWrap w:val="0"/>
            <w:vAlign w:val="center"/>
          </w:tcPr>
          <w:p w14:paraId="0E7EB6DB">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正压式呼吸器</w:t>
            </w:r>
          </w:p>
        </w:tc>
        <w:tc>
          <w:tcPr>
            <w:tcW w:w="819" w:type="dxa"/>
            <w:tcBorders>
              <w:tl2br w:val="nil"/>
              <w:tr2bl w:val="nil"/>
            </w:tcBorders>
            <w:noWrap w:val="0"/>
            <w:vAlign w:val="center"/>
          </w:tcPr>
          <w:p w14:paraId="2BAD2C95">
            <w:pPr>
              <w:pStyle w:val="196"/>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2个</w:t>
            </w:r>
          </w:p>
        </w:tc>
        <w:tc>
          <w:tcPr>
            <w:tcW w:w="1189" w:type="dxa"/>
            <w:tcBorders>
              <w:tl2br w:val="nil"/>
              <w:tr2bl w:val="nil"/>
            </w:tcBorders>
            <w:noWrap w:val="0"/>
            <w:vAlign w:val="center"/>
          </w:tcPr>
          <w:p w14:paraId="4DF4ABA0">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车间</w:t>
            </w:r>
          </w:p>
        </w:tc>
        <w:tc>
          <w:tcPr>
            <w:tcW w:w="859" w:type="dxa"/>
            <w:tcBorders>
              <w:tl2br w:val="nil"/>
              <w:tr2bl w:val="nil"/>
            </w:tcBorders>
            <w:noWrap w:val="0"/>
            <w:vAlign w:val="center"/>
          </w:tcPr>
          <w:p w14:paraId="12239E8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eastAsia="宋体"/>
                <w:b/>
                <w:sz w:val="21"/>
                <w:highlight w:val="none"/>
              </w:rPr>
            </w:pPr>
          </w:p>
          <w:p w14:paraId="34CA0243">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highlight w:val="none"/>
                <w:lang w:val="en-US" w:eastAsia="zh-CN" w:bidi="ar-SA"/>
              </w:rPr>
            </w:pPr>
            <w:r>
              <w:rPr>
                <w:rFonts w:ascii="Times New Roman" w:hAnsi="Times New Roman" w:eastAsia="宋体"/>
                <w:w w:val="99"/>
                <w:sz w:val="21"/>
                <w:highlight w:val="none"/>
              </w:rPr>
              <w:t>/</w:t>
            </w:r>
          </w:p>
        </w:tc>
        <w:tc>
          <w:tcPr>
            <w:tcW w:w="1232" w:type="dxa"/>
            <w:tcBorders>
              <w:tl2br w:val="nil"/>
              <w:tr2bl w:val="nil"/>
            </w:tcBorders>
            <w:noWrap w:val="0"/>
            <w:vAlign w:val="center"/>
          </w:tcPr>
          <w:p w14:paraId="13EBE87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宋体"/>
                <w:w w:val="99"/>
                <w:kern w:val="2"/>
                <w:sz w:val="21"/>
                <w:szCs w:val="24"/>
                <w:highlight w:val="none"/>
                <w:lang w:val="en-US" w:eastAsia="zh-CN" w:bidi="ar-SA"/>
              </w:rPr>
            </w:pPr>
            <w:r>
              <w:rPr>
                <w:rFonts w:ascii="Times New Roman" w:hAnsi="Times New Roman" w:eastAsia="宋体"/>
                <w:w w:val="99"/>
                <w:sz w:val="21"/>
                <w:highlight w:val="none"/>
              </w:rPr>
              <w:t>/</w:t>
            </w:r>
          </w:p>
        </w:tc>
        <w:tc>
          <w:tcPr>
            <w:tcW w:w="969" w:type="dxa"/>
            <w:tcBorders>
              <w:tl2br w:val="nil"/>
              <w:tr2bl w:val="nil"/>
            </w:tcBorders>
            <w:noWrap w:val="0"/>
            <w:vAlign w:val="center"/>
          </w:tcPr>
          <w:p w14:paraId="1428AD1D">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cs="Times New Roman"/>
                <w:color w:val="auto"/>
                <w:sz w:val="21"/>
                <w:szCs w:val="21"/>
                <w:lang w:val="en-US" w:eastAsia="zh-CN"/>
              </w:rPr>
              <w:t>蔺光保</w:t>
            </w:r>
          </w:p>
        </w:tc>
        <w:tc>
          <w:tcPr>
            <w:tcW w:w="1134" w:type="dxa"/>
            <w:tcBorders>
              <w:tl2br w:val="nil"/>
              <w:tr2bl w:val="nil"/>
            </w:tcBorders>
            <w:noWrap w:val="0"/>
            <w:vAlign w:val="center"/>
          </w:tcPr>
          <w:p w14:paraId="2AF0756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000000"/>
                <w:kern w:val="2"/>
                <w:sz w:val="21"/>
                <w:szCs w:val="21"/>
                <w:highlight w:val="none"/>
                <w:lang w:val="zh-CN" w:eastAsia="zh-CN" w:bidi="ar-SA"/>
              </w:rPr>
            </w:pPr>
            <w:r>
              <w:rPr>
                <w:rFonts w:hint="eastAsia" w:ascii="宋体" w:hAnsi="宋体" w:eastAsia="宋体" w:cs="宋体"/>
                <w:kern w:val="0"/>
                <w:sz w:val="21"/>
                <w:szCs w:val="22"/>
                <w:highlight w:val="none"/>
                <w:lang w:val="zh-CN" w:eastAsia="zh-CN" w:bidi="zh-CN"/>
              </w:rPr>
              <w:t>每月</w:t>
            </w:r>
            <w:r>
              <w:rPr>
                <w:rFonts w:hint="eastAsia" w:ascii="宋体" w:hAnsi="宋体" w:eastAsia="宋体" w:cs="宋体"/>
                <w:kern w:val="0"/>
                <w:sz w:val="21"/>
                <w:szCs w:val="22"/>
                <w:highlight w:val="none"/>
                <w:lang w:val="en-US" w:eastAsia="zh-CN" w:bidi="zh-CN"/>
              </w:rPr>
              <w:t>/应急处置结束后</w:t>
            </w:r>
          </w:p>
        </w:tc>
      </w:tr>
    </w:tbl>
    <w:p w14:paraId="4E5AD664">
      <w:pPr>
        <w:pStyle w:val="251"/>
        <w:snapToGrid w:val="0"/>
        <w:outlineLvl w:val="2"/>
        <w:rPr>
          <w:rFonts w:eastAsia="宋体"/>
          <w:szCs w:val="24"/>
        </w:rPr>
      </w:pPr>
      <w:r>
        <w:rPr>
          <w:rFonts w:eastAsia="宋体"/>
          <w:szCs w:val="24"/>
        </w:rPr>
        <w:t>3.</w:t>
      </w:r>
      <w:r>
        <w:rPr>
          <w:rFonts w:hint="eastAsia"/>
          <w:szCs w:val="24"/>
        </w:rPr>
        <w:t>8.3</w:t>
      </w:r>
      <w:r>
        <w:rPr>
          <w:rFonts w:hint="eastAsia" w:eastAsia="宋体"/>
          <w:szCs w:val="24"/>
        </w:rPr>
        <w:t>应急监测能力</w:t>
      </w:r>
      <w:bookmarkEnd w:id="157"/>
      <w:bookmarkEnd w:id="158"/>
      <w:bookmarkEnd w:id="159"/>
    </w:p>
    <w:p w14:paraId="617CD99E">
      <w:pPr>
        <w:pStyle w:val="13"/>
        <w:spacing w:after="0" w:line="500" w:lineRule="exact"/>
        <w:ind w:firstLine="440" w:firstLineChars="200"/>
        <w:rPr>
          <w:rFonts w:eastAsia="宋体"/>
          <w:spacing w:val="-10"/>
        </w:rPr>
      </w:pPr>
      <w:r>
        <w:rPr>
          <w:rFonts w:eastAsia="宋体"/>
          <w:spacing w:val="-10"/>
        </w:rPr>
        <w:t>目前我公司无应急监测能力（人员、监测设备不具备），委托江苏裕和检测技术有限公司进行应急监测。</w:t>
      </w:r>
    </w:p>
    <w:p w14:paraId="577B66B4">
      <w:pPr>
        <w:pStyle w:val="251"/>
        <w:snapToGrid w:val="0"/>
        <w:outlineLvl w:val="2"/>
        <w:rPr>
          <w:rFonts w:eastAsia="宋体"/>
          <w:szCs w:val="24"/>
        </w:rPr>
      </w:pPr>
      <w:bookmarkStart w:id="160" w:name="_TOC_250046"/>
      <w:bookmarkEnd w:id="160"/>
      <w:bookmarkStart w:id="161" w:name="3.7.4内部应急队伍"/>
      <w:bookmarkEnd w:id="161"/>
      <w:bookmarkStart w:id="162" w:name="_Toc5748"/>
      <w:bookmarkStart w:id="163" w:name="_Toc5943"/>
      <w:bookmarkStart w:id="164" w:name="_Toc1667"/>
      <w:r>
        <w:rPr>
          <w:rFonts w:eastAsia="宋体"/>
          <w:szCs w:val="24"/>
        </w:rPr>
        <w:t>3.</w:t>
      </w:r>
      <w:r>
        <w:rPr>
          <w:rFonts w:hint="eastAsia"/>
          <w:szCs w:val="24"/>
        </w:rPr>
        <w:t>8.4</w:t>
      </w:r>
      <w:r>
        <w:rPr>
          <w:rFonts w:hint="eastAsia" w:eastAsia="宋体"/>
          <w:szCs w:val="24"/>
        </w:rPr>
        <w:t>内部应急队伍</w:t>
      </w:r>
      <w:bookmarkEnd w:id="162"/>
      <w:bookmarkEnd w:id="163"/>
      <w:bookmarkEnd w:id="164"/>
    </w:p>
    <w:p w14:paraId="46654A9D">
      <w:pPr>
        <w:pStyle w:val="13"/>
        <w:spacing w:after="0" w:line="500" w:lineRule="exact"/>
        <w:ind w:firstLine="440" w:firstLineChars="200"/>
      </w:pPr>
      <w:r>
        <w:rPr>
          <w:rFonts w:hint="eastAsia" w:eastAsia="宋体"/>
          <w:spacing w:val="-10"/>
          <w:lang w:eastAsia="zh-CN"/>
        </w:rPr>
        <w:t>南通名万家具有限公司</w:t>
      </w:r>
      <w:r>
        <w:rPr>
          <w:rFonts w:eastAsia="宋体"/>
          <w:spacing w:val="-10"/>
        </w:rPr>
        <w:t>针对应急预案应急救援组织机构下设总指挥、副总指挥、综合</w:t>
      </w:r>
      <w:r>
        <w:rPr>
          <w:rFonts w:hint="eastAsia" w:eastAsia="宋体"/>
          <w:spacing w:val="-10"/>
        </w:rPr>
        <w:t>协调</w:t>
      </w:r>
      <w:r>
        <w:rPr>
          <w:rFonts w:eastAsia="宋体"/>
          <w:spacing w:val="-10"/>
        </w:rPr>
        <w:t>组、</w:t>
      </w:r>
      <w:r>
        <w:rPr>
          <w:rFonts w:hint="eastAsia" w:eastAsia="宋体"/>
          <w:spacing w:val="-10"/>
        </w:rPr>
        <w:t>现场处置</w:t>
      </w:r>
      <w:r>
        <w:rPr>
          <w:rFonts w:eastAsia="宋体"/>
          <w:spacing w:val="-10"/>
        </w:rPr>
        <w:t>组、</w:t>
      </w:r>
      <w:r>
        <w:rPr>
          <w:rFonts w:hint="eastAsia" w:eastAsia="宋体"/>
          <w:spacing w:val="-10"/>
        </w:rPr>
        <w:t>应急保障</w:t>
      </w:r>
      <w:r>
        <w:rPr>
          <w:rFonts w:eastAsia="宋体"/>
          <w:spacing w:val="-10"/>
        </w:rPr>
        <w:t>组、</w:t>
      </w:r>
      <w:r>
        <w:rPr>
          <w:rFonts w:hint="eastAsia" w:eastAsia="宋体"/>
          <w:spacing w:val="-10"/>
        </w:rPr>
        <w:t>医疗救治</w:t>
      </w:r>
      <w:r>
        <w:rPr>
          <w:rFonts w:eastAsia="宋体"/>
          <w:spacing w:val="-10"/>
        </w:rPr>
        <w:t>组、</w:t>
      </w:r>
      <w:r>
        <w:rPr>
          <w:rFonts w:hint="eastAsia" w:eastAsia="宋体"/>
          <w:spacing w:val="-10"/>
        </w:rPr>
        <w:t>应急</w:t>
      </w:r>
      <w:r>
        <w:rPr>
          <w:rFonts w:eastAsia="宋体"/>
          <w:spacing w:val="-10"/>
        </w:rPr>
        <w:t>监测组。具体救援组成员见表3-</w:t>
      </w:r>
      <w:r>
        <w:rPr>
          <w:rFonts w:hint="eastAsia" w:eastAsia="宋体"/>
          <w:spacing w:val="-10"/>
        </w:rPr>
        <w:t>2</w:t>
      </w:r>
      <w:r>
        <w:rPr>
          <w:rFonts w:hint="eastAsia" w:eastAsia="宋体"/>
          <w:spacing w:val="-10"/>
          <w:lang w:val="en-US" w:eastAsia="zh-CN"/>
        </w:rPr>
        <w:t>0</w:t>
      </w:r>
      <w:r>
        <w:rPr>
          <w:rFonts w:eastAsia="宋体"/>
          <w:spacing w:val="-10"/>
        </w:rPr>
        <w:t>所示。</w:t>
      </w:r>
    </w:p>
    <w:p w14:paraId="4E19F41D">
      <w:pPr>
        <w:pStyle w:val="13"/>
        <w:spacing w:after="0" w:line="500" w:lineRule="exact"/>
        <w:jc w:val="center"/>
        <w:rPr>
          <w:rFonts w:eastAsia="宋体"/>
          <w:b/>
          <w:sz w:val="5"/>
        </w:rPr>
      </w:pPr>
      <w:r>
        <w:rPr>
          <w:rFonts w:eastAsia="宋体"/>
          <w:b/>
          <w:bCs/>
        </w:rPr>
        <w:t>表3-</w:t>
      </w:r>
      <w:r>
        <w:rPr>
          <w:rFonts w:hint="eastAsia" w:eastAsia="宋体"/>
          <w:b/>
          <w:bCs/>
        </w:rPr>
        <w:t>2</w:t>
      </w:r>
      <w:r>
        <w:rPr>
          <w:rFonts w:hint="eastAsia" w:eastAsia="宋体"/>
          <w:b/>
          <w:bCs/>
          <w:lang w:val="en-US" w:eastAsia="zh-CN"/>
        </w:rPr>
        <w:t>0</w:t>
      </w:r>
      <w:r>
        <w:rPr>
          <w:rFonts w:hint="eastAsia" w:eastAsia="宋体"/>
          <w:b/>
          <w:bCs/>
        </w:rPr>
        <w:t>现</w:t>
      </w:r>
      <w:r>
        <w:rPr>
          <w:rFonts w:hint="eastAsia" w:eastAsia="宋体"/>
          <w:b/>
          <w:bCs/>
          <w:highlight w:val="none"/>
        </w:rPr>
        <w:t>有应急救援组</w:t>
      </w:r>
      <w:r>
        <w:rPr>
          <w:rFonts w:hint="eastAsia" w:eastAsia="宋体"/>
          <w:b/>
          <w:bCs/>
        </w:rPr>
        <w:t>织机构人员</w:t>
      </w:r>
    </w:p>
    <w:tbl>
      <w:tblPr>
        <w:tblStyle w:val="38"/>
        <w:tblW w:w="515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92"/>
        <w:gridCol w:w="3118"/>
        <w:gridCol w:w="2427"/>
        <w:gridCol w:w="1052"/>
        <w:gridCol w:w="2189"/>
      </w:tblGrid>
      <w:tr w14:paraId="70A3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bottom w:val="single" w:color="000000" w:sz="4" w:space="0"/>
              <w:right w:val="single" w:color="000000" w:sz="4" w:space="0"/>
            </w:tcBorders>
            <w:vAlign w:val="center"/>
          </w:tcPr>
          <w:p w14:paraId="25C8413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bookmarkStart w:id="165" w:name="_TOC_250045"/>
            <w:bookmarkEnd w:id="165"/>
            <w:bookmarkStart w:id="166" w:name="3.7.5外部应急救援力量"/>
            <w:bookmarkEnd w:id="166"/>
            <w:bookmarkStart w:id="167" w:name="_Toc26885"/>
            <w:bookmarkStart w:id="168" w:name="_Toc23755"/>
            <w:bookmarkStart w:id="169" w:name="_Toc22493"/>
            <w:r>
              <w:rPr>
                <w:rFonts w:ascii="Times New Roman" w:hAnsi="Times New Roman"/>
                <w:sz w:val="21"/>
                <w:highlight w:val="none"/>
              </w:rPr>
              <w:t>序号</w:t>
            </w:r>
          </w:p>
        </w:tc>
        <w:tc>
          <w:tcPr>
            <w:tcW w:w="1576" w:type="pct"/>
            <w:tcBorders>
              <w:left w:val="single" w:color="000000" w:sz="4" w:space="0"/>
              <w:bottom w:val="single" w:color="000000" w:sz="4" w:space="0"/>
              <w:right w:val="single" w:color="000000" w:sz="4" w:space="0"/>
            </w:tcBorders>
            <w:vAlign w:val="center"/>
          </w:tcPr>
          <w:p w14:paraId="63D9D19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职务</w:t>
            </w:r>
          </w:p>
        </w:tc>
        <w:tc>
          <w:tcPr>
            <w:tcW w:w="1227" w:type="pct"/>
            <w:tcBorders>
              <w:left w:val="single" w:color="000000" w:sz="4" w:space="0"/>
              <w:bottom w:val="single" w:color="000000" w:sz="4" w:space="0"/>
              <w:right w:val="single" w:color="000000" w:sz="4" w:space="0"/>
            </w:tcBorders>
            <w:vAlign w:val="center"/>
          </w:tcPr>
          <w:p w14:paraId="77AC68FA">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来自部门</w:t>
            </w:r>
          </w:p>
        </w:tc>
        <w:tc>
          <w:tcPr>
            <w:tcW w:w="531" w:type="pct"/>
            <w:tcBorders>
              <w:left w:val="single" w:color="000000" w:sz="4" w:space="0"/>
              <w:bottom w:val="single" w:color="000000" w:sz="4" w:space="0"/>
              <w:right w:val="single" w:color="000000" w:sz="4" w:space="0"/>
            </w:tcBorders>
            <w:vAlign w:val="center"/>
          </w:tcPr>
          <w:p w14:paraId="17549C5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姓名</w:t>
            </w:r>
          </w:p>
        </w:tc>
        <w:tc>
          <w:tcPr>
            <w:tcW w:w="1106" w:type="pct"/>
            <w:tcBorders>
              <w:left w:val="single" w:color="000000" w:sz="4" w:space="0"/>
              <w:bottom w:val="single" w:color="000000" w:sz="4" w:space="0"/>
            </w:tcBorders>
            <w:vAlign w:val="center"/>
          </w:tcPr>
          <w:p w14:paraId="12E7848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联系方式</w:t>
            </w:r>
          </w:p>
        </w:tc>
      </w:tr>
      <w:tr w14:paraId="294FD0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28B91F74">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1</w:t>
            </w:r>
          </w:p>
        </w:tc>
        <w:tc>
          <w:tcPr>
            <w:tcW w:w="1576" w:type="pct"/>
            <w:tcBorders>
              <w:top w:val="single" w:color="000000" w:sz="4" w:space="0"/>
              <w:left w:val="single" w:color="000000" w:sz="4" w:space="0"/>
              <w:bottom w:val="single" w:color="000000" w:sz="4" w:space="0"/>
              <w:right w:val="single" w:color="000000" w:sz="4" w:space="0"/>
            </w:tcBorders>
            <w:vAlign w:val="center"/>
          </w:tcPr>
          <w:p w14:paraId="770811E1">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指挥部总指挥</w:t>
            </w:r>
          </w:p>
        </w:tc>
        <w:tc>
          <w:tcPr>
            <w:tcW w:w="1227" w:type="pct"/>
            <w:tcBorders>
              <w:top w:val="single" w:color="000000" w:sz="4" w:space="0"/>
              <w:left w:val="single" w:color="000000" w:sz="4" w:space="0"/>
              <w:bottom w:val="single" w:color="000000" w:sz="4" w:space="0"/>
              <w:right w:val="single" w:color="000000" w:sz="4" w:space="0"/>
            </w:tcBorders>
            <w:vAlign w:val="center"/>
          </w:tcPr>
          <w:p w14:paraId="4F4952BD">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单位负责人</w:t>
            </w:r>
          </w:p>
        </w:tc>
        <w:tc>
          <w:tcPr>
            <w:tcW w:w="531" w:type="pct"/>
            <w:tcBorders>
              <w:top w:val="single" w:color="000000" w:sz="4" w:space="0"/>
              <w:left w:val="single" w:color="000000" w:sz="4" w:space="0"/>
              <w:bottom w:val="single" w:color="000000" w:sz="4" w:space="0"/>
              <w:right w:val="single" w:color="000000" w:sz="4" w:space="0"/>
            </w:tcBorders>
            <w:vAlign w:val="center"/>
          </w:tcPr>
          <w:p w14:paraId="23BAB029">
            <w:pPr>
              <w:pStyle w:val="157"/>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张保玉</w:t>
            </w:r>
          </w:p>
        </w:tc>
        <w:tc>
          <w:tcPr>
            <w:tcW w:w="1106" w:type="pct"/>
            <w:tcBorders>
              <w:top w:val="single" w:color="000000" w:sz="4" w:space="0"/>
              <w:left w:val="single" w:color="000000" w:sz="4" w:space="0"/>
              <w:bottom w:val="single" w:color="000000" w:sz="4" w:space="0"/>
            </w:tcBorders>
            <w:vAlign w:val="center"/>
          </w:tcPr>
          <w:p w14:paraId="23752B06">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13812673879</w:t>
            </w:r>
          </w:p>
        </w:tc>
      </w:tr>
      <w:tr w14:paraId="38D483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38C72FB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2</w:t>
            </w:r>
          </w:p>
        </w:tc>
        <w:tc>
          <w:tcPr>
            <w:tcW w:w="1576" w:type="pct"/>
            <w:tcBorders>
              <w:top w:val="single" w:color="000000" w:sz="4" w:space="0"/>
              <w:left w:val="single" w:color="000000" w:sz="4" w:space="0"/>
              <w:bottom w:val="single" w:color="000000" w:sz="4" w:space="0"/>
              <w:right w:val="single" w:color="000000" w:sz="4" w:space="0"/>
            </w:tcBorders>
            <w:vAlign w:val="center"/>
          </w:tcPr>
          <w:p w14:paraId="7152BFDE">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指挥部副总指挥</w:t>
            </w:r>
          </w:p>
        </w:tc>
        <w:tc>
          <w:tcPr>
            <w:tcW w:w="1227" w:type="pct"/>
            <w:tcBorders>
              <w:top w:val="single" w:color="000000" w:sz="4" w:space="0"/>
              <w:left w:val="single" w:color="000000" w:sz="4" w:space="0"/>
              <w:bottom w:val="single" w:color="000000" w:sz="4" w:space="0"/>
              <w:right w:val="single" w:color="000000" w:sz="4" w:space="0"/>
            </w:tcBorders>
            <w:vAlign w:val="center"/>
          </w:tcPr>
          <w:p w14:paraId="16527133">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法人</w:t>
            </w:r>
          </w:p>
        </w:tc>
        <w:tc>
          <w:tcPr>
            <w:tcW w:w="531" w:type="pct"/>
            <w:tcBorders>
              <w:top w:val="single" w:color="000000" w:sz="4" w:space="0"/>
              <w:left w:val="single" w:color="000000" w:sz="4" w:space="0"/>
              <w:bottom w:val="single" w:color="000000" w:sz="4" w:space="0"/>
              <w:right w:val="single" w:color="000000" w:sz="4" w:space="0"/>
            </w:tcBorders>
            <w:vAlign w:val="center"/>
          </w:tcPr>
          <w:p w14:paraId="7E9A53C0">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韩仁敏</w:t>
            </w:r>
          </w:p>
        </w:tc>
        <w:tc>
          <w:tcPr>
            <w:tcW w:w="1106" w:type="pct"/>
            <w:tcBorders>
              <w:top w:val="single" w:color="000000" w:sz="4" w:space="0"/>
              <w:left w:val="single" w:color="000000" w:sz="4" w:space="0"/>
              <w:bottom w:val="single" w:color="000000" w:sz="4" w:space="0"/>
            </w:tcBorders>
            <w:vAlign w:val="center"/>
          </w:tcPr>
          <w:p w14:paraId="6A6936D4">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15150137055</w:t>
            </w:r>
          </w:p>
        </w:tc>
      </w:tr>
      <w:tr w14:paraId="4619EF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48E0BA80">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3</w:t>
            </w:r>
          </w:p>
        </w:tc>
        <w:tc>
          <w:tcPr>
            <w:tcW w:w="1576" w:type="pct"/>
            <w:tcBorders>
              <w:top w:val="single" w:color="000000" w:sz="4" w:space="0"/>
              <w:left w:val="single" w:color="000000" w:sz="4" w:space="0"/>
              <w:bottom w:val="single" w:color="000000" w:sz="4" w:space="0"/>
              <w:right w:val="single" w:color="000000" w:sz="4" w:space="0"/>
            </w:tcBorders>
            <w:vAlign w:val="center"/>
          </w:tcPr>
          <w:p w14:paraId="250152D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5F00A75C">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安全员</w:t>
            </w:r>
          </w:p>
        </w:tc>
        <w:tc>
          <w:tcPr>
            <w:tcW w:w="531" w:type="pct"/>
            <w:tcBorders>
              <w:top w:val="single" w:color="000000" w:sz="4" w:space="0"/>
              <w:left w:val="single" w:color="000000" w:sz="4" w:space="0"/>
              <w:bottom w:val="single" w:color="000000" w:sz="4" w:space="0"/>
              <w:right w:val="single" w:color="000000" w:sz="4" w:space="0"/>
            </w:tcBorders>
            <w:vAlign w:val="center"/>
          </w:tcPr>
          <w:p w14:paraId="0A9C4340">
            <w:pPr>
              <w:pStyle w:val="157"/>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蔺光保</w:t>
            </w:r>
          </w:p>
        </w:tc>
        <w:tc>
          <w:tcPr>
            <w:tcW w:w="1106" w:type="pct"/>
            <w:tcBorders>
              <w:top w:val="single" w:color="000000" w:sz="4" w:space="0"/>
              <w:left w:val="single" w:color="000000" w:sz="4" w:space="0"/>
              <w:bottom w:val="single" w:color="000000" w:sz="4" w:space="0"/>
            </w:tcBorders>
            <w:vAlign w:val="center"/>
          </w:tcPr>
          <w:p w14:paraId="689460D8">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15298882620</w:t>
            </w:r>
          </w:p>
        </w:tc>
      </w:tr>
      <w:tr w14:paraId="3D6ED5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79B29BB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4</w:t>
            </w:r>
          </w:p>
        </w:tc>
        <w:tc>
          <w:tcPr>
            <w:tcW w:w="1576" w:type="pct"/>
            <w:tcBorders>
              <w:top w:val="single" w:color="000000" w:sz="4" w:space="0"/>
              <w:left w:val="single" w:color="000000" w:sz="4" w:space="0"/>
              <w:bottom w:val="single" w:color="000000" w:sz="4" w:space="0"/>
              <w:right w:val="single" w:color="000000" w:sz="4" w:space="0"/>
            </w:tcBorders>
            <w:vAlign w:val="center"/>
          </w:tcPr>
          <w:p w14:paraId="324D8E9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综合协调组组员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3FD52DAB">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后勤</w:t>
            </w:r>
          </w:p>
        </w:tc>
        <w:tc>
          <w:tcPr>
            <w:tcW w:w="531" w:type="pct"/>
            <w:tcBorders>
              <w:top w:val="single" w:color="000000" w:sz="4" w:space="0"/>
              <w:left w:val="single" w:color="000000" w:sz="4" w:space="0"/>
              <w:bottom w:val="single" w:color="000000" w:sz="4" w:space="0"/>
              <w:right w:val="single" w:color="000000" w:sz="4" w:space="0"/>
            </w:tcBorders>
            <w:vAlign w:val="center"/>
          </w:tcPr>
          <w:p w14:paraId="701BEA81">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付道环</w:t>
            </w:r>
          </w:p>
        </w:tc>
        <w:tc>
          <w:tcPr>
            <w:tcW w:w="1106" w:type="pct"/>
            <w:tcBorders>
              <w:top w:val="single" w:color="000000" w:sz="4" w:space="0"/>
              <w:left w:val="single" w:color="000000" w:sz="4" w:space="0"/>
              <w:bottom w:val="single" w:color="000000" w:sz="4" w:space="0"/>
            </w:tcBorders>
            <w:vAlign w:val="center"/>
          </w:tcPr>
          <w:p w14:paraId="34E752F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13771548396</w:t>
            </w:r>
          </w:p>
        </w:tc>
      </w:tr>
      <w:tr w14:paraId="0D768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2DEE4AD9">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5</w:t>
            </w:r>
          </w:p>
        </w:tc>
        <w:tc>
          <w:tcPr>
            <w:tcW w:w="1576" w:type="pct"/>
            <w:tcBorders>
              <w:top w:val="single" w:color="000000" w:sz="4" w:space="0"/>
              <w:left w:val="single" w:color="000000" w:sz="4" w:space="0"/>
              <w:bottom w:val="single" w:color="000000" w:sz="4" w:space="0"/>
              <w:right w:val="single" w:color="000000" w:sz="4" w:space="0"/>
            </w:tcBorders>
            <w:vAlign w:val="center"/>
          </w:tcPr>
          <w:p w14:paraId="10E7422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70022AC0">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生产部</w:t>
            </w:r>
          </w:p>
        </w:tc>
        <w:tc>
          <w:tcPr>
            <w:tcW w:w="531" w:type="pct"/>
            <w:tcBorders>
              <w:top w:val="single" w:color="000000" w:sz="4" w:space="0"/>
              <w:left w:val="single" w:color="000000" w:sz="4" w:space="0"/>
              <w:bottom w:val="single" w:color="000000" w:sz="4" w:space="0"/>
              <w:right w:val="single" w:color="000000" w:sz="4" w:space="0"/>
            </w:tcBorders>
            <w:vAlign w:val="center"/>
          </w:tcPr>
          <w:p w14:paraId="0711ACA6">
            <w:pPr>
              <w:pStyle w:val="157"/>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张海松</w:t>
            </w:r>
          </w:p>
        </w:tc>
        <w:tc>
          <w:tcPr>
            <w:tcW w:w="1106" w:type="pct"/>
            <w:tcBorders>
              <w:top w:val="single" w:color="000000" w:sz="4" w:space="0"/>
              <w:left w:val="single" w:color="000000" w:sz="4" w:space="0"/>
              <w:bottom w:val="single" w:color="000000" w:sz="4" w:space="0"/>
            </w:tcBorders>
            <w:vAlign w:val="center"/>
          </w:tcPr>
          <w:p w14:paraId="7DF5078A">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15506243424</w:t>
            </w:r>
          </w:p>
        </w:tc>
      </w:tr>
      <w:tr w14:paraId="141B31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218B8C4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6</w:t>
            </w:r>
          </w:p>
        </w:tc>
        <w:tc>
          <w:tcPr>
            <w:tcW w:w="1576" w:type="pct"/>
            <w:tcBorders>
              <w:top w:val="single" w:color="000000" w:sz="4" w:space="0"/>
              <w:left w:val="single" w:color="000000" w:sz="4" w:space="0"/>
              <w:bottom w:val="single" w:color="000000" w:sz="4" w:space="0"/>
              <w:right w:val="single" w:color="000000" w:sz="4" w:space="0"/>
            </w:tcBorders>
            <w:vAlign w:val="center"/>
          </w:tcPr>
          <w:p w14:paraId="5BD4FD3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抢险救灾组组员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0FA43026">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职工</w:t>
            </w:r>
          </w:p>
        </w:tc>
        <w:tc>
          <w:tcPr>
            <w:tcW w:w="531" w:type="pct"/>
            <w:tcBorders>
              <w:top w:val="single" w:color="000000" w:sz="4" w:space="0"/>
              <w:left w:val="single" w:color="000000" w:sz="4" w:space="0"/>
              <w:bottom w:val="single" w:color="000000" w:sz="4" w:space="0"/>
              <w:right w:val="single" w:color="000000" w:sz="4" w:space="0"/>
            </w:tcBorders>
            <w:vAlign w:val="center"/>
          </w:tcPr>
          <w:p w14:paraId="2F720B43">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吴古龙</w:t>
            </w:r>
          </w:p>
        </w:tc>
        <w:tc>
          <w:tcPr>
            <w:tcW w:w="1106" w:type="pct"/>
            <w:tcBorders>
              <w:top w:val="single" w:color="000000" w:sz="4" w:space="0"/>
              <w:left w:val="single" w:color="000000" w:sz="4" w:space="0"/>
              <w:bottom w:val="single" w:color="000000" w:sz="4" w:space="0"/>
            </w:tcBorders>
            <w:vAlign w:val="center"/>
          </w:tcPr>
          <w:p w14:paraId="44066F26">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15050437992</w:t>
            </w:r>
          </w:p>
        </w:tc>
      </w:tr>
      <w:tr w14:paraId="5A39E3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6C0B3D1F">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7</w:t>
            </w:r>
          </w:p>
        </w:tc>
        <w:tc>
          <w:tcPr>
            <w:tcW w:w="1576" w:type="pct"/>
            <w:tcBorders>
              <w:top w:val="single" w:color="000000" w:sz="4" w:space="0"/>
              <w:left w:val="single" w:color="000000" w:sz="4" w:space="0"/>
              <w:bottom w:val="single" w:color="000000" w:sz="4" w:space="0"/>
              <w:right w:val="single" w:color="000000" w:sz="4" w:space="0"/>
            </w:tcBorders>
            <w:vAlign w:val="center"/>
          </w:tcPr>
          <w:p w14:paraId="02EBF385">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后勤保障组组长</w:t>
            </w:r>
          </w:p>
        </w:tc>
        <w:tc>
          <w:tcPr>
            <w:tcW w:w="1227" w:type="pct"/>
            <w:tcBorders>
              <w:top w:val="single" w:color="000000" w:sz="4" w:space="0"/>
              <w:left w:val="single" w:color="000000" w:sz="4" w:space="0"/>
              <w:bottom w:val="single" w:color="000000" w:sz="4" w:space="0"/>
              <w:right w:val="single" w:color="000000" w:sz="4" w:space="0"/>
            </w:tcBorders>
            <w:vAlign w:val="center"/>
          </w:tcPr>
          <w:p w14:paraId="692BA72F">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质检</w:t>
            </w:r>
          </w:p>
        </w:tc>
        <w:tc>
          <w:tcPr>
            <w:tcW w:w="531" w:type="pct"/>
            <w:tcBorders>
              <w:top w:val="single" w:color="000000" w:sz="4" w:space="0"/>
              <w:left w:val="single" w:color="000000" w:sz="4" w:space="0"/>
              <w:bottom w:val="single" w:color="000000" w:sz="4" w:space="0"/>
              <w:right w:val="single" w:color="000000" w:sz="4" w:space="0"/>
            </w:tcBorders>
            <w:vAlign w:val="center"/>
          </w:tcPr>
          <w:p w14:paraId="5371B681">
            <w:pPr>
              <w:pStyle w:val="157"/>
              <w:pageBreakBefore w:val="0"/>
              <w:kinsoku/>
              <w:overflowPunct/>
              <w:bidi w:val="0"/>
              <w:adjustRightInd w:val="0"/>
              <w:snapToGrid w:val="0"/>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韩仁侠</w:t>
            </w:r>
          </w:p>
        </w:tc>
        <w:tc>
          <w:tcPr>
            <w:tcW w:w="1106" w:type="pct"/>
            <w:tcBorders>
              <w:top w:val="single" w:color="000000" w:sz="4" w:space="0"/>
              <w:left w:val="single" w:color="000000" w:sz="4" w:space="0"/>
              <w:bottom w:val="single" w:color="000000" w:sz="4" w:space="0"/>
            </w:tcBorders>
            <w:vAlign w:val="center"/>
          </w:tcPr>
          <w:p w14:paraId="73DD9E67">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15051525787</w:t>
            </w:r>
          </w:p>
        </w:tc>
      </w:tr>
      <w:tr w14:paraId="2ECA41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bottom w:val="single" w:color="000000" w:sz="4" w:space="0"/>
              <w:right w:val="single" w:color="000000" w:sz="4" w:space="0"/>
            </w:tcBorders>
            <w:vAlign w:val="center"/>
          </w:tcPr>
          <w:p w14:paraId="4C73028C">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8</w:t>
            </w:r>
          </w:p>
        </w:tc>
        <w:tc>
          <w:tcPr>
            <w:tcW w:w="1576" w:type="pct"/>
            <w:tcBorders>
              <w:top w:val="single" w:color="000000" w:sz="4" w:space="0"/>
              <w:left w:val="single" w:color="000000" w:sz="4" w:space="0"/>
              <w:bottom w:val="single" w:color="000000" w:sz="4" w:space="0"/>
              <w:right w:val="single" w:color="000000" w:sz="4" w:space="0"/>
            </w:tcBorders>
            <w:vAlign w:val="center"/>
          </w:tcPr>
          <w:p w14:paraId="76E1D05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后勤保障组组员</w:t>
            </w:r>
          </w:p>
        </w:tc>
        <w:tc>
          <w:tcPr>
            <w:tcW w:w="1227" w:type="pct"/>
            <w:tcBorders>
              <w:top w:val="single" w:color="000000" w:sz="4" w:space="0"/>
              <w:left w:val="single" w:color="000000" w:sz="4" w:space="0"/>
              <w:bottom w:val="single" w:color="000000" w:sz="4" w:space="0"/>
              <w:right w:val="single" w:color="000000" w:sz="4" w:space="0"/>
            </w:tcBorders>
            <w:vAlign w:val="center"/>
          </w:tcPr>
          <w:p w14:paraId="2B177AE9">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职工</w:t>
            </w:r>
          </w:p>
        </w:tc>
        <w:tc>
          <w:tcPr>
            <w:tcW w:w="531" w:type="pct"/>
            <w:tcBorders>
              <w:top w:val="single" w:color="000000" w:sz="4" w:space="0"/>
              <w:left w:val="single" w:color="000000" w:sz="4" w:space="0"/>
              <w:bottom w:val="single" w:color="000000" w:sz="4" w:space="0"/>
              <w:right w:val="single" w:color="000000" w:sz="4" w:space="0"/>
            </w:tcBorders>
            <w:vAlign w:val="center"/>
          </w:tcPr>
          <w:p w14:paraId="53F1D9CB">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王学荣</w:t>
            </w:r>
          </w:p>
        </w:tc>
        <w:tc>
          <w:tcPr>
            <w:tcW w:w="1106" w:type="pct"/>
            <w:tcBorders>
              <w:top w:val="single" w:color="000000" w:sz="4" w:space="0"/>
              <w:left w:val="single" w:color="000000" w:sz="4" w:space="0"/>
              <w:bottom w:val="single" w:color="000000" w:sz="4" w:space="0"/>
            </w:tcBorders>
            <w:vAlign w:val="center"/>
          </w:tcPr>
          <w:p w14:paraId="6E5C431D">
            <w:pPr>
              <w:pStyle w:val="157"/>
              <w:pageBreakBefore w:val="0"/>
              <w:kinsoku/>
              <w:overflowPunct/>
              <w:bidi w:val="0"/>
              <w:adjustRightInd w:val="0"/>
              <w:snapToGrid w:val="0"/>
              <w:spacing w:line="240" w:lineRule="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17372635257</w:t>
            </w:r>
          </w:p>
        </w:tc>
      </w:tr>
      <w:tr w14:paraId="504F1A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After w:w="207" w:type="pct"/>
          <w:trHeight w:val="454" w:hRule="atLeast"/>
          <w:jc w:val="center"/>
        </w:trPr>
        <w:tc>
          <w:tcPr>
            <w:tcW w:w="350" w:type="pct"/>
            <w:tcBorders>
              <w:top w:val="single" w:color="000000" w:sz="4" w:space="0"/>
              <w:right w:val="single" w:color="000000" w:sz="4" w:space="0"/>
            </w:tcBorders>
            <w:vAlign w:val="center"/>
          </w:tcPr>
          <w:p w14:paraId="7DDB5F96">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w w:val="99"/>
                <w:sz w:val="21"/>
                <w:highlight w:val="none"/>
              </w:rPr>
              <w:t>9</w:t>
            </w:r>
          </w:p>
        </w:tc>
        <w:tc>
          <w:tcPr>
            <w:tcW w:w="3335" w:type="pct"/>
            <w:gridSpan w:val="3"/>
            <w:tcBorders>
              <w:top w:val="single" w:color="000000" w:sz="4" w:space="0"/>
              <w:left w:val="single" w:color="000000" w:sz="4" w:space="0"/>
              <w:right w:val="single" w:color="000000" w:sz="4" w:space="0"/>
            </w:tcBorders>
            <w:vAlign w:val="center"/>
          </w:tcPr>
          <w:p w14:paraId="0F2C3CD7">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ascii="Times New Roman" w:hAnsi="Times New Roman"/>
                <w:sz w:val="21"/>
                <w:highlight w:val="none"/>
              </w:rPr>
              <w:t>公司值班电话</w:t>
            </w:r>
          </w:p>
        </w:tc>
        <w:tc>
          <w:tcPr>
            <w:tcW w:w="1106" w:type="pct"/>
            <w:tcBorders>
              <w:top w:val="single" w:color="000000" w:sz="4" w:space="0"/>
              <w:left w:val="single" w:color="000000" w:sz="4" w:space="0"/>
            </w:tcBorders>
            <w:vAlign w:val="center"/>
          </w:tcPr>
          <w:p w14:paraId="09DBAC4B">
            <w:pPr>
              <w:pStyle w:val="14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ascii="Times New Roman" w:hAnsi="Times New Roman"/>
                <w:sz w:val="21"/>
                <w:highlight w:val="none"/>
              </w:rPr>
            </w:pPr>
            <w:r>
              <w:rPr>
                <w:rFonts w:hint="eastAsia" w:ascii="Times New Roman" w:hAnsi="Times New Roman"/>
                <w:sz w:val="21"/>
                <w:highlight w:val="none"/>
                <w:lang w:val="en-US" w:eastAsia="zh-CN"/>
              </w:rPr>
              <w:t>15150137055</w:t>
            </w:r>
          </w:p>
        </w:tc>
      </w:tr>
    </w:tbl>
    <w:p w14:paraId="6B08180F">
      <w:pPr>
        <w:pStyle w:val="251"/>
        <w:snapToGrid w:val="0"/>
        <w:outlineLvl w:val="2"/>
        <w:rPr>
          <w:rFonts w:eastAsia="宋体"/>
          <w:szCs w:val="24"/>
        </w:rPr>
      </w:pPr>
      <w:r>
        <w:rPr>
          <w:rFonts w:eastAsia="宋体"/>
          <w:szCs w:val="24"/>
        </w:rPr>
        <w:t>3.</w:t>
      </w:r>
      <w:r>
        <w:rPr>
          <w:rFonts w:hint="eastAsia"/>
          <w:szCs w:val="24"/>
        </w:rPr>
        <w:t>8.5</w:t>
      </w:r>
      <w:r>
        <w:rPr>
          <w:rFonts w:hint="eastAsia" w:eastAsia="宋体"/>
          <w:szCs w:val="24"/>
        </w:rPr>
        <w:t>外部应急救援力量</w:t>
      </w:r>
      <w:bookmarkEnd w:id="167"/>
      <w:bookmarkEnd w:id="168"/>
      <w:bookmarkEnd w:id="169"/>
    </w:p>
    <w:p w14:paraId="18913CFB">
      <w:pPr>
        <w:pStyle w:val="13"/>
        <w:spacing w:after="0" w:line="500" w:lineRule="exact"/>
        <w:ind w:firstLine="480" w:firstLineChars="200"/>
        <w:rPr>
          <w:rFonts w:eastAsia="宋体"/>
        </w:rPr>
      </w:pPr>
      <w:r>
        <w:rPr>
          <w:rFonts w:eastAsia="宋体"/>
        </w:rPr>
        <w:t>当遇到较大或重大突发环境事件时，应及时向表3-</w:t>
      </w:r>
      <w:r>
        <w:rPr>
          <w:rFonts w:hint="eastAsia" w:eastAsia="宋体"/>
        </w:rPr>
        <w:t>2</w:t>
      </w:r>
      <w:r>
        <w:rPr>
          <w:rFonts w:hint="eastAsia" w:eastAsia="宋体"/>
          <w:lang w:val="en-US" w:eastAsia="zh-CN"/>
        </w:rPr>
        <w:t>1</w:t>
      </w:r>
      <w:r>
        <w:rPr>
          <w:rFonts w:eastAsia="宋体"/>
        </w:rPr>
        <w:t>中的外部应急救援力量请求援助，以便将事故造成的危害控制降至最低。</w:t>
      </w:r>
    </w:p>
    <w:p w14:paraId="2BBBAEAC">
      <w:pPr>
        <w:keepNext/>
        <w:keepLines/>
        <w:spacing w:line="500" w:lineRule="exact"/>
        <w:jc w:val="center"/>
        <w:rPr>
          <w:rFonts w:eastAsia="宋体"/>
          <w:b/>
          <w:bCs/>
        </w:rPr>
      </w:pPr>
      <w:r>
        <w:rPr>
          <w:rFonts w:eastAsia="宋体"/>
          <w:b/>
          <w:bCs/>
        </w:rPr>
        <w:t>表3-</w:t>
      </w:r>
      <w:r>
        <w:rPr>
          <w:rFonts w:hint="eastAsia" w:eastAsia="宋体"/>
          <w:b/>
          <w:bCs/>
        </w:rPr>
        <w:t>2</w:t>
      </w:r>
      <w:r>
        <w:rPr>
          <w:rFonts w:hint="eastAsia" w:eastAsia="宋体"/>
          <w:b/>
          <w:bCs/>
          <w:lang w:val="en-US" w:eastAsia="zh-CN"/>
        </w:rPr>
        <w:t>1</w:t>
      </w:r>
      <w:r>
        <w:rPr>
          <w:rFonts w:hint="eastAsia" w:eastAsia="宋体"/>
          <w:b/>
          <w:bCs/>
        </w:rPr>
        <w:t>外部应急救援通讯录</w:t>
      </w:r>
    </w:p>
    <w:tbl>
      <w:tblPr>
        <w:tblStyle w:val="38"/>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79258C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2ABA1A5">
            <w:pPr>
              <w:pStyle w:val="142"/>
              <w:rPr>
                <w:b/>
                <w:sz w:val="21"/>
              </w:rPr>
            </w:pPr>
            <w:r>
              <w:rPr>
                <w:b/>
                <w:sz w:val="21"/>
              </w:rPr>
              <w:t>序号</w:t>
            </w:r>
          </w:p>
        </w:tc>
        <w:tc>
          <w:tcPr>
            <w:tcW w:w="4270" w:type="dxa"/>
            <w:tcBorders>
              <w:tl2br w:val="nil"/>
              <w:tr2bl w:val="nil"/>
            </w:tcBorders>
            <w:vAlign w:val="center"/>
          </w:tcPr>
          <w:p w14:paraId="4F992C19">
            <w:pPr>
              <w:pStyle w:val="142"/>
              <w:rPr>
                <w:b/>
                <w:sz w:val="21"/>
              </w:rPr>
            </w:pPr>
            <w:r>
              <w:rPr>
                <w:b/>
                <w:sz w:val="21"/>
              </w:rPr>
              <w:t>部门名称</w:t>
            </w:r>
          </w:p>
        </w:tc>
        <w:tc>
          <w:tcPr>
            <w:tcW w:w="3309" w:type="dxa"/>
            <w:tcBorders>
              <w:tl2br w:val="nil"/>
              <w:tr2bl w:val="nil"/>
            </w:tcBorders>
            <w:vAlign w:val="center"/>
          </w:tcPr>
          <w:p w14:paraId="5660F249">
            <w:pPr>
              <w:pStyle w:val="142"/>
              <w:rPr>
                <w:b/>
                <w:sz w:val="21"/>
              </w:rPr>
            </w:pPr>
            <w:r>
              <w:rPr>
                <w:b/>
                <w:sz w:val="21"/>
              </w:rPr>
              <w:t>报警或值班电话</w:t>
            </w:r>
          </w:p>
        </w:tc>
      </w:tr>
      <w:tr w14:paraId="18034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95FC9BC">
            <w:pPr>
              <w:pStyle w:val="142"/>
              <w:rPr>
                <w:rFonts w:ascii="Times New Roman"/>
                <w:sz w:val="21"/>
              </w:rPr>
            </w:pPr>
            <w:r>
              <w:rPr>
                <w:rFonts w:ascii="Times New Roman"/>
                <w:w w:val="99"/>
                <w:sz w:val="21"/>
              </w:rPr>
              <w:t>1</w:t>
            </w:r>
          </w:p>
        </w:tc>
        <w:tc>
          <w:tcPr>
            <w:tcW w:w="4270" w:type="dxa"/>
            <w:tcBorders>
              <w:tl2br w:val="nil"/>
              <w:tr2bl w:val="nil"/>
            </w:tcBorders>
            <w:vAlign w:val="center"/>
          </w:tcPr>
          <w:p w14:paraId="768D41AF">
            <w:pPr>
              <w:pStyle w:val="142"/>
              <w:rPr>
                <w:sz w:val="21"/>
              </w:rPr>
            </w:pPr>
            <w:r>
              <w:rPr>
                <w:sz w:val="21"/>
              </w:rPr>
              <w:t>海安市政府办公室</w:t>
            </w:r>
          </w:p>
        </w:tc>
        <w:tc>
          <w:tcPr>
            <w:tcW w:w="3309" w:type="dxa"/>
            <w:tcBorders>
              <w:tl2br w:val="nil"/>
              <w:tr2bl w:val="nil"/>
            </w:tcBorders>
            <w:vAlign w:val="center"/>
          </w:tcPr>
          <w:p w14:paraId="7DF51DAD">
            <w:pPr>
              <w:pStyle w:val="142"/>
              <w:rPr>
                <w:rFonts w:ascii="Times New Roman"/>
                <w:sz w:val="21"/>
              </w:rPr>
            </w:pPr>
            <w:r>
              <w:rPr>
                <w:rFonts w:hint="eastAsia" w:ascii="Times New Roman"/>
                <w:sz w:val="21"/>
              </w:rPr>
              <w:t>0513-</w:t>
            </w:r>
            <w:r>
              <w:rPr>
                <w:rFonts w:ascii="Times New Roman"/>
                <w:sz w:val="21"/>
              </w:rPr>
              <w:t>88813815</w:t>
            </w:r>
          </w:p>
        </w:tc>
      </w:tr>
      <w:tr w14:paraId="58A4E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62670C">
            <w:pPr>
              <w:pStyle w:val="142"/>
              <w:rPr>
                <w:rFonts w:ascii="Times New Roman"/>
                <w:sz w:val="21"/>
              </w:rPr>
            </w:pPr>
            <w:r>
              <w:rPr>
                <w:rFonts w:ascii="Times New Roman"/>
                <w:w w:val="99"/>
                <w:sz w:val="21"/>
              </w:rPr>
              <w:t>2</w:t>
            </w:r>
          </w:p>
        </w:tc>
        <w:tc>
          <w:tcPr>
            <w:tcW w:w="4270" w:type="dxa"/>
            <w:tcBorders>
              <w:tl2br w:val="nil"/>
              <w:tr2bl w:val="nil"/>
            </w:tcBorders>
            <w:vAlign w:val="center"/>
          </w:tcPr>
          <w:p w14:paraId="208B8D25">
            <w:pPr>
              <w:pStyle w:val="142"/>
              <w:rPr>
                <w:sz w:val="21"/>
              </w:rPr>
            </w:pPr>
            <w:r>
              <w:rPr>
                <w:sz w:val="21"/>
              </w:rPr>
              <w:t>海安市应急管理局</w:t>
            </w:r>
          </w:p>
        </w:tc>
        <w:tc>
          <w:tcPr>
            <w:tcW w:w="3309" w:type="dxa"/>
            <w:tcBorders>
              <w:tl2br w:val="nil"/>
              <w:tr2bl w:val="nil"/>
            </w:tcBorders>
            <w:vAlign w:val="center"/>
          </w:tcPr>
          <w:p w14:paraId="33A4D8E7">
            <w:pPr>
              <w:pStyle w:val="142"/>
              <w:rPr>
                <w:rFonts w:ascii="Times New Roman"/>
                <w:sz w:val="21"/>
              </w:rPr>
            </w:pPr>
            <w:r>
              <w:rPr>
                <w:rFonts w:hint="eastAsia" w:ascii="Times New Roman"/>
                <w:sz w:val="21"/>
              </w:rPr>
              <w:t>0513-</w:t>
            </w:r>
            <w:r>
              <w:rPr>
                <w:rFonts w:ascii="Times New Roman"/>
                <w:sz w:val="21"/>
              </w:rPr>
              <w:t>88169809</w:t>
            </w:r>
          </w:p>
        </w:tc>
      </w:tr>
      <w:tr w14:paraId="7CB2A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E057384">
            <w:pPr>
              <w:pStyle w:val="142"/>
              <w:rPr>
                <w:rFonts w:ascii="Times New Roman"/>
                <w:sz w:val="21"/>
              </w:rPr>
            </w:pPr>
            <w:r>
              <w:rPr>
                <w:rFonts w:ascii="Times New Roman"/>
                <w:w w:val="99"/>
                <w:sz w:val="21"/>
              </w:rPr>
              <w:t>3</w:t>
            </w:r>
          </w:p>
        </w:tc>
        <w:tc>
          <w:tcPr>
            <w:tcW w:w="4270" w:type="dxa"/>
            <w:tcBorders>
              <w:tl2br w:val="nil"/>
              <w:tr2bl w:val="nil"/>
            </w:tcBorders>
            <w:vAlign w:val="center"/>
          </w:tcPr>
          <w:p w14:paraId="0E1E4DE6">
            <w:pPr>
              <w:pStyle w:val="142"/>
              <w:rPr>
                <w:sz w:val="21"/>
              </w:rPr>
            </w:pPr>
            <w:r>
              <w:rPr>
                <w:sz w:val="21"/>
              </w:rPr>
              <w:t>海安市公安局</w:t>
            </w:r>
          </w:p>
        </w:tc>
        <w:tc>
          <w:tcPr>
            <w:tcW w:w="3309" w:type="dxa"/>
            <w:tcBorders>
              <w:tl2br w:val="nil"/>
              <w:tr2bl w:val="nil"/>
            </w:tcBorders>
            <w:vAlign w:val="center"/>
          </w:tcPr>
          <w:p w14:paraId="6F1218BE">
            <w:pPr>
              <w:pStyle w:val="142"/>
              <w:rPr>
                <w:rFonts w:ascii="Times New Roman"/>
                <w:sz w:val="21"/>
              </w:rPr>
            </w:pPr>
            <w:r>
              <w:rPr>
                <w:rFonts w:hint="eastAsia" w:ascii="Times New Roman"/>
                <w:sz w:val="21"/>
              </w:rPr>
              <w:t>0513-</w:t>
            </w:r>
            <w:r>
              <w:rPr>
                <w:rFonts w:ascii="Times New Roman"/>
                <w:sz w:val="21"/>
              </w:rPr>
              <w:t>88926999</w:t>
            </w:r>
          </w:p>
        </w:tc>
      </w:tr>
      <w:tr w14:paraId="4D4EB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EADE917">
            <w:pPr>
              <w:pStyle w:val="142"/>
              <w:rPr>
                <w:rFonts w:ascii="Times New Roman"/>
                <w:sz w:val="21"/>
              </w:rPr>
            </w:pPr>
            <w:r>
              <w:rPr>
                <w:rFonts w:ascii="Times New Roman"/>
                <w:w w:val="99"/>
                <w:sz w:val="21"/>
              </w:rPr>
              <w:t>4</w:t>
            </w:r>
          </w:p>
        </w:tc>
        <w:tc>
          <w:tcPr>
            <w:tcW w:w="4270" w:type="dxa"/>
            <w:tcBorders>
              <w:tl2br w:val="nil"/>
              <w:tr2bl w:val="nil"/>
            </w:tcBorders>
            <w:vAlign w:val="center"/>
          </w:tcPr>
          <w:p w14:paraId="624B38DC">
            <w:pPr>
              <w:pStyle w:val="142"/>
              <w:rPr>
                <w:sz w:val="21"/>
              </w:rPr>
            </w:pPr>
            <w:r>
              <w:rPr>
                <w:sz w:val="21"/>
              </w:rPr>
              <w:t>海安市治安大队</w:t>
            </w:r>
          </w:p>
        </w:tc>
        <w:tc>
          <w:tcPr>
            <w:tcW w:w="3309" w:type="dxa"/>
            <w:tcBorders>
              <w:tl2br w:val="nil"/>
              <w:tr2bl w:val="nil"/>
            </w:tcBorders>
            <w:vAlign w:val="center"/>
          </w:tcPr>
          <w:p w14:paraId="142458A5">
            <w:pPr>
              <w:pStyle w:val="142"/>
              <w:rPr>
                <w:rFonts w:ascii="Times New Roman"/>
                <w:sz w:val="21"/>
              </w:rPr>
            </w:pPr>
            <w:r>
              <w:rPr>
                <w:rFonts w:ascii="Times New Roman"/>
                <w:sz w:val="21"/>
              </w:rPr>
              <w:t>110</w:t>
            </w:r>
          </w:p>
        </w:tc>
      </w:tr>
      <w:tr w14:paraId="63422D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2A11691">
            <w:pPr>
              <w:pStyle w:val="142"/>
              <w:rPr>
                <w:rFonts w:ascii="Times New Roman"/>
                <w:sz w:val="21"/>
              </w:rPr>
            </w:pPr>
            <w:r>
              <w:rPr>
                <w:rFonts w:ascii="Times New Roman"/>
                <w:w w:val="99"/>
                <w:sz w:val="21"/>
              </w:rPr>
              <w:t>5</w:t>
            </w:r>
          </w:p>
        </w:tc>
        <w:tc>
          <w:tcPr>
            <w:tcW w:w="4270" w:type="dxa"/>
            <w:tcBorders>
              <w:tl2br w:val="nil"/>
              <w:tr2bl w:val="nil"/>
            </w:tcBorders>
            <w:vAlign w:val="center"/>
          </w:tcPr>
          <w:p w14:paraId="10576356">
            <w:pPr>
              <w:pStyle w:val="142"/>
              <w:rPr>
                <w:sz w:val="21"/>
              </w:rPr>
            </w:pPr>
            <w:r>
              <w:rPr>
                <w:sz w:val="21"/>
              </w:rPr>
              <w:t>海安市消防救援大队</w:t>
            </w:r>
          </w:p>
        </w:tc>
        <w:tc>
          <w:tcPr>
            <w:tcW w:w="3309" w:type="dxa"/>
            <w:tcBorders>
              <w:tl2br w:val="nil"/>
              <w:tr2bl w:val="nil"/>
            </w:tcBorders>
            <w:vAlign w:val="center"/>
          </w:tcPr>
          <w:p w14:paraId="28A6712B">
            <w:pPr>
              <w:pStyle w:val="142"/>
              <w:rPr>
                <w:sz w:val="21"/>
              </w:rPr>
            </w:pPr>
            <w:r>
              <w:rPr>
                <w:rFonts w:ascii="Times New Roman" w:eastAsia="Times New Roman"/>
                <w:sz w:val="21"/>
              </w:rPr>
              <w:t>119</w:t>
            </w:r>
            <w:r>
              <w:rPr>
                <w:sz w:val="21"/>
              </w:rPr>
              <w:t>（火警）</w:t>
            </w:r>
          </w:p>
        </w:tc>
      </w:tr>
      <w:tr w14:paraId="768AA5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996705C">
            <w:pPr>
              <w:pStyle w:val="142"/>
              <w:rPr>
                <w:rFonts w:ascii="Times New Roman"/>
                <w:sz w:val="21"/>
              </w:rPr>
            </w:pPr>
            <w:r>
              <w:rPr>
                <w:rFonts w:ascii="Times New Roman"/>
                <w:w w:val="99"/>
                <w:sz w:val="21"/>
              </w:rPr>
              <w:t>6</w:t>
            </w:r>
          </w:p>
        </w:tc>
        <w:tc>
          <w:tcPr>
            <w:tcW w:w="4270" w:type="dxa"/>
            <w:tcBorders>
              <w:tl2br w:val="nil"/>
              <w:tr2bl w:val="nil"/>
            </w:tcBorders>
            <w:vAlign w:val="center"/>
          </w:tcPr>
          <w:p w14:paraId="73FC6504">
            <w:pPr>
              <w:pStyle w:val="142"/>
              <w:rPr>
                <w:sz w:val="21"/>
              </w:rPr>
            </w:pPr>
            <w:r>
              <w:rPr>
                <w:sz w:val="21"/>
              </w:rPr>
              <w:t>南通市海安生态环境局</w:t>
            </w:r>
          </w:p>
        </w:tc>
        <w:tc>
          <w:tcPr>
            <w:tcW w:w="3309" w:type="dxa"/>
            <w:tcBorders>
              <w:tl2br w:val="nil"/>
              <w:tr2bl w:val="nil"/>
            </w:tcBorders>
            <w:vAlign w:val="center"/>
          </w:tcPr>
          <w:p w14:paraId="07314F81">
            <w:pPr>
              <w:pStyle w:val="142"/>
              <w:rPr>
                <w:rFonts w:ascii="Times New Roman"/>
                <w:sz w:val="21"/>
              </w:rPr>
            </w:pPr>
            <w:r>
              <w:rPr>
                <w:rFonts w:hint="eastAsia" w:ascii="Times New Roman"/>
                <w:sz w:val="21"/>
              </w:rPr>
              <w:t>0513-</w:t>
            </w:r>
            <w:r>
              <w:rPr>
                <w:rFonts w:ascii="Times New Roman" w:hAnsi="Times New Roman" w:cs="Times New Roman"/>
                <w:sz w:val="21"/>
                <w:szCs w:val="21"/>
              </w:rPr>
              <w:t>8</w:t>
            </w:r>
            <w:r>
              <w:rPr>
                <w:rFonts w:hint="eastAsia" w:ascii="Times New Roman" w:hAnsi="Times New Roman" w:cs="Times New Roman"/>
                <w:sz w:val="21"/>
                <w:szCs w:val="21"/>
              </w:rPr>
              <w:t>1</w:t>
            </w:r>
            <w:r>
              <w:rPr>
                <w:rFonts w:ascii="Times New Roman" w:hAnsi="Times New Roman" w:cs="Times New Roman"/>
                <w:sz w:val="21"/>
                <w:szCs w:val="21"/>
              </w:rPr>
              <w:t>812369</w:t>
            </w:r>
          </w:p>
        </w:tc>
      </w:tr>
      <w:tr w14:paraId="0E303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6E02B50">
            <w:pPr>
              <w:pStyle w:val="142"/>
              <w:rPr>
                <w:rFonts w:ascii="Times New Roman"/>
                <w:sz w:val="21"/>
              </w:rPr>
            </w:pPr>
            <w:r>
              <w:rPr>
                <w:rFonts w:ascii="Times New Roman"/>
                <w:w w:val="99"/>
                <w:sz w:val="21"/>
              </w:rPr>
              <w:t>7</w:t>
            </w:r>
          </w:p>
        </w:tc>
        <w:tc>
          <w:tcPr>
            <w:tcW w:w="4270" w:type="dxa"/>
            <w:tcBorders>
              <w:tl2br w:val="nil"/>
              <w:tr2bl w:val="nil"/>
            </w:tcBorders>
            <w:vAlign w:val="center"/>
          </w:tcPr>
          <w:p w14:paraId="0F4D9D6B">
            <w:pPr>
              <w:pStyle w:val="142"/>
              <w:rPr>
                <w:sz w:val="21"/>
              </w:rPr>
            </w:pPr>
            <w:r>
              <w:rPr>
                <w:rFonts w:hint="eastAsia"/>
                <w:sz w:val="21"/>
                <w:lang w:val="en-US" w:eastAsia="zh-CN"/>
              </w:rPr>
              <w:t>南通市</w:t>
            </w:r>
            <w:r>
              <w:rPr>
                <w:sz w:val="21"/>
              </w:rPr>
              <w:t>海安</w:t>
            </w:r>
            <w:r>
              <w:rPr>
                <w:rFonts w:hint="eastAsia"/>
                <w:sz w:val="21"/>
                <w:lang w:val="en-US" w:eastAsia="zh-CN"/>
              </w:rPr>
              <w:t>生态</w:t>
            </w:r>
            <w:r>
              <w:rPr>
                <w:sz w:val="21"/>
              </w:rPr>
              <w:t>环境监测站</w:t>
            </w:r>
          </w:p>
        </w:tc>
        <w:tc>
          <w:tcPr>
            <w:tcW w:w="3309" w:type="dxa"/>
            <w:tcBorders>
              <w:tl2br w:val="nil"/>
              <w:tr2bl w:val="nil"/>
            </w:tcBorders>
            <w:vAlign w:val="center"/>
          </w:tcPr>
          <w:p w14:paraId="50B34CA4">
            <w:pPr>
              <w:pStyle w:val="142"/>
              <w:rPr>
                <w:rFonts w:ascii="Times New Roman"/>
                <w:sz w:val="21"/>
              </w:rPr>
            </w:pPr>
            <w:r>
              <w:rPr>
                <w:rFonts w:hint="eastAsia" w:ascii="Times New Roman"/>
                <w:sz w:val="21"/>
              </w:rPr>
              <w:t>0513-</w:t>
            </w:r>
            <w:r>
              <w:rPr>
                <w:rFonts w:ascii="Times New Roman"/>
                <w:sz w:val="21"/>
              </w:rPr>
              <w:t>88813610</w:t>
            </w:r>
          </w:p>
        </w:tc>
      </w:tr>
      <w:tr w14:paraId="748DB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57A7A65E">
            <w:pPr>
              <w:pStyle w:val="142"/>
              <w:rPr>
                <w:rFonts w:ascii="Times New Roman"/>
                <w:sz w:val="21"/>
              </w:rPr>
            </w:pPr>
            <w:r>
              <w:rPr>
                <w:rFonts w:ascii="Times New Roman"/>
                <w:w w:val="99"/>
                <w:sz w:val="21"/>
              </w:rPr>
              <w:t>9</w:t>
            </w:r>
          </w:p>
        </w:tc>
        <w:tc>
          <w:tcPr>
            <w:tcW w:w="4270" w:type="dxa"/>
            <w:tcBorders>
              <w:tl2br w:val="nil"/>
              <w:tr2bl w:val="nil"/>
            </w:tcBorders>
            <w:vAlign w:val="center"/>
          </w:tcPr>
          <w:p w14:paraId="36373964">
            <w:pPr>
              <w:pStyle w:val="142"/>
              <w:rPr>
                <w:sz w:val="21"/>
              </w:rPr>
            </w:pPr>
            <w:r>
              <w:rPr>
                <w:sz w:val="21"/>
              </w:rPr>
              <w:t>海安市急救中心</w:t>
            </w:r>
          </w:p>
        </w:tc>
        <w:tc>
          <w:tcPr>
            <w:tcW w:w="3309" w:type="dxa"/>
            <w:tcBorders>
              <w:tl2br w:val="nil"/>
              <w:tr2bl w:val="nil"/>
            </w:tcBorders>
            <w:vAlign w:val="center"/>
          </w:tcPr>
          <w:p w14:paraId="3F4C7A0C">
            <w:pPr>
              <w:pStyle w:val="142"/>
              <w:rPr>
                <w:rFonts w:ascii="Times New Roman"/>
                <w:sz w:val="21"/>
              </w:rPr>
            </w:pPr>
            <w:r>
              <w:rPr>
                <w:rFonts w:ascii="Times New Roman"/>
                <w:sz w:val="21"/>
              </w:rPr>
              <w:t>120</w:t>
            </w:r>
          </w:p>
        </w:tc>
      </w:tr>
      <w:tr w14:paraId="26838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0368B5">
            <w:pPr>
              <w:pStyle w:val="142"/>
              <w:rPr>
                <w:rFonts w:ascii="Times New Roman"/>
                <w:sz w:val="21"/>
              </w:rPr>
            </w:pPr>
            <w:r>
              <w:rPr>
                <w:rFonts w:ascii="Times New Roman"/>
                <w:sz w:val="21"/>
              </w:rPr>
              <w:t>10</w:t>
            </w:r>
          </w:p>
        </w:tc>
        <w:tc>
          <w:tcPr>
            <w:tcW w:w="4270" w:type="dxa"/>
            <w:tcBorders>
              <w:tl2br w:val="nil"/>
              <w:tr2bl w:val="nil"/>
            </w:tcBorders>
            <w:vAlign w:val="center"/>
          </w:tcPr>
          <w:p w14:paraId="16DE28D1">
            <w:pPr>
              <w:pStyle w:val="142"/>
              <w:rPr>
                <w:sz w:val="21"/>
              </w:rPr>
            </w:pPr>
            <w:r>
              <w:rPr>
                <w:sz w:val="21"/>
              </w:rPr>
              <w:t>政府热线</w:t>
            </w:r>
          </w:p>
        </w:tc>
        <w:tc>
          <w:tcPr>
            <w:tcW w:w="3309" w:type="dxa"/>
            <w:tcBorders>
              <w:tl2br w:val="nil"/>
              <w:tr2bl w:val="nil"/>
            </w:tcBorders>
            <w:vAlign w:val="center"/>
          </w:tcPr>
          <w:p w14:paraId="3E646B9F">
            <w:pPr>
              <w:pStyle w:val="142"/>
              <w:rPr>
                <w:rFonts w:ascii="Times New Roman"/>
                <w:sz w:val="21"/>
              </w:rPr>
            </w:pPr>
            <w:r>
              <w:rPr>
                <w:rFonts w:ascii="Times New Roman"/>
                <w:sz w:val="21"/>
              </w:rPr>
              <w:t>12345</w:t>
            </w:r>
          </w:p>
        </w:tc>
      </w:tr>
      <w:tr w14:paraId="144C27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3B5A2F7B">
            <w:pPr>
              <w:pStyle w:val="142"/>
              <w:rPr>
                <w:rFonts w:ascii="Times New Roman"/>
                <w:sz w:val="21"/>
              </w:rPr>
            </w:pPr>
            <w:r>
              <w:rPr>
                <w:rFonts w:ascii="Times New Roman"/>
                <w:sz w:val="21"/>
              </w:rPr>
              <w:t>11</w:t>
            </w:r>
          </w:p>
        </w:tc>
        <w:tc>
          <w:tcPr>
            <w:tcW w:w="4270" w:type="dxa"/>
            <w:tcBorders>
              <w:tl2br w:val="nil"/>
              <w:tr2bl w:val="nil"/>
            </w:tcBorders>
            <w:vAlign w:val="center"/>
          </w:tcPr>
          <w:p w14:paraId="036F5F0F">
            <w:pPr>
              <w:pStyle w:val="142"/>
              <w:rPr>
                <w:sz w:val="21"/>
              </w:rPr>
            </w:pPr>
            <w:r>
              <w:rPr>
                <w:sz w:val="21"/>
              </w:rPr>
              <w:t>环保热线</w:t>
            </w:r>
          </w:p>
        </w:tc>
        <w:tc>
          <w:tcPr>
            <w:tcW w:w="3309" w:type="dxa"/>
            <w:tcBorders>
              <w:tl2br w:val="nil"/>
              <w:tr2bl w:val="nil"/>
            </w:tcBorders>
            <w:vAlign w:val="center"/>
          </w:tcPr>
          <w:p w14:paraId="47531B7D">
            <w:pPr>
              <w:pStyle w:val="142"/>
              <w:rPr>
                <w:rFonts w:ascii="Times New Roman"/>
                <w:sz w:val="21"/>
              </w:rPr>
            </w:pPr>
            <w:r>
              <w:rPr>
                <w:rFonts w:ascii="Times New Roman"/>
                <w:sz w:val="21"/>
              </w:rPr>
              <w:t>12369</w:t>
            </w:r>
          </w:p>
        </w:tc>
      </w:tr>
      <w:tr w14:paraId="24E3B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3A3728F">
            <w:pPr>
              <w:pStyle w:val="142"/>
              <w:rPr>
                <w:rFonts w:ascii="Times New Roman"/>
                <w:sz w:val="21"/>
              </w:rPr>
            </w:pPr>
            <w:r>
              <w:rPr>
                <w:rFonts w:ascii="Times New Roman"/>
                <w:sz w:val="21"/>
              </w:rPr>
              <w:t>12</w:t>
            </w:r>
          </w:p>
        </w:tc>
        <w:tc>
          <w:tcPr>
            <w:tcW w:w="4270" w:type="dxa"/>
            <w:tcBorders>
              <w:tl2br w:val="nil"/>
              <w:tr2bl w:val="nil"/>
            </w:tcBorders>
            <w:vAlign w:val="center"/>
          </w:tcPr>
          <w:p w14:paraId="64E1250E">
            <w:pPr>
              <w:pStyle w:val="142"/>
              <w:rPr>
                <w:sz w:val="21"/>
              </w:rPr>
            </w:pPr>
            <w:r>
              <w:rPr>
                <w:sz w:val="21"/>
              </w:rPr>
              <w:t>海安市卫健委</w:t>
            </w:r>
          </w:p>
        </w:tc>
        <w:tc>
          <w:tcPr>
            <w:tcW w:w="3309" w:type="dxa"/>
            <w:tcBorders>
              <w:tl2br w:val="nil"/>
              <w:tr2bl w:val="nil"/>
            </w:tcBorders>
            <w:vAlign w:val="center"/>
          </w:tcPr>
          <w:p w14:paraId="11DEA97F">
            <w:pPr>
              <w:pStyle w:val="142"/>
              <w:rPr>
                <w:rFonts w:ascii="Times New Roman"/>
                <w:sz w:val="21"/>
              </w:rPr>
            </w:pPr>
            <w:r>
              <w:rPr>
                <w:rFonts w:hint="eastAsia" w:ascii="Times New Roman"/>
                <w:sz w:val="21"/>
              </w:rPr>
              <w:t>0513-</w:t>
            </w:r>
            <w:r>
              <w:rPr>
                <w:rFonts w:ascii="Times New Roman"/>
                <w:sz w:val="21"/>
              </w:rPr>
              <w:t>88852279</w:t>
            </w:r>
          </w:p>
        </w:tc>
      </w:tr>
      <w:tr w14:paraId="44C1B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3D4BB47">
            <w:pPr>
              <w:pStyle w:val="142"/>
              <w:rPr>
                <w:rFonts w:ascii="Times New Roman"/>
                <w:sz w:val="21"/>
              </w:rPr>
            </w:pPr>
            <w:r>
              <w:rPr>
                <w:rFonts w:ascii="Times New Roman"/>
                <w:sz w:val="21"/>
              </w:rPr>
              <w:t>13</w:t>
            </w:r>
          </w:p>
        </w:tc>
        <w:tc>
          <w:tcPr>
            <w:tcW w:w="4270" w:type="dxa"/>
            <w:tcBorders>
              <w:tl2br w:val="nil"/>
              <w:tr2bl w:val="nil"/>
            </w:tcBorders>
            <w:vAlign w:val="center"/>
          </w:tcPr>
          <w:p w14:paraId="02D319F8">
            <w:pPr>
              <w:pStyle w:val="142"/>
              <w:rPr>
                <w:sz w:val="21"/>
              </w:rPr>
            </w:pPr>
            <w:r>
              <w:rPr>
                <w:sz w:val="21"/>
              </w:rPr>
              <w:t>海安人民医院急诊室</w:t>
            </w:r>
          </w:p>
        </w:tc>
        <w:tc>
          <w:tcPr>
            <w:tcW w:w="3309" w:type="dxa"/>
            <w:tcBorders>
              <w:tl2br w:val="nil"/>
              <w:tr2bl w:val="nil"/>
            </w:tcBorders>
            <w:vAlign w:val="center"/>
          </w:tcPr>
          <w:p w14:paraId="546263C8">
            <w:pPr>
              <w:pStyle w:val="142"/>
              <w:rPr>
                <w:rFonts w:ascii="Times New Roman"/>
                <w:sz w:val="21"/>
              </w:rPr>
            </w:pPr>
            <w:r>
              <w:rPr>
                <w:rFonts w:hint="eastAsia" w:ascii="Times New Roman"/>
                <w:sz w:val="21"/>
              </w:rPr>
              <w:t>0513-</w:t>
            </w:r>
            <w:r>
              <w:rPr>
                <w:rFonts w:ascii="Times New Roman"/>
                <w:sz w:val="21"/>
              </w:rPr>
              <w:t>88869509</w:t>
            </w:r>
          </w:p>
        </w:tc>
      </w:tr>
      <w:tr w14:paraId="0855C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00AB2CA0">
            <w:pPr>
              <w:pStyle w:val="142"/>
              <w:rPr>
                <w:rFonts w:ascii="Times New Roman"/>
                <w:sz w:val="21"/>
              </w:rPr>
            </w:pPr>
            <w:r>
              <w:rPr>
                <w:rFonts w:ascii="Times New Roman"/>
                <w:sz w:val="21"/>
              </w:rPr>
              <w:t>14</w:t>
            </w:r>
          </w:p>
        </w:tc>
        <w:tc>
          <w:tcPr>
            <w:tcW w:w="4270" w:type="dxa"/>
            <w:tcBorders>
              <w:tl2br w:val="nil"/>
              <w:tr2bl w:val="nil"/>
            </w:tcBorders>
            <w:vAlign w:val="center"/>
          </w:tcPr>
          <w:p w14:paraId="54C4A88E">
            <w:pPr>
              <w:pStyle w:val="142"/>
              <w:rPr>
                <w:sz w:val="21"/>
              </w:rPr>
            </w:pPr>
            <w:r>
              <w:rPr>
                <w:sz w:val="21"/>
              </w:rPr>
              <w:t>海安市</w:t>
            </w:r>
            <w:r>
              <w:rPr>
                <w:rFonts w:hint="eastAsia"/>
                <w:sz w:val="21"/>
                <w:lang w:eastAsia="zh-CN"/>
              </w:rPr>
              <w:t>老坝港滨海新区</w:t>
            </w:r>
            <w:r>
              <w:rPr>
                <w:sz w:val="21"/>
              </w:rPr>
              <w:t>管委会</w:t>
            </w:r>
          </w:p>
        </w:tc>
        <w:tc>
          <w:tcPr>
            <w:tcW w:w="3309" w:type="dxa"/>
            <w:tcBorders>
              <w:tl2br w:val="nil"/>
              <w:tr2bl w:val="nil"/>
            </w:tcBorders>
            <w:vAlign w:val="center"/>
          </w:tcPr>
          <w:p w14:paraId="3D9F9FD8">
            <w:pPr>
              <w:pStyle w:val="142"/>
              <w:rPr>
                <w:rFonts w:hint="eastAsia" w:ascii="Times New Roman" w:eastAsia="宋体"/>
                <w:sz w:val="21"/>
                <w:lang w:eastAsia="zh-CN"/>
              </w:rPr>
            </w:pPr>
            <w:r>
              <w:rPr>
                <w:rFonts w:hint="eastAsia" w:ascii="Times New Roman"/>
                <w:sz w:val="21"/>
              </w:rPr>
              <w:t>0513-</w:t>
            </w:r>
            <w:r>
              <w:rPr>
                <w:rFonts w:ascii="Times New Roman"/>
                <w:sz w:val="21"/>
              </w:rPr>
              <w:t>88</w:t>
            </w:r>
            <w:r>
              <w:rPr>
                <w:rFonts w:hint="eastAsia" w:ascii="Times New Roman"/>
                <w:sz w:val="21"/>
                <w:lang w:eastAsia="zh-CN"/>
              </w:rPr>
              <w:t>260111</w:t>
            </w:r>
          </w:p>
        </w:tc>
      </w:tr>
      <w:tr w14:paraId="546449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B1BB7B">
            <w:pPr>
              <w:pStyle w:val="142"/>
              <w:rPr>
                <w:rFonts w:ascii="Times New Roman"/>
                <w:sz w:val="21"/>
              </w:rPr>
            </w:pPr>
            <w:r>
              <w:rPr>
                <w:rFonts w:ascii="Times New Roman"/>
                <w:sz w:val="21"/>
              </w:rPr>
              <w:t>1</w:t>
            </w:r>
            <w:r>
              <w:rPr>
                <w:rFonts w:hint="eastAsia" w:ascii="Times New Roman"/>
                <w:sz w:val="21"/>
              </w:rPr>
              <w:t>5</w:t>
            </w:r>
          </w:p>
        </w:tc>
        <w:tc>
          <w:tcPr>
            <w:tcW w:w="4270" w:type="dxa"/>
            <w:tcBorders>
              <w:tl2br w:val="nil"/>
              <w:tr2bl w:val="nil"/>
            </w:tcBorders>
            <w:vAlign w:val="center"/>
          </w:tcPr>
          <w:p w14:paraId="664C491B">
            <w:pPr>
              <w:pStyle w:val="142"/>
              <w:rPr>
                <w:rFonts w:hint="eastAsia" w:ascii="宋体" w:hAnsi="宋体" w:eastAsia="宋体" w:cs="宋体"/>
                <w:kern w:val="2"/>
                <w:sz w:val="21"/>
                <w:szCs w:val="24"/>
                <w:lang w:val="en-US" w:eastAsia="zh-CN" w:bidi="ar-SA"/>
              </w:rPr>
            </w:pPr>
            <w:r>
              <w:rPr>
                <w:rFonts w:hint="eastAsia" w:ascii="宋体" w:hAnsi="宋体" w:eastAsia="宋体" w:cs="宋体"/>
                <w:i w:val="0"/>
                <w:iCs w:val="0"/>
                <w:caps w:val="0"/>
                <w:spacing w:val="0"/>
                <w:sz w:val="21"/>
                <w:szCs w:val="24"/>
                <w:u w:val="none"/>
              </w:rPr>
              <w:fldChar w:fldCharType="begin"/>
            </w:r>
            <w:r>
              <w:rPr>
                <w:rFonts w:hint="eastAsia" w:ascii="宋体" w:hAnsi="宋体" w:eastAsia="宋体" w:cs="宋体"/>
                <w:i w:val="0"/>
                <w:iCs w:val="0"/>
                <w:caps w:val="0"/>
                <w:spacing w:val="0"/>
                <w:sz w:val="21"/>
                <w:szCs w:val="24"/>
                <w:u w:val="none"/>
              </w:rPr>
              <w:instrText xml:space="preserve"> HYPERLINK "javascript:zxtb('XZXKTYPE_A','%E6%9A%82%E5%AD%98','card1','c0c20e02e73c43b89d16471f291e7db7','readonly')" </w:instrText>
            </w:r>
            <w:r>
              <w:rPr>
                <w:rFonts w:hint="eastAsia" w:ascii="宋体" w:hAnsi="宋体" w:eastAsia="宋体" w:cs="宋体"/>
                <w:i w:val="0"/>
                <w:iCs w:val="0"/>
                <w:caps w:val="0"/>
                <w:spacing w:val="0"/>
                <w:sz w:val="21"/>
                <w:szCs w:val="24"/>
                <w:u w:val="none"/>
              </w:rPr>
              <w:fldChar w:fldCharType="separate"/>
            </w:r>
            <w:r>
              <w:rPr>
                <w:rFonts w:hint="eastAsia" w:cs="宋体"/>
                <w:i w:val="0"/>
                <w:iCs w:val="0"/>
                <w:caps w:val="0"/>
                <w:spacing w:val="0"/>
                <w:sz w:val="21"/>
                <w:szCs w:val="24"/>
                <w:u w:val="none"/>
                <w:lang w:eastAsia="zh-CN"/>
              </w:rPr>
              <w:t>海安澳凡家具有限公司</w:t>
            </w:r>
            <w:r>
              <w:rPr>
                <w:rFonts w:hint="eastAsia" w:ascii="宋体" w:hAnsi="宋体" w:eastAsia="宋体" w:cs="宋体"/>
                <w:i w:val="0"/>
                <w:iCs w:val="0"/>
                <w:caps w:val="0"/>
                <w:spacing w:val="0"/>
                <w:sz w:val="21"/>
                <w:szCs w:val="24"/>
                <w:u w:val="none"/>
              </w:rPr>
              <w:fldChar w:fldCharType="end"/>
            </w:r>
          </w:p>
        </w:tc>
        <w:tc>
          <w:tcPr>
            <w:tcW w:w="3309" w:type="dxa"/>
            <w:tcBorders>
              <w:tl2br w:val="nil"/>
              <w:tr2bl w:val="nil"/>
            </w:tcBorders>
            <w:vAlign w:val="center"/>
          </w:tcPr>
          <w:p w14:paraId="0D4B1161">
            <w:pPr>
              <w:pStyle w:val="142"/>
              <w:rPr>
                <w:rFonts w:hint="default" w:ascii="宋体" w:hAnsi="宋体" w:eastAsia="宋体" w:cs="宋体"/>
                <w:kern w:val="2"/>
                <w:sz w:val="21"/>
                <w:szCs w:val="24"/>
                <w:lang w:val="en-US" w:eastAsia="zh-CN" w:bidi="ar-SA"/>
              </w:rPr>
            </w:pPr>
            <w:r>
              <w:rPr>
                <w:rFonts w:hint="eastAsia" w:eastAsia="宋体" w:cs="Times New Roman"/>
                <w:snapToGrid/>
                <w:color w:val="auto"/>
                <w:kern w:val="2"/>
                <w:sz w:val="21"/>
                <w:szCs w:val="21"/>
                <w:lang w:val="en-US" w:eastAsia="zh-CN" w:bidi="ar-SA"/>
              </w:rPr>
              <w:t>13376110008</w:t>
            </w:r>
          </w:p>
        </w:tc>
      </w:tr>
      <w:tr w14:paraId="200FA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6CBEF3B">
            <w:pPr>
              <w:pStyle w:val="142"/>
              <w:rPr>
                <w:rFonts w:ascii="Times New Roman"/>
                <w:sz w:val="21"/>
              </w:rPr>
            </w:pPr>
            <w:r>
              <w:rPr>
                <w:rFonts w:hint="eastAsia" w:ascii="Times New Roman"/>
                <w:sz w:val="21"/>
              </w:rPr>
              <w:t>16</w:t>
            </w:r>
          </w:p>
        </w:tc>
        <w:tc>
          <w:tcPr>
            <w:tcW w:w="4270" w:type="dxa"/>
            <w:tcBorders>
              <w:tl2br w:val="nil"/>
              <w:tr2bl w:val="nil"/>
            </w:tcBorders>
            <w:vAlign w:val="center"/>
          </w:tcPr>
          <w:p w14:paraId="77A8D0E9">
            <w:pPr>
              <w:pStyle w:val="142"/>
              <w:rPr>
                <w:sz w:val="21"/>
              </w:rPr>
            </w:pPr>
            <w:r>
              <w:rPr>
                <w:rFonts w:hint="eastAsia"/>
                <w:sz w:val="21"/>
              </w:rPr>
              <w:t>江苏裕和检测技术有限公司</w:t>
            </w:r>
          </w:p>
        </w:tc>
        <w:tc>
          <w:tcPr>
            <w:tcW w:w="3309" w:type="dxa"/>
            <w:tcBorders>
              <w:tl2br w:val="nil"/>
              <w:tr2bl w:val="nil"/>
            </w:tcBorders>
            <w:vAlign w:val="center"/>
          </w:tcPr>
          <w:p w14:paraId="5C7A5283">
            <w:pPr>
              <w:pStyle w:val="142"/>
              <w:rPr>
                <w:rFonts w:ascii="Times New Roman"/>
                <w:sz w:val="21"/>
              </w:rPr>
            </w:pPr>
            <w:r>
              <w:rPr>
                <w:rFonts w:hint="eastAsia" w:ascii="Times New Roman" w:hAnsi="Times New Roman" w:cs="Times New Roman" w:eastAsiaTheme="minorEastAsia"/>
                <w:sz w:val="21"/>
                <w:szCs w:val="21"/>
                <w:lang w:val="en-US" w:eastAsia="zh-CN"/>
              </w:rPr>
              <w:t>17706275545</w:t>
            </w:r>
          </w:p>
        </w:tc>
      </w:tr>
      <w:tr w14:paraId="752B1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11BACB6C">
            <w:pPr>
              <w:pStyle w:val="142"/>
              <w:rPr>
                <w:rFonts w:hint="default" w:ascii="Times New Roman" w:eastAsia="宋体"/>
                <w:sz w:val="21"/>
                <w:lang w:val="en-US" w:eastAsia="zh-CN"/>
              </w:rPr>
            </w:pPr>
            <w:r>
              <w:rPr>
                <w:rFonts w:hint="eastAsia" w:ascii="Times New Roman"/>
                <w:sz w:val="21"/>
                <w:lang w:val="en-US" w:eastAsia="zh-CN"/>
              </w:rPr>
              <w:t>17</w:t>
            </w:r>
          </w:p>
        </w:tc>
        <w:tc>
          <w:tcPr>
            <w:tcW w:w="4270" w:type="dxa"/>
            <w:tcBorders>
              <w:tl2br w:val="nil"/>
              <w:tr2bl w:val="nil"/>
            </w:tcBorders>
            <w:vAlign w:val="center"/>
          </w:tcPr>
          <w:p w14:paraId="35EF7123">
            <w:pPr>
              <w:jc w:val="center"/>
              <w:rPr>
                <w:rFonts w:hint="eastAsia" w:ascii="宋体" w:hAnsi="Times New Roman" w:eastAsia="宋体" w:cs="Times New Roman"/>
                <w:kern w:val="2"/>
                <w:sz w:val="21"/>
                <w:szCs w:val="24"/>
                <w:lang w:val="en-US" w:eastAsia="zh-CN" w:bidi="zh-CN"/>
              </w:rPr>
            </w:pPr>
            <w:r>
              <w:rPr>
                <w:rFonts w:hint="eastAsia" w:ascii="宋体" w:eastAsia="宋体"/>
                <w:sz w:val="21"/>
                <w:lang w:val="en-US" w:bidi="zh-CN"/>
              </w:rPr>
              <w:t>海安市水利局</w:t>
            </w:r>
          </w:p>
        </w:tc>
        <w:tc>
          <w:tcPr>
            <w:tcW w:w="3309" w:type="dxa"/>
            <w:tcBorders>
              <w:tl2br w:val="nil"/>
              <w:tr2bl w:val="nil"/>
            </w:tcBorders>
            <w:vAlign w:val="center"/>
          </w:tcPr>
          <w:p w14:paraId="2FCFFF73">
            <w:pPr>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0513-81868536</w:t>
            </w:r>
          </w:p>
        </w:tc>
      </w:tr>
    </w:tbl>
    <w:p w14:paraId="23315371">
      <w:pPr>
        <w:rPr>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264CC45A">
      <w:pPr>
        <w:pStyle w:val="2"/>
        <w:adjustRightInd w:val="0"/>
        <w:snapToGrid w:val="0"/>
        <w:spacing w:line="500" w:lineRule="exact"/>
        <w:rPr>
          <w:rFonts w:eastAsia="宋体"/>
          <w:sz w:val="24"/>
          <w:szCs w:val="24"/>
        </w:rPr>
      </w:pPr>
      <w:bookmarkStart w:id="170" w:name="_Toc18181"/>
      <w:bookmarkStart w:id="171" w:name="_Toc26565"/>
      <w:bookmarkStart w:id="172" w:name="_Toc31419"/>
      <w:bookmarkStart w:id="173" w:name="_Toc10554"/>
      <w:r>
        <w:rPr>
          <w:rFonts w:hint="eastAsia" w:eastAsia="宋体"/>
          <w:sz w:val="24"/>
          <w:szCs w:val="24"/>
        </w:rPr>
        <w:t>4突发环境事件及其后果分析</w:t>
      </w:r>
      <w:bookmarkEnd w:id="150"/>
      <w:bookmarkEnd w:id="170"/>
      <w:bookmarkEnd w:id="171"/>
      <w:bookmarkEnd w:id="172"/>
      <w:bookmarkEnd w:id="173"/>
    </w:p>
    <w:p w14:paraId="5331F39F">
      <w:pPr>
        <w:pStyle w:val="3"/>
        <w:adjustRightInd w:val="0"/>
        <w:snapToGrid w:val="0"/>
        <w:spacing w:line="500" w:lineRule="exact"/>
        <w:rPr>
          <w:rFonts w:eastAsia="宋体"/>
          <w:sz w:val="24"/>
          <w:szCs w:val="24"/>
        </w:rPr>
      </w:pPr>
      <w:bookmarkStart w:id="174" w:name="_Toc13659"/>
      <w:bookmarkStart w:id="175" w:name="_Toc7836"/>
      <w:bookmarkStart w:id="176" w:name="_Toc9896"/>
      <w:bookmarkStart w:id="177" w:name="_Toc14852"/>
      <w:bookmarkStart w:id="178" w:name="_Toc402776211"/>
      <w:r>
        <w:rPr>
          <w:rFonts w:hint="eastAsia" w:eastAsia="宋体"/>
          <w:sz w:val="24"/>
          <w:szCs w:val="24"/>
        </w:rPr>
        <w:t>4.1突发环境事件情景分析</w:t>
      </w:r>
      <w:bookmarkEnd w:id="174"/>
      <w:bookmarkEnd w:id="175"/>
      <w:bookmarkEnd w:id="176"/>
      <w:bookmarkEnd w:id="177"/>
      <w:bookmarkEnd w:id="178"/>
    </w:p>
    <w:p w14:paraId="6CF48CF4">
      <w:pPr>
        <w:adjustRightInd w:val="0"/>
        <w:snapToGrid w:val="0"/>
        <w:spacing w:line="500" w:lineRule="exact"/>
        <w:ind w:firstLine="480" w:firstLineChars="200"/>
        <w:rPr>
          <w:rFonts w:ascii="宋体" w:hAnsi="宋体" w:eastAsia="宋体" w:cs="宋体"/>
        </w:rPr>
      </w:pPr>
      <w:bookmarkStart w:id="179"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举了</w:t>
      </w:r>
      <w:r>
        <w:rPr>
          <w:rFonts w:eastAsia="宋体"/>
        </w:rPr>
        <w:t>江苏大江木业集团吴集有限公司</w:t>
      </w:r>
      <w:r>
        <w:rPr>
          <w:rFonts w:hint="eastAsia" w:ascii="宋体" w:hAnsi="宋体" w:eastAsia="宋体" w:cs="宋体"/>
        </w:rPr>
        <w:t>火灾案例、霸州市胜芳镇西格玛家具厂火灾案例和金河兴安人造板有限公司火灾案例，具</w:t>
      </w:r>
      <w:r>
        <w:rPr>
          <w:rFonts w:eastAsia="宋体"/>
        </w:rPr>
        <w:t>体见表4-1</w:t>
      </w:r>
      <w:r>
        <w:rPr>
          <w:rFonts w:hint="eastAsia" w:ascii="宋体" w:hAnsi="宋体" w:eastAsia="宋体" w:cs="宋体"/>
        </w:rPr>
        <w:t>。</w:t>
      </w:r>
    </w:p>
    <w:p w14:paraId="7CA6DD28">
      <w:pPr>
        <w:adjustRightInd w:val="0"/>
        <w:snapToGrid w:val="0"/>
        <w:spacing w:line="500" w:lineRule="exact"/>
        <w:jc w:val="center"/>
      </w:pPr>
      <w:r>
        <w:rPr>
          <w:rFonts w:eastAsia="宋体"/>
          <w:b/>
          <w:bCs/>
        </w:rPr>
        <w:t>表4-1突发环境事件案例</w:t>
      </w:r>
      <w:r>
        <w:rPr>
          <w:rFonts w:hint="eastAsia" w:eastAsia="宋体"/>
          <w:b/>
          <w:bCs/>
        </w:rPr>
        <w:t>一</w:t>
      </w:r>
    </w:p>
    <w:tbl>
      <w:tblPr>
        <w:tblStyle w:val="39"/>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782ED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C4AB8">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CDD5A09">
            <w:pPr>
              <w:adjustRightInd w:val="0"/>
              <w:snapToGrid w:val="0"/>
              <w:rPr>
                <w:rFonts w:eastAsia="宋体"/>
                <w:sz w:val="21"/>
                <w:szCs w:val="21"/>
              </w:rPr>
            </w:pPr>
            <w:r>
              <w:rPr>
                <w:rFonts w:eastAsia="宋体"/>
                <w:sz w:val="21"/>
                <w:szCs w:val="21"/>
              </w:rPr>
              <w:t>江苏大江木业集团吴集有限公司火灾案例</w:t>
            </w:r>
          </w:p>
        </w:tc>
      </w:tr>
      <w:tr w14:paraId="20D57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20C33ED">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0BC7038F">
            <w:pPr>
              <w:adjustRightInd w:val="0"/>
              <w:snapToGrid w:val="0"/>
              <w:rPr>
                <w:rFonts w:eastAsia="宋体"/>
                <w:sz w:val="21"/>
                <w:szCs w:val="21"/>
              </w:rPr>
            </w:pPr>
            <w:r>
              <w:rPr>
                <w:rFonts w:eastAsia="宋体"/>
                <w:sz w:val="21"/>
                <w:szCs w:val="21"/>
              </w:rPr>
              <w:t>2018年12月31日</w:t>
            </w:r>
          </w:p>
        </w:tc>
      </w:tr>
      <w:tr w14:paraId="33A4C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67D587">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3331EC75">
            <w:pPr>
              <w:adjustRightInd w:val="0"/>
              <w:snapToGrid w:val="0"/>
              <w:rPr>
                <w:rFonts w:eastAsia="宋体"/>
                <w:sz w:val="21"/>
                <w:szCs w:val="21"/>
              </w:rPr>
            </w:pPr>
            <w:r>
              <w:rPr>
                <w:rFonts w:eastAsia="宋体"/>
                <w:sz w:val="21"/>
                <w:szCs w:val="21"/>
              </w:rPr>
              <w:t>江苏大江木业集团吴集有限公司</w:t>
            </w:r>
          </w:p>
        </w:tc>
      </w:tr>
      <w:tr w14:paraId="643A6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97C7089">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2D7D1316">
            <w:pPr>
              <w:adjustRightInd w:val="0"/>
              <w:snapToGrid w:val="0"/>
              <w:rPr>
                <w:rFonts w:eastAsia="宋体"/>
                <w:sz w:val="21"/>
                <w:szCs w:val="21"/>
              </w:rPr>
            </w:pPr>
            <w:r>
              <w:rPr>
                <w:rFonts w:eastAsia="宋体"/>
                <w:sz w:val="21"/>
                <w:szCs w:val="21"/>
              </w:rPr>
              <w:t>6:44分，该企业砂光车间2号中砂砂光机发生机械故障，2块密度板卡住，与砂带摩擦发生火情，当班员工停工检修</w:t>
            </w:r>
            <w:r>
              <w:rPr>
                <w:rFonts w:hint="eastAsia" w:eastAsia="宋体"/>
                <w:sz w:val="21"/>
                <w:szCs w:val="21"/>
              </w:rPr>
              <w:t>；</w:t>
            </w:r>
          </w:p>
          <w:p w14:paraId="202420D7">
            <w:pPr>
              <w:adjustRightInd w:val="0"/>
              <w:snapToGrid w:val="0"/>
              <w:rPr>
                <w:rFonts w:eastAsia="宋体"/>
                <w:sz w:val="21"/>
                <w:szCs w:val="21"/>
              </w:rPr>
            </w:pPr>
            <w:r>
              <w:rPr>
                <w:rFonts w:eastAsia="宋体"/>
                <w:sz w:val="21"/>
                <w:szCs w:val="21"/>
              </w:rPr>
              <w:t>8:56分，开机恢复生产，15秒后砂光车间原起火部位再次起火</w:t>
            </w:r>
            <w:r>
              <w:rPr>
                <w:rFonts w:hint="eastAsia" w:eastAsia="宋体"/>
                <w:sz w:val="21"/>
                <w:szCs w:val="21"/>
              </w:rPr>
              <w:t>；</w:t>
            </w:r>
          </w:p>
          <w:p w14:paraId="0E42A91B">
            <w:pPr>
              <w:adjustRightInd w:val="0"/>
              <w:snapToGrid w:val="0"/>
              <w:rPr>
                <w:rFonts w:eastAsia="宋体"/>
                <w:sz w:val="21"/>
                <w:szCs w:val="21"/>
              </w:rPr>
            </w:pPr>
            <w:r>
              <w:rPr>
                <w:rFonts w:eastAsia="宋体"/>
                <w:sz w:val="21"/>
                <w:szCs w:val="21"/>
              </w:rPr>
              <w:t>8:58分</w:t>
            </w:r>
            <w:r>
              <w:rPr>
                <w:rFonts w:hint="eastAsia" w:eastAsia="宋体"/>
                <w:sz w:val="21"/>
                <w:szCs w:val="21"/>
              </w:rPr>
              <w:t>，</w:t>
            </w:r>
            <w:r>
              <w:rPr>
                <w:rFonts w:eastAsia="宋体"/>
                <w:sz w:val="21"/>
                <w:szCs w:val="21"/>
              </w:rPr>
              <w:t>积尘室、背压机、铺板机等多处起火</w:t>
            </w:r>
            <w:r>
              <w:rPr>
                <w:rFonts w:hint="eastAsia" w:eastAsia="宋体"/>
                <w:sz w:val="21"/>
                <w:szCs w:val="21"/>
              </w:rPr>
              <w:t>，</w:t>
            </w:r>
            <w:r>
              <w:rPr>
                <w:rFonts w:eastAsia="宋体"/>
                <w:sz w:val="21"/>
                <w:szCs w:val="21"/>
              </w:rPr>
              <w:t>导致集尘器发生爆炸，冲击波冲破木质纤维料场房顶，引起料场起火，现场的装运卡车油箱起火燃烧爆炸</w:t>
            </w:r>
            <w:r>
              <w:rPr>
                <w:rFonts w:hint="eastAsia" w:eastAsia="宋体"/>
                <w:sz w:val="21"/>
                <w:szCs w:val="21"/>
              </w:rPr>
              <w:t>。</w:t>
            </w:r>
          </w:p>
        </w:tc>
      </w:tr>
      <w:tr w14:paraId="28F6B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3A9610">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759C299B">
            <w:pPr>
              <w:adjustRightInd w:val="0"/>
              <w:snapToGrid w:val="0"/>
              <w:rPr>
                <w:rFonts w:eastAsia="宋体"/>
                <w:sz w:val="21"/>
                <w:szCs w:val="21"/>
              </w:rPr>
            </w:pPr>
            <w:r>
              <w:rPr>
                <w:rFonts w:eastAsia="宋体"/>
                <w:sz w:val="21"/>
                <w:szCs w:val="21"/>
              </w:rPr>
              <w:t>砂带机摩擦起火导致连锁式火灾</w:t>
            </w:r>
            <w:r>
              <w:rPr>
                <w:rFonts w:hint="eastAsia" w:eastAsia="宋体"/>
                <w:sz w:val="21"/>
                <w:szCs w:val="21"/>
              </w:rPr>
              <w:t>。</w:t>
            </w:r>
          </w:p>
        </w:tc>
      </w:tr>
      <w:tr w14:paraId="64EE7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C6C7D57">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45063826">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w:t>
            </w:r>
            <w:r>
              <w:rPr>
                <w:rFonts w:eastAsia="宋体"/>
                <w:sz w:val="21"/>
                <w:szCs w:val="21"/>
              </w:rPr>
              <w:t>6名作业人员有2人当场死亡，4人受伤</w:t>
            </w:r>
            <w:r>
              <w:rPr>
                <w:rFonts w:hint="eastAsia" w:eastAsia="宋体"/>
                <w:sz w:val="21"/>
                <w:szCs w:val="21"/>
              </w:rPr>
              <w:t>。</w:t>
            </w:r>
          </w:p>
        </w:tc>
      </w:tr>
      <w:tr w14:paraId="42B0FF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F84E0BC">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79D123C4">
            <w:pPr>
              <w:adjustRightInd w:val="0"/>
              <w:snapToGrid w:val="0"/>
              <w:rPr>
                <w:rFonts w:eastAsia="宋体"/>
                <w:sz w:val="21"/>
                <w:szCs w:val="21"/>
              </w:rPr>
            </w:pPr>
            <w:r>
              <w:rPr>
                <w:rFonts w:eastAsia="宋体"/>
                <w:sz w:val="21"/>
                <w:szCs w:val="21"/>
              </w:rPr>
              <w:t>（1）正规使用设备设施；</w:t>
            </w:r>
          </w:p>
          <w:p w14:paraId="6C5ABB6A">
            <w:pPr>
              <w:adjustRightInd w:val="0"/>
              <w:snapToGrid w:val="0"/>
              <w:rPr>
                <w:rFonts w:eastAsia="宋体"/>
                <w:sz w:val="21"/>
                <w:szCs w:val="21"/>
              </w:rPr>
            </w:pPr>
            <w:r>
              <w:rPr>
                <w:rFonts w:eastAsia="宋体"/>
                <w:sz w:val="21"/>
                <w:szCs w:val="21"/>
              </w:rPr>
              <w:t>（2）安装火花探测和熄灭、泄爆、隔爆等防火、控爆安全装置</w:t>
            </w:r>
            <w:r>
              <w:rPr>
                <w:rFonts w:hint="eastAsia" w:eastAsia="宋体"/>
                <w:sz w:val="21"/>
                <w:szCs w:val="21"/>
              </w:rPr>
              <w:t>。</w:t>
            </w:r>
          </w:p>
        </w:tc>
      </w:tr>
    </w:tbl>
    <w:p w14:paraId="0B18BF0E">
      <w:pPr>
        <w:adjustRightInd w:val="0"/>
        <w:snapToGrid w:val="0"/>
        <w:spacing w:line="500" w:lineRule="exact"/>
        <w:jc w:val="center"/>
        <w:rPr>
          <w:rFonts w:eastAsia="宋体"/>
        </w:rPr>
      </w:pPr>
      <w:r>
        <w:rPr>
          <w:rFonts w:eastAsia="宋体"/>
          <w:b/>
          <w:bCs/>
        </w:rPr>
        <w:t>突发环境事件案例</w:t>
      </w:r>
      <w:r>
        <w:rPr>
          <w:rFonts w:hint="eastAsia" w:eastAsia="宋体"/>
          <w:b/>
          <w:bCs/>
        </w:rPr>
        <w:t>二</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37CC6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502FEE">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338FBE07">
            <w:pPr>
              <w:adjustRightInd w:val="0"/>
              <w:snapToGrid w:val="0"/>
              <w:rPr>
                <w:rFonts w:eastAsia="宋体"/>
                <w:sz w:val="21"/>
                <w:szCs w:val="21"/>
              </w:rPr>
            </w:pPr>
            <w:r>
              <w:rPr>
                <w:rFonts w:hint="eastAsia" w:eastAsia="宋体"/>
                <w:sz w:val="21"/>
                <w:szCs w:val="21"/>
              </w:rPr>
              <w:t>霸州市胜芳镇西格玛家具厂火灾案例</w:t>
            </w:r>
          </w:p>
        </w:tc>
      </w:tr>
      <w:tr w14:paraId="24CC2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42A7BB2">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3EF38C">
            <w:pPr>
              <w:adjustRightInd w:val="0"/>
              <w:snapToGrid w:val="0"/>
              <w:rPr>
                <w:rFonts w:eastAsia="宋体"/>
                <w:sz w:val="21"/>
                <w:szCs w:val="21"/>
              </w:rPr>
            </w:pPr>
            <w:r>
              <w:rPr>
                <w:rFonts w:hint="eastAsia" w:eastAsia="宋体"/>
                <w:sz w:val="21"/>
                <w:szCs w:val="21"/>
              </w:rPr>
              <w:t>2014年</w:t>
            </w:r>
            <w:r>
              <w:rPr>
                <w:rFonts w:hint="eastAsia" w:eastAsia="宋体"/>
                <w:sz w:val="21"/>
                <w:szCs w:val="21"/>
                <w:lang w:eastAsia="zh-CN"/>
              </w:rPr>
              <w:t>10月</w:t>
            </w:r>
            <w:r>
              <w:rPr>
                <w:rFonts w:hint="eastAsia" w:eastAsia="宋体"/>
                <w:sz w:val="21"/>
                <w:szCs w:val="21"/>
              </w:rPr>
              <w:t>10日</w:t>
            </w:r>
          </w:p>
        </w:tc>
      </w:tr>
      <w:tr w14:paraId="4C9B5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C9C6FA">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095D53E6">
            <w:pPr>
              <w:adjustRightInd w:val="0"/>
              <w:snapToGrid w:val="0"/>
              <w:rPr>
                <w:rFonts w:eastAsia="宋体"/>
                <w:sz w:val="21"/>
                <w:szCs w:val="21"/>
              </w:rPr>
            </w:pPr>
            <w:r>
              <w:rPr>
                <w:rFonts w:hint="eastAsia" w:eastAsia="宋体"/>
                <w:sz w:val="21"/>
                <w:szCs w:val="21"/>
              </w:rPr>
              <w:t>霸州市胜芳镇西格玛家具厂</w:t>
            </w:r>
          </w:p>
        </w:tc>
      </w:tr>
      <w:tr w14:paraId="08EE6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285F25E">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46681CA6">
            <w:pPr>
              <w:adjustRightInd w:val="0"/>
              <w:snapToGrid w:val="0"/>
              <w:jc w:val="left"/>
              <w:rPr>
                <w:rFonts w:eastAsia="宋体"/>
                <w:sz w:val="21"/>
                <w:szCs w:val="21"/>
              </w:rPr>
            </w:pPr>
            <w:r>
              <w:rPr>
                <w:rFonts w:hint="eastAsia" w:eastAsia="宋体"/>
                <w:sz w:val="21"/>
                <w:szCs w:val="21"/>
              </w:rPr>
              <w:t>15:30车间内水性漆桶受电暖气高温崩开，释放的有机溶剂蒸汽遇高温爆燃，引燃了周边海绵及皮革，因室内外给水系统不完备，致火势无法控制。</w:t>
            </w:r>
          </w:p>
        </w:tc>
      </w:tr>
      <w:tr w14:paraId="6ADA3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3A06F11">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1D81DCF5">
            <w:pPr>
              <w:adjustRightInd w:val="0"/>
              <w:snapToGrid w:val="0"/>
              <w:rPr>
                <w:rFonts w:eastAsia="宋体"/>
                <w:sz w:val="21"/>
                <w:szCs w:val="21"/>
              </w:rPr>
            </w:pPr>
            <w:r>
              <w:rPr>
                <w:rFonts w:hint="eastAsia" w:eastAsia="宋体"/>
                <w:sz w:val="21"/>
                <w:szCs w:val="21"/>
              </w:rPr>
              <w:t>密闭水性漆桶高温崩炸，释放的有机溶剂蒸汽遇高温爆燃。</w:t>
            </w:r>
          </w:p>
        </w:tc>
      </w:tr>
      <w:tr w14:paraId="5B0A1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2B14471">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6608C082">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受到影响，造成4名女工当场死亡。</w:t>
            </w:r>
          </w:p>
        </w:tc>
      </w:tr>
      <w:tr w14:paraId="49303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64A9D86">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6B6E79F1">
            <w:pPr>
              <w:adjustRightInd w:val="0"/>
              <w:snapToGrid w:val="0"/>
              <w:jc w:val="left"/>
              <w:rPr>
                <w:rFonts w:eastAsia="宋体"/>
                <w:sz w:val="21"/>
                <w:szCs w:val="21"/>
              </w:rPr>
            </w:pPr>
            <w:r>
              <w:rPr>
                <w:rFonts w:hint="eastAsia" w:eastAsia="宋体"/>
                <w:sz w:val="21"/>
                <w:szCs w:val="21"/>
              </w:rPr>
              <w:t>（1）需定期检查给水设备；</w:t>
            </w:r>
          </w:p>
          <w:p w14:paraId="7EC1CB72">
            <w:pPr>
              <w:adjustRightInd w:val="0"/>
              <w:snapToGrid w:val="0"/>
              <w:rPr>
                <w:rFonts w:eastAsia="宋体"/>
                <w:sz w:val="21"/>
                <w:szCs w:val="21"/>
              </w:rPr>
            </w:pPr>
            <w:r>
              <w:rPr>
                <w:rFonts w:hint="eastAsia" w:eastAsia="宋体"/>
                <w:sz w:val="21"/>
                <w:szCs w:val="21"/>
              </w:rPr>
              <w:t>（2）配备足够的应急物资如防毒面具。</w:t>
            </w:r>
          </w:p>
        </w:tc>
      </w:tr>
    </w:tbl>
    <w:p w14:paraId="38C60F8E">
      <w:pPr>
        <w:adjustRightInd w:val="0"/>
        <w:snapToGrid w:val="0"/>
        <w:spacing w:line="500" w:lineRule="exact"/>
        <w:jc w:val="center"/>
        <w:rPr>
          <w:rFonts w:eastAsia="宋体"/>
        </w:rPr>
      </w:pPr>
      <w:r>
        <w:rPr>
          <w:rFonts w:eastAsia="宋体"/>
          <w:b/>
          <w:bCs/>
        </w:rPr>
        <w:t>突发环境事件案例</w:t>
      </w:r>
      <w:r>
        <w:rPr>
          <w:rFonts w:hint="eastAsia" w:eastAsia="宋体"/>
          <w:b/>
          <w:bCs/>
        </w:rPr>
        <w:t>三</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1D9D4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FF524DC">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2066C630">
            <w:pPr>
              <w:adjustRightInd w:val="0"/>
              <w:snapToGrid w:val="0"/>
              <w:rPr>
                <w:rFonts w:eastAsia="宋体"/>
                <w:sz w:val="21"/>
                <w:szCs w:val="21"/>
              </w:rPr>
            </w:pPr>
            <w:r>
              <w:rPr>
                <w:rFonts w:hint="eastAsia" w:eastAsia="宋体"/>
                <w:sz w:val="21"/>
                <w:szCs w:val="21"/>
              </w:rPr>
              <w:t>金河兴安人造板有限公司火灾案例</w:t>
            </w:r>
          </w:p>
        </w:tc>
      </w:tr>
      <w:tr w14:paraId="4F2EE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BA318A1">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54D4C215">
            <w:pPr>
              <w:adjustRightInd w:val="0"/>
              <w:snapToGrid w:val="0"/>
              <w:rPr>
                <w:rFonts w:eastAsia="宋体"/>
                <w:sz w:val="21"/>
                <w:szCs w:val="21"/>
              </w:rPr>
            </w:pPr>
            <w:r>
              <w:rPr>
                <w:rFonts w:hint="eastAsia" w:eastAsia="宋体"/>
                <w:sz w:val="21"/>
                <w:szCs w:val="21"/>
              </w:rPr>
              <w:t>2015年</w:t>
            </w:r>
            <w:r>
              <w:rPr>
                <w:rFonts w:hint="eastAsia" w:eastAsia="宋体"/>
                <w:sz w:val="21"/>
                <w:szCs w:val="21"/>
                <w:lang w:eastAsia="zh-CN"/>
              </w:rPr>
              <w:t>10月</w:t>
            </w:r>
            <w:r>
              <w:rPr>
                <w:rFonts w:hint="eastAsia" w:eastAsia="宋体"/>
                <w:sz w:val="21"/>
                <w:szCs w:val="21"/>
              </w:rPr>
              <w:t>31日</w:t>
            </w:r>
          </w:p>
        </w:tc>
      </w:tr>
      <w:tr w14:paraId="1750F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16DF9AE">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718CD83C">
            <w:pPr>
              <w:adjustRightInd w:val="0"/>
              <w:snapToGrid w:val="0"/>
              <w:rPr>
                <w:rFonts w:eastAsia="宋体"/>
                <w:sz w:val="21"/>
                <w:szCs w:val="21"/>
              </w:rPr>
            </w:pPr>
            <w:r>
              <w:rPr>
                <w:rFonts w:hint="eastAsia" w:eastAsia="宋体"/>
                <w:sz w:val="21"/>
                <w:szCs w:val="21"/>
              </w:rPr>
              <w:t>金河兴安人造板有限公司</w:t>
            </w:r>
          </w:p>
        </w:tc>
      </w:tr>
      <w:tr w14:paraId="77358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BFAF09F">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31D0545E">
            <w:pPr>
              <w:keepNext/>
              <w:keepLines/>
              <w:rPr>
                <w:rFonts w:eastAsia="宋体"/>
                <w:sz w:val="21"/>
                <w:szCs w:val="21"/>
              </w:rPr>
            </w:pPr>
            <w:r>
              <w:rPr>
                <w:rFonts w:hint="eastAsia" w:eastAsia="宋体"/>
                <w:sz w:val="21"/>
                <w:szCs w:val="21"/>
              </w:rPr>
              <w:t>06:08木工车间中央除尘系统收尘仓木粉尘发生一次爆炸；</w:t>
            </w:r>
          </w:p>
          <w:p w14:paraId="5E321E1D">
            <w:pPr>
              <w:adjustRightInd w:val="0"/>
              <w:snapToGrid w:val="0"/>
              <w:jc w:val="left"/>
              <w:rPr>
                <w:rFonts w:eastAsia="宋体"/>
                <w:sz w:val="21"/>
                <w:szCs w:val="21"/>
              </w:rPr>
            </w:pPr>
            <w:r>
              <w:rPr>
                <w:rFonts w:hint="eastAsia" w:eastAsia="宋体"/>
                <w:sz w:val="21"/>
                <w:szCs w:val="21"/>
              </w:rPr>
              <w:t>06:20一次爆炸引起车间内打磨车间二次爆炸，进而引起生产车间及库房火灾。</w:t>
            </w:r>
          </w:p>
        </w:tc>
      </w:tr>
      <w:tr w14:paraId="1B3D6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76C0F7D">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061D6F47">
            <w:pPr>
              <w:adjustRightInd w:val="0"/>
              <w:snapToGrid w:val="0"/>
              <w:rPr>
                <w:rFonts w:eastAsia="宋体"/>
                <w:sz w:val="21"/>
                <w:szCs w:val="21"/>
              </w:rPr>
            </w:pPr>
            <w:r>
              <w:rPr>
                <w:rFonts w:hint="eastAsia" w:eastAsia="宋体"/>
                <w:sz w:val="21"/>
                <w:szCs w:val="21"/>
              </w:rPr>
              <w:t>除尘系统内收尘仓爆炸。</w:t>
            </w:r>
          </w:p>
        </w:tc>
      </w:tr>
      <w:tr w14:paraId="671B2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78CDE5E">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212028F1">
            <w:pPr>
              <w:adjustRightInd w:val="0"/>
              <w:snapToGrid w:val="0"/>
              <w:rPr>
                <w:rFonts w:eastAsia="宋体"/>
                <w:sz w:val="21"/>
                <w:szCs w:val="21"/>
              </w:rPr>
            </w:pPr>
            <w:r>
              <w:rPr>
                <w:rFonts w:eastAsia="宋体"/>
                <w:sz w:val="21"/>
                <w:szCs w:val="21"/>
              </w:rPr>
              <w:t>周边水环境、大气环境</w:t>
            </w:r>
            <w:r>
              <w:rPr>
                <w:rFonts w:hint="eastAsia" w:eastAsia="宋体"/>
                <w:sz w:val="21"/>
                <w:szCs w:val="21"/>
              </w:rPr>
              <w:t>受到影响，造成6人死亡，3人受伤。</w:t>
            </w:r>
          </w:p>
        </w:tc>
      </w:tr>
      <w:tr w14:paraId="1FA1B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76D98C2">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07A2E1E">
            <w:pPr>
              <w:numPr>
                <w:ilvl w:val="0"/>
                <w:numId w:val="6"/>
              </w:numPr>
              <w:adjustRightInd w:val="0"/>
              <w:snapToGrid w:val="0"/>
              <w:rPr>
                <w:rFonts w:eastAsia="宋体"/>
                <w:sz w:val="21"/>
                <w:szCs w:val="21"/>
              </w:rPr>
            </w:pPr>
            <w:r>
              <w:rPr>
                <w:rFonts w:hint="eastAsia" w:eastAsia="宋体"/>
                <w:sz w:val="21"/>
                <w:szCs w:val="21"/>
              </w:rPr>
              <w:t>除尘系统需安装泄爆装置；</w:t>
            </w:r>
          </w:p>
          <w:p w14:paraId="28CA6C7E">
            <w:pPr>
              <w:adjustRightInd w:val="0"/>
              <w:snapToGrid w:val="0"/>
              <w:rPr>
                <w:rFonts w:eastAsia="宋体"/>
                <w:sz w:val="21"/>
                <w:szCs w:val="21"/>
              </w:rPr>
            </w:pPr>
            <w:r>
              <w:rPr>
                <w:rFonts w:hint="eastAsia" w:eastAsia="宋体"/>
                <w:sz w:val="21"/>
                <w:szCs w:val="21"/>
              </w:rPr>
              <w:t>（2）生产车间配备足够应急物资。</w:t>
            </w:r>
          </w:p>
        </w:tc>
      </w:tr>
    </w:tbl>
    <w:p w14:paraId="6EC32917">
      <w:pPr>
        <w:adjustRightInd w:val="0"/>
        <w:snapToGrid w:val="0"/>
        <w:spacing w:line="500" w:lineRule="exact"/>
        <w:jc w:val="center"/>
        <w:rPr>
          <w:rFonts w:hint="eastAsia" w:eastAsia="宋体"/>
          <w:lang w:eastAsia="zh-CN"/>
        </w:rPr>
      </w:pPr>
      <w:r>
        <w:rPr>
          <w:rFonts w:eastAsia="宋体"/>
          <w:b/>
          <w:bCs/>
        </w:rPr>
        <w:t>突发环境事件案例</w:t>
      </w:r>
      <w:r>
        <w:rPr>
          <w:rFonts w:hint="eastAsia" w:eastAsia="宋体"/>
          <w:b/>
          <w:bCs/>
          <w:lang w:val="en-US" w:eastAsia="zh-CN"/>
        </w:rPr>
        <w:t>四</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9A4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4A10287">
            <w:pPr>
              <w:adjustRightInd w:val="0"/>
              <w:snapToGrid w:val="0"/>
              <w:jc w:val="center"/>
              <w:rPr>
                <w:rFonts w:eastAsia="宋体"/>
                <w:sz w:val="21"/>
                <w:szCs w:val="21"/>
              </w:rPr>
            </w:pPr>
            <w:r>
              <w:rPr>
                <w:rFonts w:hint="eastAsia" w:eastAsia="宋体"/>
                <w:sz w:val="21"/>
                <w:szCs w:val="21"/>
              </w:rPr>
              <w:t>事件</w:t>
            </w:r>
          </w:p>
        </w:tc>
        <w:tc>
          <w:tcPr>
            <w:tcW w:w="7267" w:type="dxa"/>
            <w:tcBorders>
              <w:tl2br w:val="nil"/>
              <w:tr2bl w:val="nil"/>
            </w:tcBorders>
            <w:vAlign w:val="center"/>
          </w:tcPr>
          <w:p w14:paraId="60DECE4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山东省济宁市某木业公司上料系统分选器下废料间粉尘燃爆事故</w:t>
            </w:r>
          </w:p>
        </w:tc>
      </w:tr>
      <w:tr w14:paraId="7AA64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105A218">
            <w:pPr>
              <w:adjustRightInd w:val="0"/>
              <w:snapToGrid w:val="0"/>
              <w:jc w:val="center"/>
              <w:rPr>
                <w:rFonts w:eastAsia="宋体"/>
                <w:sz w:val="21"/>
                <w:szCs w:val="21"/>
              </w:rPr>
            </w:pPr>
            <w:r>
              <w:rPr>
                <w:rFonts w:hint="eastAsia" w:eastAsia="宋体"/>
                <w:sz w:val="21"/>
                <w:szCs w:val="21"/>
              </w:rPr>
              <w:t>事件日期</w:t>
            </w:r>
          </w:p>
        </w:tc>
        <w:tc>
          <w:tcPr>
            <w:tcW w:w="7267" w:type="dxa"/>
            <w:tcBorders>
              <w:tl2br w:val="nil"/>
              <w:tr2bl w:val="nil"/>
            </w:tcBorders>
            <w:vAlign w:val="center"/>
          </w:tcPr>
          <w:p w14:paraId="72941959">
            <w:pPr>
              <w:adjustRightInd w:val="0"/>
              <w:snapToGrid w:val="0"/>
              <w:rPr>
                <w:rFonts w:eastAsia="宋体"/>
                <w:sz w:val="21"/>
                <w:szCs w:val="21"/>
              </w:rPr>
            </w:pPr>
            <w:r>
              <w:rPr>
                <w:rFonts w:hint="eastAsia" w:eastAsia="宋体"/>
                <w:sz w:val="21"/>
                <w:szCs w:val="21"/>
              </w:rPr>
              <w:t>20</w:t>
            </w:r>
            <w:r>
              <w:rPr>
                <w:rFonts w:hint="default" w:eastAsia="宋体"/>
                <w:sz w:val="21"/>
                <w:szCs w:val="21"/>
                <w:lang w:val="en-US" w:eastAsia="zh-CN"/>
              </w:rPr>
              <w:t>22</w:t>
            </w:r>
            <w:r>
              <w:rPr>
                <w:rFonts w:hint="eastAsia" w:eastAsia="宋体"/>
                <w:sz w:val="21"/>
                <w:szCs w:val="21"/>
              </w:rPr>
              <w:t>年</w:t>
            </w:r>
            <w:r>
              <w:rPr>
                <w:rFonts w:hint="default" w:eastAsia="宋体"/>
                <w:sz w:val="21"/>
                <w:szCs w:val="21"/>
                <w:lang w:val="en-US" w:eastAsia="zh-CN"/>
              </w:rPr>
              <w:t>1</w:t>
            </w:r>
            <w:r>
              <w:rPr>
                <w:rFonts w:hint="default" w:eastAsia="宋体"/>
                <w:sz w:val="21"/>
                <w:szCs w:val="21"/>
                <w:lang w:eastAsia="zh-CN"/>
              </w:rPr>
              <w:t>月</w:t>
            </w:r>
            <w:r>
              <w:rPr>
                <w:rFonts w:hint="default" w:eastAsia="宋体"/>
                <w:sz w:val="21"/>
                <w:szCs w:val="21"/>
                <w:lang w:val="en-US" w:eastAsia="zh-CN"/>
              </w:rPr>
              <w:t>27</w:t>
            </w:r>
            <w:r>
              <w:rPr>
                <w:rFonts w:hint="eastAsia" w:eastAsia="宋体"/>
                <w:sz w:val="21"/>
                <w:szCs w:val="21"/>
              </w:rPr>
              <w:t>日</w:t>
            </w:r>
          </w:p>
        </w:tc>
      </w:tr>
      <w:tr w14:paraId="629DB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E2D4122">
            <w:pPr>
              <w:adjustRightInd w:val="0"/>
              <w:snapToGrid w:val="0"/>
              <w:jc w:val="center"/>
              <w:rPr>
                <w:rFonts w:eastAsia="宋体"/>
                <w:sz w:val="21"/>
                <w:szCs w:val="21"/>
              </w:rPr>
            </w:pPr>
            <w:r>
              <w:rPr>
                <w:rFonts w:hint="eastAsia" w:eastAsia="宋体"/>
                <w:sz w:val="21"/>
                <w:szCs w:val="21"/>
              </w:rPr>
              <w:t>地点</w:t>
            </w:r>
          </w:p>
        </w:tc>
        <w:tc>
          <w:tcPr>
            <w:tcW w:w="7267" w:type="dxa"/>
            <w:tcBorders>
              <w:tl2br w:val="nil"/>
              <w:tr2bl w:val="nil"/>
            </w:tcBorders>
            <w:vAlign w:val="center"/>
          </w:tcPr>
          <w:p w14:paraId="207820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山东省济宁市某木业公司</w:t>
            </w:r>
          </w:p>
        </w:tc>
      </w:tr>
      <w:tr w14:paraId="3928D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E8D738A">
            <w:pPr>
              <w:adjustRightInd w:val="0"/>
              <w:snapToGrid w:val="0"/>
              <w:jc w:val="center"/>
              <w:rPr>
                <w:rFonts w:eastAsia="宋体"/>
                <w:sz w:val="21"/>
                <w:szCs w:val="21"/>
              </w:rPr>
            </w:pPr>
            <w:r>
              <w:rPr>
                <w:rFonts w:hint="eastAsia" w:eastAsia="宋体"/>
                <w:sz w:val="21"/>
                <w:szCs w:val="21"/>
              </w:rPr>
              <w:t>事故情况</w:t>
            </w:r>
          </w:p>
        </w:tc>
        <w:tc>
          <w:tcPr>
            <w:tcW w:w="7267" w:type="dxa"/>
            <w:tcBorders>
              <w:tl2br w:val="nil"/>
              <w:tr2bl w:val="nil"/>
            </w:tcBorders>
            <w:vAlign w:val="center"/>
          </w:tcPr>
          <w:p w14:paraId="6D4E07E5">
            <w:pPr>
              <w:adjustRightInd w:val="0"/>
              <w:snapToGrid w:val="0"/>
              <w:jc w:val="left"/>
              <w:rPr>
                <w:rFonts w:eastAsia="宋体"/>
                <w:sz w:val="21"/>
                <w:szCs w:val="21"/>
              </w:rPr>
            </w:pPr>
            <w:r>
              <w:rPr>
                <w:rFonts w:hint="default" w:ascii="Times New Roman" w:hAnsi="Times New Roman" w:eastAsia="宋体" w:cs="Times New Roman"/>
                <w:i w:val="0"/>
                <w:iCs w:val="0"/>
                <w:caps w:val="0"/>
                <w:spacing w:val="0"/>
                <w:sz w:val="21"/>
                <w:szCs w:val="21"/>
                <w:shd w:val="clear"/>
              </w:rPr>
              <w:t>上料系统分选器下废料间粉尘燃爆</w:t>
            </w:r>
          </w:p>
        </w:tc>
      </w:tr>
      <w:tr w14:paraId="0EFA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6087FA">
            <w:pPr>
              <w:adjustRightInd w:val="0"/>
              <w:snapToGrid w:val="0"/>
              <w:jc w:val="center"/>
              <w:rPr>
                <w:rFonts w:eastAsia="宋体"/>
                <w:sz w:val="21"/>
                <w:szCs w:val="21"/>
              </w:rPr>
            </w:pPr>
            <w:r>
              <w:rPr>
                <w:rFonts w:hint="eastAsia" w:eastAsia="宋体"/>
                <w:sz w:val="21"/>
                <w:szCs w:val="21"/>
              </w:rPr>
              <w:t>引发原因</w:t>
            </w:r>
          </w:p>
        </w:tc>
        <w:tc>
          <w:tcPr>
            <w:tcW w:w="7267" w:type="dxa"/>
            <w:tcBorders>
              <w:tl2br w:val="nil"/>
              <w:tr2bl w:val="nil"/>
            </w:tcBorders>
            <w:vAlign w:val="center"/>
          </w:tcPr>
          <w:p w14:paraId="5917CC75">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爆炸冲击波将分选器北侧泄爆片冲开，并致分选废料间北墙(单层彩钢瓦)及贴临的北侧车间外墙玻璃震落</w:t>
            </w:r>
          </w:p>
        </w:tc>
      </w:tr>
      <w:tr w14:paraId="27E2B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2BC0AB4">
            <w:pPr>
              <w:adjustRightInd w:val="0"/>
              <w:snapToGrid w:val="0"/>
              <w:jc w:val="center"/>
              <w:rPr>
                <w:rFonts w:eastAsia="宋体"/>
                <w:sz w:val="21"/>
                <w:szCs w:val="21"/>
              </w:rPr>
            </w:pPr>
            <w:r>
              <w:rPr>
                <w:rFonts w:hint="eastAsia" w:eastAsia="宋体"/>
                <w:sz w:val="21"/>
                <w:szCs w:val="21"/>
              </w:rPr>
              <w:t>事件影响</w:t>
            </w:r>
          </w:p>
        </w:tc>
        <w:tc>
          <w:tcPr>
            <w:tcW w:w="7267" w:type="dxa"/>
            <w:tcBorders>
              <w:tl2br w:val="nil"/>
              <w:tr2bl w:val="nil"/>
            </w:tcBorders>
            <w:vAlign w:val="center"/>
          </w:tcPr>
          <w:p w14:paraId="0A1BE1BA">
            <w:pPr>
              <w:adjustRightInd w:val="0"/>
              <w:snapToGrid w:val="0"/>
              <w:rPr>
                <w:rFonts w:eastAsia="宋体"/>
                <w:sz w:val="21"/>
                <w:szCs w:val="21"/>
              </w:rPr>
            </w:pPr>
            <w:r>
              <w:rPr>
                <w:rFonts w:hint="default" w:ascii="Times New Roman" w:hAnsi="Times New Roman" w:eastAsia="宋体" w:cs="Times New Roman"/>
                <w:i w:val="0"/>
                <w:iCs w:val="0"/>
                <w:caps w:val="0"/>
                <w:spacing w:val="0"/>
                <w:sz w:val="21"/>
                <w:szCs w:val="21"/>
                <w:shd w:val="clear"/>
              </w:rPr>
              <w:t>燃爆高温及冲击波导致在分选器下侧废料间进行清理作业的18人伤亡，其中1人死亡，4人重伤，13人轻伤</w:t>
            </w:r>
          </w:p>
        </w:tc>
      </w:tr>
      <w:tr w14:paraId="4A07C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694860">
            <w:pPr>
              <w:adjustRightInd w:val="0"/>
              <w:snapToGrid w:val="0"/>
              <w:jc w:val="center"/>
              <w:rPr>
                <w:rFonts w:eastAsia="宋体"/>
                <w:sz w:val="21"/>
                <w:szCs w:val="21"/>
              </w:rPr>
            </w:pPr>
            <w:r>
              <w:rPr>
                <w:rFonts w:hint="eastAsia" w:eastAsia="宋体"/>
                <w:sz w:val="21"/>
                <w:szCs w:val="21"/>
              </w:rPr>
              <w:t>防范措施</w:t>
            </w:r>
          </w:p>
        </w:tc>
        <w:tc>
          <w:tcPr>
            <w:tcW w:w="7267" w:type="dxa"/>
            <w:tcBorders>
              <w:tl2br w:val="nil"/>
              <w:tr2bl w:val="nil"/>
            </w:tcBorders>
            <w:vAlign w:val="center"/>
          </w:tcPr>
          <w:p w14:paraId="3C59AC2B">
            <w:pPr>
              <w:numPr>
                <w:ilvl w:val="0"/>
                <w:numId w:val="7"/>
              </w:numPr>
              <w:adjustRightInd w:val="0"/>
              <w:snapToGrid w:val="0"/>
              <w:rPr>
                <w:rFonts w:eastAsia="宋体"/>
                <w:sz w:val="21"/>
                <w:szCs w:val="21"/>
              </w:rPr>
            </w:pPr>
            <w:r>
              <w:rPr>
                <w:rFonts w:hint="eastAsia" w:eastAsia="宋体"/>
                <w:sz w:val="21"/>
                <w:szCs w:val="21"/>
              </w:rPr>
              <w:t>除尘系统需安装泄爆装置；</w:t>
            </w:r>
          </w:p>
          <w:p w14:paraId="3FB2D2F4">
            <w:pPr>
              <w:numPr>
                <w:ilvl w:val="0"/>
                <w:numId w:val="7"/>
              </w:numPr>
              <w:adjustRightInd w:val="0"/>
              <w:snapToGrid w:val="0"/>
              <w:rPr>
                <w:rFonts w:hint="eastAsia" w:eastAsia="宋体"/>
                <w:sz w:val="21"/>
                <w:szCs w:val="21"/>
              </w:rPr>
            </w:pPr>
            <w:r>
              <w:rPr>
                <w:rFonts w:hint="eastAsia" w:eastAsia="宋体"/>
                <w:sz w:val="21"/>
                <w:szCs w:val="21"/>
              </w:rPr>
              <w:t>生产车间配备足够应急物资</w:t>
            </w:r>
            <w:r>
              <w:rPr>
                <w:rFonts w:hint="eastAsia" w:eastAsia="宋体"/>
                <w:sz w:val="21"/>
                <w:szCs w:val="21"/>
                <w:lang w:eastAsia="zh-CN"/>
              </w:rPr>
              <w:t>；</w:t>
            </w:r>
          </w:p>
          <w:p w14:paraId="719C2B98">
            <w:pPr>
              <w:numPr>
                <w:ilvl w:val="0"/>
                <w:numId w:val="7"/>
              </w:numPr>
              <w:adjustRightInd w:val="0"/>
              <w:snapToGrid w:val="0"/>
              <w:rPr>
                <w:rFonts w:hint="eastAsia" w:eastAsia="宋体"/>
                <w:sz w:val="21"/>
                <w:szCs w:val="21"/>
              </w:rPr>
            </w:pPr>
            <w:r>
              <w:rPr>
                <w:rFonts w:hint="eastAsia" w:ascii="Times New Roman" w:hAnsi="Times New Roman" w:eastAsia="宋体" w:cs="Times New Roman"/>
                <w:b w:val="0"/>
                <w:bCs w:val="0"/>
                <w:i w:val="0"/>
                <w:iCs w:val="0"/>
                <w:caps w:val="0"/>
                <w:spacing w:val="0"/>
                <w:sz w:val="21"/>
                <w:szCs w:val="21"/>
                <w:shd w:val="clear"/>
              </w:rPr>
              <w:t>设置粉尘浓度检测设备，实时检测，防止粉尘浓度超标</w:t>
            </w:r>
            <w:r>
              <w:rPr>
                <w:rFonts w:hint="eastAsia" w:eastAsia="宋体" w:cs="Times New Roman"/>
                <w:b w:val="0"/>
                <w:bCs w:val="0"/>
                <w:i w:val="0"/>
                <w:iCs w:val="0"/>
                <w:caps w:val="0"/>
                <w:spacing w:val="0"/>
                <w:sz w:val="21"/>
                <w:szCs w:val="21"/>
                <w:shd w:val="clear"/>
                <w:lang w:eastAsia="zh-CN"/>
              </w:rPr>
              <w:t>；</w:t>
            </w:r>
          </w:p>
          <w:p w14:paraId="2A3B75CF">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生产、吸尘、除尘等设备要防静电，金属设备采取防静电接地</w:t>
            </w:r>
            <w:r>
              <w:rPr>
                <w:rFonts w:hint="eastAsia" w:eastAsia="宋体" w:cs="Times New Roman"/>
                <w:i w:val="0"/>
                <w:iCs w:val="0"/>
                <w:caps w:val="0"/>
                <w:spacing w:val="0"/>
                <w:sz w:val="21"/>
                <w:szCs w:val="21"/>
                <w:shd w:val="clear"/>
                <w:lang w:eastAsia="zh-CN"/>
              </w:rPr>
              <w:t>；</w:t>
            </w:r>
          </w:p>
          <w:p w14:paraId="098FF214">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设备设有泄爆、阻爆、隔爆装置，在除尘器、粉尘料仓、吸尘管路系统中设置火花探测与灭火系统，并与生产设备进行联锁</w:t>
            </w:r>
            <w:r>
              <w:rPr>
                <w:rFonts w:hint="eastAsia" w:eastAsia="宋体" w:cs="Times New Roman"/>
                <w:i w:val="0"/>
                <w:iCs w:val="0"/>
                <w:caps w:val="0"/>
                <w:spacing w:val="0"/>
                <w:sz w:val="21"/>
                <w:szCs w:val="21"/>
                <w:shd w:val="clear"/>
                <w:lang w:eastAsia="zh-CN"/>
              </w:rPr>
              <w:t>；</w:t>
            </w:r>
          </w:p>
          <w:p w14:paraId="4C915200">
            <w:pPr>
              <w:numPr>
                <w:ilvl w:val="0"/>
                <w:numId w:val="7"/>
              </w:numPr>
              <w:adjustRightInd w:val="0"/>
              <w:snapToGrid w:val="0"/>
              <w:rPr>
                <w:rFonts w:hint="eastAsia" w:eastAsia="宋体"/>
                <w:sz w:val="21"/>
                <w:szCs w:val="21"/>
              </w:rPr>
            </w:pPr>
            <w:r>
              <w:rPr>
                <w:rFonts w:hint="eastAsia" w:ascii="Times New Roman" w:hAnsi="Times New Roman" w:eastAsia="宋体" w:cs="Times New Roman"/>
                <w:i w:val="0"/>
                <w:iCs w:val="0"/>
                <w:caps w:val="0"/>
                <w:spacing w:val="0"/>
                <w:sz w:val="21"/>
                <w:szCs w:val="21"/>
                <w:shd w:val="clear"/>
              </w:rPr>
              <w:t>防止机械类摩擦等产生的火花</w:t>
            </w:r>
          </w:p>
        </w:tc>
      </w:tr>
    </w:tbl>
    <w:p w14:paraId="677A4DDC">
      <w:pPr>
        <w:adjustRightInd w:val="0"/>
        <w:snapToGrid w:val="0"/>
        <w:spacing w:line="500" w:lineRule="exact"/>
        <w:ind w:firstLine="480" w:firstLineChars="200"/>
        <w:rPr>
          <w:rFonts w:eastAsia="宋体"/>
        </w:rPr>
      </w:pPr>
      <w:r>
        <w:rPr>
          <w:rFonts w:eastAsia="宋体"/>
        </w:rPr>
        <w:t>根据研究，公司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0363C5F4">
      <w:pPr>
        <w:adjustRightInd w:val="0"/>
        <w:snapToGrid w:val="0"/>
        <w:spacing w:line="500" w:lineRule="exact"/>
        <w:jc w:val="center"/>
        <w:rPr>
          <w:rFonts w:eastAsia="宋体"/>
          <w:b/>
          <w:bCs/>
        </w:rPr>
      </w:pPr>
      <w:r>
        <w:rPr>
          <w:rFonts w:eastAsia="宋体"/>
          <w:b/>
          <w:bCs/>
        </w:rPr>
        <w:t>表4-2公司环境事件情景设定</w:t>
      </w:r>
    </w:p>
    <w:tbl>
      <w:tblPr>
        <w:tblStyle w:val="38"/>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57493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2B3DB205">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35B1CEC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20FED8F8">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4A6CD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4035612">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0D1225D7">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59D1DAB6">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w:t>
            </w:r>
            <w:r>
              <w:rPr>
                <w:rFonts w:hint="eastAsia" w:eastAsia="宋体"/>
                <w:bCs/>
                <w:sz w:val="21"/>
                <w:szCs w:val="21"/>
              </w:rPr>
              <w:t>、废气处理设施</w:t>
            </w:r>
            <w:r>
              <w:rPr>
                <w:rFonts w:eastAsia="宋体"/>
                <w:bCs/>
                <w:sz w:val="21"/>
                <w:szCs w:val="21"/>
              </w:rPr>
              <w:t>发生火灾事故；</w:t>
            </w:r>
          </w:p>
          <w:p w14:paraId="4635655D">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rPr>
              <w:t>原料</w:t>
            </w:r>
            <w:r>
              <w:rPr>
                <w:rFonts w:eastAsia="宋体"/>
                <w:bCs/>
                <w:sz w:val="21"/>
                <w:szCs w:val="21"/>
              </w:rPr>
              <w:t>仓库</w:t>
            </w:r>
            <w:r>
              <w:rPr>
                <w:rFonts w:hint="eastAsia" w:eastAsia="宋体"/>
                <w:bCs/>
                <w:sz w:val="21"/>
                <w:szCs w:val="21"/>
              </w:rPr>
              <w:t>、危废仓库</w:t>
            </w:r>
            <w:r>
              <w:rPr>
                <w:rFonts w:eastAsia="宋体"/>
                <w:bCs/>
                <w:sz w:val="21"/>
                <w:szCs w:val="21"/>
              </w:rPr>
              <w:t>发生火灾、泄漏事故；</w:t>
            </w:r>
          </w:p>
          <w:p w14:paraId="09BF248D">
            <w:pPr>
              <w:adjustRightInd w:val="0"/>
              <w:snapToGrid w:val="0"/>
              <w:jc w:val="left"/>
              <w:rPr>
                <w:rFonts w:eastAsia="宋体"/>
                <w:bCs/>
                <w:sz w:val="21"/>
                <w:szCs w:val="21"/>
              </w:rPr>
            </w:pPr>
            <w:r>
              <w:rPr>
                <w:rFonts w:eastAsia="宋体"/>
                <w:b/>
                <w:sz w:val="21"/>
                <w:szCs w:val="21"/>
              </w:rPr>
              <w:t>情景3：</w:t>
            </w:r>
            <w:r>
              <w:rPr>
                <w:rFonts w:hint="eastAsia" w:eastAsia="宋体"/>
                <w:bCs/>
                <w:sz w:val="21"/>
                <w:szCs w:val="21"/>
              </w:rPr>
              <w:t>喷漆</w:t>
            </w:r>
            <w:r>
              <w:rPr>
                <w:rFonts w:eastAsia="宋体"/>
                <w:bCs/>
                <w:sz w:val="21"/>
                <w:szCs w:val="21"/>
              </w:rPr>
              <w:t>车间发生火灾、爆炸、泄漏事故；</w:t>
            </w:r>
          </w:p>
          <w:p w14:paraId="0C55FB7D">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rPr>
              <w:t>4</w:t>
            </w:r>
            <w:r>
              <w:rPr>
                <w:rFonts w:eastAsia="宋体"/>
                <w:bCs/>
                <w:sz w:val="21"/>
                <w:szCs w:val="21"/>
              </w:rPr>
              <w:t>：木工车间</w:t>
            </w:r>
            <w:r>
              <w:rPr>
                <w:rFonts w:hint="eastAsia" w:eastAsia="宋体"/>
                <w:bCs/>
                <w:sz w:val="21"/>
                <w:szCs w:val="21"/>
              </w:rPr>
              <w:t>（含打磨）粉尘</w:t>
            </w:r>
            <w:r>
              <w:rPr>
                <w:rFonts w:eastAsia="宋体"/>
                <w:bCs/>
                <w:sz w:val="21"/>
                <w:szCs w:val="21"/>
              </w:rPr>
              <w:t>爆炸导致火灾、人员伤亡事故</w:t>
            </w:r>
            <w:r>
              <w:rPr>
                <w:rFonts w:hint="eastAsia" w:eastAsia="宋体"/>
                <w:bCs/>
                <w:sz w:val="21"/>
                <w:szCs w:val="21"/>
              </w:rPr>
              <w:t>；</w:t>
            </w:r>
            <w:r>
              <w:rPr>
                <w:rFonts w:eastAsia="宋体"/>
                <w:b/>
                <w:sz w:val="21"/>
                <w:szCs w:val="21"/>
              </w:rPr>
              <w:t>情景</w:t>
            </w:r>
            <w:r>
              <w:rPr>
                <w:rFonts w:hint="eastAsia" w:eastAsia="宋体"/>
                <w:b/>
                <w:sz w:val="21"/>
                <w:szCs w:val="21"/>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rPr>
              <w:t>。</w:t>
            </w:r>
          </w:p>
        </w:tc>
      </w:tr>
      <w:tr w14:paraId="3FBA7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129F70DF">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623C759A">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5EBD81BD">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rPr>
              <w:t>应急</w:t>
            </w:r>
            <w:r>
              <w:rPr>
                <w:rFonts w:eastAsia="宋体"/>
                <w:bCs/>
                <w:sz w:val="21"/>
                <w:szCs w:val="21"/>
              </w:rPr>
              <w:t>事故池引流措施失败，事故废水、消防尾水、泄漏液</w:t>
            </w:r>
            <w:r>
              <w:rPr>
                <w:rFonts w:hint="eastAsia" w:eastAsia="宋体"/>
                <w:bCs/>
                <w:sz w:val="21"/>
                <w:szCs w:val="21"/>
              </w:rPr>
              <w:t>经雨水管道排入外环境</w:t>
            </w:r>
            <w:r>
              <w:rPr>
                <w:rFonts w:eastAsia="宋体"/>
                <w:bCs/>
                <w:sz w:val="21"/>
                <w:szCs w:val="21"/>
              </w:rPr>
              <w:t>。</w:t>
            </w:r>
          </w:p>
        </w:tc>
      </w:tr>
      <w:tr w14:paraId="6A804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EAD2575">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4D1D4B59">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342C336F">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rPr>
              <w:t>开</w:t>
            </w:r>
            <w:r>
              <w:rPr>
                <w:rFonts w:hint="eastAsia" w:eastAsia="宋体"/>
                <w:bCs/>
                <w:sz w:val="21"/>
                <w:szCs w:val="21"/>
              </w:rPr>
              <w:t>工</w:t>
            </w:r>
            <w:r>
              <w:rPr>
                <w:rFonts w:eastAsia="宋体"/>
                <w:bCs/>
                <w:sz w:val="21"/>
                <w:szCs w:val="21"/>
              </w:rPr>
              <w:t>未先开废气处理装置、停废气处理装置</w:t>
            </w:r>
            <w:r>
              <w:rPr>
                <w:rFonts w:hint="eastAsia" w:eastAsia="宋体"/>
                <w:bCs/>
                <w:sz w:val="21"/>
                <w:szCs w:val="21"/>
              </w:rPr>
              <w:t>后继续生产</w:t>
            </w:r>
            <w:r>
              <w:rPr>
                <w:rFonts w:eastAsia="宋体"/>
                <w:bCs/>
                <w:sz w:val="21"/>
                <w:szCs w:val="21"/>
              </w:rPr>
              <w:t>，无组织排放造成厂界超标，下风向大气污染。</w:t>
            </w:r>
          </w:p>
        </w:tc>
      </w:tr>
      <w:tr w14:paraId="6F5D7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53B83B9A">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57CE6560">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784E5197">
            <w:pPr>
              <w:rPr>
                <w:rFonts w:eastAsia="宋体"/>
                <w:sz w:val="21"/>
                <w:szCs w:val="21"/>
              </w:rPr>
            </w:pPr>
            <w:r>
              <w:rPr>
                <w:rFonts w:eastAsia="宋体"/>
                <w:b/>
                <w:bCs/>
                <w:sz w:val="21"/>
                <w:szCs w:val="21"/>
              </w:rPr>
              <w:t>情景8：</w:t>
            </w:r>
            <w:r>
              <w:rPr>
                <w:rFonts w:eastAsia="宋体"/>
                <w:sz w:val="21"/>
                <w:szCs w:val="21"/>
              </w:rPr>
              <w:t>废气处理设施异常，超标排放，引起下风向大气污染；</w:t>
            </w:r>
            <w:r>
              <w:rPr>
                <w:rFonts w:hint="eastAsia" w:eastAsia="宋体" w:cs="Times New Roman"/>
                <w:sz w:val="21"/>
                <w:szCs w:val="21"/>
                <w:lang w:val="en-US" w:eastAsia="zh-CN"/>
              </w:rPr>
              <w:t>废水处理设施异常，管道破裂，引起土壤污染。</w:t>
            </w:r>
          </w:p>
          <w:p w14:paraId="69A9B241">
            <w:pPr>
              <w:rPr>
                <w:rFonts w:eastAsia="宋体"/>
                <w:sz w:val="21"/>
                <w:szCs w:val="21"/>
              </w:rPr>
            </w:pPr>
            <w:r>
              <w:rPr>
                <w:rFonts w:eastAsia="宋体"/>
                <w:b/>
                <w:bCs/>
                <w:sz w:val="21"/>
                <w:szCs w:val="21"/>
              </w:rPr>
              <w:t>情景9：</w:t>
            </w:r>
            <w:r>
              <w:rPr>
                <w:rFonts w:eastAsia="宋体"/>
                <w:sz w:val="21"/>
                <w:szCs w:val="21"/>
              </w:rPr>
              <w:t>泄漏、火灾、爆炸等事故救援产生的消防水的事故性排放；管道破裂引起的生产废水排出厂外；</w:t>
            </w:r>
          </w:p>
          <w:p w14:paraId="2A0BB59E">
            <w:pPr>
              <w:rPr>
                <w:rFonts w:eastAsia="宋体"/>
                <w:szCs w:val="21"/>
              </w:rPr>
            </w:pPr>
            <w:r>
              <w:rPr>
                <w:rFonts w:eastAsia="宋体"/>
                <w:b/>
                <w:bCs/>
                <w:sz w:val="21"/>
                <w:szCs w:val="21"/>
              </w:rPr>
              <w:t>情景10：</w:t>
            </w:r>
            <w:r>
              <w:rPr>
                <w:rFonts w:eastAsia="宋体"/>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80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073B4B1E">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31F13680">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21B7D38D">
            <w:pPr>
              <w:adjustRightInd w:val="0"/>
              <w:snapToGrid w:val="0"/>
              <w:jc w:val="left"/>
              <w:rPr>
                <w:rFonts w:eastAsia="宋体"/>
                <w:bCs/>
                <w:sz w:val="21"/>
                <w:szCs w:val="21"/>
              </w:rPr>
            </w:pPr>
            <w:r>
              <w:rPr>
                <w:rFonts w:eastAsia="宋体"/>
                <w:b/>
                <w:sz w:val="21"/>
                <w:szCs w:val="21"/>
              </w:rPr>
              <w:t>情景11：</w:t>
            </w:r>
            <w:r>
              <w:rPr>
                <w:rFonts w:eastAsia="宋体"/>
                <w:bCs/>
                <w:sz w:val="21"/>
                <w:szCs w:val="21"/>
              </w:rPr>
              <w:t>水循环一体机内循环水倾入雨水管网，排出厂外，导致厂界外水体污染</w:t>
            </w:r>
            <w:r>
              <w:rPr>
                <w:rFonts w:hint="eastAsia" w:eastAsia="宋体"/>
                <w:bCs/>
                <w:sz w:val="21"/>
                <w:szCs w:val="21"/>
              </w:rPr>
              <w:t>；</w:t>
            </w:r>
          </w:p>
          <w:p w14:paraId="5B7355BC">
            <w:pPr>
              <w:adjustRightInd w:val="0"/>
              <w:snapToGrid w:val="0"/>
              <w:jc w:val="left"/>
              <w:rPr>
                <w:rFonts w:eastAsia="宋体"/>
                <w:color w:val="000000"/>
                <w:sz w:val="21"/>
                <w:szCs w:val="21"/>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rPr>
              <w:t>。</w:t>
            </w:r>
          </w:p>
        </w:tc>
      </w:tr>
      <w:tr w14:paraId="3BC14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4E3BF00">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00DF69F6">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68821EF6">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rPr>
              <w:t>：</w:t>
            </w:r>
            <w:r>
              <w:rPr>
                <w:rFonts w:hint="eastAsia" w:eastAsia="宋体"/>
                <w:sz w:val="21"/>
                <w:szCs w:val="21"/>
              </w:rPr>
              <w:t>公司</w:t>
            </w:r>
            <w:r>
              <w:rPr>
                <w:rFonts w:eastAsia="宋体"/>
                <w:color w:val="000000"/>
                <w:sz w:val="21"/>
                <w:szCs w:val="21"/>
              </w:rPr>
              <w:t>停电</w:t>
            </w:r>
            <w:r>
              <w:rPr>
                <w:rFonts w:hint="eastAsia" w:eastAsia="宋体"/>
                <w:color w:val="000000"/>
                <w:sz w:val="21"/>
                <w:szCs w:val="21"/>
              </w:rPr>
              <w:t>会导致废气处理设施停止运行，废气不经处理直接外排，污染环境</w:t>
            </w:r>
            <w:r>
              <w:rPr>
                <w:rFonts w:eastAsia="宋体"/>
                <w:color w:val="000000"/>
                <w:sz w:val="21"/>
                <w:szCs w:val="21"/>
              </w:rPr>
              <w:t>。</w:t>
            </w:r>
          </w:p>
        </w:tc>
      </w:tr>
      <w:tr w14:paraId="6E9C6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081ED8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10F6EA46">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201F969A">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rPr>
              <w:t>4</w:t>
            </w:r>
            <w:r>
              <w:rPr>
                <w:rFonts w:eastAsia="宋体"/>
                <w:b/>
                <w:bCs/>
                <w:sz w:val="21"/>
                <w:szCs w:val="21"/>
              </w:rPr>
              <w:t>：</w:t>
            </w:r>
            <w:r>
              <w:rPr>
                <w:rFonts w:eastAsia="宋体"/>
                <w:sz w:val="21"/>
                <w:szCs w:val="21"/>
              </w:rPr>
              <w:t>厂内运输不当发生</w:t>
            </w:r>
            <w:r>
              <w:rPr>
                <w:rFonts w:hint="eastAsia" w:eastAsia="宋体"/>
                <w:sz w:val="21"/>
                <w:szCs w:val="21"/>
              </w:rPr>
              <w:t>水性漆等</w:t>
            </w:r>
            <w:r>
              <w:rPr>
                <w:rFonts w:eastAsia="宋体"/>
                <w:sz w:val="21"/>
                <w:szCs w:val="21"/>
              </w:rPr>
              <w:t>泄漏流入雨水系统造成厂界外水体污染。</w:t>
            </w:r>
          </w:p>
          <w:p w14:paraId="3FD7302E">
            <w:pPr>
              <w:rPr>
                <w:rFonts w:eastAsia="宋体"/>
                <w:szCs w:val="21"/>
              </w:rPr>
            </w:pPr>
            <w:r>
              <w:rPr>
                <w:rFonts w:eastAsia="宋体"/>
                <w:b/>
                <w:bCs/>
                <w:sz w:val="21"/>
                <w:szCs w:val="21"/>
              </w:rPr>
              <w:t>情景1</w:t>
            </w:r>
            <w:r>
              <w:rPr>
                <w:rFonts w:hint="eastAsia" w:eastAsia="宋体"/>
                <w:b/>
                <w:bCs/>
                <w:sz w:val="21"/>
                <w:szCs w:val="21"/>
              </w:rPr>
              <w:t>5</w:t>
            </w:r>
            <w:r>
              <w:rPr>
                <w:rFonts w:eastAsia="宋体"/>
                <w:b/>
                <w:bCs/>
                <w:sz w:val="21"/>
                <w:szCs w:val="21"/>
              </w:rPr>
              <w:t>：</w:t>
            </w:r>
            <w:r>
              <w:rPr>
                <w:rFonts w:eastAsia="宋体"/>
                <w:sz w:val="21"/>
                <w:szCs w:val="21"/>
              </w:rPr>
              <w:t>公司产生的危险废物采用汽运方式进行运输。在运输的过程中，会因包装材料损坏、汽车翻车等原因，造成危废洒落、泄漏，对大气环境、水环境、土壤环境造成一定的影响。</w:t>
            </w:r>
          </w:p>
        </w:tc>
      </w:tr>
      <w:tr w14:paraId="01E53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0AEC818A">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0CCA865">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3379BF61">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115BE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431113D4">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27531C5C">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4DB7DD55">
            <w:pPr>
              <w:adjustRightInd w:val="0"/>
              <w:snapToGrid w:val="0"/>
              <w:jc w:val="left"/>
              <w:rPr>
                <w:rFonts w:eastAsia="宋体"/>
                <w:color w:val="000000"/>
                <w:sz w:val="21"/>
                <w:szCs w:val="21"/>
              </w:rPr>
            </w:pPr>
            <w:r>
              <w:rPr>
                <w:rFonts w:eastAsia="宋体"/>
                <w:color w:val="000000"/>
                <w:sz w:val="21"/>
                <w:szCs w:val="21"/>
              </w:rPr>
              <w:t>/</w:t>
            </w:r>
          </w:p>
        </w:tc>
      </w:tr>
    </w:tbl>
    <w:p w14:paraId="42D93033">
      <w:pPr>
        <w:pStyle w:val="3"/>
        <w:adjustRightInd w:val="0"/>
        <w:snapToGrid w:val="0"/>
        <w:spacing w:line="500" w:lineRule="exact"/>
        <w:rPr>
          <w:rFonts w:eastAsia="宋体"/>
          <w:sz w:val="24"/>
          <w:szCs w:val="24"/>
        </w:rPr>
      </w:pPr>
      <w:bookmarkStart w:id="180" w:name="_Toc510092950"/>
      <w:bookmarkStart w:id="181" w:name="_Toc496887125"/>
      <w:bookmarkStart w:id="182" w:name="_Toc14737"/>
      <w:bookmarkStart w:id="183" w:name="_Toc29962"/>
      <w:bookmarkStart w:id="184" w:name="_Toc402776212"/>
      <w:bookmarkStart w:id="185" w:name="_Toc7356"/>
      <w:bookmarkStart w:id="186" w:name="_Toc23512"/>
      <w:r>
        <w:rPr>
          <w:rFonts w:hint="eastAsia" w:eastAsia="宋体"/>
          <w:sz w:val="24"/>
          <w:szCs w:val="24"/>
        </w:rPr>
        <w:t>4.2突发环境事件情景源强分析</w:t>
      </w:r>
      <w:bookmarkEnd w:id="180"/>
      <w:bookmarkEnd w:id="181"/>
      <w:bookmarkEnd w:id="182"/>
      <w:bookmarkEnd w:id="183"/>
      <w:bookmarkEnd w:id="184"/>
      <w:bookmarkEnd w:id="185"/>
      <w:bookmarkEnd w:id="186"/>
    </w:p>
    <w:p w14:paraId="76D2D1CE">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08BC0A73">
      <w:pPr>
        <w:adjustRightInd w:val="0"/>
        <w:snapToGrid w:val="0"/>
        <w:spacing w:line="500" w:lineRule="exact"/>
        <w:ind w:firstLine="480" w:firstLineChars="200"/>
        <w:rPr>
          <w:color w:val="000000" w:themeColor="text1"/>
          <w14:textFill>
            <w14:solidFill>
              <w14:schemeClr w14:val="tx1"/>
            </w14:solidFill>
          </w14:textFill>
        </w:rPr>
      </w:pPr>
      <w:r>
        <w:rPr>
          <w:rFonts w:eastAsia="宋体"/>
          <w:color w:val="000000" w:themeColor="text1"/>
          <w14:textFill>
            <w14:solidFill>
              <w14:schemeClr w14:val="tx1"/>
            </w14:solidFill>
          </w14:textFill>
        </w:rPr>
        <w:t>事件1，考虑因管理不当，造成</w:t>
      </w:r>
      <w:r>
        <w:rPr>
          <w:rFonts w:hint="eastAsia" w:eastAsia="宋体"/>
          <w:color w:val="000000" w:themeColor="text1"/>
          <w14:textFill>
            <w14:solidFill>
              <w14:schemeClr w14:val="tx1"/>
            </w14:solidFill>
          </w14:textFill>
        </w:rPr>
        <w:t>仓库、危废仓库</w:t>
      </w:r>
      <w:r>
        <w:rPr>
          <w:rFonts w:eastAsia="宋体"/>
          <w:color w:val="000000" w:themeColor="text1"/>
          <w14:textFill>
            <w14:solidFill>
              <w14:schemeClr w14:val="tx1"/>
            </w14:solidFill>
          </w14:textFill>
        </w:rPr>
        <w:t>等风险源发生火灾、爆炸、泄漏事故及可能引起的次生、衍生厂外环境污染及人员伤亡事故。</w:t>
      </w:r>
    </w:p>
    <w:p w14:paraId="22E8688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事件2、3、4、5根据分析均可归为公司废水、废气超标排放等原因造成对外环境有影响。</w:t>
      </w:r>
    </w:p>
    <w:p w14:paraId="67EBF6E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综上，根据公司特点分析，本次报告重点针对分析影响较大的事件1、2、3、4、5的事故源强进行重点分析，其中1为火灾事件，2、3、4、5为废水超标排放事件、废气超标排放事件。</w:t>
      </w:r>
    </w:p>
    <w:p w14:paraId="043065E7">
      <w:pPr>
        <w:pStyle w:val="5"/>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187" w:name="_Toc26157"/>
      <w:bookmarkStart w:id="188" w:name="_Toc27354"/>
      <w:bookmarkStart w:id="189" w:name="_Toc30597"/>
      <w:bookmarkStart w:id="190" w:name="_Toc10397"/>
      <w:r>
        <w:rPr>
          <w:rFonts w:eastAsia="宋体"/>
          <w:color w:val="000000" w:themeColor="text1"/>
          <w14:textFill>
            <w14:solidFill>
              <w14:schemeClr w14:val="tx1"/>
            </w14:solidFill>
          </w14:textFill>
        </w:rPr>
        <w:t>4.2.1事件情景1</w:t>
      </w:r>
      <w:bookmarkEnd w:id="187"/>
      <w:bookmarkEnd w:id="188"/>
      <w:bookmarkEnd w:id="189"/>
      <w:bookmarkEnd w:id="190"/>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09BD9C18">
      <w:pPr>
        <w:autoSpaceDE w:val="0"/>
        <w:autoSpaceDN w:val="0"/>
        <w:adjustRightInd w:val="0"/>
        <w:snapToGrid w:val="0"/>
        <w:spacing w:line="500" w:lineRule="exact"/>
        <w:ind w:firstLine="480" w:firstLineChars="200"/>
        <w:rPr>
          <w:rFonts w:eastAsia="宋体"/>
          <w:color w:val="000000"/>
        </w:rPr>
      </w:pPr>
      <w:bookmarkStart w:id="191" w:name="_Toc475474908"/>
      <w:bookmarkStart w:id="192" w:name="_Toc10365"/>
      <w:r>
        <w:rPr>
          <w:rFonts w:eastAsia="宋体"/>
          <w:color w:val="000000" w:themeColor="text1"/>
          <w14:textFill>
            <w14:solidFill>
              <w14:schemeClr w14:val="tx1"/>
            </w14:solidFill>
          </w14:textFill>
        </w:rPr>
        <w:t>根据现场调查，在生产过程中，可能因</w:t>
      </w:r>
      <w:r>
        <w:rPr>
          <w:rFonts w:eastAsia="宋体"/>
          <w:color w:val="000000"/>
        </w:rPr>
        <w:t>人员工作时候麻痹大意导致火灾事故的产生。公司</w:t>
      </w:r>
      <w:bookmarkEnd w:id="191"/>
      <w:r>
        <w:rPr>
          <w:rFonts w:eastAsia="宋体"/>
          <w:color w:val="000000"/>
        </w:rPr>
        <w:t>原料及成品最大存储量为</w:t>
      </w:r>
      <w:r>
        <w:rPr>
          <w:rFonts w:hint="eastAsia" w:eastAsia="宋体"/>
          <w:color w:val="000000"/>
        </w:rPr>
        <w:t>1</w:t>
      </w:r>
      <w:r>
        <w:rPr>
          <w:rFonts w:hint="eastAsia" w:eastAsia="宋体"/>
          <w:color w:val="000000"/>
          <w:lang w:val="en-US" w:eastAsia="zh-CN"/>
        </w:rPr>
        <w:t>6</w:t>
      </w:r>
      <w:r>
        <w:rPr>
          <w:rFonts w:eastAsia="宋体"/>
          <w:color w:val="000000"/>
        </w:rPr>
        <w:t>吨，考虑到木材主要成分为纤维素，</w:t>
      </w:r>
      <w:r>
        <w:rPr>
          <w:rFonts w:hint="eastAsia" w:eastAsia="宋体"/>
          <w:color w:val="000000"/>
          <w:lang w:eastAsia="zh-CN"/>
        </w:rPr>
        <w:t>水性漆</w:t>
      </w:r>
      <w:r>
        <w:rPr>
          <w:rFonts w:hint="eastAsia" w:eastAsia="宋体"/>
          <w:color w:val="000000"/>
        </w:rPr>
        <w:t>等主要成分为有机物，</w:t>
      </w:r>
      <w:r>
        <w:rPr>
          <w:rFonts w:eastAsia="宋体"/>
          <w:color w:val="000000"/>
        </w:rPr>
        <w:t>其主要构成元素为碳氢化合物，在燃烧时的主要化学反应为：</w:t>
      </w:r>
    </w:p>
    <w:p w14:paraId="635BF9AB">
      <w:pPr>
        <w:pStyle w:val="4"/>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w:t>
      </w:r>
      <w:r>
        <w:rPr>
          <w:rFonts w:eastAsia="宋体"/>
          <w:color w:val="333333"/>
          <w:vertAlign w:val="subscript"/>
        </w:rPr>
        <w:t>2</w:t>
      </w:r>
      <w:r>
        <w:rPr>
          <w:rFonts w:eastAsia="宋体"/>
          <w:color w:val="333333"/>
        </w:rPr>
        <w:t>+H</w:t>
      </w:r>
      <w:r>
        <w:rPr>
          <w:rFonts w:eastAsia="宋体"/>
          <w:color w:val="333333"/>
          <w:vertAlign w:val="subscript"/>
        </w:rPr>
        <w:t>2</w:t>
      </w:r>
      <w:r>
        <w:rPr>
          <w:rFonts w:eastAsia="宋体"/>
          <w:color w:val="333333"/>
        </w:rPr>
        <w:t>O</w:t>
      </w:r>
    </w:p>
    <w:p w14:paraId="4317DF8C">
      <w:pPr>
        <w:pStyle w:val="4"/>
        <w:snapToGrid w:val="0"/>
        <w:spacing w:line="500" w:lineRule="exact"/>
        <w:ind w:firstLine="480"/>
        <w:rPr>
          <w:rFonts w:eastAsia="宋体"/>
          <w:color w:val="333333"/>
        </w:rPr>
      </w:pPr>
      <w:r>
        <w:rPr>
          <w:rFonts w:eastAsia="宋体"/>
          <w:color w:val="333333"/>
        </w:rPr>
        <w:t>C</w:t>
      </w:r>
      <w:r>
        <w:rPr>
          <w:rFonts w:eastAsia="宋体"/>
          <w:color w:val="333333"/>
          <w:vertAlign w:val="subscript"/>
        </w:rPr>
        <w:t>n</w:t>
      </w:r>
      <w:r>
        <w:rPr>
          <w:rFonts w:eastAsia="宋体"/>
          <w:color w:val="333333"/>
        </w:rPr>
        <w:t>H</w:t>
      </w:r>
      <w:r>
        <w:rPr>
          <w:rFonts w:eastAsia="宋体"/>
          <w:color w:val="333333"/>
          <w:vertAlign w:val="subscript"/>
        </w:rPr>
        <w:t>n</w:t>
      </w:r>
      <w:r>
        <w:rPr>
          <w:rFonts w:eastAsia="宋体"/>
          <w:color w:val="333333"/>
        </w:rPr>
        <w:t>+O</w:t>
      </w:r>
      <w:r>
        <w:rPr>
          <w:rFonts w:eastAsia="宋体"/>
          <w:color w:val="333333"/>
          <w:vertAlign w:val="subscript"/>
        </w:rPr>
        <w:t>2</w:t>
      </w:r>
      <w:r>
        <w:rPr>
          <w:rFonts w:eastAsia="宋体"/>
          <w:color w:val="333333"/>
        </w:rPr>
        <w:t>—CO+H</w:t>
      </w:r>
      <w:r>
        <w:rPr>
          <w:rFonts w:eastAsia="宋体"/>
          <w:color w:val="333333"/>
          <w:vertAlign w:val="subscript"/>
        </w:rPr>
        <w:t>2</w:t>
      </w:r>
      <w:r>
        <w:rPr>
          <w:rFonts w:eastAsia="宋体"/>
          <w:color w:val="333333"/>
        </w:rPr>
        <w:t>O</w:t>
      </w:r>
    </w:p>
    <w:p w14:paraId="5DD94816">
      <w:pPr>
        <w:snapToGrid w:val="0"/>
        <w:spacing w:line="500" w:lineRule="exact"/>
        <w:ind w:firstLine="480" w:firstLineChars="200"/>
        <w:rPr>
          <w:rFonts w:eastAsia="宋体"/>
          <w:color w:val="000000"/>
        </w:rPr>
      </w:pPr>
      <w:r>
        <w:rPr>
          <w:rFonts w:eastAsia="宋体"/>
          <w:color w:val="000000"/>
        </w:rPr>
        <w:t>假设燃烧一半时，火被扑灭即燃烧量为</w:t>
      </w:r>
      <w:r>
        <w:rPr>
          <w:rFonts w:hint="eastAsia" w:eastAsia="宋体"/>
          <w:color w:val="000000"/>
        </w:rPr>
        <w:t>8</w:t>
      </w:r>
      <w:r>
        <w:rPr>
          <w:rFonts w:eastAsia="宋体"/>
          <w:color w:val="000000"/>
        </w:rPr>
        <w:t>吨。由于火灾燃烧时为不完全燃烧，</w:t>
      </w:r>
      <w:r>
        <w:rPr>
          <w:rFonts w:hint="eastAsia" w:eastAsia="宋体"/>
          <w:color w:val="000000"/>
        </w:rPr>
        <w:t>海绵胶、热熔胶热分解时会产生可燃有毒气体</w:t>
      </w:r>
      <w:r>
        <w:rPr>
          <w:rFonts w:eastAsia="宋体"/>
          <w:color w:val="000000"/>
        </w:rPr>
        <w:t>，本评价在考虑污染物的时候主要考虑CO。参考类似项目，化学不完全燃烧值取</w:t>
      </w:r>
      <w:r>
        <w:rPr>
          <w:rFonts w:hint="eastAsia" w:eastAsia="宋体"/>
          <w:color w:val="000000"/>
        </w:rPr>
        <w:t>5</w:t>
      </w:r>
      <w:r>
        <w:rPr>
          <w:rFonts w:eastAsia="宋体"/>
          <w:color w:val="000000"/>
        </w:rPr>
        <w:t>%。源强计算参照《建设项目环境风险评价技术导则》(征求意见稿)推荐的公式计算：</w:t>
      </w:r>
    </w:p>
    <w:p w14:paraId="7C443644">
      <w:pPr>
        <w:snapToGrid w:val="0"/>
        <w:spacing w:line="500" w:lineRule="exact"/>
        <w:ind w:firstLine="480" w:firstLineChars="200"/>
        <w:rPr>
          <w:rFonts w:eastAsia="宋体"/>
          <w:color w:val="000000"/>
        </w:rPr>
      </w:pPr>
      <w:r>
        <w:rPr>
          <w:rFonts w:eastAsia="宋体"/>
          <w:color w:val="000000"/>
        </w:rPr>
        <w:t>燃料燃烧产生的CO量可按下式进行简单估算：</w:t>
      </w:r>
    </w:p>
    <w:p w14:paraId="2A8A2512">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=2330*q*C*Q</w:t>
      </w:r>
    </w:p>
    <w:p w14:paraId="14B6315F">
      <w:pPr>
        <w:snapToGrid w:val="0"/>
        <w:spacing w:line="500" w:lineRule="exact"/>
        <w:ind w:firstLine="480" w:firstLineChars="200"/>
        <w:rPr>
          <w:rFonts w:eastAsia="宋体"/>
          <w:color w:val="000000"/>
        </w:rPr>
      </w:pPr>
      <w:r>
        <w:rPr>
          <w:rFonts w:eastAsia="宋体"/>
          <w:color w:val="000000"/>
        </w:rPr>
        <w:t>式中</w:t>
      </w:r>
      <w:r>
        <w:rPr>
          <w:rFonts w:hint="eastAsia" w:eastAsia="宋体"/>
          <w:color w:val="000000"/>
        </w:rPr>
        <w:t>：</w:t>
      </w:r>
    </w:p>
    <w:p w14:paraId="621E52BF">
      <w:pPr>
        <w:snapToGrid w:val="0"/>
        <w:spacing w:line="500" w:lineRule="exact"/>
        <w:ind w:firstLine="480" w:firstLineChars="200"/>
        <w:rPr>
          <w:rFonts w:eastAsia="宋体"/>
          <w:color w:val="000000"/>
        </w:rPr>
      </w:pPr>
      <w:r>
        <w:rPr>
          <w:rFonts w:eastAsia="宋体"/>
          <w:color w:val="000000"/>
        </w:rPr>
        <w:t>G</w:t>
      </w:r>
      <w:r>
        <w:rPr>
          <w:rFonts w:eastAsia="宋体"/>
          <w:color w:val="000000"/>
          <w:vertAlign w:val="subscript"/>
        </w:rPr>
        <w:t>CO</w:t>
      </w:r>
      <w:r>
        <w:rPr>
          <w:rFonts w:eastAsia="宋体"/>
          <w:color w:val="000000"/>
        </w:rPr>
        <w:t>—CO的产生量，kg/s;</w:t>
      </w:r>
    </w:p>
    <w:p w14:paraId="0D782776">
      <w:pPr>
        <w:snapToGrid w:val="0"/>
        <w:spacing w:line="500" w:lineRule="exact"/>
        <w:ind w:firstLine="480" w:firstLineChars="200"/>
        <w:rPr>
          <w:rFonts w:eastAsia="宋体"/>
          <w:color w:val="000000"/>
        </w:rPr>
      </w:pPr>
      <w:r>
        <w:rPr>
          <w:rFonts w:eastAsia="宋体"/>
          <w:color w:val="000000"/>
        </w:rPr>
        <w:t>C—燃料中碳的质量百分比含量(%)，在此取</w:t>
      </w:r>
      <w:r>
        <w:rPr>
          <w:rFonts w:hint="eastAsia" w:eastAsia="宋体"/>
          <w:color w:val="000000"/>
          <w:lang w:val="en-US" w:eastAsia="zh-CN"/>
        </w:rPr>
        <w:t>6</w:t>
      </w:r>
      <w:r>
        <w:rPr>
          <w:rFonts w:hint="eastAsia" w:eastAsia="宋体"/>
          <w:color w:val="000000"/>
        </w:rPr>
        <w:t>0</w:t>
      </w:r>
      <w:r>
        <w:rPr>
          <w:rFonts w:eastAsia="宋体"/>
          <w:color w:val="000000"/>
        </w:rPr>
        <w:t>%；</w:t>
      </w:r>
    </w:p>
    <w:p w14:paraId="5FEF1F2B">
      <w:pPr>
        <w:snapToGrid w:val="0"/>
        <w:spacing w:line="500" w:lineRule="exact"/>
        <w:ind w:firstLine="480" w:firstLineChars="200"/>
        <w:rPr>
          <w:rFonts w:eastAsia="宋体"/>
          <w:color w:val="000000"/>
        </w:rPr>
      </w:pPr>
      <w:r>
        <w:rPr>
          <w:rFonts w:eastAsia="宋体"/>
          <w:color w:val="000000"/>
        </w:rPr>
        <w:t>q—化学不完全燃烧值(%)</w:t>
      </w:r>
      <w:r>
        <w:rPr>
          <w:rFonts w:hint="eastAsia" w:eastAsia="宋体"/>
          <w:color w:val="000000"/>
        </w:rPr>
        <w:t>，取1.5%~6%，</w:t>
      </w:r>
      <w:r>
        <w:rPr>
          <w:rFonts w:eastAsia="宋体"/>
          <w:color w:val="000000"/>
        </w:rPr>
        <w:t>在此取</w:t>
      </w:r>
      <w:r>
        <w:rPr>
          <w:rFonts w:hint="eastAsia" w:eastAsia="宋体"/>
          <w:color w:val="000000"/>
        </w:rPr>
        <w:t>5</w:t>
      </w:r>
      <w:r>
        <w:rPr>
          <w:rFonts w:eastAsia="宋体"/>
          <w:color w:val="000000"/>
        </w:rPr>
        <w:t>%；</w:t>
      </w:r>
    </w:p>
    <w:p w14:paraId="4E235DBF">
      <w:pPr>
        <w:snapToGrid w:val="0"/>
        <w:spacing w:line="500" w:lineRule="exact"/>
        <w:ind w:firstLine="480" w:firstLineChars="200"/>
        <w:rPr>
          <w:rFonts w:eastAsia="宋体"/>
          <w:color w:val="000000"/>
        </w:rPr>
      </w:pPr>
      <w:r>
        <w:rPr>
          <w:rFonts w:eastAsia="宋体"/>
          <w:color w:val="000000"/>
        </w:rPr>
        <w:t>Q—参与燃烧的物质量，t/s。</w:t>
      </w:r>
    </w:p>
    <w:p w14:paraId="787F7103">
      <w:pPr>
        <w:snapToGrid w:val="0"/>
        <w:spacing w:line="500" w:lineRule="exact"/>
        <w:jc w:val="center"/>
        <w:rPr>
          <w:rFonts w:eastAsia="宋体"/>
          <w:color w:val="000000"/>
        </w:rPr>
      </w:pPr>
      <w:r>
        <w:rPr>
          <w:rFonts w:eastAsia="宋体"/>
          <w:b/>
          <w:bCs/>
          <w:color w:val="000000"/>
        </w:rPr>
        <w:t>表4</w:t>
      </w:r>
      <w:r>
        <w:rPr>
          <w:rFonts w:hint="eastAsia" w:eastAsia="宋体"/>
          <w:b/>
          <w:bCs/>
          <w:color w:val="000000"/>
        </w:rPr>
        <w:t>-3</w:t>
      </w:r>
      <w:r>
        <w:rPr>
          <w:rFonts w:eastAsia="宋体"/>
          <w:b/>
          <w:bCs/>
          <w:color w:val="000000"/>
        </w:rPr>
        <w:t>燃烧产生的CO产生量估算表</w:t>
      </w:r>
    </w:p>
    <w:tbl>
      <w:tblPr>
        <w:tblStyle w:val="38"/>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76887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vAlign w:val="center"/>
          </w:tcPr>
          <w:p w14:paraId="1F9B947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物质</w:t>
            </w:r>
          </w:p>
        </w:tc>
        <w:tc>
          <w:tcPr>
            <w:tcW w:w="810" w:type="dxa"/>
            <w:tcBorders>
              <w:tl2br w:val="nil"/>
              <w:tr2bl w:val="nil"/>
            </w:tcBorders>
            <w:vAlign w:val="center"/>
          </w:tcPr>
          <w:p w14:paraId="4A38C517">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C</w:t>
            </w:r>
          </w:p>
        </w:tc>
        <w:tc>
          <w:tcPr>
            <w:tcW w:w="878" w:type="dxa"/>
            <w:tcBorders>
              <w:tl2br w:val="nil"/>
              <w:tr2bl w:val="nil"/>
            </w:tcBorders>
            <w:vAlign w:val="center"/>
          </w:tcPr>
          <w:p w14:paraId="05AAA903">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q</w:t>
            </w:r>
          </w:p>
        </w:tc>
        <w:tc>
          <w:tcPr>
            <w:tcW w:w="1601" w:type="dxa"/>
            <w:tcBorders>
              <w:tl2br w:val="nil"/>
              <w:tr2bl w:val="nil"/>
            </w:tcBorders>
            <w:vAlign w:val="center"/>
          </w:tcPr>
          <w:p w14:paraId="4C74B604">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燃烧量</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t</w:t>
            </w:r>
            <w:r>
              <w:rPr>
                <w:rFonts w:hint="eastAsia" w:eastAsia="宋体"/>
                <w:color w:val="000000" w:themeColor="text1"/>
                <w:sz w:val="21"/>
                <w:szCs w:val="21"/>
                <w14:textFill>
                  <w14:solidFill>
                    <w14:schemeClr w14:val="tx1"/>
                  </w14:solidFill>
                </w14:textFill>
              </w:rPr>
              <w:t>)</w:t>
            </w:r>
          </w:p>
        </w:tc>
        <w:tc>
          <w:tcPr>
            <w:tcW w:w="1704" w:type="dxa"/>
            <w:tcBorders>
              <w:tl2br w:val="nil"/>
              <w:tr2bl w:val="nil"/>
            </w:tcBorders>
            <w:vAlign w:val="center"/>
          </w:tcPr>
          <w:p w14:paraId="32FE3946">
            <w:pPr>
              <w:jc w:val="center"/>
              <w:rPr>
                <w:rFonts w:eastAsia="宋体"/>
                <w:b/>
                <w:bCs/>
                <w:color w:val="000000" w:themeColor="text1"/>
                <w:sz w:val="21"/>
                <w:szCs w:val="21"/>
                <w14:textFill>
                  <w14:solidFill>
                    <w14:schemeClr w14:val="tx1"/>
                  </w14:solidFill>
                </w14:textFill>
              </w:rPr>
            </w:pPr>
            <w:r>
              <w:rPr>
                <w:rFonts w:eastAsia="宋体"/>
                <w:b/>
                <w:bCs/>
                <w:color w:val="000000" w:themeColor="text1"/>
                <w:sz w:val="21"/>
                <w:szCs w:val="21"/>
                <w14:textFill>
                  <w14:solidFill>
                    <w14:schemeClr w14:val="tx1"/>
                  </w14:solidFill>
                </w14:textFill>
              </w:rPr>
              <w:t>燃烧时间</w:t>
            </w:r>
            <w:r>
              <w:rPr>
                <w:rFonts w:hint="eastAsia" w:eastAsia="宋体"/>
                <w:b/>
                <w:bCs/>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min</w:t>
            </w:r>
            <w:r>
              <w:rPr>
                <w:rFonts w:hint="eastAsia" w:eastAsia="宋体"/>
                <w:color w:val="000000" w:themeColor="text1"/>
                <w:sz w:val="21"/>
                <w:szCs w:val="21"/>
                <w14:textFill>
                  <w14:solidFill>
                    <w14:schemeClr w14:val="tx1"/>
                  </w14:solidFill>
                </w14:textFill>
              </w:rPr>
              <w:t>)</w:t>
            </w:r>
          </w:p>
        </w:tc>
        <w:tc>
          <w:tcPr>
            <w:tcW w:w="1187" w:type="dxa"/>
            <w:tcBorders>
              <w:tl2br w:val="nil"/>
              <w:tr2bl w:val="nil"/>
            </w:tcBorders>
            <w:vAlign w:val="center"/>
          </w:tcPr>
          <w:p w14:paraId="524B9737">
            <w:pPr>
              <w:jc w:val="center"/>
              <w:rPr>
                <w:rFonts w:eastAsia="宋体"/>
                <w:b/>
                <w:bCs/>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Q(</w:t>
            </w:r>
            <w:r>
              <w:rPr>
                <w:rFonts w:eastAsia="宋体"/>
                <w:color w:val="000000"/>
              </w:rPr>
              <w:t>t/s</w:t>
            </w:r>
            <w:r>
              <w:rPr>
                <w:rFonts w:hint="eastAsia" w:eastAsia="宋体"/>
                <w:color w:val="000000"/>
              </w:rPr>
              <w:t>)</w:t>
            </w:r>
          </w:p>
        </w:tc>
        <w:tc>
          <w:tcPr>
            <w:tcW w:w="1515" w:type="dxa"/>
            <w:tcBorders>
              <w:tl2br w:val="nil"/>
              <w:tr2bl w:val="nil"/>
            </w:tcBorders>
            <w:vAlign w:val="center"/>
          </w:tcPr>
          <w:p w14:paraId="2C9003B1">
            <w:pPr>
              <w:jc w:val="center"/>
              <w:rPr>
                <w:rFonts w:eastAsia="宋体"/>
                <w:b/>
                <w:bCs/>
                <w:color w:val="000000" w:themeColor="text1"/>
                <w:sz w:val="21"/>
                <w:szCs w:val="21"/>
                <w14:textFill>
                  <w14:solidFill>
                    <w14:schemeClr w14:val="tx1"/>
                  </w14:solidFill>
                </w14:textFill>
              </w:rPr>
            </w:pPr>
            <w:r>
              <w:rPr>
                <w:rFonts w:eastAsia="宋体"/>
                <w:color w:val="000000" w:themeColor="text1"/>
                <w14:textFill>
                  <w14:solidFill>
                    <w14:schemeClr w14:val="tx1"/>
                  </w14:solidFill>
                </w14:textFill>
              </w:rPr>
              <w:t>G</w:t>
            </w:r>
            <w:r>
              <w:rPr>
                <w:rFonts w:eastAsia="宋体"/>
                <w:color w:val="000000" w:themeColor="text1"/>
                <w:vertAlign w:val="subscript"/>
                <w14:textFill>
                  <w14:solidFill>
                    <w14:schemeClr w14:val="tx1"/>
                  </w14:solidFill>
                </w14:textFill>
              </w:rPr>
              <w:t>CO</w:t>
            </w:r>
            <w:r>
              <w:rPr>
                <w:rFonts w:hint="eastAsia" w:eastAsia="宋体"/>
                <w:color w:val="000000" w:themeColor="text1"/>
                <w:vertAlign w:val="subscript"/>
                <w14:textFill>
                  <w14:solidFill>
                    <w14:schemeClr w14:val="tx1"/>
                  </w14:solidFill>
                </w14:textFill>
              </w:rPr>
              <w:t>(</w:t>
            </w:r>
            <w:r>
              <w:rPr>
                <w:rFonts w:eastAsia="宋体"/>
                <w:color w:val="000000"/>
              </w:rPr>
              <w:t>kg/s</w:t>
            </w:r>
            <w:r>
              <w:rPr>
                <w:rFonts w:hint="eastAsia" w:eastAsia="宋体"/>
                <w:color w:val="000000"/>
              </w:rPr>
              <w:t>)</w:t>
            </w:r>
          </w:p>
        </w:tc>
      </w:tr>
      <w:tr w14:paraId="3665D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vAlign w:val="center"/>
          </w:tcPr>
          <w:p w14:paraId="53EFAC11">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水性漆、</w:t>
            </w:r>
            <w:r>
              <w:rPr>
                <w:rFonts w:hint="eastAsia" w:eastAsia="宋体"/>
                <w:color w:val="000000" w:themeColor="text1"/>
                <w:sz w:val="21"/>
                <w:szCs w:val="21"/>
                <w:lang w:val="en-US" w:eastAsia="zh-CN"/>
                <w14:textFill>
                  <w14:solidFill>
                    <w14:schemeClr w14:val="tx1"/>
                  </w14:solidFill>
                </w14:textFill>
              </w:rPr>
              <w:t>木材</w:t>
            </w:r>
            <w:r>
              <w:rPr>
                <w:rFonts w:hint="eastAsia" w:eastAsia="宋体"/>
                <w:color w:val="000000" w:themeColor="text1"/>
                <w:sz w:val="21"/>
                <w:szCs w:val="21"/>
                <w14:textFill>
                  <w14:solidFill>
                    <w14:schemeClr w14:val="tx1"/>
                  </w14:solidFill>
                </w14:textFill>
              </w:rPr>
              <w:t>等</w:t>
            </w:r>
          </w:p>
        </w:tc>
        <w:tc>
          <w:tcPr>
            <w:tcW w:w="810" w:type="dxa"/>
            <w:tcBorders>
              <w:tl2br w:val="nil"/>
              <w:tr2bl w:val="nil"/>
            </w:tcBorders>
            <w:vAlign w:val="center"/>
          </w:tcPr>
          <w:p w14:paraId="5CD294E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60</w:t>
            </w:r>
            <w:r>
              <w:rPr>
                <w:rFonts w:eastAsia="宋体"/>
                <w:color w:val="000000" w:themeColor="text1"/>
                <w:sz w:val="21"/>
                <w:szCs w:val="21"/>
                <w14:textFill>
                  <w14:solidFill>
                    <w14:schemeClr w14:val="tx1"/>
                  </w14:solidFill>
                </w14:textFill>
              </w:rPr>
              <w:t>%</w:t>
            </w:r>
          </w:p>
        </w:tc>
        <w:tc>
          <w:tcPr>
            <w:tcW w:w="878" w:type="dxa"/>
            <w:tcBorders>
              <w:tl2br w:val="nil"/>
              <w:tr2bl w:val="nil"/>
            </w:tcBorders>
            <w:vAlign w:val="center"/>
          </w:tcPr>
          <w:p w14:paraId="2DA1F1C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5</w:t>
            </w:r>
            <w:r>
              <w:rPr>
                <w:rFonts w:eastAsia="宋体"/>
                <w:color w:val="000000" w:themeColor="text1"/>
                <w:sz w:val="21"/>
                <w:szCs w:val="21"/>
                <w14:textFill>
                  <w14:solidFill>
                    <w14:schemeClr w14:val="tx1"/>
                  </w14:solidFill>
                </w14:textFill>
              </w:rPr>
              <w:t>%</w:t>
            </w:r>
          </w:p>
        </w:tc>
        <w:tc>
          <w:tcPr>
            <w:tcW w:w="1601" w:type="dxa"/>
            <w:tcBorders>
              <w:tl2br w:val="nil"/>
              <w:tr2bl w:val="nil"/>
            </w:tcBorders>
            <w:vAlign w:val="center"/>
          </w:tcPr>
          <w:p w14:paraId="384E0138">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9</w:t>
            </w:r>
            <w:r>
              <w:rPr>
                <w:rFonts w:eastAsia="宋体"/>
                <w:color w:val="000000" w:themeColor="text1"/>
                <w:sz w:val="21"/>
                <w:szCs w:val="21"/>
                <w14:textFill>
                  <w14:solidFill>
                    <w14:schemeClr w14:val="tx1"/>
                  </w14:solidFill>
                </w14:textFill>
              </w:rPr>
              <w:t>t</w:t>
            </w:r>
          </w:p>
        </w:tc>
        <w:tc>
          <w:tcPr>
            <w:tcW w:w="1704" w:type="dxa"/>
            <w:tcBorders>
              <w:tl2br w:val="nil"/>
              <w:tr2bl w:val="nil"/>
            </w:tcBorders>
            <w:vAlign w:val="center"/>
          </w:tcPr>
          <w:p w14:paraId="25E2C09A">
            <w:pPr>
              <w:adjustRightInd w:val="0"/>
              <w:snapToGrid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6</w:t>
            </w:r>
            <w:r>
              <w:rPr>
                <w:rFonts w:eastAsia="宋体"/>
                <w:color w:val="000000" w:themeColor="text1"/>
                <w:sz w:val="21"/>
                <w:szCs w:val="21"/>
                <w14:textFill>
                  <w14:solidFill>
                    <w14:schemeClr w14:val="tx1"/>
                  </w14:solidFill>
                </w14:textFill>
              </w:rPr>
              <w:t>0min</w:t>
            </w:r>
          </w:p>
        </w:tc>
        <w:tc>
          <w:tcPr>
            <w:tcW w:w="1187" w:type="dxa"/>
            <w:tcBorders>
              <w:tl2br w:val="nil"/>
              <w:tr2bl w:val="nil"/>
            </w:tcBorders>
            <w:vAlign w:val="center"/>
          </w:tcPr>
          <w:p w14:paraId="431A301C">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0.002</w:t>
            </w:r>
            <w:r>
              <w:rPr>
                <w:rFonts w:hint="eastAsia" w:eastAsia="宋体"/>
                <w:color w:val="000000" w:themeColor="text1"/>
                <w:sz w:val="21"/>
                <w:szCs w:val="21"/>
                <w:lang w:val="en-US" w:eastAsia="zh-CN"/>
                <w14:textFill>
                  <w14:solidFill>
                    <w14:schemeClr w14:val="tx1"/>
                  </w14:solidFill>
                </w14:textFill>
              </w:rPr>
              <w:t>5</w:t>
            </w:r>
          </w:p>
        </w:tc>
        <w:tc>
          <w:tcPr>
            <w:tcW w:w="1515" w:type="dxa"/>
            <w:tcBorders>
              <w:tl2br w:val="nil"/>
              <w:tr2bl w:val="nil"/>
            </w:tcBorders>
            <w:vAlign w:val="center"/>
          </w:tcPr>
          <w:p w14:paraId="596E8DAE">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14:textFill>
                  <w14:solidFill>
                    <w14:schemeClr w14:val="tx1"/>
                  </w14:solidFill>
                </w14:textFill>
              </w:rPr>
              <w:t>0.1</w:t>
            </w:r>
            <w:r>
              <w:rPr>
                <w:rFonts w:hint="eastAsia" w:eastAsia="宋体"/>
                <w:color w:val="000000" w:themeColor="text1"/>
                <w:sz w:val="21"/>
                <w:szCs w:val="21"/>
                <w:lang w:val="en-US" w:eastAsia="zh-CN"/>
                <w14:textFill>
                  <w14:solidFill>
                    <w14:schemeClr w14:val="tx1"/>
                  </w14:solidFill>
                </w14:textFill>
              </w:rPr>
              <w:t>75</w:t>
            </w:r>
          </w:p>
        </w:tc>
      </w:tr>
      <w:bookmarkEnd w:id="192"/>
    </w:tbl>
    <w:p w14:paraId="122EE516">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bookmarkStart w:id="193" w:name="_Toc2865"/>
      <w:bookmarkStart w:id="194" w:name="_Toc11264"/>
      <w:bookmarkStart w:id="195" w:name="_Toc28763"/>
      <w:bookmarkStart w:id="196" w:name="_Toc18452"/>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 xml:space="preserve">-4 </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7AD9F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074BC2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579F78C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6137B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BA6857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3F8EE8A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2BE1616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763EAB2E">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0EF0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738D91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2DCFE46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7F0846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19CBE6A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2A4CC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64AE5F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389EC6E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5191CC9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631B3E4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7FCE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4E537F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713BEF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2E028B0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771296F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63D16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A3C6D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787597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537DA4C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54FB767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745F3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2BED92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2A0B26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5AF492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430290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B3DE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1B2E88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39E106A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39F46EAF">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089107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572A4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55C1C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34AEBF0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54EB6B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47B3BF7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0ABB6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D594E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02A177F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7CAE1A6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6ADF772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6FB42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0D8D85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4908914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3D7AB34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6FD75D9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076D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C0E55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826441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F8CD0A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478A10C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63B1B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799586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6CADCA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642C357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3789109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09232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0C26F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2C75A7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72A4E8A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833041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85B7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19F5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3F8631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5C7935E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A7E33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13DF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A15A8A1">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1B91539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50F00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6477B7D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3530A8B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3E47577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1209F0F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6900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A4CA06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06F5B1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1F048F1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46AEAF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45E52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B21D57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4018B3F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5C4BC03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394D80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6A3B8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FFEEF1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37ADFBF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7569AF2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46F0FFC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5ACB8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392CFBC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580AA7A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0F68D34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38C9186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657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48417FE0">
      <w:pPr>
        <w:pStyle w:val="5"/>
        <w:keepNext w:val="0"/>
        <w:keepLines w:val="0"/>
        <w:tabs>
          <w:tab w:val="left" w:pos="3491"/>
        </w:tabs>
        <w:adjustRightInd w:val="0"/>
        <w:snapToGrid w:val="0"/>
        <w:spacing w:line="500" w:lineRule="exact"/>
        <w:jc w:val="left"/>
        <w:rPr>
          <w:rFonts w:hint="default" w:eastAsia="宋体"/>
          <w:color w:val="000000" w:themeColor="text1"/>
          <w:lang w:val="en-US" w:eastAsia="zh-CN"/>
          <w14:textFill>
            <w14:solidFill>
              <w14:schemeClr w14:val="tx1"/>
            </w14:solidFill>
          </w14:textFill>
        </w:rPr>
      </w:pPr>
      <w:r>
        <w:rPr>
          <w:rFonts w:eastAsia="宋体"/>
          <w:color w:val="000000" w:themeColor="text1"/>
          <w14:textFill>
            <w14:solidFill>
              <w14:schemeClr w14:val="tx1"/>
            </w14:solidFill>
          </w14:textFill>
        </w:rPr>
        <w:t>4.2.2事件情景</w:t>
      </w:r>
      <w:bookmarkEnd w:id="193"/>
      <w:bookmarkEnd w:id="194"/>
      <w:bookmarkEnd w:id="195"/>
      <w:bookmarkEnd w:id="196"/>
      <w:r>
        <w:rPr>
          <w:rFonts w:hint="eastAsia" w:eastAsia="宋体"/>
          <w:color w:val="000000" w:themeColor="text1"/>
          <w:lang w:val="en-US" w:eastAsia="zh-CN"/>
          <w14:textFill>
            <w14:solidFill>
              <w14:schemeClr w14:val="tx1"/>
            </w14:solidFill>
          </w14:textFill>
        </w:rPr>
        <w:t>6、9、11</w:t>
      </w:r>
    </w:p>
    <w:p w14:paraId="38B7E241">
      <w:pPr>
        <w:adjustRightInd w:val="0"/>
        <w:snapToGrid w:val="0"/>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司可能发生的水质异常情况包括：①发生火灾事故，消防水因雨水阀门未及时关闭、或应急事故池引流措施失败导致的事故性排放；②因水循环一体机管道破损未及时补救等原因，导致生产循环水侵入雨水管道，误排厂外；③当固废堆场防雨设施不完善、遭到破坏时，淋沥固体废物的雨水径流可能进入河流，误排厂外。</w:t>
      </w:r>
    </w:p>
    <w:p w14:paraId="30DCB159">
      <w:pPr>
        <w:pStyle w:val="5"/>
        <w:keepNext w:val="0"/>
        <w:keepLines w:val="0"/>
        <w:tabs>
          <w:tab w:val="left" w:pos="3491"/>
        </w:tabs>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水性漆泄漏事件</w:t>
      </w:r>
    </w:p>
    <w:p w14:paraId="60D41D91">
      <w:pPr>
        <w:adjustRightInd w:val="0"/>
        <w:snapToGrid w:val="0"/>
        <w:spacing w:line="500" w:lineRule="exact"/>
        <w:ind w:firstLine="480" w:firstLineChars="200"/>
        <w:jc w:val="left"/>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bCs w:val="0"/>
          <w:color w:val="000000" w:themeColor="text1"/>
          <w:lang w:val="en-US" w:eastAsia="zh-CN"/>
          <w14:textFill>
            <w14:solidFill>
              <w14:schemeClr w14:val="tx1"/>
            </w14:solidFill>
          </w14:textFill>
        </w:rPr>
        <w:t>水性漆</w:t>
      </w:r>
      <w:r>
        <w:rPr>
          <w:rFonts w:hint="eastAsia" w:ascii="Times New Roman" w:hAnsi="Times New Roman" w:eastAsia="宋体" w:cs="Times New Roman"/>
          <w:bCs w:val="0"/>
          <w:color w:val="000000" w:themeColor="text1"/>
          <w14:textFill>
            <w14:solidFill>
              <w14:schemeClr w14:val="tx1"/>
            </w14:solidFill>
          </w14:textFill>
        </w:rPr>
        <w:t>泄漏为液体泄漏，液体泄漏按《建设项目环境风险评价技术导则》（HJ169-2018）附录F.1.1公式计算：</w:t>
      </w:r>
    </w:p>
    <w:p w14:paraId="65EA244E">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式中：</w:t>
      </w:r>
    </w:p>
    <w:p w14:paraId="5D10DAF4">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Q</w:t>
      </w:r>
      <w:r>
        <w:rPr>
          <w:rFonts w:hint="eastAsia" w:ascii="Times New Roman" w:hAnsi="Times New Roman" w:eastAsia="宋体" w:cs="Times New Roman"/>
          <w:color w:val="000000" w:themeColor="text1"/>
          <w:vertAlign w:val="baseline"/>
          <w14:textFill>
            <w14:solidFill>
              <w14:schemeClr w14:val="tx1"/>
            </w14:solidFill>
          </w14:textFill>
        </w:rPr>
        <w:t>L</w:t>
      </w:r>
      <w:r>
        <w:rPr>
          <w:rFonts w:hint="eastAsia" w:ascii="Times New Roman" w:hAnsi="Times New Roman" w:eastAsia="宋体" w:cs="Times New Roman"/>
          <w:color w:val="000000" w:themeColor="text1"/>
          <w14:textFill>
            <w14:solidFill>
              <w14:schemeClr w14:val="tx1"/>
            </w14:solidFill>
          </w14:textFill>
        </w:rPr>
        <w:t>——液体泄漏速度，kg/s；</w:t>
      </w:r>
    </w:p>
    <w:p w14:paraId="74CC255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P——容器内介质压力，Pa；</w:t>
      </w:r>
    </w:p>
    <w:p w14:paraId="4F74982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P</w:t>
      </w:r>
      <w:r>
        <w:rPr>
          <w:rFonts w:hint="eastAsia" w:ascii="Times New Roman" w:hAnsi="Times New Roman" w:eastAsia="宋体" w:cs="Times New Roman"/>
          <w:color w:val="000000" w:themeColor="text1"/>
          <w:vertAlign w:val="baseline"/>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——环境压力，Pa；</w:t>
      </w:r>
    </w:p>
    <w:p w14:paraId="5DBE444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ρ——泄漏液体密度，kg/m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密度取</w:t>
      </w:r>
      <w:r>
        <w:rPr>
          <w:rFonts w:hint="eastAsia" w:ascii="Times New Roman" w:hAnsi="Times New Roman" w:eastAsia="宋体" w:cs="Times New Roman"/>
          <w:color w:val="000000" w:themeColor="text1"/>
          <w:lang w:val="en-US" w:eastAsia="zh-CN"/>
          <w14:textFill>
            <w14:solidFill>
              <w14:schemeClr w14:val="tx1"/>
            </w14:solidFill>
          </w14:textFill>
        </w:rPr>
        <w:t>1100</w:t>
      </w:r>
      <w:r>
        <w:rPr>
          <w:rFonts w:hint="eastAsia" w:ascii="Times New Roman" w:hAnsi="Times New Roman" w:eastAsia="宋体" w:cs="Times New Roman"/>
          <w:color w:val="000000" w:themeColor="text1"/>
          <w14:textFill>
            <w14:solidFill>
              <w14:schemeClr w14:val="tx1"/>
            </w14:solidFill>
          </w14:textFill>
        </w:rPr>
        <w:t>kg/m</w:t>
      </w:r>
      <w:r>
        <w:rPr>
          <w:rFonts w:hint="eastAsia" w:ascii="Times New Roman" w:hAnsi="Times New Roman" w:eastAsia="宋体" w:cs="Times New Roman"/>
          <w:color w:val="000000" w:themeColor="text1"/>
          <w:vertAlign w:val="baseline"/>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p>
    <w:p w14:paraId="14DA7E1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g——重力加速度，9.8m/s</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6595B59F">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h——裂口之上液位高度，m。</w:t>
      </w:r>
    </w:p>
    <w:p w14:paraId="5B9D0B71">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C</w:t>
      </w:r>
      <w:r>
        <w:rPr>
          <w:rFonts w:hint="eastAsia" w:ascii="Times New Roman" w:hAnsi="Times New Roman" w:eastAsia="宋体" w:cs="Times New Roman"/>
          <w:color w:val="000000" w:themeColor="text1"/>
          <w:vertAlign w:val="baseline"/>
          <w14:textFill>
            <w14:solidFill>
              <w14:schemeClr w14:val="tx1"/>
            </w14:solidFill>
          </w14:textFill>
        </w:rPr>
        <w:t>d</w:t>
      </w:r>
      <w:r>
        <w:rPr>
          <w:rFonts w:hint="eastAsia" w:ascii="Times New Roman" w:hAnsi="Times New Roman" w:eastAsia="宋体" w:cs="Times New Roman"/>
          <w:color w:val="000000" w:themeColor="text1"/>
          <w14:textFill>
            <w14:solidFill>
              <w14:schemeClr w14:val="tx1"/>
            </w14:solidFill>
          </w14:textFill>
        </w:rPr>
        <w:t>——液体泄漏系数，此值常用0.6-0.64，取0.62；</w:t>
      </w:r>
    </w:p>
    <w:p w14:paraId="03BF83F2">
      <w:pPr>
        <w:adjustRightInd w:val="0"/>
        <w:snapToGrid w:val="0"/>
        <w:spacing w:line="500" w:lineRule="exact"/>
        <w:ind w:firstLine="480" w:firstLineChars="200"/>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A——裂口面积，m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p>
    <w:p w14:paraId="22ADF9D4">
      <w:pPr>
        <w:adjustRightInd w:val="0"/>
        <w:snapToGrid w:val="0"/>
        <w:spacing w:before="0" w:line="500" w:lineRule="exact"/>
        <w:ind w:left="0" w:leftChars="0" w:right="0" w:firstLine="480" w:firstLineChars="200"/>
        <w:jc w:val="left"/>
        <w:rPr>
          <w:rFonts w:hint="eastAsia" w:ascii="Times New Roman" w:hAnsi="Times New Roman" w:eastAsia="宋体" w:cs="Times New Roman"/>
          <w:i w:val="0"/>
          <w:color w:val="000000" w:themeColor="text1"/>
          <w:lang w:val="en-US" w:eastAsia="zh-CN"/>
          <w14:textFill>
            <w14:solidFill>
              <w14:schemeClr w14:val="tx1"/>
            </w14:solidFill>
          </w14:textFill>
        </w:rPr>
      </w:pPr>
      <w:bookmarkStart w:id="197" w:name="_Hlk47517831"/>
      <w:r>
        <w:rPr>
          <w:rFonts w:hint="eastAsia" w:ascii="Times New Roman" w:hAnsi="Times New Roman" w:eastAsia="宋体" w:cs="Times New Roman"/>
          <w:color w:val="000000" w:themeColor="text1"/>
          <w14:textFill>
            <w14:solidFill>
              <w14:schemeClr w14:val="tx1"/>
            </w14:solidFill>
          </w14:textFill>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eastAsia" w:ascii="Times New Roman" w:hAnsi="Times New Roman" w:eastAsia="宋体" w:cs="Times New Roman"/>
          <w:color w:val="000000" w:themeColor="text1"/>
          <w:vertAlign w:val="baseline"/>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，根据企业提供资料，</w:t>
      </w:r>
      <w:r>
        <w:rPr>
          <w:rFonts w:hint="eastAsia" w:ascii="Times New Roman" w:hAnsi="Times New Roman" w:eastAsia="宋体" w:cs="Times New Roman"/>
          <w:color w:val="000000" w:themeColor="text1"/>
          <w:lang w:val="en-US" w:eastAsia="zh-CN"/>
          <w14:textFill>
            <w14:solidFill>
              <w14:schemeClr w14:val="tx1"/>
            </w14:solidFill>
          </w14:textFill>
        </w:rPr>
        <w:t>水性漆</w:t>
      </w:r>
      <w:r>
        <w:rPr>
          <w:rFonts w:hint="eastAsia" w:ascii="Times New Roman" w:hAnsi="Times New Roman" w:eastAsia="宋体" w:cs="Times New Roman"/>
          <w:color w:val="000000" w:themeColor="text1"/>
          <w14:textFill>
            <w14:solidFill>
              <w14:schemeClr w14:val="tx1"/>
            </w14:solidFill>
          </w14:textFill>
        </w:rPr>
        <w:t>桶高约0.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米，故裂口之上液位高度h取0.</w:t>
      </w:r>
      <w:r>
        <w:rPr>
          <w:rFonts w:hint="eastAsia"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m</w:t>
      </w:r>
      <w:bookmarkEnd w:id="197"/>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若一个水性漆桶泄漏，则Q</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L</w:t>
      </w:r>
      <w:r>
        <w:rPr>
          <w:rFonts w:hint="eastAsia" w:ascii="Times New Roman" w:hAnsi="Times New Roman" w:eastAsia="宋体" w:cs="Times New Roman"/>
          <w:color w:val="000000" w:themeColor="text1"/>
          <w:lang w:val="en-US" w:eastAsia="zh-CN"/>
          <w14:textFill>
            <w14:solidFill>
              <w14:schemeClr w14:val="tx1"/>
            </w14:solidFill>
          </w14:textFill>
        </w:rPr>
        <w:t>=0.62*0.0000785*1100*</w:t>
      </w:r>
      <m:oMath>
        <m:r>
          <m:rPr>
            <m:sty m:val="p"/>
          </m:rPr>
          <w:rPr>
            <w:rFonts w:hint="eastAsia" w:ascii="Cambria Math" w:hAnsi="Cambria Math" w:eastAsia="宋体" w:cs="Times New Roman"/>
            <w:color w:val="000000" w:themeColor="text1"/>
            <w:lang w:val="en-US"/>
            <w14:textFill>
              <w14:solidFill>
                <w14:schemeClr w14:val="tx1"/>
              </w14:solidFill>
            </w14:textFill>
          </w:rPr>
          <m:t>√</m:t>
        </m:r>
        <m:r>
          <m:rPr>
            <m:sty m:val="p"/>
          </m:rPr>
          <w:rPr>
            <w:rFonts w:hint="eastAsia" w:ascii="Cambria Math" w:hAnsi="Cambria Math" w:eastAsia="宋体" w:cs="Times New Roman"/>
            <w:color w:val="000000" w:themeColor="text1"/>
            <w:lang w:val="en-US" w:eastAsia="zh-CN"/>
            <w14:textFill>
              <w14:solidFill>
                <w14:schemeClr w14:val="tx1"/>
              </w14:solidFill>
            </w14:textFill>
          </w:rPr>
          <m:t>（2∗9.8∗0.25）</m:t>
        </m:r>
      </m:oMath>
      <w:r>
        <w:rPr>
          <w:rFonts w:hint="eastAsia" w:ascii="Times New Roman" w:hAnsi="Times New Roman" w:eastAsia="宋体" w:cs="Times New Roman"/>
          <w:i w:val="0"/>
          <w:color w:val="000000" w:themeColor="text1"/>
          <w:lang w:val="en-US" w:eastAsia="zh-CN"/>
          <w14:textFill>
            <w14:solidFill>
              <w14:schemeClr w14:val="tx1"/>
            </w14:solidFill>
          </w14:textFill>
        </w:rPr>
        <w:t>=0.119kg/s。</w:t>
      </w:r>
    </w:p>
    <w:p w14:paraId="6A48B369">
      <w:pPr>
        <w:pStyle w:val="5"/>
        <w:tabs>
          <w:tab w:val="left" w:pos="3491"/>
        </w:tabs>
        <w:adjustRightInd w:val="0"/>
        <w:snapToGrid w:val="0"/>
        <w:spacing w:line="500" w:lineRule="exact"/>
        <w:jc w:val="left"/>
        <w:rPr>
          <w:rFonts w:hint="default" w:eastAsia="宋体"/>
          <w:color w:val="000000" w:themeColor="text1"/>
          <w:highlight w:val="yellow"/>
          <w:lang w:val="en-US" w:eastAsia="zh-CN"/>
          <w14:textFill>
            <w14:solidFill>
              <w14:schemeClr w14:val="tx1"/>
            </w14:solidFill>
          </w14:textFill>
        </w:rPr>
      </w:pPr>
      <w:bookmarkStart w:id="198" w:name="_Toc32065"/>
      <w:bookmarkStart w:id="199" w:name="_Toc19215"/>
      <w:bookmarkStart w:id="200" w:name="_Toc17102"/>
      <w:bookmarkStart w:id="201" w:name="_Toc4150"/>
      <w:r>
        <w:rPr>
          <w:rFonts w:eastAsia="宋体"/>
          <w:color w:val="000000" w:themeColor="text1"/>
          <w14:textFill>
            <w14:solidFill>
              <w14:schemeClr w14:val="tx1"/>
            </w14:solidFill>
          </w14:textFill>
        </w:rPr>
        <w:t>4.2.</w:t>
      </w:r>
      <w:r>
        <w:rPr>
          <w:rFonts w:hint="eastAsia" w:eastAsia="宋体"/>
          <w:color w:val="000000" w:themeColor="text1"/>
          <w:lang w:val="en-US" w:eastAsia="zh-CN"/>
          <w14:textFill>
            <w14:solidFill>
              <w14:schemeClr w14:val="tx1"/>
            </w14:solidFill>
          </w14:textFill>
        </w:rPr>
        <w:t>4</w:t>
      </w:r>
      <w:r>
        <w:rPr>
          <w:rFonts w:eastAsia="宋体"/>
          <w:color w:val="000000" w:themeColor="text1"/>
          <w14:textFill>
            <w14:solidFill>
              <w14:schemeClr w14:val="tx1"/>
            </w14:solidFill>
          </w14:textFill>
        </w:rPr>
        <w:t>事件情景</w:t>
      </w:r>
      <w:bookmarkEnd w:id="198"/>
      <w:bookmarkEnd w:id="199"/>
      <w:bookmarkEnd w:id="200"/>
      <w:bookmarkEnd w:id="201"/>
      <w:r>
        <w:rPr>
          <w:rFonts w:hint="eastAsia" w:eastAsia="宋体"/>
          <w:color w:val="000000" w:themeColor="text1"/>
          <w:lang w:val="en-US" w:eastAsia="zh-CN"/>
          <w14:textFill>
            <w14:solidFill>
              <w14:schemeClr w14:val="tx1"/>
            </w14:solidFill>
          </w14:textFill>
        </w:rPr>
        <w:t>7、8</w:t>
      </w:r>
    </w:p>
    <w:p w14:paraId="7957061F">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本项目产生的有组织废气主要为</w:t>
      </w:r>
      <w:r>
        <w:rPr>
          <w:rFonts w:hint="eastAsia" w:eastAsia="宋体"/>
          <w:color w:val="000000" w:themeColor="text1"/>
          <w:lang w:val="en-US" w:eastAsia="zh-CN"/>
          <w14:textFill>
            <w14:solidFill>
              <w14:schemeClr w14:val="tx1"/>
            </w14:solidFill>
          </w14:textFill>
        </w:rPr>
        <w:t>木工粉尘、喷漆废气、打磨废气。</w:t>
      </w:r>
    </w:p>
    <w:p w14:paraId="6D8BE8DD">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根据公司</w:t>
      </w:r>
      <w:r>
        <w:rPr>
          <w:rFonts w:hint="eastAsia" w:eastAsia="宋体"/>
          <w:bCs/>
          <w:color w:val="000000" w:themeColor="text1"/>
          <w:lang w:val="en-US" w:eastAsia="zh-CN"/>
          <w14:textFill>
            <w14:solidFill>
              <w14:schemeClr w14:val="tx1"/>
            </w14:solidFill>
          </w14:textFill>
        </w:rPr>
        <w:t>检测</w:t>
      </w:r>
      <w:r>
        <w:rPr>
          <w:rFonts w:hint="eastAsia" w:ascii="宋体" w:hAnsi="宋体" w:eastAsia="宋体" w:cs="宋体"/>
          <w:bCs/>
          <w:color w:val="000000" w:themeColor="text1"/>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，废气的产生情况见表</w:t>
      </w:r>
      <w:r>
        <w:rPr>
          <w:rFonts w:hint="eastAsia" w:eastAsia="宋体"/>
          <w:color w:val="000000" w:themeColor="text1"/>
          <w14:textFill>
            <w14:solidFill>
              <w14:schemeClr w14:val="tx1"/>
            </w14:solidFill>
          </w14:textFill>
        </w:rPr>
        <w:t>4-</w:t>
      </w:r>
      <w:r>
        <w:rPr>
          <w:rFonts w:hint="eastAsia" w:eastAsia="宋体"/>
          <w:color w:val="000000" w:themeColor="text1"/>
          <w:lang w:val="en-US" w:eastAsia="zh-CN"/>
          <w14:textFill>
            <w14:solidFill>
              <w14:schemeClr w14:val="tx1"/>
            </w14:solidFill>
          </w14:textFill>
        </w:rPr>
        <w:t>5</w:t>
      </w:r>
      <w:r>
        <w:rPr>
          <w:rFonts w:hint="eastAsia" w:eastAsia="宋体"/>
          <w:color w:val="000000" w:themeColor="text1"/>
          <w14:textFill>
            <w14:solidFill>
              <w14:schemeClr w14:val="tx1"/>
            </w14:solidFill>
          </w14:textFill>
        </w:rPr>
        <w:t>。</w:t>
      </w:r>
    </w:p>
    <w:p w14:paraId="131396B6">
      <w:pPr>
        <w:adjustRightInd w:val="0"/>
        <w:snapToGrid w:val="0"/>
        <w:spacing w:line="500" w:lineRule="exact"/>
        <w:ind w:firstLine="482" w:firstLineChars="200"/>
        <w:jc w:val="center"/>
        <w:rPr>
          <w:rFonts w:eastAsia="宋体"/>
          <w:b/>
          <w:bCs/>
        </w:rPr>
      </w:pPr>
      <w:r>
        <w:rPr>
          <w:rFonts w:eastAsia="宋体"/>
          <w:b/>
          <w:bCs/>
        </w:rPr>
        <w:t>表</w:t>
      </w:r>
      <w:r>
        <w:rPr>
          <w:rFonts w:hint="eastAsia" w:eastAsia="宋体"/>
          <w:b/>
          <w:bCs/>
        </w:rPr>
        <w:t>4-</w:t>
      </w:r>
      <w:r>
        <w:rPr>
          <w:rFonts w:hint="eastAsia" w:eastAsia="宋体"/>
          <w:b/>
          <w:bCs/>
          <w:lang w:val="en-US" w:eastAsia="zh-CN"/>
        </w:rPr>
        <w:t>5</w:t>
      </w:r>
      <w:r>
        <w:rPr>
          <w:rFonts w:hint="eastAsia" w:eastAsia="宋体"/>
          <w:b/>
          <w:bCs/>
        </w:rPr>
        <w:t>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44"/>
        <w:gridCol w:w="1251"/>
        <w:gridCol w:w="1343"/>
        <w:gridCol w:w="1313"/>
        <w:gridCol w:w="1188"/>
        <w:gridCol w:w="1196"/>
      </w:tblGrid>
      <w:tr w14:paraId="1E6F7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91" w:hRule="atLeast"/>
          <w:jc w:val="center"/>
        </w:trPr>
        <w:tc>
          <w:tcPr>
            <w:tcW w:w="1556" w:type="pct"/>
            <w:vMerge w:val="restart"/>
            <w:shd w:val="clear" w:color="auto" w:fill="auto"/>
            <w:noWrap w:val="0"/>
            <w:vAlign w:val="center"/>
          </w:tcPr>
          <w:p w14:paraId="642E49B0">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661" w:type="pct"/>
            <w:vMerge w:val="restart"/>
            <w:shd w:val="clear" w:color="auto" w:fill="auto"/>
            <w:noWrap w:val="0"/>
            <w:vAlign w:val="center"/>
          </w:tcPr>
          <w:p w14:paraId="540CB5AF">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49C4A42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710" w:type="pct"/>
            <w:vMerge w:val="restart"/>
            <w:shd w:val="clear" w:color="auto" w:fill="auto"/>
            <w:noWrap w:val="0"/>
            <w:vAlign w:val="center"/>
          </w:tcPr>
          <w:p w14:paraId="768141DE">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4986F02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1954" w:type="pct"/>
            <w:gridSpan w:val="3"/>
            <w:shd w:val="clear" w:color="auto" w:fill="auto"/>
            <w:noWrap w:val="0"/>
            <w:vAlign w:val="center"/>
          </w:tcPr>
          <w:p w14:paraId="2B5B1AF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产生情况</w:t>
            </w:r>
          </w:p>
        </w:tc>
      </w:tr>
      <w:tr w14:paraId="4AF5F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shd w:val="clear" w:color="auto" w:fill="auto"/>
            <w:noWrap w:val="0"/>
            <w:vAlign w:val="center"/>
          </w:tcPr>
          <w:p w14:paraId="14575578">
            <w:pPr>
              <w:adjustRightInd w:val="0"/>
              <w:snapToGrid w:val="0"/>
              <w:jc w:val="center"/>
              <w:rPr>
                <w:rFonts w:hint="default" w:ascii="Times New Roman" w:hAnsi="Times New Roman" w:eastAsia="宋体" w:cs="Times New Roman"/>
                <w:color w:val="000000"/>
                <w:kern w:val="0"/>
                <w:sz w:val="21"/>
                <w:szCs w:val="21"/>
              </w:rPr>
            </w:pPr>
          </w:p>
        </w:tc>
        <w:tc>
          <w:tcPr>
            <w:tcW w:w="661" w:type="pct"/>
            <w:vMerge w:val="continue"/>
            <w:shd w:val="clear" w:color="auto" w:fill="auto"/>
            <w:noWrap w:val="0"/>
            <w:vAlign w:val="center"/>
          </w:tcPr>
          <w:p w14:paraId="32FECE3A">
            <w:pPr>
              <w:adjustRightInd w:val="0"/>
              <w:snapToGrid w:val="0"/>
              <w:jc w:val="center"/>
              <w:rPr>
                <w:rFonts w:hint="default" w:ascii="Times New Roman" w:hAnsi="Times New Roman" w:eastAsia="宋体" w:cs="Times New Roman"/>
                <w:color w:val="000000"/>
                <w:kern w:val="0"/>
                <w:sz w:val="21"/>
                <w:szCs w:val="21"/>
              </w:rPr>
            </w:pPr>
          </w:p>
        </w:tc>
        <w:tc>
          <w:tcPr>
            <w:tcW w:w="710" w:type="pct"/>
            <w:vMerge w:val="continue"/>
            <w:shd w:val="clear" w:color="auto" w:fill="auto"/>
            <w:noWrap w:val="0"/>
            <w:vAlign w:val="center"/>
          </w:tcPr>
          <w:p w14:paraId="19BC4D1F">
            <w:pPr>
              <w:adjustRightInd w:val="0"/>
              <w:snapToGrid w:val="0"/>
              <w:jc w:val="center"/>
              <w:rPr>
                <w:rFonts w:hint="default" w:ascii="Times New Roman" w:hAnsi="Times New Roman" w:eastAsia="宋体" w:cs="Times New Roman"/>
                <w:color w:val="000000"/>
                <w:kern w:val="0"/>
                <w:sz w:val="21"/>
                <w:szCs w:val="21"/>
              </w:rPr>
            </w:pPr>
          </w:p>
        </w:tc>
        <w:tc>
          <w:tcPr>
            <w:tcW w:w="694" w:type="pct"/>
            <w:shd w:val="clear" w:color="auto" w:fill="auto"/>
            <w:noWrap w:val="0"/>
            <w:vAlign w:val="center"/>
          </w:tcPr>
          <w:p w14:paraId="6E2AAB4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浓度</w:t>
            </w:r>
          </w:p>
        </w:tc>
        <w:tc>
          <w:tcPr>
            <w:tcW w:w="628" w:type="pct"/>
            <w:shd w:val="clear" w:color="auto" w:fill="auto"/>
            <w:noWrap w:val="0"/>
            <w:vAlign w:val="center"/>
          </w:tcPr>
          <w:p w14:paraId="3A8CEB4B">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631" w:type="pct"/>
            <w:shd w:val="clear" w:color="auto" w:fill="auto"/>
            <w:noWrap w:val="0"/>
            <w:vAlign w:val="center"/>
          </w:tcPr>
          <w:p w14:paraId="7EB5973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58B40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shd w:val="clear" w:color="auto" w:fill="auto"/>
            <w:noWrap w:val="0"/>
            <w:vAlign w:val="center"/>
          </w:tcPr>
          <w:p w14:paraId="210D5E47">
            <w:pPr>
              <w:adjustRightInd w:val="0"/>
              <w:snapToGrid w:val="0"/>
              <w:jc w:val="center"/>
              <w:rPr>
                <w:rFonts w:hint="default" w:ascii="Times New Roman" w:hAnsi="Times New Roman" w:eastAsia="宋体" w:cs="Times New Roman"/>
                <w:color w:val="000000"/>
                <w:kern w:val="0"/>
                <w:sz w:val="21"/>
                <w:szCs w:val="21"/>
              </w:rPr>
            </w:pPr>
          </w:p>
        </w:tc>
        <w:tc>
          <w:tcPr>
            <w:tcW w:w="661" w:type="pct"/>
            <w:vMerge w:val="continue"/>
            <w:shd w:val="clear" w:color="auto" w:fill="auto"/>
            <w:noWrap w:val="0"/>
            <w:vAlign w:val="center"/>
          </w:tcPr>
          <w:p w14:paraId="720708BE">
            <w:pPr>
              <w:adjustRightInd w:val="0"/>
              <w:snapToGrid w:val="0"/>
              <w:jc w:val="center"/>
              <w:rPr>
                <w:rFonts w:hint="default" w:ascii="Times New Roman" w:hAnsi="Times New Roman" w:eastAsia="宋体" w:cs="Times New Roman"/>
                <w:color w:val="000000"/>
                <w:kern w:val="0"/>
                <w:sz w:val="21"/>
                <w:szCs w:val="21"/>
              </w:rPr>
            </w:pPr>
          </w:p>
        </w:tc>
        <w:tc>
          <w:tcPr>
            <w:tcW w:w="710" w:type="pct"/>
            <w:vMerge w:val="continue"/>
            <w:shd w:val="clear" w:color="auto" w:fill="auto"/>
            <w:noWrap w:val="0"/>
            <w:vAlign w:val="center"/>
          </w:tcPr>
          <w:p w14:paraId="078E482B">
            <w:pPr>
              <w:adjustRightInd w:val="0"/>
              <w:snapToGrid w:val="0"/>
              <w:jc w:val="center"/>
              <w:rPr>
                <w:rFonts w:hint="default" w:ascii="Times New Roman" w:hAnsi="Times New Roman" w:eastAsia="宋体" w:cs="Times New Roman"/>
                <w:color w:val="000000"/>
                <w:kern w:val="0"/>
                <w:sz w:val="21"/>
                <w:szCs w:val="21"/>
              </w:rPr>
            </w:pPr>
          </w:p>
        </w:tc>
        <w:tc>
          <w:tcPr>
            <w:tcW w:w="694" w:type="pct"/>
            <w:shd w:val="clear" w:color="auto" w:fill="auto"/>
            <w:noWrap w:val="0"/>
            <w:vAlign w:val="center"/>
          </w:tcPr>
          <w:p w14:paraId="4BA679A0">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mg/m</w:t>
            </w:r>
            <w:r>
              <w:rPr>
                <w:rFonts w:hint="default" w:ascii="Times New Roman" w:hAnsi="Times New Roman" w:eastAsia="宋体" w:cs="Times New Roman"/>
                <w:color w:val="000000"/>
                <w:kern w:val="0"/>
                <w:sz w:val="21"/>
                <w:szCs w:val="21"/>
                <w:vertAlign w:val="superscript"/>
              </w:rPr>
              <w:t>3</w:t>
            </w:r>
          </w:p>
        </w:tc>
        <w:tc>
          <w:tcPr>
            <w:tcW w:w="628" w:type="pct"/>
            <w:shd w:val="clear" w:color="auto" w:fill="auto"/>
            <w:noWrap w:val="0"/>
            <w:vAlign w:val="center"/>
          </w:tcPr>
          <w:p w14:paraId="5D30D88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631" w:type="pct"/>
            <w:shd w:val="clear" w:color="auto" w:fill="auto"/>
            <w:noWrap w:val="0"/>
            <w:vAlign w:val="center"/>
          </w:tcPr>
          <w:p w14:paraId="5D946E05">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r>
      <w:tr w14:paraId="0EB17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shd w:val="clear" w:color="auto" w:fill="FFFFFF"/>
            <w:noWrap w:val="0"/>
            <w:vAlign w:val="center"/>
          </w:tcPr>
          <w:p w14:paraId="6056A3CD">
            <w:pPr>
              <w:adjustRightInd w:val="0"/>
              <w:snapToGrid w:val="0"/>
              <w:jc w:val="center"/>
              <w:rPr>
                <w:rFonts w:hint="default" w:ascii="Times New Roman" w:hAnsi="Times New Roman" w:eastAsia="宋体" w:cs="Times New Roman"/>
                <w:color w:val="000000"/>
                <w:sz w:val="21"/>
                <w:szCs w:val="21"/>
                <w:lang w:val="en-US"/>
              </w:rPr>
            </w:pPr>
            <w:r>
              <w:rPr>
                <w:rFonts w:hint="eastAsia" w:eastAsia="宋体" w:cs="Times New Roman"/>
                <w:color w:val="000000"/>
                <w:sz w:val="21"/>
                <w:szCs w:val="21"/>
                <w:lang w:val="en-US" w:eastAsia="zh-CN"/>
              </w:rPr>
              <w:t>木工车间</w:t>
            </w:r>
          </w:p>
        </w:tc>
        <w:tc>
          <w:tcPr>
            <w:tcW w:w="661" w:type="pct"/>
            <w:shd w:val="clear" w:color="auto" w:fill="FFFFFF"/>
            <w:noWrap w:val="0"/>
            <w:vAlign w:val="center"/>
          </w:tcPr>
          <w:p w14:paraId="09072E58">
            <w:pPr>
              <w:adjustRightInd w:val="0"/>
              <w:snapToGrid w:val="0"/>
              <w:jc w:val="center"/>
              <w:rPr>
                <w:rFonts w:hint="default" w:ascii="Times New Roman" w:hAnsi="Times New Roman" w:eastAsia="宋体" w:cs="Times New Roman"/>
                <w:color w:val="000000"/>
                <w:kern w:val="0"/>
                <w:sz w:val="21"/>
                <w:szCs w:val="21"/>
                <w:lang w:val="en-US"/>
              </w:rPr>
            </w:pPr>
            <w:r>
              <w:rPr>
                <w:rFonts w:hint="eastAsia"/>
                <w:color w:val="000000"/>
                <w:sz w:val="21"/>
                <w:szCs w:val="21"/>
                <w:lang w:val="en-US" w:eastAsia="zh-CN"/>
              </w:rPr>
              <w:t>6500</w:t>
            </w:r>
          </w:p>
        </w:tc>
        <w:tc>
          <w:tcPr>
            <w:tcW w:w="710" w:type="pct"/>
            <w:shd w:val="clear" w:color="auto" w:fill="FFFFFF"/>
            <w:noWrap w:val="0"/>
            <w:vAlign w:val="center"/>
          </w:tcPr>
          <w:p w14:paraId="73617B2C">
            <w:pPr>
              <w:adjustRightInd w:val="0"/>
              <w:snapToGrid w:val="0"/>
              <w:jc w:val="center"/>
              <w:rPr>
                <w:rFonts w:hint="default" w:ascii="Times New Roman" w:hAnsi="Times New Roman" w:eastAsia="宋体" w:cs="Times New Roman"/>
                <w:color w:val="000000"/>
                <w:kern w:val="0"/>
                <w:sz w:val="21"/>
                <w:szCs w:val="21"/>
              </w:rPr>
            </w:pPr>
            <w:r>
              <w:rPr>
                <w:rFonts w:hint="eastAsia" w:eastAsia="宋体" w:cs="Times New Roman"/>
                <w:color w:val="000000"/>
                <w:kern w:val="0"/>
                <w:sz w:val="21"/>
                <w:szCs w:val="21"/>
                <w:lang w:val="en-US" w:eastAsia="zh-CN"/>
              </w:rPr>
              <w:t>颗粒物</w:t>
            </w:r>
          </w:p>
        </w:tc>
        <w:tc>
          <w:tcPr>
            <w:tcW w:w="694" w:type="pct"/>
            <w:shd w:val="clear" w:color="auto" w:fill="auto"/>
            <w:noWrap w:val="0"/>
            <w:vAlign w:val="center"/>
          </w:tcPr>
          <w:p w14:paraId="7018F026">
            <w:pPr>
              <w:widowControl/>
              <w:jc w:val="center"/>
              <w:textAlignment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110.769</w:t>
            </w:r>
          </w:p>
        </w:tc>
        <w:tc>
          <w:tcPr>
            <w:tcW w:w="628" w:type="pct"/>
            <w:shd w:val="clear" w:color="auto" w:fill="auto"/>
            <w:noWrap w:val="0"/>
            <w:vAlign w:val="center"/>
          </w:tcPr>
          <w:p w14:paraId="141F1EA2">
            <w:pPr>
              <w:widowControl/>
              <w:jc w:val="center"/>
              <w:textAlignment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0.720</w:t>
            </w:r>
          </w:p>
        </w:tc>
        <w:tc>
          <w:tcPr>
            <w:tcW w:w="631" w:type="pct"/>
            <w:shd w:val="clear" w:color="auto" w:fill="auto"/>
            <w:noWrap w:val="0"/>
            <w:vAlign w:val="center"/>
          </w:tcPr>
          <w:p w14:paraId="277AE276">
            <w:pPr>
              <w:jc w:val="center"/>
              <w:rPr>
                <w:rFonts w:hint="default" w:ascii="Times New Roman" w:hAnsi="Times New Roman" w:eastAsia="宋体" w:cs="Times New Roman"/>
                <w:color w:val="000000"/>
                <w:sz w:val="21"/>
                <w:szCs w:val="21"/>
                <w:lang w:val="en-US"/>
              </w:rPr>
            </w:pPr>
            <w:r>
              <w:rPr>
                <w:rFonts w:hint="eastAsia"/>
                <w:color w:val="000000"/>
                <w:sz w:val="21"/>
                <w:szCs w:val="21"/>
                <w:lang w:val="en-US" w:eastAsia="zh-CN"/>
              </w:rPr>
              <w:t>0.432</w:t>
            </w:r>
          </w:p>
        </w:tc>
      </w:tr>
      <w:tr w14:paraId="19B3E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shd w:val="clear" w:color="auto" w:fill="FFFFFF"/>
            <w:noWrap w:val="0"/>
            <w:vAlign w:val="center"/>
          </w:tcPr>
          <w:p w14:paraId="4424B538">
            <w:pPr>
              <w:adjustRightInd w:val="0"/>
              <w:snapToGrid w:val="0"/>
              <w:jc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1#打磨房</w:t>
            </w:r>
          </w:p>
        </w:tc>
        <w:tc>
          <w:tcPr>
            <w:tcW w:w="661" w:type="pct"/>
            <w:shd w:val="clear" w:color="auto" w:fill="FFFFFF"/>
            <w:noWrap w:val="0"/>
            <w:vAlign w:val="center"/>
          </w:tcPr>
          <w:p w14:paraId="2CDA9FC4">
            <w:pPr>
              <w:adjustRightInd w:val="0"/>
              <w:snapToGrid w:val="0"/>
              <w:jc w:val="center"/>
              <w:rPr>
                <w:rFonts w:hint="default" w:eastAsia="仿宋_GB2312"/>
                <w:color w:val="000000"/>
                <w:sz w:val="21"/>
                <w:szCs w:val="21"/>
                <w:lang w:val="en-US" w:eastAsia="zh-CN"/>
              </w:rPr>
            </w:pPr>
            <w:r>
              <w:rPr>
                <w:rFonts w:hint="eastAsia"/>
                <w:color w:val="000000"/>
                <w:sz w:val="21"/>
                <w:szCs w:val="21"/>
                <w:lang w:val="en-US" w:eastAsia="zh-CN"/>
              </w:rPr>
              <w:t>16000</w:t>
            </w:r>
          </w:p>
        </w:tc>
        <w:tc>
          <w:tcPr>
            <w:tcW w:w="710" w:type="pct"/>
            <w:shd w:val="clear" w:color="auto" w:fill="FFFFFF"/>
            <w:noWrap w:val="0"/>
            <w:vAlign w:val="center"/>
          </w:tcPr>
          <w:p w14:paraId="34342C95">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694" w:type="pct"/>
            <w:shd w:val="clear" w:color="auto" w:fill="auto"/>
            <w:noWrap w:val="0"/>
            <w:vAlign w:val="center"/>
          </w:tcPr>
          <w:p w14:paraId="04094D20">
            <w:pPr>
              <w:widowControl/>
              <w:jc w:val="center"/>
              <w:textAlignment w:val="center"/>
              <w:rPr>
                <w:rFonts w:hint="default"/>
                <w:color w:val="000000"/>
                <w:sz w:val="21"/>
                <w:szCs w:val="21"/>
                <w:lang w:val="en-US" w:eastAsia="zh-CN"/>
              </w:rPr>
            </w:pPr>
            <w:r>
              <w:rPr>
                <w:rFonts w:hint="eastAsia"/>
                <w:color w:val="000000"/>
                <w:sz w:val="21"/>
                <w:szCs w:val="21"/>
                <w:lang w:val="en-US" w:eastAsia="zh-CN"/>
              </w:rPr>
              <w:t>56.125</w:t>
            </w:r>
          </w:p>
        </w:tc>
        <w:tc>
          <w:tcPr>
            <w:tcW w:w="628" w:type="pct"/>
            <w:shd w:val="clear" w:color="auto" w:fill="auto"/>
            <w:noWrap w:val="0"/>
            <w:vAlign w:val="center"/>
          </w:tcPr>
          <w:p w14:paraId="6A4EC72B">
            <w:pPr>
              <w:widowControl/>
              <w:jc w:val="center"/>
              <w:textAlignment w:val="center"/>
              <w:rPr>
                <w:rFonts w:hint="default"/>
                <w:color w:val="000000"/>
                <w:sz w:val="21"/>
                <w:szCs w:val="21"/>
                <w:lang w:val="en-US" w:eastAsia="zh-CN"/>
              </w:rPr>
            </w:pPr>
            <w:r>
              <w:rPr>
                <w:rFonts w:hint="eastAsia"/>
                <w:color w:val="000000"/>
                <w:sz w:val="21"/>
                <w:szCs w:val="21"/>
                <w:lang w:val="en-US" w:eastAsia="zh-CN"/>
              </w:rPr>
              <w:t>0.898</w:t>
            </w:r>
          </w:p>
        </w:tc>
        <w:tc>
          <w:tcPr>
            <w:tcW w:w="631" w:type="pct"/>
            <w:shd w:val="clear" w:color="auto" w:fill="auto"/>
            <w:noWrap w:val="0"/>
            <w:vAlign w:val="center"/>
          </w:tcPr>
          <w:p w14:paraId="2DB9D959">
            <w:pPr>
              <w:jc w:val="center"/>
              <w:rPr>
                <w:rFonts w:hint="default"/>
                <w:color w:val="000000"/>
                <w:sz w:val="21"/>
                <w:szCs w:val="21"/>
                <w:lang w:val="en-US" w:eastAsia="zh-CN"/>
              </w:rPr>
            </w:pPr>
            <w:r>
              <w:rPr>
                <w:rFonts w:hint="eastAsia"/>
                <w:color w:val="000000"/>
                <w:sz w:val="21"/>
                <w:szCs w:val="21"/>
                <w:lang w:val="en-US" w:eastAsia="zh-CN"/>
              </w:rPr>
              <w:t>0.311</w:t>
            </w:r>
          </w:p>
        </w:tc>
      </w:tr>
      <w:tr w14:paraId="7A00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566" w:hRule="atLeast"/>
          <w:jc w:val="center"/>
        </w:trPr>
        <w:tc>
          <w:tcPr>
            <w:tcW w:w="1556" w:type="pct"/>
            <w:vMerge w:val="restart"/>
            <w:shd w:val="clear" w:color="auto" w:fill="auto"/>
            <w:noWrap w:val="0"/>
            <w:vAlign w:val="center"/>
          </w:tcPr>
          <w:p w14:paraId="639961B5">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14:paraId="589587DC">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14:paraId="233F5C42">
            <w:pPr>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14:paraId="01487990">
            <w:pPr>
              <w:adjustRightInd w:val="0"/>
              <w:snapToGrid w:val="0"/>
              <w:jc w:val="center"/>
              <w:rPr>
                <w:rFonts w:hint="eastAsia" w:ascii="宋体" w:hAnsi="宋体" w:eastAsia="宋体" w:cs="宋体"/>
                <w:kern w:val="0"/>
                <w:sz w:val="21"/>
                <w:szCs w:val="21"/>
              </w:rPr>
            </w:pPr>
            <w:r>
              <w:rPr>
                <w:rFonts w:hint="eastAsia" w:ascii="Times New Roman" w:hAnsi="Times New Roman" w:eastAsia="宋体" w:cs="Times New Roman"/>
                <w:kern w:val="0"/>
                <w:sz w:val="21"/>
                <w:szCs w:val="21"/>
                <w:lang w:val="en-US" w:eastAsia="zh-CN"/>
              </w:rPr>
              <w:t>1#底漆晾干房</w:t>
            </w:r>
          </w:p>
        </w:tc>
        <w:tc>
          <w:tcPr>
            <w:tcW w:w="661" w:type="pct"/>
            <w:vMerge w:val="restart"/>
            <w:shd w:val="clear" w:color="auto" w:fill="auto"/>
            <w:noWrap w:val="0"/>
            <w:vAlign w:val="center"/>
          </w:tcPr>
          <w:p w14:paraId="7E8A3EA7">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37500</w:t>
            </w:r>
          </w:p>
        </w:tc>
        <w:tc>
          <w:tcPr>
            <w:tcW w:w="710" w:type="pct"/>
            <w:shd w:val="clear" w:color="auto" w:fill="auto"/>
            <w:noWrap w:val="0"/>
            <w:vAlign w:val="center"/>
          </w:tcPr>
          <w:p w14:paraId="471E0C6C">
            <w:pPr>
              <w:widowControl/>
              <w:jc w:val="center"/>
              <w:rPr>
                <w:rFonts w:hint="eastAsia" w:ascii="Times New Roman" w:hAnsi="Times New Roman" w:eastAsia="宋体" w:cs="Times New Roman"/>
                <w:spacing w:val="-4"/>
                <w:kern w:val="0"/>
                <w:sz w:val="21"/>
                <w:szCs w:val="21"/>
                <w:lang w:eastAsia="zh-CN"/>
              </w:rPr>
            </w:pPr>
            <w:r>
              <w:rPr>
                <w:rFonts w:hint="eastAsia" w:eastAsia="宋体" w:cs="Times New Roman"/>
                <w:color w:val="000000"/>
                <w:kern w:val="0"/>
                <w:sz w:val="21"/>
                <w:szCs w:val="21"/>
                <w:lang w:val="en-US" w:eastAsia="zh-CN"/>
              </w:rPr>
              <w:t>颗粒物</w:t>
            </w:r>
          </w:p>
        </w:tc>
        <w:tc>
          <w:tcPr>
            <w:tcW w:w="694" w:type="pct"/>
            <w:shd w:val="clear" w:color="auto" w:fill="auto"/>
            <w:noWrap w:val="0"/>
            <w:vAlign w:val="center"/>
          </w:tcPr>
          <w:p w14:paraId="1B7EFD5D">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116.34</w:t>
            </w:r>
          </w:p>
        </w:tc>
        <w:tc>
          <w:tcPr>
            <w:tcW w:w="628" w:type="pct"/>
            <w:shd w:val="clear" w:color="auto" w:fill="auto"/>
            <w:noWrap w:val="0"/>
            <w:vAlign w:val="center"/>
          </w:tcPr>
          <w:p w14:paraId="4161FA26">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4.363</w:t>
            </w:r>
          </w:p>
        </w:tc>
        <w:tc>
          <w:tcPr>
            <w:tcW w:w="631" w:type="pct"/>
            <w:shd w:val="clear" w:color="auto" w:fill="auto"/>
            <w:noWrap w:val="0"/>
            <w:vAlign w:val="center"/>
          </w:tcPr>
          <w:p w14:paraId="584653D9">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3.027</w:t>
            </w:r>
          </w:p>
        </w:tc>
      </w:tr>
      <w:tr w14:paraId="53BAE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shd w:val="clear" w:color="auto" w:fill="auto"/>
            <w:noWrap w:val="0"/>
            <w:vAlign w:val="center"/>
          </w:tcPr>
          <w:p w14:paraId="51B6DA98">
            <w:pPr>
              <w:adjustRightInd w:val="0"/>
              <w:snapToGrid w:val="0"/>
              <w:jc w:val="center"/>
              <w:rPr>
                <w:rFonts w:hint="eastAsia" w:ascii="宋体" w:hAnsi="宋体" w:eastAsia="宋体" w:cs="宋体"/>
                <w:kern w:val="0"/>
                <w:sz w:val="21"/>
                <w:szCs w:val="21"/>
              </w:rPr>
            </w:pPr>
          </w:p>
        </w:tc>
        <w:tc>
          <w:tcPr>
            <w:tcW w:w="661" w:type="pct"/>
            <w:vMerge w:val="continue"/>
            <w:shd w:val="clear" w:color="auto" w:fill="auto"/>
            <w:noWrap w:val="0"/>
            <w:vAlign w:val="center"/>
          </w:tcPr>
          <w:p w14:paraId="1208F0CA">
            <w:pPr>
              <w:adjustRightInd w:val="0"/>
              <w:snapToGrid w:val="0"/>
              <w:jc w:val="center"/>
              <w:rPr>
                <w:rFonts w:hint="default" w:ascii="Times New Roman" w:hAnsi="Times New Roman" w:eastAsia="宋体" w:cs="Times New Roman"/>
                <w:kern w:val="0"/>
                <w:sz w:val="21"/>
                <w:szCs w:val="21"/>
              </w:rPr>
            </w:pPr>
          </w:p>
        </w:tc>
        <w:tc>
          <w:tcPr>
            <w:tcW w:w="710" w:type="pct"/>
            <w:shd w:val="clear" w:color="auto" w:fill="auto"/>
            <w:noWrap w:val="0"/>
            <w:vAlign w:val="center"/>
          </w:tcPr>
          <w:p w14:paraId="7C4E6E6E">
            <w:pPr>
              <w:widowControl/>
              <w:jc w:val="center"/>
              <w:rPr>
                <w:rFonts w:hint="eastAsia" w:ascii="Times New Roman" w:hAnsi="Times New Roman" w:eastAsia="宋体" w:cs="Times New Roman"/>
                <w:kern w:val="0"/>
                <w:sz w:val="21"/>
                <w:szCs w:val="21"/>
                <w:lang w:eastAsia="zh-CN"/>
              </w:rPr>
            </w:pPr>
            <w:r>
              <w:rPr>
                <w:rFonts w:hint="eastAsia" w:eastAsia="宋体" w:cs="Times New Roman"/>
                <w:color w:val="000000"/>
                <w:kern w:val="0"/>
                <w:sz w:val="21"/>
                <w:szCs w:val="21"/>
                <w:lang w:val="en-US" w:eastAsia="zh-CN"/>
              </w:rPr>
              <w:t>TVOC</w:t>
            </w:r>
          </w:p>
        </w:tc>
        <w:tc>
          <w:tcPr>
            <w:tcW w:w="694" w:type="pct"/>
            <w:shd w:val="clear" w:color="auto" w:fill="auto"/>
            <w:noWrap w:val="0"/>
            <w:vAlign w:val="center"/>
          </w:tcPr>
          <w:p w14:paraId="0EA7480D">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71.22</w:t>
            </w:r>
          </w:p>
        </w:tc>
        <w:tc>
          <w:tcPr>
            <w:tcW w:w="628" w:type="pct"/>
            <w:shd w:val="clear" w:color="auto" w:fill="auto"/>
            <w:noWrap w:val="0"/>
            <w:vAlign w:val="center"/>
          </w:tcPr>
          <w:p w14:paraId="5BCA5587">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2.671</w:t>
            </w:r>
          </w:p>
        </w:tc>
        <w:tc>
          <w:tcPr>
            <w:tcW w:w="631" w:type="pct"/>
            <w:shd w:val="clear" w:color="auto" w:fill="auto"/>
            <w:noWrap w:val="0"/>
            <w:vAlign w:val="center"/>
          </w:tcPr>
          <w:p w14:paraId="4C6260E1">
            <w:pPr>
              <w:widowControl/>
              <w:jc w:val="center"/>
              <w:rPr>
                <w:rFonts w:hint="default" w:ascii="Times New Roman" w:hAnsi="Times New Roman" w:eastAsia="宋体" w:cs="Times New Roman"/>
                <w:kern w:val="0"/>
                <w:sz w:val="21"/>
                <w:szCs w:val="21"/>
              </w:rPr>
            </w:pPr>
            <w:r>
              <w:rPr>
                <w:rFonts w:hint="eastAsia"/>
                <w:color w:val="000000"/>
                <w:sz w:val="21"/>
                <w:szCs w:val="21"/>
                <w:lang w:val="en-US" w:eastAsia="zh-CN"/>
              </w:rPr>
              <w:t>2.399</w:t>
            </w:r>
          </w:p>
        </w:tc>
      </w:tr>
      <w:tr w14:paraId="106B6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shd w:val="clear" w:color="auto" w:fill="auto"/>
            <w:noWrap w:val="0"/>
            <w:vAlign w:val="center"/>
          </w:tcPr>
          <w:p w14:paraId="1138470D">
            <w:pPr>
              <w:adjustRightInd w:val="0"/>
              <w:snapToGrid w:val="0"/>
              <w:jc w:val="center"/>
              <w:rPr>
                <w:rFonts w:hint="default" w:ascii="宋体" w:hAnsi="宋体" w:eastAsia="宋体" w:cs="宋体"/>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661" w:type="pct"/>
            <w:shd w:val="clear" w:color="auto" w:fill="auto"/>
            <w:noWrap w:val="0"/>
            <w:vAlign w:val="center"/>
          </w:tcPr>
          <w:p w14:paraId="5FD9F729">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6000</w:t>
            </w:r>
          </w:p>
        </w:tc>
        <w:tc>
          <w:tcPr>
            <w:tcW w:w="710" w:type="pct"/>
            <w:shd w:val="clear" w:color="auto" w:fill="auto"/>
            <w:noWrap w:val="0"/>
            <w:vAlign w:val="center"/>
          </w:tcPr>
          <w:p w14:paraId="26C3B5FF">
            <w:pPr>
              <w:widowControl/>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694" w:type="pct"/>
            <w:shd w:val="clear" w:color="auto" w:fill="auto"/>
            <w:noWrap w:val="0"/>
            <w:vAlign w:val="center"/>
          </w:tcPr>
          <w:p w14:paraId="67260E06">
            <w:pPr>
              <w:widowControl/>
              <w:jc w:val="center"/>
              <w:rPr>
                <w:rFonts w:hint="default" w:eastAsia="仿宋_GB2312"/>
                <w:color w:val="000000"/>
                <w:sz w:val="21"/>
                <w:szCs w:val="21"/>
                <w:lang w:val="en-US" w:eastAsia="zh-CN"/>
              </w:rPr>
            </w:pPr>
            <w:r>
              <w:rPr>
                <w:rFonts w:hint="eastAsia"/>
                <w:color w:val="000000"/>
                <w:sz w:val="21"/>
                <w:szCs w:val="21"/>
                <w:lang w:val="en-US" w:eastAsia="zh-CN"/>
              </w:rPr>
              <w:t>53.904</w:t>
            </w:r>
          </w:p>
        </w:tc>
        <w:tc>
          <w:tcPr>
            <w:tcW w:w="628" w:type="pct"/>
            <w:shd w:val="clear" w:color="auto" w:fill="auto"/>
            <w:noWrap w:val="0"/>
            <w:vAlign w:val="center"/>
          </w:tcPr>
          <w:p w14:paraId="05A96C60">
            <w:pPr>
              <w:widowControl/>
              <w:jc w:val="center"/>
              <w:rPr>
                <w:rFonts w:hint="default" w:eastAsia="仿宋_GB2312"/>
                <w:color w:val="000000"/>
                <w:sz w:val="21"/>
                <w:szCs w:val="21"/>
                <w:lang w:val="en-US" w:eastAsia="zh-CN"/>
              </w:rPr>
            </w:pPr>
            <w:r>
              <w:rPr>
                <w:rFonts w:hint="eastAsia"/>
                <w:color w:val="000000"/>
                <w:sz w:val="21"/>
                <w:szCs w:val="21"/>
                <w:lang w:val="en-US" w:eastAsia="zh-CN"/>
              </w:rPr>
              <w:t>0.431</w:t>
            </w:r>
          </w:p>
        </w:tc>
        <w:tc>
          <w:tcPr>
            <w:tcW w:w="631" w:type="pct"/>
            <w:shd w:val="clear" w:color="auto" w:fill="auto"/>
            <w:noWrap w:val="0"/>
            <w:vAlign w:val="center"/>
          </w:tcPr>
          <w:p w14:paraId="0CD700A4">
            <w:pPr>
              <w:widowControl/>
              <w:jc w:val="center"/>
              <w:rPr>
                <w:rFonts w:hint="default" w:eastAsia="仿宋_GB2312"/>
                <w:color w:val="000000"/>
                <w:sz w:val="21"/>
                <w:szCs w:val="21"/>
                <w:lang w:val="en-US" w:eastAsia="zh-CN"/>
              </w:rPr>
            </w:pPr>
            <w:r>
              <w:rPr>
                <w:rFonts w:hint="eastAsia"/>
                <w:color w:val="000000"/>
                <w:sz w:val="21"/>
                <w:szCs w:val="21"/>
                <w:lang w:val="en-US" w:eastAsia="zh-CN"/>
              </w:rPr>
              <w:t>0.185</w:t>
            </w:r>
          </w:p>
        </w:tc>
      </w:tr>
      <w:tr w14:paraId="69982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529" w:hRule="atLeast"/>
          <w:jc w:val="center"/>
        </w:trPr>
        <w:tc>
          <w:tcPr>
            <w:tcW w:w="1556" w:type="pct"/>
            <w:vMerge w:val="restart"/>
            <w:shd w:val="clear" w:color="auto" w:fill="auto"/>
            <w:noWrap w:val="0"/>
            <w:vAlign w:val="center"/>
          </w:tcPr>
          <w:p w14:paraId="0EBAB73D">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14:paraId="3C1A8D5A">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14:paraId="47657E5C">
            <w:pPr>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14:paraId="5181C00D">
            <w:pPr>
              <w:adjustRightInd w:val="0"/>
              <w:snapToGrid w:val="0"/>
              <w:jc w:val="center"/>
              <w:rPr>
                <w:rFonts w:hint="eastAsia" w:ascii="宋体" w:hAnsi="宋体" w:eastAsia="宋体" w:cs="宋体"/>
                <w:kern w:val="0"/>
                <w:sz w:val="21"/>
                <w:szCs w:val="21"/>
                <w:lang w:val="en-US" w:eastAsia="zh-CN"/>
              </w:rPr>
            </w:pPr>
            <w:r>
              <w:rPr>
                <w:rFonts w:hint="default" w:ascii="Times New Roman" w:hAnsi="Times New Roman" w:eastAsia="宋体" w:cs="Times New Roman"/>
                <w:kern w:val="0"/>
                <w:sz w:val="21"/>
                <w:szCs w:val="21"/>
              </w:rPr>
              <w:t>2#底漆晾干房</w:t>
            </w:r>
          </w:p>
        </w:tc>
        <w:tc>
          <w:tcPr>
            <w:tcW w:w="661" w:type="pct"/>
            <w:vMerge w:val="restart"/>
            <w:shd w:val="clear" w:color="auto" w:fill="auto"/>
            <w:noWrap w:val="0"/>
            <w:vAlign w:val="center"/>
          </w:tcPr>
          <w:p w14:paraId="7574332D">
            <w:pPr>
              <w:adjustRightInd w:val="0"/>
              <w:snapToGrid w:val="0"/>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35500</w:t>
            </w:r>
          </w:p>
        </w:tc>
        <w:tc>
          <w:tcPr>
            <w:tcW w:w="710" w:type="pct"/>
            <w:shd w:val="clear" w:color="auto" w:fill="auto"/>
            <w:noWrap w:val="0"/>
            <w:vAlign w:val="center"/>
          </w:tcPr>
          <w:p w14:paraId="0B16E524">
            <w:pPr>
              <w:widowControl/>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颗粒物</w:t>
            </w:r>
          </w:p>
        </w:tc>
        <w:tc>
          <w:tcPr>
            <w:tcW w:w="694" w:type="pct"/>
            <w:shd w:val="clear" w:color="auto" w:fill="auto"/>
            <w:noWrap w:val="0"/>
            <w:vAlign w:val="center"/>
          </w:tcPr>
          <w:p w14:paraId="52A35F68">
            <w:pPr>
              <w:widowControl/>
              <w:jc w:val="center"/>
              <w:rPr>
                <w:rFonts w:hint="default" w:eastAsia="仿宋_GB2312"/>
                <w:color w:val="000000"/>
                <w:sz w:val="21"/>
                <w:szCs w:val="21"/>
                <w:lang w:val="en-US" w:eastAsia="zh-CN"/>
              </w:rPr>
            </w:pPr>
            <w:r>
              <w:rPr>
                <w:rFonts w:hint="eastAsia"/>
                <w:color w:val="000000"/>
                <w:sz w:val="21"/>
                <w:szCs w:val="21"/>
                <w:lang w:val="en-US" w:eastAsia="zh-CN"/>
              </w:rPr>
              <w:t>122.90</w:t>
            </w:r>
          </w:p>
        </w:tc>
        <w:tc>
          <w:tcPr>
            <w:tcW w:w="628" w:type="pct"/>
            <w:shd w:val="clear" w:color="auto" w:fill="auto"/>
            <w:noWrap w:val="0"/>
            <w:vAlign w:val="center"/>
          </w:tcPr>
          <w:p w14:paraId="599EC6AD">
            <w:pPr>
              <w:widowControl/>
              <w:jc w:val="center"/>
              <w:rPr>
                <w:rFonts w:hint="default" w:eastAsia="仿宋_GB2312"/>
                <w:color w:val="000000"/>
                <w:sz w:val="21"/>
                <w:szCs w:val="21"/>
                <w:lang w:val="en-US" w:eastAsia="zh-CN"/>
              </w:rPr>
            </w:pPr>
            <w:r>
              <w:rPr>
                <w:rFonts w:hint="eastAsia"/>
                <w:color w:val="000000"/>
                <w:sz w:val="21"/>
                <w:szCs w:val="21"/>
                <w:lang w:val="en-US" w:eastAsia="zh-CN"/>
              </w:rPr>
              <w:t>4.363</w:t>
            </w:r>
          </w:p>
        </w:tc>
        <w:tc>
          <w:tcPr>
            <w:tcW w:w="631" w:type="pct"/>
            <w:shd w:val="clear" w:color="auto" w:fill="auto"/>
            <w:noWrap w:val="0"/>
            <w:vAlign w:val="center"/>
          </w:tcPr>
          <w:p w14:paraId="3C0A3867">
            <w:pPr>
              <w:widowControl/>
              <w:jc w:val="center"/>
              <w:rPr>
                <w:rFonts w:hint="default" w:eastAsia="仿宋_GB2312"/>
                <w:color w:val="000000"/>
                <w:sz w:val="21"/>
                <w:szCs w:val="21"/>
                <w:lang w:val="en-US" w:eastAsia="zh-CN"/>
              </w:rPr>
            </w:pPr>
            <w:r>
              <w:rPr>
                <w:rFonts w:hint="eastAsia"/>
                <w:color w:val="000000"/>
                <w:sz w:val="21"/>
                <w:szCs w:val="21"/>
                <w:lang w:val="en-US" w:eastAsia="zh-CN"/>
              </w:rPr>
              <w:t>3.207</w:t>
            </w:r>
          </w:p>
        </w:tc>
      </w:tr>
      <w:tr w14:paraId="788FE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17" w:type="pct"/>
          <w:trHeight w:val="375" w:hRule="atLeast"/>
          <w:jc w:val="center"/>
        </w:trPr>
        <w:tc>
          <w:tcPr>
            <w:tcW w:w="1556" w:type="pct"/>
            <w:vMerge w:val="continue"/>
            <w:tcBorders>
              <w:bottom w:val="single" w:color="auto" w:sz="12" w:space="0"/>
            </w:tcBorders>
            <w:shd w:val="clear" w:color="auto" w:fill="auto"/>
            <w:noWrap w:val="0"/>
            <w:vAlign w:val="center"/>
          </w:tcPr>
          <w:p w14:paraId="2C6F074A">
            <w:pPr>
              <w:adjustRightInd w:val="0"/>
              <w:snapToGrid w:val="0"/>
              <w:jc w:val="center"/>
              <w:rPr>
                <w:rFonts w:hint="eastAsia" w:ascii="宋体" w:hAnsi="宋体" w:eastAsia="宋体" w:cs="宋体"/>
                <w:kern w:val="0"/>
                <w:sz w:val="21"/>
                <w:szCs w:val="21"/>
                <w:lang w:val="en-US" w:eastAsia="zh-CN"/>
              </w:rPr>
            </w:pPr>
          </w:p>
        </w:tc>
        <w:tc>
          <w:tcPr>
            <w:tcW w:w="661" w:type="pct"/>
            <w:vMerge w:val="continue"/>
            <w:tcBorders>
              <w:bottom w:val="single" w:color="auto" w:sz="12" w:space="0"/>
            </w:tcBorders>
            <w:shd w:val="clear" w:color="auto" w:fill="auto"/>
            <w:noWrap w:val="0"/>
            <w:vAlign w:val="center"/>
          </w:tcPr>
          <w:p w14:paraId="4069BF8C">
            <w:pPr>
              <w:adjustRightInd w:val="0"/>
              <w:snapToGrid w:val="0"/>
              <w:jc w:val="center"/>
              <w:rPr>
                <w:rFonts w:hint="default" w:ascii="Times New Roman" w:hAnsi="Times New Roman" w:eastAsia="宋体" w:cs="Times New Roman"/>
                <w:kern w:val="0"/>
                <w:sz w:val="21"/>
                <w:szCs w:val="21"/>
                <w:lang w:val="en-US" w:eastAsia="zh-CN"/>
              </w:rPr>
            </w:pPr>
          </w:p>
        </w:tc>
        <w:tc>
          <w:tcPr>
            <w:tcW w:w="710" w:type="pct"/>
            <w:tcBorders>
              <w:bottom w:val="single" w:color="auto" w:sz="12" w:space="0"/>
            </w:tcBorders>
            <w:shd w:val="clear" w:color="auto" w:fill="auto"/>
            <w:noWrap w:val="0"/>
            <w:vAlign w:val="center"/>
          </w:tcPr>
          <w:p w14:paraId="176803B5">
            <w:pPr>
              <w:widowControl/>
              <w:jc w:val="center"/>
              <w:rPr>
                <w:rFonts w:hint="eastAsia" w:ascii="Times New Roman" w:hAnsi="Times New Roman" w:eastAsia="宋体" w:cs="Times New Roman"/>
                <w:kern w:val="0"/>
                <w:sz w:val="21"/>
                <w:szCs w:val="21"/>
                <w:lang w:eastAsia="zh-CN"/>
              </w:rPr>
            </w:pPr>
            <w:r>
              <w:rPr>
                <w:rFonts w:hint="eastAsia" w:eastAsia="宋体" w:cs="Times New Roman"/>
                <w:color w:val="000000"/>
                <w:kern w:val="0"/>
                <w:sz w:val="21"/>
                <w:szCs w:val="21"/>
                <w:lang w:val="en-US" w:eastAsia="zh-CN"/>
              </w:rPr>
              <w:t>TVOC</w:t>
            </w:r>
          </w:p>
        </w:tc>
        <w:tc>
          <w:tcPr>
            <w:tcW w:w="694" w:type="pct"/>
            <w:tcBorders>
              <w:bottom w:val="single" w:color="auto" w:sz="12" w:space="0"/>
            </w:tcBorders>
            <w:shd w:val="clear" w:color="auto" w:fill="auto"/>
            <w:noWrap w:val="0"/>
            <w:vAlign w:val="center"/>
          </w:tcPr>
          <w:p w14:paraId="095FD552">
            <w:pPr>
              <w:widowControl/>
              <w:jc w:val="center"/>
              <w:textAlignment w:val="center"/>
              <w:rPr>
                <w:rFonts w:hint="default" w:ascii="Times New Roman" w:hAnsi="Times New Roman" w:eastAsia="宋体" w:cs="Times New Roman"/>
                <w:kern w:val="0"/>
                <w:sz w:val="21"/>
                <w:szCs w:val="21"/>
              </w:rPr>
            </w:pPr>
            <w:r>
              <w:rPr>
                <w:rFonts w:hint="eastAsia"/>
                <w:color w:val="000000"/>
                <w:sz w:val="21"/>
                <w:szCs w:val="21"/>
                <w:lang w:val="en-US" w:eastAsia="zh-CN"/>
              </w:rPr>
              <w:t>75.23</w:t>
            </w:r>
          </w:p>
        </w:tc>
        <w:tc>
          <w:tcPr>
            <w:tcW w:w="628" w:type="pct"/>
            <w:tcBorders>
              <w:bottom w:val="single" w:color="auto" w:sz="12" w:space="0"/>
            </w:tcBorders>
            <w:shd w:val="clear" w:color="auto" w:fill="auto"/>
            <w:noWrap w:val="0"/>
            <w:vAlign w:val="center"/>
          </w:tcPr>
          <w:p w14:paraId="6A2D33CB">
            <w:pPr>
              <w:jc w:val="center"/>
              <w:rPr>
                <w:rFonts w:hint="default" w:ascii="Times New Roman" w:hAnsi="Times New Roman" w:eastAsia="宋体" w:cs="Times New Roman"/>
                <w:kern w:val="0"/>
                <w:sz w:val="21"/>
                <w:szCs w:val="21"/>
              </w:rPr>
            </w:pPr>
            <w:r>
              <w:rPr>
                <w:rFonts w:hint="eastAsia"/>
                <w:color w:val="000000"/>
                <w:kern w:val="0"/>
                <w:sz w:val="21"/>
                <w:szCs w:val="21"/>
                <w:lang w:val="en-US" w:eastAsia="zh-CN"/>
              </w:rPr>
              <w:t>2.671</w:t>
            </w:r>
          </w:p>
        </w:tc>
        <w:tc>
          <w:tcPr>
            <w:tcW w:w="631" w:type="pct"/>
            <w:tcBorders>
              <w:bottom w:val="single" w:color="auto" w:sz="12" w:space="0"/>
            </w:tcBorders>
            <w:shd w:val="clear" w:color="auto" w:fill="auto"/>
            <w:noWrap w:val="0"/>
            <w:vAlign w:val="center"/>
          </w:tcPr>
          <w:p w14:paraId="0329B21D">
            <w:pPr>
              <w:adjustRightInd w:val="0"/>
              <w:snapToGrid w:val="0"/>
              <w:jc w:val="center"/>
              <w:rPr>
                <w:rFonts w:hint="default" w:ascii="Times New Roman" w:hAnsi="Times New Roman" w:eastAsia="宋体" w:cs="Times New Roman"/>
                <w:kern w:val="0"/>
                <w:sz w:val="21"/>
                <w:szCs w:val="21"/>
              </w:rPr>
            </w:pPr>
            <w:r>
              <w:rPr>
                <w:rFonts w:hint="eastAsia"/>
                <w:color w:val="000000"/>
                <w:kern w:val="0"/>
                <w:sz w:val="21"/>
                <w:szCs w:val="21"/>
                <w:lang w:val="en-US" w:eastAsia="zh-CN"/>
              </w:rPr>
              <w:t>2.399</w:t>
            </w:r>
          </w:p>
        </w:tc>
      </w:tr>
    </w:tbl>
    <w:p w14:paraId="0713A433">
      <w:pPr>
        <w:adjustRightInd w:val="0"/>
        <w:snapToGrid w:val="0"/>
        <w:spacing w:line="500" w:lineRule="exact"/>
        <w:ind w:firstLine="480" w:firstLineChars="200"/>
        <w:rPr>
          <w:rFonts w:ascii="宋体" w:hAnsi="宋体" w:eastAsia="宋体" w:cs="宋体"/>
          <w:color w:val="0000FF"/>
          <w:szCs w:val="28"/>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员工发现超标事故至关闭生产设备时间为</w:t>
      </w:r>
      <w:r>
        <w:rPr>
          <w:rFonts w:eastAsia="宋体"/>
          <w:color w:val="000000" w:themeColor="text1"/>
          <w:szCs w:val="28"/>
          <w14:textFill>
            <w14:solidFill>
              <w14:schemeClr w14:val="tx1"/>
            </w14:solidFill>
          </w14:textFill>
        </w:rPr>
        <w:t>15分钟，即超标排放时间为15分钟，</w:t>
      </w:r>
      <w:r>
        <w:rPr>
          <w:rFonts w:eastAsia="宋体"/>
          <w:color w:val="000000" w:themeColor="text1"/>
          <w14:textFill>
            <w14:solidFill>
              <w14:schemeClr w14:val="tx1"/>
            </w14:solidFill>
          </w14:textFill>
        </w:rPr>
        <w:t>各类污染物</w:t>
      </w:r>
      <w:r>
        <w:rPr>
          <w:rFonts w:eastAsia="宋体"/>
          <w:color w:val="000000" w:themeColor="text1"/>
          <w:szCs w:val="28"/>
          <w14:textFill>
            <w14:solidFill>
              <w14:schemeClr w14:val="tx1"/>
            </w14:solidFill>
          </w14:textFill>
        </w:rPr>
        <w:t>的泄漏源强见表</w:t>
      </w:r>
      <w:r>
        <w:rPr>
          <w:rFonts w:hint="eastAsia" w:eastAsia="宋体"/>
          <w:color w:val="000000" w:themeColor="text1"/>
          <w:szCs w:val="28"/>
          <w14:textFill>
            <w14:solidFill>
              <w14:schemeClr w14:val="tx1"/>
            </w14:solidFill>
          </w14:textFill>
        </w:rPr>
        <w:t>4-</w:t>
      </w:r>
      <w:r>
        <w:rPr>
          <w:rFonts w:hint="eastAsia" w:eastAsia="宋体"/>
          <w:color w:val="000000" w:themeColor="text1"/>
          <w:szCs w:val="28"/>
          <w:lang w:val="en-US" w:eastAsia="zh-CN"/>
          <w14:textFill>
            <w14:solidFill>
              <w14:schemeClr w14:val="tx1"/>
            </w14:solidFill>
          </w14:textFill>
        </w:rPr>
        <w:t>5</w:t>
      </w:r>
      <w:r>
        <w:rPr>
          <w:rFonts w:hint="eastAsia" w:eastAsia="宋体"/>
          <w:color w:val="000000" w:themeColor="text1"/>
          <w:szCs w:val="28"/>
          <w14:textFill>
            <w14:solidFill>
              <w14:schemeClr w14:val="tx1"/>
            </w14:solidFill>
          </w14:textFill>
        </w:rPr>
        <w:t>。</w:t>
      </w:r>
    </w:p>
    <w:p w14:paraId="5D0BACC2">
      <w:pPr>
        <w:adjustRightInd w:val="0"/>
        <w:snapToGrid w:val="0"/>
        <w:spacing w:line="500" w:lineRule="exact"/>
        <w:jc w:val="center"/>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表</w:t>
      </w:r>
      <w:r>
        <w:rPr>
          <w:rFonts w:hint="eastAsia" w:eastAsia="宋体"/>
          <w:b/>
          <w:bCs/>
          <w:color w:val="000000" w:themeColor="text1"/>
          <w14:textFill>
            <w14:solidFill>
              <w14:schemeClr w14:val="tx1"/>
            </w14:solidFill>
          </w14:textFill>
        </w:rPr>
        <w:t>4-</w:t>
      </w:r>
      <w:r>
        <w:rPr>
          <w:rFonts w:hint="eastAsia" w:eastAsia="宋体"/>
          <w:b/>
          <w:bCs/>
          <w:color w:val="000000" w:themeColor="text1"/>
          <w:lang w:val="en-US" w:eastAsia="zh-CN"/>
          <w14:textFill>
            <w14:solidFill>
              <w14:schemeClr w14:val="tx1"/>
            </w14:solidFill>
          </w14:textFill>
        </w:rPr>
        <w:t xml:space="preserve">5 </w:t>
      </w:r>
      <w:r>
        <w:rPr>
          <w:rFonts w:eastAsia="宋体"/>
          <w:b/>
          <w:bCs/>
          <w:color w:val="000000" w:themeColor="text1"/>
          <w:szCs w:val="28"/>
          <w14:textFill>
            <w14:solidFill>
              <w14:schemeClr w14:val="tx1"/>
            </w14:solidFill>
          </w14:textFill>
        </w:rPr>
        <w:t>15分钟</w:t>
      </w:r>
      <w:r>
        <w:rPr>
          <w:rFonts w:hint="eastAsia" w:eastAsia="宋体"/>
          <w:b/>
          <w:bCs/>
          <w:color w:val="000000" w:themeColor="text1"/>
          <w:szCs w:val="28"/>
          <w14:textFill>
            <w14:solidFill>
              <w14:schemeClr w14:val="tx1"/>
            </w14:solidFill>
          </w14:textFill>
        </w:rPr>
        <w:t>内废气产生情况一览表</w:t>
      </w:r>
    </w:p>
    <w:tbl>
      <w:tblPr>
        <w:tblStyle w:val="38"/>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82"/>
        <w:gridCol w:w="1436"/>
        <w:gridCol w:w="1544"/>
        <w:gridCol w:w="1508"/>
        <w:gridCol w:w="1365"/>
      </w:tblGrid>
      <w:tr w14:paraId="7C63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69" w:hRule="atLeast"/>
          <w:jc w:val="center"/>
        </w:trPr>
        <w:tc>
          <w:tcPr>
            <w:tcW w:w="1784" w:type="pct"/>
            <w:vMerge w:val="restart"/>
            <w:shd w:val="clear" w:color="auto" w:fill="auto"/>
            <w:noWrap w:val="0"/>
            <w:vAlign w:val="center"/>
          </w:tcPr>
          <w:p w14:paraId="52713398">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757" w:type="pct"/>
            <w:vMerge w:val="restart"/>
            <w:shd w:val="clear" w:color="auto" w:fill="auto"/>
            <w:noWrap w:val="0"/>
            <w:vAlign w:val="center"/>
          </w:tcPr>
          <w:p w14:paraId="6036936B">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51DA7210">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814" w:type="pct"/>
            <w:vMerge w:val="restart"/>
            <w:shd w:val="clear" w:color="auto" w:fill="auto"/>
            <w:noWrap w:val="0"/>
            <w:vAlign w:val="center"/>
          </w:tcPr>
          <w:p w14:paraId="2F3184CE">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296ED759">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1515" w:type="pct"/>
            <w:gridSpan w:val="2"/>
            <w:shd w:val="clear" w:color="auto" w:fill="auto"/>
            <w:noWrap w:val="0"/>
            <w:vAlign w:val="center"/>
          </w:tcPr>
          <w:p w14:paraId="488A62A5">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26889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shd w:val="clear" w:color="auto" w:fill="auto"/>
            <w:noWrap w:val="0"/>
            <w:vAlign w:val="center"/>
          </w:tcPr>
          <w:p w14:paraId="6533FFE0">
            <w:pPr>
              <w:adjustRightInd w:val="0"/>
              <w:snapToGrid w:val="0"/>
              <w:jc w:val="center"/>
              <w:rPr>
                <w:rFonts w:hint="default" w:ascii="Times New Roman" w:hAnsi="Times New Roman" w:eastAsia="宋体" w:cs="Times New Roman"/>
                <w:color w:val="000000"/>
                <w:kern w:val="0"/>
                <w:sz w:val="21"/>
                <w:szCs w:val="21"/>
              </w:rPr>
            </w:pPr>
          </w:p>
        </w:tc>
        <w:tc>
          <w:tcPr>
            <w:tcW w:w="757" w:type="pct"/>
            <w:vMerge w:val="continue"/>
            <w:shd w:val="clear" w:color="auto" w:fill="auto"/>
            <w:noWrap w:val="0"/>
            <w:vAlign w:val="center"/>
          </w:tcPr>
          <w:p w14:paraId="7B09B966">
            <w:pPr>
              <w:adjustRightInd w:val="0"/>
              <w:snapToGrid w:val="0"/>
              <w:jc w:val="center"/>
              <w:rPr>
                <w:rFonts w:hint="default" w:ascii="Times New Roman" w:hAnsi="Times New Roman" w:eastAsia="宋体" w:cs="Times New Roman"/>
                <w:color w:val="000000"/>
                <w:kern w:val="0"/>
                <w:sz w:val="21"/>
                <w:szCs w:val="21"/>
              </w:rPr>
            </w:pPr>
          </w:p>
        </w:tc>
        <w:tc>
          <w:tcPr>
            <w:tcW w:w="814" w:type="pct"/>
            <w:vMerge w:val="continue"/>
            <w:shd w:val="clear" w:color="auto" w:fill="auto"/>
            <w:noWrap w:val="0"/>
            <w:vAlign w:val="center"/>
          </w:tcPr>
          <w:p w14:paraId="546F3DB4">
            <w:pPr>
              <w:adjustRightInd w:val="0"/>
              <w:snapToGrid w:val="0"/>
              <w:jc w:val="center"/>
              <w:rPr>
                <w:rFonts w:hint="default" w:ascii="Times New Roman" w:hAnsi="Times New Roman" w:eastAsia="宋体" w:cs="Times New Roman"/>
                <w:color w:val="000000"/>
                <w:kern w:val="0"/>
                <w:sz w:val="21"/>
                <w:szCs w:val="21"/>
              </w:rPr>
            </w:pPr>
          </w:p>
        </w:tc>
        <w:tc>
          <w:tcPr>
            <w:tcW w:w="795" w:type="pct"/>
            <w:shd w:val="clear" w:color="auto" w:fill="auto"/>
            <w:noWrap w:val="0"/>
            <w:vAlign w:val="center"/>
          </w:tcPr>
          <w:p w14:paraId="6D2A8A14">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720" w:type="pct"/>
            <w:shd w:val="clear" w:color="auto" w:fill="auto"/>
            <w:noWrap w:val="0"/>
            <w:vAlign w:val="center"/>
          </w:tcPr>
          <w:p w14:paraId="4483E02A">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4A3AB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shd w:val="clear" w:color="auto" w:fill="auto"/>
            <w:noWrap w:val="0"/>
            <w:vAlign w:val="center"/>
          </w:tcPr>
          <w:p w14:paraId="5C9CD259">
            <w:pPr>
              <w:adjustRightInd w:val="0"/>
              <w:snapToGrid w:val="0"/>
              <w:jc w:val="center"/>
              <w:rPr>
                <w:rFonts w:hint="default" w:ascii="Times New Roman" w:hAnsi="Times New Roman" w:eastAsia="宋体" w:cs="Times New Roman"/>
                <w:color w:val="000000"/>
                <w:kern w:val="0"/>
                <w:sz w:val="21"/>
                <w:szCs w:val="21"/>
              </w:rPr>
            </w:pPr>
          </w:p>
        </w:tc>
        <w:tc>
          <w:tcPr>
            <w:tcW w:w="757" w:type="pct"/>
            <w:vMerge w:val="continue"/>
            <w:shd w:val="clear" w:color="auto" w:fill="auto"/>
            <w:noWrap w:val="0"/>
            <w:vAlign w:val="center"/>
          </w:tcPr>
          <w:p w14:paraId="521E4CC3">
            <w:pPr>
              <w:adjustRightInd w:val="0"/>
              <w:snapToGrid w:val="0"/>
              <w:jc w:val="center"/>
              <w:rPr>
                <w:rFonts w:hint="default" w:ascii="Times New Roman" w:hAnsi="Times New Roman" w:eastAsia="宋体" w:cs="Times New Roman"/>
                <w:color w:val="000000"/>
                <w:kern w:val="0"/>
                <w:sz w:val="21"/>
                <w:szCs w:val="21"/>
              </w:rPr>
            </w:pPr>
          </w:p>
        </w:tc>
        <w:tc>
          <w:tcPr>
            <w:tcW w:w="814" w:type="pct"/>
            <w:vMerge w:val="continue"/>
            <w:shd w:val="clear" w:color="auto" w:fill="auto"/>
            <w:noWrap w:val="0"/>
            <w:vAlign w:val="center"/>
          </w:tcPr>
          <w:p w14:paraId="4CB6D3E5">
            <w:pPr>
              <w:adjustRightInd w:val="0"/>
              <w:snapToGrid w:val="0"/>
              <w:jc w:val="center"/>
              <w:rPr>
                <w:rFonts w:hint="default" w:ascii="Times New Roman" w:hAnsi="Times New Roman" w:eastAsia="宋体" w:cs="Times New Roman"/>
                <w:color w:val="000000"/>
                <w:kern w:val="0"/>
                <w:sz w:val="21"/>
                <w:szCs w:val="21"/>
              </w:rPr>
            </w:pPr>
          </w:p>
        </w:tc>
        <w:tc>
          <w:tcPr>
            <w:tcW w:w="795" w:type="pct"/>
            <w:shd w:val="clear" w:color="auto" w:fill="auto"/>
            <w:noWrap w:val="0"/>
            <w:vAlign w:val="center"/>
          </w:tcPr>
          <w:p w14:paraId="76AB95C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720" w:type="pct"/>
            <w:shd w:val="clear" w:color="auto" w:fill="auto"/>
            <w:noWrap w:val="0"/>
            <w:vAlign w:val="center"/>
          </w:tcPr>
          <w:p w14:paraId="0B5718A5">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2EEA5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shd w:val="clear" w:color="auto" w:fill="FFFFFF"/>
            <w:noWrap w:val="0"/>
            <w:vAlign w:val="center"/>
          </w:tcPr>
          <w:p w14:paraId="3E783B0B">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757" w:type="pct"/>
            <w:shd w:val="clear" w:color="auto" w:fill="FFFFFF"/>
            <w:noWrap w:val="0"/>
            <w:vAlign w:val="center"/>
          </w:tcPr>
          <w:p w14:paraId="5855D84C">
            <w:pPr>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6500</w:t>
            </w:r>
          </w:p>
        </w:tc>
        <w:tc>
          <w:tcPr>
            <w:tcW w:w="814" w:type="pct"/>
            <w:shd w:val="clear" w:color="auto" w:fill="FFFFFF"/>
            <w:noWrap w:val="0"/>
            <w:vAlign w:val="center"/>
          </w:tcPr>
          <w:p w14:paraId="6DFE7D5C">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795" w:type="pct"/>
            <w:shd w:val="clear" w:color="auto" w:fill="auto"/>
            <w:noWrap w:val="0"/>
            <w:vAlign w:val="center"/>
          </w:tcPr>
          <w:p w14:paraId="20EA2D79">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0.720</w:t>
            </w:r>
          </w:p>
        </w:tc>
        <w:tc>
          <w:tcPr>
            <w:tcW w:w="720" w:type="pct"/>
            <w:shd w:val="clear" w:color="auto" w:fill="auto"/>
            <w:noWrap w:val="0"/>
            <w:vAlign w:val="center"/>
          </w:tcPr>
          <w:p w14:paraId="1B6A282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0.18</w:t>
            </w:r>
          </w:p>
        </w:tc>
      </w:tr>
      <w:tr w14:paraId="559E5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shd w:val="clear" w:color="auto" w:fill="FFFFFF"/>
            <w:noWrap w:val="0"/>
            <w:vAlign w:val="center"/>
          </w:tcPr>
          <w:p w14:paraId="6B2B16BB">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757" w:type="pct"/>
            <w:shd w:val="clear" w:color="auto" w:fill="FFFFFF"/>
            <w:noWrap w:val="0"/>
            <w:vAlign w:val="center"/>
          </w:tcPr>
          <w:p w14:paraId="584B5408">
            <w:pPr>
              <w:adjustRightInd w:val="0"/>
              <w:snapToGrid w:val="0"/>
              <w:jc w:val="center"/>
              <w:rPr>
                <w:rFonts w:hint="eastAsia"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16000</w:t>
            </w:r>
          </w:p>
        </w:tc>
        <w:tc>
          <w:tcPr>
            <w:tcW w:w="814" w:type="pct"/>
            <w:shd w:val="clear" w:color="auto" w:fill="FFFFFF"/>
            <w:noWrap w:val="0"/>
            <w:vAlign w:val="center"/>
          </w:tcPr>
          <w:p w14:paraId="7EAA3534">
            <w:pPr>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795" w:type="pct"/>
            <w:shd w:val="clear" w:color="auto" w:fill="auto"/>
            <w:noWrap w:val="0"/>
            <w:vAlign w:val="center"/>
          </w:tcPr>
          <w:p w14:paraId="71F29B77">
            <w:pPr>
              <w:widowControl/>
              <w:jc w:val="center"/>
              <w:textAlignment w:val="center"/>
              <w:rPr>
                <w:rFonts w:hint="eastAsia"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0.898</w:t>
            </w:r>
          </w:p>
        </w:tc>
        <w:tc>
          <w:tcPr>
            <w:tcW w:w="720" w:type="pct"/>
            <w:shd w:val="clear" w:color="auto" w:fill="auto"/>
            <w:noWrap w:val="0"/>
            <w:vAlign w:val="center"/>
          </w:tcPr>
          <w:p w14:paraId="1BFBF130">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0.2245</w:t>
            </w:r>
          </w:p>
        </w:tc>
      </w:tr>
      <w:tr w14:paraId="32496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restart"/>
            <w:shd w:val="clear" w:color="auto" w:fill="auto"/>
            <w:noWrap w:val="0"/>
            <w:vAlign w:val="center"/>
          </w:tcPr>
          <w:p w14:paraId="0EC6A9B6">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14:paraId="3863285C">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14:paraId="3AEA5318">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14:paraId="377D5A8F">
            <w:pPr>
              <w:adjustRightInd/>
              <w:snapToGrid/>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1#底漆晾干房</w:t>
            </w:r>
          </w:p>
        </w:tc>
        <w:tc>
          <w:tcPr>
            <w:tcW w:w="757" w:type="pct"/>
            <w:vMerge w:val="restart"/>
            <w:shd w:val="clear" w:color="auto" w:fill="auto"/>
            <w:noWrap w:val="0"/>
            <w:vAlign w:val="center"/>
          </w:tcPr>
          <w:p w14:paraId="0115CCA7">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37500</w:t>
            </w:r>
          </w:p>
        </w:tc>
        <w:tc>
          <w:tcPr>
            <w:tcW w:w="814" w:type="pct"/>
            <w:shd w:val="clear" w:color="auto" w:fill="auto"/>
            <w:noWrap w:val="0"/>
            <w:vAlign w:val="center"/>
          </w:tcPr>
          <w:p w14:paraId="26CC2632">
            <w:pPr>
              <w:widowControl/>
              <w:jc w:val="center"/>
              <w:rPr>
                <w:rFonts w:hint="default"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795" w:type="pct"/>
            <w:shd w:val="clear" w:color="auto" w:fill="auto"/>
            <w:noWrap w:val="0"/>
            <w:vAlign w:val="center"/>
          </w:tcPr>
          <w:p w14:paraId="05EEF1C8">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4.363</w:t>
            </w:r>
          </w:p>
        </w:tc>
        <w:tc>
          <w:tcPr>
            <w:tcW w:w="720" w:type="pct"/>
            <w:shd w:val="clear" w:color="auto" w:fill="auto"/>
            <w:noWrap w:val="0"/>
            <w:vAlign w:val="center"/>
          </w:tcPr>
          <w:p w14:paraId="0F702BA9">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1.09075</w:t>
            </w:r>
          </w:p>
        </w:tc>
      </w:tr>
      <w:tr w14:paraId="23D82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shd w:val="clear" w:color="auto" w:fill="auto"/>
            <w:noWrap w:val="0"/>
            <w:vAlign w:val="center"/>
          </w:tcPr>
          <w:p w14:paraId="58448281">
            <w:pPr>
              <w:adjustRightInd w:val="0"/>
              <w:snapToGrid w:val="0"/>
              <w:jc w:val="center"/>
              <w:rPr>
                <w:rFonts w:hint="eastAsia" w:ascii="宋体" w:hAnsi="宋体" w:eastAsia="宋体" w:cs="宋体"/>
                <w:color w:val="000000"/>
                <w:kern w:val="0"/>
                <w:sz w:val="21"/>
                <w:szCs w:val="21"/>
              </w:rPr>
            </w:pPr>
          </w:p>
        </w:tc>
        <w:tc>
          <w:tcPr>
            <w:tcW w:w="757" w:type="pct"/>
            <w:vMerge w:val="continue"/>
            <w:shd w:val="clear" w:color="auto" w:fill="auto"/>
            <w:noWrap w:val="0"/>
            <w:vAlign w:val="center"/>
          </w:tcPr>
          <w:p w14:paraId="37D4B61F">
            <w:pPr>
              <w:adjustRightInd w:val="0"/>
              <w:snapToGrid w:val="0"/>
              <w:jc w:val="center"/>
              <w:rPr>
                <w:rFonts w:hint="eastAsia" w:eastAsia="宋体" w:cs="Times New Roman"/>
                <w:kern w:val="0"/>
                <w:sz w:val="21"/>
                <w:szCs w:val="21"/>
                <w:lang w:val="en-US" w:eastAsia="zh-CN"/>
              </w:rPr>
            </w:pPr>
          </w:p>
        </w:tc>
        <w:tc>
          <w:tcPr>
            <w:tcW w:w="814" w:type="pct"/>
            <w:shd w:val="clear" w:color="auto" w:fill="auto"/>
            <w:noWrap w:val="0"/>
            <w:vAlign w:val="center"/>
          </w:tcPr>
          <w:p w14:paraId="47A6FE76">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795" w:type="pct"/>
            <w:shd w:val="clear" w:color="auto" w:fill="auto"/>
            <w:noWrap w:val="0"/>
            <w:vAlign w:val="center"/>
          </w:tcPr>
          <w:p w14:paraId="509A5AAA">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2.671</w:t>
            </w:r>
          </w:p>
        </w:tc>
        <w:tc>
          <w:tcPr>
            <w:tcW w:w="720" w:type="pct"/>
            <w:shd w:val="clear" w:color="auto" w:fill="auto"/>
            <w:noWrap w:val="0"/>
            <w:vAlign w:val="center"/>
          </w:tcPr>
          <w:p w14:paraId="456238A9">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0.66775</w:t>
            </w:r>
          </w:p>
        </w:tc>
      </w:tr>
      <w:tr w14:paraId="7AFC9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shd w:val="clear" w:color="auto" w:fill="auto"/>
            <w:noWrap w:val="0"/>
            <w:vAlign w:val="center"/>
          </w:tcPr>
          <w:p w14:paraId="376864DF">
            <w:pPr>
              <w:adjustRightInd w:val="0"/>
              <w:snapToGrid w:val="0"/>
              <w:jc w:val="center"/>
              <w:rPr>
                <w:rFonts w:hint="eastAsia"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757" w:type="pct"/>
            <w:shd w:val="clear" w:color="auto" w:fill="auto"/>
            <w:noWrap w:val="0"/>
            <w:vAlign w:val="center"/>
          </w:tcPr>
          <w:p w14:paraId="1B65CAC7">
            <w:pPr>
              <w:adjustRightInd w:val="0"/>
              <w:snapToGrid w:val="0"/>
              <w:jc w:val="center"/>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6000</w:t>
            </w:r>
          </w:p>
        </w:tc>
        <w:tc>
          <w:tcPr>
            <w:tcW w:w="814" w:type="pct"/>
            <w:shd w:val="clear" w:color="auto" w:fill="auto"/>
            <w:noWrap w:val="0"/>
            <w:vAlign w:val="center"/>
          </w:tcPr>
          <w:p w14:paraId="46E6BEA6">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795" w:type="pct"/>
            <w:shd w:val="clear" w:color="auto" w:fill="auto"/>
            <w:noWrap w:val="0"/>
            <w:vAlign w:val="center"/>
          </w:tcPr>
          <w:p w14:paraId="1C6CE91C">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0.431</w:t>
            </w:r>
          </w:p>
        </w:tc>
        <w:tc>
          <w:tcPr>
            <w:tcW w:w="720" w:type="pct"/>
            <w:shd w:val="clear" w:color="auto" w:fill="auto"/>
            <w:noWrap w:val="0"/>
            <w:vAlign w:val="center"/>
          </w:tcPr>
          <w:p w14:paraId="04312C99">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0.10775</w:t>
            </w:r>
          </w:p>
        </w:tc>
      </w:tr>
      <w:tr w14:paraId="466FF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restart"/>
            <w:shd w:val="clear" w:color="auto" w:fill="auto"/>
            <w:noWrap w:val="0"/>
            <w:vAlign w:val="center"/>
          </w:tcPr>
          <w:p w14:paraId="225F453A">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14:paraId="0751AEAD">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14:paraId="6C9F700E">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14:paraId="1C7775F1">
            <w:pPr>
              <w:adjustRightInd/>
              <w:snapToGrid/>
              <w:jc w:val="center"/>
              <w:rPr>
                <w:rFonts w:hint="eastAsia"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rPr>
              <w:t>2#底漆晾干房</w:t>
            </w:r>
          </w:p>
        </w:tc>
        <w:tc>
          <w:tcPr>
            <w:tcW w:w="757" w:type="pct"/>
            <w:vMerge w:val="restart"/>
            <w:shd w:val="clear" w:color="auto" w:fill="auto"/>
            <w:noWrap w:val="0"/>
            <w:vAlign w:val="center"/>
          </w:tcPr>
          <w:p w14:paraId="04A329AD">
            <w:pPr>
              <w:adjustRightInd/>
              <w:snapToGrid/>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35500</w:t>
            </w:r>
          </w:p>
        </w:tc>
        <w:tc>
          <w:tcPr>
            <w:tcW w:w="814" w:type="pct"/>
            <w:shd w:val="clear" w:color="auto" w:fill="auto"/>
            <w:noWrap w:val="0"/>
            <w:vAlign w:val="center"/>
          </w:tcPr>
          <w:p w14:paraId="18CCBACC">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795" w:type="pct"/>
            <w:shd w:val="clear" w:color="auto" w:fill="auto"/>
            <w:noWrap w:val="0"/>
            <w:vAlign w:val="center"/>
          </w:tcPr>
          <w:p w14:paraId="57D1DEC3">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4.363</w:t>
            </w:r>
          </w:p>
        </w:tc>
        <w:tc>
          <w:tcPr>
            <w:tcW w:w="720" w:type="pct"/>
            <w:shd w:val="clear" w:color="auto" w:fill="auto"/>
            <w:noWrap w:val="0"/>
            <w:vAlign w:val="center"/>
          </w:tcPr>
          <w:p w14:paraId="31A5ADE4">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1.09075</w:t>
            </w:r>
          </w:p>
        </w:tc>
      </w:tr>
      <w:tr w14:paraId="5F988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After w:w="127" w:type="pct"/>
          <w:trHeight w:val="354" w:hRule="atLeast"/>
          <w:jc w:val="center"/>
        </w:trPr>
        <w:tc>
          <w:tcPr>
            <w:tcW w:w="1784" w:type="pct"/>
            <w:vMerge w:val="continue"/>
            <w:tcBorders>
              <w:bottom w:val="single" w:color="auto" w:sz="12" w:space="0"/>
            </w:tcBorders>
            <w:shd w:val="clear" w:color="auto" w:fill="auto"/>
            <w:noWrap w:val="0"/>
            <w:vAlign w:val="center"/>
          </w:tcPr>
          <w:p w14:paraId="567E79C5">
            <w:pPr>
              <w:adjustRightInd w:val="0"/>
              <w:snapToGrid w:val="0"/>
              <w:jc w:val="center"/>
              <w:rPr>
                <w:rFonts w:hint="eastAsia" w:ascii="Times New Roman" w:hAnsi="Times New Roman" w:eastAsia="宋体" w:cs="Times New Roman"/>
                <w:kern w:val="0"/>
                <w:sz w:val="21"/>
                <w:szCs w:val="21"/>
                <w:lang w:val="en-US" w:eastAsia="zh-CN"/>
              </w:rPr>
            </w:pPr>
          </w:p>
        </w:tc>
        <w:tc>
          <w:tcPr>
            <w:tcW w:w="757" w:type="pct"/>
            <w:vMerge w:val="continue"/>
            <w:tcBorders>
              <w:bottom w:val="single" w:color="auto" w:sz="12" w:space="0"/>
            </w:tcBorders>
            <w:shd w:val="clear" w:color="auto" w:fill="auto"/>
            <w:noWrap w:val="0"/>
            <w:vAlign w:val="center"/>
          </w:tcPr>
          <w:p w14:paraId="4989F16D">
            <w:pPr>
              <w:adjustRightInd w:val="0"/>
              <w:snapToGrid w:val="0"/>
              <w:jc w:val="center"/>
              <w:rPr>
                <w:rFonts w:hint="default" w:ascii="Times New Roman" w:hAnsi="Times New Roman" w:eastAsia="宋体" w:cs="Times New Roman"/>
                <w:kern w:val="0"/>
                <w:sz w:val="21"/>
                <w:szCs w:val="21"/>
                <w:lang w:val="en-US" w:eastAsia="zh-CN"/>
              </w:rPr>
            </w:pPr>
          </w:p>
        </w:tc>
        <w:tc>
          <w:tcPr>
            <w:tcW w:w="814" w:type="pct"/>
            <w:tcBorders>
              <w:bottom w:val="single" w:color="auto" w:sz="12" w:space="0"/>
            </w:tcBorders>
            <w:shd w:val="clear" w:color="auto" w:fill="auto"/>
            <w:noWrap w:val="0"/>
            <w:vAlign w:val="center"/>
          </w:tcPr>
          <w:p w14:paraId="5BBF5150">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795" w:type="pct"/>
            <w:tcBorders>
              <w:bottom w:val="single" w:color="auto" w:sz="12" w:space="0"/>
            </w:tcBorders>
            <w:shd w:val="clear" w:color="auto" w:fill="auto"/>
            <w:noWrap w:val="0"/>
            <w:vAlign w:val="center"/>
          </w:tcPr>
          <w:p w14:paraId="0627828B">
            <w:pPr>
              <w:jc w:val="center"/>
              <w:rPr>
                <w:rFonts w:hint="default" w:ascii="Times New Roman" w:hAnsi="Times New Roman" w:eastAsia="宋体" w:cs="Times New Roman"/>
                <w:kern w:val="0"/>
                <w:sz w:val="21"/>
                <w:szCs w:val="21"/>
                <w:lang w:val="en-US" w:eastAsia="zh-CN" w:bidi="ar-SA"/>
              </w:rPr>
            </w:pPr>
            <w:r>
              <w:rPr>
                <w:rFonts w:hint="eastAsia"/>
                <w:color w:val="000000"/>
                <w:kern w:val="0"/>
                <w:sz w:val="21"/>
                <w:szCs w:val="21"/>
                <w:lang w:val="en-US" w:eastAsia="zh-CN"/>
              </w:rPr>
              <w:t>2.671</w:t>
            </w:r>
          </w:p>
        </w:tc>
        <w:tc>
          <w:tcPr>
            <w:tcW w:w="720" w:type="pct"/>
            <w:tcBorders>
              <w:bottom w:val="single" w:color="auto" w:sz="12" w:space="0"/>
            </w:tcBorders>
            <w:shd w:val="clear" w:color="auto" w:fill="auto"/>
            <w:noWrap w:val="0"/>
            <w:vAlign w:val="center"/>
          </w:tcPr>
          <w:p w14:paraId="66F492F4">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0.66775</w:t>
            </w:r>
          </w:p>
        </w:tc>
      </w:tr>
    </w:tbl>
    <w:p w14:paraId="56A469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综上，木工车间颗粒物泄漏源强为</w:t>
      </w:r>
      <w:r>
        <w:rPr>
          <w:rFonts w:hint="eastAsia" w:eastAsia="宋体" w:cs="Times New Roman"/>
          <w:b w:val="0"/>
          <w:bCs w:val="0"/>
          <w:color w:val="000000" w:themeColor="text1"/>
          <w:lang w:val="en-US" w:eastAsia="zh-CN"/>
          <w14:textFill>
            <w14:solidFill>
              <w14:schemeClr w14:val="tx1"/>
            </w14:solidFill>
          </w14:textFill>
        </w:rPr>
        <w:t>0.720</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1#打磨房颗粒物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0.898</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kg/h，1#底漆房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色面漆房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面漆晾干房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底漆晾干房</w:t>
      </w:r>
      <w:r>
        <w:rPr>
          <w:rFonts w:hint="eastAsia" w:eastAsia="宋体" w:cs="Times New Roman"/>
          <w:b w:val="0"/>
          <w:bCs w:val="0"/>
          <w:color w:val="000000" w:themeColor="text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4.363</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挥发性有机物泄漏源强为</w:t>
      </w:r>
      <w:r>
        <w:rPr>
          <w:rFonts w:hint="eastAsia" w:eastAsia="宋体" w:cs="Times New Roman"/>
          <w:b w:val="0"/>
          <w:bCs w:val="0"/>
          <w:color w:val="000000" w:themeColor="text1"/>
          <w:lang w:val="en-US" w:eastAsia="zh-CN"/>
          <w14:textFill>
            <w14:solidFill>
              <w14:schemeClr w14:val="tx1"/>
            </w14:solidFill>
          </w14:textFill>
        </w:rPr>
        <w:t>2.671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，2#打磨房颗粒物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0.431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色面漆房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面漆晾干房</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底漆晾干房</w:t>
      </w:r>
      <w:r>
        <w:rPr>
          <w:rFonts w:hint="eastAsia" w:eastAsia="宋体" w:cs="Times New Roman"/>
          <w:b w:val="0"/>
          <w:bCs w:val="0"/>
          <w:color w:val="000000" w:themeColor="text1"/>
          <w:lang w:val="en-US" w:eastAsia="zh-CN"/>
          <w14:textFill>
            <w14:solidFill>
              <w14:schemeClr w14:val="tx1"/>
            </w14:solidFill>
          </w14:textFill>
        </w:rPr>
        <w:t>颗粒物</w:t>
      </w:r>
      <w:r>
        <w:rPr>
          <w:rFonts w:hint="default" w:ascii="Times New Roman" w:hAnsi="Times New Roman" w:eastAsia="宋体" w:cs="Times New Roman"/>
          <w:b w:val="0"/>
          <w:bCs w:val="0"/>
          <w:color w:val="000000" w:themeColor="text1"/>
          <w:lang w:val="en-US" w:eastAsia="zh-CN"/>
          <w14:textFill>
            <w14:solidFill>
              <w14:schemeClr w14:val="tx1"/>
            </w14:solidFill>
          </w14:textFill>
        </w:rPr>
        <w:t>泄漏源强为</w:t>
      </w:r>
      <w:r>
        <w:rPr>
          <w:rFonts w:hint="eastAsia" w:eastAsia="宋体" w:cs="Times New Roman"/>
          <w:b w:val="0"/>
          <w:bCs w:val="0"/>
          <w:color w:val="000000" w:themeColor="text1"/>
          <w:lang w:val="en-US" w:eastAsia="zh-CN"/>
          <w14:textFill>
            <w14:solidFill>
              <w14:schemeClr w14:val="tx1"/>
            </w14:solidFill>
          </w14:textFill>
        </w:rPr>
        <w:t>4.363</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eastAsia="宋体" w:cs="Times New Roman"/>
          <w:b w:val="0"/>
          <w:bCs w:val="0"/>
          <w:color w:val="000000" w:themeColor="text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lang w:val="en-US" w:eastAsia="zh-CN"/>
          <w14:textFill>
            <w14:solidFill>
              <w14:schemeClr w14:val="tx1"/>
            </w14:solidFill>
          </w14:textFill>
        </w:rPr>
        <w:t>挥发性有机物泄漏源强为</w:t>
      </w:r>
      <w:r>
        <w:rPr>
          <w:rFonts w:hint="eastAsia" w:eastAsia="宋体" w:cs="Times New Roman"/>
          <w:b w:val="0"/>
          <w:bCs w:val="0"/>
          <w:color w:val="000000" w:themeColor="text1"/>
          <w:lang w:val="en-US" w:eastAsia="zh-CN"/>
          <w14:textFill>
            <w14:solidFill>
              <w14:schemeClr w14:val="tx1"/>
            </w14:solidFill>
          </w14:textFill>
        </w:rPr>
        <w:t>2.671</w:t>
      </w:r>
      <w:r>
        <w:rPr>
          <w:rFonts w:hint="default" w:ascii="Times New Roman" w:hAnsi="Times New Roman" w:eastAsia="宋体" w:cs="Times New Roman"/>
          <w:b w:val="0"/>
          <w:bCs w:val="0"/>
          <w:color w:val="000000" w:themeColor="text1"/>
          <w:lang w:val="en-US" w:eastAsia="zh-CN"/>
          <w14:textFill>
            <w14:solidFill>
              <w14:schemeClr w14:val="tx1"/>
            </w14:solidFill>
          </w14:textFill>
        </w:rPr>
        <w:t>kg/h</w:t>
      </w:r>
      <w:r>
        <w:rPr>
          <w:rFonts w:hint="eastAsia" w:ascii="宋体" w:hAnsi="宋体" w:eastAsia="宋体" w:cs="宋体"/>
          <w:b w:val="0"/>
          <w:bCs w:val="0"/>
          <w:color w:val="000000" w:themeColor="text1"/>
          <w:lang w:val="en-US" w:eastAsia="zh-CN"/>
          <w14:textFill>
            <w14:solidFill>
              <w14:schemeClr w14:val="tx1"/>
            </w14:solidFill>
          </w14:textFill>
        </w:rPr>
        <w:t>。</w:t>
      </w:r>
    </w:p>
    <w:p w14:paraId="14DDE65F">
      <w:pPr>
        <w:pStyle w:val="3"/>
        <w:adjustRightInd w:val="0"/>
        <w:snapToGrid w:val="0"/>
        <w:spacing w:line="500" w:lineRule="exact"/>
        <w:rPr>
          <w:rFonts w:eastAsia="宋体"/>
          <w:color w:val="000000" w:themeColor="text1"/>
          <w:sz w:val="24"/>
          <w:szCs w:val="24"/>
          <w14:textFill>
            <w14:solidFill>
              <w14:schemeClr w14:val="tx1"/>
            </w14:solidFill>
          </w14:textFill>
        </w:rPr>
      </w:pPr>
      <w:bookmarkStart w:id="202" w:name="_Toc5652"/>
      <w:bookmarkStart w:id="203" w:name="_Toc24510"/>
      <w:bookmarkStart w:id="204" w:name="_Toc19941"/>
      <w:bookmarkStart w:id="205" w:name="_Toc10865"/>
      <w:r>
        <w:rPr>
          <w:rFonts w:eastAsia="宋体"/>
          <w:color w:val="000000" w:themeColor="text1"/>
          <w:sz w:val="24"/>
          <w:szCs w:val="24"/>
          <w14:textFill>
            <w14:solidFill>
              <w14:schemeClr w14:val="tx1"/>
            </w14:solidFill>
          </w14:textFill>
        </w:rPr>
        <w:t>4.3释放环境风险物质的扩散途径、涉及环境风险防控与应急措施、应急资源情况分析</w:t>
      </w:r>
      <w:bookmarkEnd w:id="202"/>
      <w:bookmarkEnd w:id="203"/>
      <w:bookmarkEnd w:id="204"/>
      <w:bookmarkEnd w:id="205"/>
    </w:p>
    <w:p w14:paraId="7EDB45FF">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06" w:name="_Toc14674"/>
      <w:bookmarkStart w:id="207" w:name="_Toc20607"/>
      <w:bookmarkStart w:id="208" w:name="_Toc641"/>
      <w:bookmarkStart w:id="209" w:name="_Toc1477"/>
      <w:r>
        <w:rPr>
          <w:rFonts w:eastAsia="宋体"/>
          <w:color w:val="000000" w:themeColor="text1"/>
          <w14:textFill>
            <w14:solidFill>
              <w14:schemeClr w14:val="tx1"/>
            </w14:solidFill>
          </w14:textFill>
        </w:rPr>
        <w:t>4.3.1事件情景1</w:t>
      </w:r>
      <w:bookmarkEnd w:id="206"/>
      <w:bookmarkEnd w:id="207"/>
      <w:bookmarkEnd w:id="208"/>
      <w:bookmarkEnd w:id="209"/>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6D1D6952">
      <w:pPr>
        <w:adjustRightInd w:val="0"/>
        <w:snapToGrid w:val="0"/>
        <w:spacing w:line="500" w:lineRule="exact"/>
        <w:ind w:firstLine="482" w:firstLineChars="200"/>
        <w:rPr>
          <w:rFonts w:eastAsia="宋体"/>
          <w:b/>
          <w:color w:val="000000" w:themeColor="text1"/>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w:t>
      </w:r>
      <w:r>
        <w:rPr>
          <w:rFonts w:eastAsia="宋体"/>
          <w:b/>
          <w:color w:val="000000" w:themeColor="text1"/>
          <w14:textFill>
            <w14:solidFill>
              <w14:schemeClr w14:val="tx1"/>
            </w14:solidFill>
          </w14:textFill>
        </w:rPr>
        <w:t>风险物质的扩散途径</w:t>
      </w:r>
    </w:p>
    <w:p w14:paraId="19894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空气、水体和土壤等环境要素是危险性物质向环境转移的最基本的途径，同时这三种要素之间又随时发生着物质和能量的传递，污染物进入环境后，随着空气和水体环境发生推流迁移、分散稀释和降解转化运动。</w:t>
      </w:r>
    </w:p>
    <w:p w14:paraId="006B783C">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火灾爆炸对周边以热辐射及冲击波形式产</w:t>
      </w:r>
      <w:r>
        <w:rPr>
          <w:rFonts w:eastAsia="宋体"/>
          <w:color w:val="000000" w:themeColor="text1"/>
          <w14:textFill>
            <w14:solidFill>
              <w14:schemeClr w14:val="tx1"/>
            </w14:solidFill>
          </w14:textFill>
        </w:rPr>
        <w:t>生影响，燃烧过程中会产生CO</w:t>
      </w:r>
      <w:r>
        <w:rPr>
          <w:rFonts w:hint="eastAsia" w:eastAsia="宋体"/>
          <w:color w:val="000000" w:themeColor="text1"/>
          <w14:textFill>
            <w14:solidFill>
              <w14:schemeClr w14:val="tx1"/>
            </w14:solidFill>
          </w14:textFill>
        </w:rPr>
        <w:t>等</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产生大量烟尘，</w:t>
      </w:r>
      <w:r>
        <w:rPr>
          <w:rFonts w:eastAsia="宋体"/>
          <w:color w:val="000000" w:themeColor="text1"/>
          <w14:textFill>
            <w14:solidFill>
              <w14:schemeClr w14:val="tx1"/>
            </w14:solidFill>
          </w14:textFill>
        </w:rPr>
        <w:t>对大气环境有一定影响。</w:t>
      </w:r>
    </w:p>
    <w:p w14:paraId="5E48AF99">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4D1C713A">
      <w:pPr>
        <w:adjustRightInd w:val="0"/>
        <w:snapToGrid w:val="0"/>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①假如发现发生火情，最早发现者应立即报告当班调度或公司领导。公司领导接报后，立即通知公司各应急小组成员赶赴现场。</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成员到达现场后，进行火情侦查，确定有无人员被困，灭火前做好</w:t>
      </w:r>
      <w:r>
        <w:rPr>
          <w:rFonts w:hint="eastAsia" w:eastAsiaTheme="minorEastAsia"/>
          <w:color w:val="000000" w:themeColor="text1"/>
          <w14:textFill>
            <w14:solidFill>
              <w14:schemeClr w14:val="tx1"/>
            </w14:solidFill>
          </w14:textFill>
        </w:rPr>
        <w:t>关闭雨水闸控，开启事故应急池闸控</w:t>
      </w:r>
      <w:r>
        <w:rPr>
          <w:rFonts w:eastAsiaTheme="minorEastAsia"/>
          <w:color w:val="000000" w:themeColor="text1"/>
          <w14:textFill>
            <w14:solidFill>
              <w14:schemeClr w14:val="tx1"/>
            </w14:solidFill>
          </w14:textFill>
        </w:rPr>
        <w:t>工作。</w:t>
      </w:r>
      <w:r>
        <w:rPr>
          <w:rFonts w:hint="eastAsia" w:eastAsiaTheme="minorEastAsia"/>
          <w:color w:val="000000" w:themeColor="text1"/>
          <w14:textFill>
            <w14:solidFill>
              <w14:schemeClr w14:val="tx1"/>
            </w14:solidFill>
          </w14:textFill>
        </w:rPr>
        <w:t>现场处置组</w:t>
      </w:r>
      <w:r>
        <w:rPr>
          <w:rFonts w:eastAsiaTheme="minorEastAsia"/>
          <w:color w:val="000000" w:themeColor="text1"/>
          <w14:textFill>
            <w14:solidFill>
              <w14:schemeClr w14:val="tx1"/>
            </w14:solidFill>
          </w14:textFill>
        </w:rPr>
        <w:t>人员戴</w:t>
      </w: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，戴安全防护眼镜，穿</w:t>
      </w:r>
      <w:r>
        <w:rPr>
          <w:rFonts w:hint="eastAsia" w:eastAsiaTheme="minorEastAsia"/>
          <w:color w:val="000000" w:themeColor="text1"/>
          <w14:textFill>
            <w14:solidFill>
              <w14:schemeClr w14:val="tx1"/>
            </w14:solidFill>
          </w14:textFill>
        </w:rPr>
        <w:t>消防服</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防护手套</w:t>
      </w:r>
      <w:r>
        <w:rPr>
          <w:rFonts w:eastAsiaTheme="minorEastAsia"/>
          <w:color w:val="000000" w:themeColor="text1"/>
          <w14:textFill>
            <w14:solidFill>
              <w14:schemeClr w14:val="tx1"/>
            </w14:solidFill>
          </w14:textFill>
        </w:rPr>
        <w:t>，使用生产现场配置的灭火设备，扑灭初期火灾；为防止火势蔓延，在保证生产安全情况下，关停生产设备，拉下电闸。</w:t>
      </w:r>
    </w:p>
    <w:p w14:paraId="4AAE5457">
      <w:pPr>
        <w:adjustRightInd w:val="0"/>
        <w:snapToGrid w:val="0"/>
        <w:spacing w:line="500" w:lineRule="exact"/>
        <w:ind w:firstLine="480" w:firstLineChars="200"/>
        <w:rPr>
          <w:rFonts w:eastAsiaTheme="minorEastAsia"/>
        </w:rPr>
      </w:pPr>
      <w:r>
        <w:rPr>
          <w:rFonts w:eastAsiaTheme="minorEastAsia"/>
        </w:rPr>
        <w:t>②现场管理人员要立即指挥员工搬离火场附近的可燃物，避免火灾区域扩大。</w:t>
      </w:r>
      <w:r>
        <w:rPr>
          <w:rFonts w:hint="eastAsia" w:eastAsiaTheme="minorEastAsia"/>
        </w:rPr>
        <w:t>应急保障组</w:t>
      </w:r>
      <w:r>
        <w:rPr>
          <w:rFonts w:eastAsiaTheme="minorEastAsia"/>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3D60B5D3">
      <w:pPr>
        <w:adjustRightInd w:val="0"/>
        <w:snapToGrid w:val="0"/>
        <w:spacing w:line="500" w:lineRule="exact"/>
        <w:ind w:firstLine="480" w:firstLineChars="200"/>
        <w:rPr>
          <w:rFonts w:hint="eastAsia" w:eastAsiaTheme="minorEastAsia"/>
          <w:lang w:eastAsia="zh-CN"/>
        </w:rPr>
      </w:pPr>
      <w:r>
        <w:rPr>
          <w:rFonts w:eastAsiaTheme="minorEastAsia"/>
        </w:rPr>
        <w:t>③如火势有可能蔓延，提高预警级别，按本预案程序对周围单位和政府发出预警信息。一旦本公司力量不足以控制火势时，</w:t>
      </w:r>
      <w:r>
        <w:rPr>
          <w:rFonts w:hint="eastAsia" w:eastAsiaTheme="minorEastAsia"/>
        </w:rPr>
        <w:t>总经理</w:t>
      </w:r>
      <w:r>
        <w:rPr>
          <w:rFonts w:eastAsiaTheme="minorEastAsia"/>
        </w:rPr>
        <w:t>下令全公司全部停止，将所有人员疏散到厂区外安全地带，并进行隔离，严格限制出入，等待救援。当事件已经或可能对</w:t>
      </w:r>
      <w:r>
        <w:rPr>
          <w:rFonts w:hint="eastAsia" w:eastAsiaTheme="minorEastAsia"/>
        </w:rPr>
        <w:t>公司</w:t>
      </w:r>
      <w:r>
        <w:rPr>
          <w:rFonts w:eastAsiaTheme="minorEastAsia"/>
        </w:rPr>
        <w:t>外环境造成影响时，应经上级政府批准后由有权部门向环境突发事件可能影响的区域通报突发事件的情况，包括事件的产生、处理情况，对周围群众可能造成的影响，并给出合适的建议来确保周围群众的安全。</w:t>
      </w:r>
    </w:p>
    <w:p w14:paraId="552E803C">
      <w:pPr>
        <w:adjustRightInd w:val="0"/>
        <w:snapToGrid w:val="0"/>
        <w:spacing w:line="500" w:lineRule="exact"/>
        <w:ind w:firstLine="480" w:firstLineChars="200"/>
        <w:rPr>
          <w:rFonts w:eastAsiaTheme="minorEastAsia"/>
        </w:rPr>
      </w:pPr>
      <w:r>
        <w:rPr>
          <w:rFonts w:eastAsiaTheme="minorEastAsia"/>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28B15C00">
      <w:pPr>
        <w:adjustRightInd w:val="0"/>
        <w:snapToGrid w:val="0"/>
        <w:spacing w:line="500" w:lineRule="exact"/>
        <w:ind w:firstLine="480" w:firstLineChars="200"/>
        <w:rPr>
          <w:rFonts w:eastAsiaTheme="minorEastAsia"/>
        </w:rPr>
      </w:pPr>
      <w:r>
        <w:rPr>
          <w:rFonts w:eastAsiaTheme="minorEastAsia"/>
        </w:rPr>
        <w:t>⑤灭火过程产生的废物，如受污染的砂土等应收集送资质单位处置。</w:t>
      </w:r>
      <w:r>
        <w:rPr>
          <w:rFonts w:hint="eastAsia" w:eastAsiaTheme="minorEastAsia"/>
        </w:rPr>
        <w:t>消防水</w:t>
      </w:r>
      <w:r>
        <w:rPr>
          <w:rFonts w:eastAsiaTheme="minorEastAsia"/>
        </w:rPr>
        <w:t>经雨水管网</w:t>
      </w:r>
      <w:r>
        <w:rPr>
          <w:rFonts w:hint="eastAsia" w:eastAsiaTheme="minorEastAsia"/>
        </w:rPr>
        <w:t>排入</w:t>
      </w:r>
      <w:r>
        <w:rPr>
          <w:rFonts w:eastAsiaTheme="minorEastAsia"/>
        </w:rPr>
        <w:t>厂内事故应急池，再分批进行处置。</w:t>
      </w:r>
    </w:p>
    <w:p w14:paraId="181B2E49">
      <w:pPr>
        <w:spacing w:line="500" w:lineRule="exact"/>
        <w:ind w:firstLine="480" w:firstLineChars="200"/>
        <w:rPr>
          <w:color w:val="000000" w:themeColor="text1"/>
          <w14:textFill>
            <w14:solidFill>
              <w14:schemeClr w14:val="tx1"/>
            </w14:solidFill>
          </w14:textFill>
        </w:rPr>
      </w:pPr>
      <w:r>
        <w:rPr>
          <w:rFonts w:eastAsiaTheme="minorEastAsia"/>
        </w:rPr>
        <w:t>⑥灭火工作应采取“先控制、后消灭”的原则，集中力量切断火势蔓延途径，将火势控制在一定的范围内，防止火势向主生产区、主生产设备、易燃易爆物品、人员集中场所</w:t>
      </w:r>
      <w:r>
        <w:rPr>
          <w:rFonts w:eastAsiaTheme="minorEastAsia"/>
          <w:color w:val="000000" w:themeColor="text1"/>
          <w14:textFill>
            <w14:solidFill>
              <w14:schemeClr w14:val="tx1"/>
            </w14:solidFill>
          </w14:textFill>
        </w:rPr>
        <w:t>、重要建筑等蔓延。</w:t>
      </w:r>
    </w:p>
    <w:p w14:paraId="4836C58E">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2CBA663">
      <w:pPr>
        <w:adjustRightInd w:val="0"/>
        <w:snapToGrid w:val="0"/>
        <w:spacing w:line="500" w:lineRule="exact"/>
        <w:ind w:firstLine="480" w:firstLineChars="200"/>
        <w:rPr>
          <w:rFonts w:eastAsiaTheme="minorEastAsia"/>
        </w:rPr>
      </w:pPr>
      <w:bookmarkStart w:id="210" w:name="_Toc2270"/>
      <w:r>
        <w:rPr>
          <w:rFonts w:hint="eastAsia" w:eastAsiaTheme="minorEastAsia"/>
        </w:rPr>
        <w:t>防毒面具</w:t>
      </w:r>
      <w:r>
        <w:rPr>
          <w:rFonts w:eastAsiaTheme="minorEastAsia"/>
        </w:rPr>
        <w:t>，</w:t>
      </w:r>
      <w:r>
        <w:rPr>
          <w:rFonts w:hint="eastAsia" w:eastAsiaTheme="minorEastAsia"/>
        </w:rPr>
        <w:t>消防服</w:t>
      </w:r>
      <w:r>
        <w:rPr>
          <w:rFonts w:eastAsiaTheme="minorEastAsia"/>
        </w:rPr>
        <w:t>，</w:t>
      </w:r>
      <w:r>
        <w:rPr>
          <w:rFonts w:hint="eastAsia" w:eastAsiaTheme="minorEastAsia"/>
        </w:rPr>
        <w:t>挖土工具如铁锹，</w:t>
      </w:r>
      <w:r>
        <w:rPr>
          <w:rFonts w:eastAsiaTheme="minorEastAsia"/>
        </w:rPr>
        <w:t>砂土、灭火器等。</w:t>
      </w:r>
      <w:bookmarkEnd w:id="210"/>
    </w:p>
    <w:p w14:paraId="5037B068">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1" w:name="_Toc18972"/>
      <w:bookmarkStart w:id="212" w:name="_Toc5056"/>
      <w:bookmarkStart w:id="213" w:name="_Toc28688"/>
      <w:bookmarkStart w:id="214" w:name="_Toc10339"/>
      <w:r>
        <w:rPr>
          <w:rFonts w:eastAsia="宋体"/>
          <w:color w:val="000000" w:themeColor="text1"/>
          <w14:textFill>
            <w14:solidFill>
              <w14:schemeClr w14:val="tx1"/>
            </w14:solidFill>
          </w14:textFill>
        </w:rPr>
        <w:t>4.3.2事件情景</w:t>
      </w:r>
      <w:bookmarkEnd w:id="211"/>
      <w:bookmarkEnd w:id="212"/>
      <w:bookmarkEnd w:id="213"/>
      <w:bookmarkEnd w:id="214"/>
      <w:r>
        <w:rPr>
          <w:rFonts w:hint="eastAsia" w:eastAsia="宋体"/>
          <w:color w:val="000000" w:themeColor="text1"/>
          <w:lang w:val="en-US" w:eastAsia="zh-CN"/>
          <w14:textFill>
            <w14:solidFill>
              <w14:schemeClr w14:val="tx1"/>
            </w14:solidFill>
          </w14:textFill>
        </w:rPr>
        <w:t>6、9、11</w:t>
      </w:r>
    </w:p>
    <w:p w14:paraId="61FD206A">
      <w:pPr>
        <w:adjustRightInd w:val="0"/>
        <w:snapToGrid w:val="0"/>
        <w:spacing w:line="500" w:lineRule="exact"/>
        <w:ind w:firstLine="482" w:firstLineChars="200"/>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A.废水外排事故</w:t>
      </w:r>
    </w:p>
    <w:p w14:paraId="31C2D39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（1）风险物质的扩散途径</w:t>
      </w:r>
    </w:p>
    <w:p w14:paraId="29093408">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eastAsia="zh-CN"/>
          <w14:textFill>
            <w14:solidFill>
              <w14:schemeClr w14:val="tx1"/>
            </w14:solidFill>
          </w14:textFill>
        </w:rPr>
        <w:t>回用水设施</w:t>
      </w:r>
      <w:r>
        <w:rPr>
          <w:rFonts w:hint="eastAsia" w:ascii="宋体" w:hAnsi="宋体" w:eastAsia="宋体" w:cs="宋体"/>
          <w:color w:val="000000" w:themeColor="text1"/>
          <w14:textFill>
            <w14:solidFill>
              <w14:schemeClr w14:val="tx1"/>
            </w14:solidFill>
          </w14:textFill>
        </w:rPr>
        <w:t>故障、应急事故池引流措施失败、未及时关闭雨水排口阀门等原因导致的污水、泄漏的化学物质通过雨水管道进入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断面产生不良影响。</w:t>
      </w:r>
    </w:p>
    <w:p w14:paraId="56F24DCF">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18B057F1">
      <w:pPr>
        <w:adjustRightInd w:val="0"/>
        <w:snapToGrid w:val="0"/>
        <w:spacing w:line="500" w:lineRule="exact"/>
        <w:ind w:firstLine="480"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环港北河</w:t>
      </w:r>
      <w:r>
        <w:rPr>
          <w:rFonts w:hint="eastAsia" w:ascii="宋体" w:hAnsi="宋体" w:eastAsia="宋体" w:cs="宋体"/>
          <w:color w:val="000000" w:themeColor="text1"/>
          <w14:textFill>
            <w14:solidFill>
              <w14:schemeClr w14:val="tx1"/>
            </w14:solidFill>
          </w14:textFill>
        </w:rPr>
        <w:t>水质情况，视污染程度决定是否启动开发区级环境突发事件应急预案。</w:t>
      </w:r>
    </w:p>
    <w:p w14:paraId="5A831F2B">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5FC2A194">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31CFBA9">
      <w:pPr>
        <w:adjustRightInd w:val="0"/>
        <w:snapToGrid w:val="0"/>
        <w:spacing w:line="500" w:lineRule="exact"/>
        <w:ind w:firstLine="482" w:firstLineChars="200"/>
        <w:rPr>
          <w:rFonts w:eastAsia="宋体"/>
          <w:b/>
          <w:color w:val="000000" w:themeColor="text1"/>
          <w:szCs w:val="28"/>
          <w14:textFill>
            <w14:solidFill>
              <w14:schemeClr w14:val="tx1"/>
            </w14:solidFill>
          </w14:textFill>
        </w:rPr>
      </w:pPr>
      <w:r>
        <w:rPr>
          <w:rFonts w:eastAsia="宋体"/>
          <w:b/>
          <w:color w:val="000000" w:themeColor="text1"/>
          <w:szCs w:val="28"/>
          <w14:textFill>
            <w14:solidFill>
              <w14:schemeClr w14:val="tx1"/>
            </w14:solidFill>
          </w14:textFill>
        </w:rPr>
        <w:t>B、污染土壤、地下水事故</w:t>
      </w:r>
    </w:p>
    <w:p w14:paraId="062DD143">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5D806C00">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水性漆等</w:t>
      </w:r>
      <w:r>
        <w:rPr>
          <w:rFonts w:hint="eastAsia" w:ascii="宋体" w:hAnsi="宋体" w:eastAsia="宋体" w:cs="宋体"/>
          <w:color w:val="000000" w:themeColor="text1"/>
          <w14:textFill>
            <w14:solidFill>
              <w14:schemeClr w14:val="tx1"/>
            </w14:solidFill>
          </w14:textFill>
        </w:rPr>
        <w:t>泄漏，渗漏的污染物将以渗透、吸收等方式污染土壤及地下水。</w:t>
      </w:r>
    </w:p>
    <w:p w14:paraId="2BB18907">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02A2345">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p>
    <w:p w14:paraId="1C9F230E">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公司内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38D0A295">
      <w:pPr>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698FD483">
      <w:pPr>
        <w:adjustRightInd w:val="0"/>
        <w:snapToGrid w:val="0"/>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eastAsia="宋体"/>
          <w:color w:val="000000" w:themeColor="text1"/>
          <w:szCs w:val="28"/>
          <w14:textFill>
            <w14:solidFill>
              <w14:schemeClr w14:val="tx1"/>
            </w14:solidFill>
          </w14:textFill>
        </w:rPr>
        <w:t>渗设计。重点污染防治区应参照《危险废物安全填埋处置工程建设技术要求》（国家环保局2004.4.30颁布试行）和《危险废物填埋污染控制标准》（GB18598-20</w:t>
      </w:r>
      <w:r>
        <w:rPr>
          <w:rFonts w:hint="eastAsia" w:eastAsia="宋体"/>
          <w:color w:val="000000" w:themeColor="text1"/>
          <w:szCs w:val="28"/>
          <w14:textFill>
            <w14:solidFill>
              <w14:schemeClr w14:val="tx1"/>
            </w14:solidFill>
          </w14:textFill>
        </w:rPr>
        <w:t>19</w:t>
      </w:r>
      <w:r>
        <w:rPr>
          <w:rFonts w:eastAsia="宋体"/>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3B15191D">
      <w:pPr>
        <w:spacing w:line="500" w:lineRule="exact"/>
        <w:ind w:firstLine="480" w:firstLineChars="20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w:t>
      </w:r>
      <w:r>
        <w:rPr>
          <w:rFonts w:hint="eastAsia" w:ascii="宋体" w:hAnsi="宋体" w:eastAsia="宋体" w:cs="宋体"/>
          <w:color w:val="000000" w:themeColor="text1"/>
          <w:szCs w:val="28"/>
          <w:lang w:eastAsia="zh-CN"/>
          <w14:textFill>
            <w14:solidFill>
              <w14:schemeClr w14:val="tx1"/>
            </w14:solidFill>
          </w14:textFill>
        </w:rPr>
        <w:t>一般工业固体废物贮存和填埋污染控制标准</w:t>
      </w:r>
      <w:r>
        <w:rPr>
          <w:rFonts w:hint="eastAsia" w:ascii="宋体" w:hAnsi="宋体" w:eastAsia="宋体" w:cs="宋体"/>
          <w:color w:val="000000" w:themeColor="text1"/>
          <w:szCs w:val="28"/>
          <w14:textFill>
            <w14:solidFill>
              <w14:schemeClr w14:val="tx1"/>
            </w14:solidFill>
          </w14:textFill>
        </w:rPr>
        <w:t>》（GB18599－2020）及其修改单制定防渗设计方案。</w:t>
      </w:r>
    </w:p>
    <w:p w14:paraId="5DC99E64">
      <w:pPr>
        <w:adjustRightInd w:val="0"/>
        <w:snapToGrid w:val="0"/>
        <w:spacing w:line="500" w:lineRule="exact"/>
        <w:ind w:firstLine="480" w:firstLineChars="200"/>
        <w:rPr>
          <w:rFonts w:eastAsia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w:t>
      </w:r>
      <w:r>
        <w:rPr>
          <w:rFonts w:hint="eastAsia" w:eastAsiaTheme="minorEastAsia"/>
          <w:color w:val="000000" w:themeColor="text1"/>
          <w14:textFill>
            <w14:solidFill>
              <w14:schemeClr w14:val="tx1"/>
            </w14:solidFill>
          </w14:textFill>
        </w:rPr>
        <w:t>小量泄漏：优先选用砂土混合。</w:t>
      </w:r>
    </w:p>
    <w:p w14:paraId="78A2460A">
      <w:pPr>
        <w:spacing w:line="500" w:lineRule="exact"/>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⑥</w:t>
      </w:r>
      <w:r>
        <w:rPr>
          <w:rFonts w:hint="eastAsia" w:eastAsiaTheme="minorEastAsia"/>
          <w:color w:val="000000" w:themeColor="text1"/>
          <w14:textFill>
            <w14:solidFill>
              <w14:schemeClr w14:val="tx1"/>
            </w14:solidFill>
          </w14:textFill>
        </w:rPr>
        <w:t>大量泄漏：构筑围堤或挖坑收容，</w:t>
      </w:r>
      <w:r>
        <w:rPr>
          <w:rFonts w:eastAsiaTheme="minorEastAsia"/>
          <w:color w:val="000000" w:themeColor="text1"/>
          <w14:textFill>
            <w14:solidFill>
              <w14:schemeClr w14:val="tx1"/>
            </w14:solidFill>
          </w14:textFill>
        </w:rPr>
        <w:t>用</w:t>
      </w:r>
      <w:r>
        <w:rPr>
          <w:rFonts w:hint="eastAsia" w:eastAsiaTheme="minorEastAsia"/>
          <w:color w:val="000000" w:themeColor="text1"/>
          <w:lang w:eastAsia="zh-CN"/>
          <w14:textFill>
            <w14:solidFill>
              <w14:schemeClr w14:val="tx1"/>
            </w14:solidFill>
          </w14:textFill>
        </w:rPr>
        <w:t>应急泵</w:t>
      </w:r>
      <w:r>
        <w:rPr>
          <w:rFonts w:eastAsiaTheme="minorEastAsia"/>
          <w:color w:val="000000" w:themeColor="text1"/>
          <w14:textFill>
            <w14:solidFill>
              <w14:schemeClr w14:val="tx1"/>
            </w14:solidFill>
          </w14:textFill>
        </w:rPr>
        <w:t>转移至移动专用收集容器中回收利用或作危废处理。泄漏场地用水冲洗，经稀释的洗水收集至事故应急池</w:t>
      </w:r>
      <w:r>
        <w:rPr>
          <w:rFonts w:hint="eastAsia" w:eastAsiaTheme="minorEastAsia"/>
          <w:color w:val="000000" w:themeColor="text1"/>
          <w14:textFill>
            <w14:solidFill>
              <w14:schemeClr w14:val="tx1"/>
            </w14:solidFill>
          </w14:textFill>
        </w:rPr>
        <w:t>。若流入外环境，</w:t>
      </w:r>
      <w:r>
        <w:rPr>
          <w:rFonts w:eastAsiaTheme="minorEastAsia"/>
          <w:color w:val="000000" w:themeColor="text1"/>
          <w14:textFill>
            <w14:solidFill>
              <w14:schemeClr w14:val="tx1"/>
            </w14:solidFill>
          </w14:textFill>
        </w:rPr>
        <w:t>在雨水排口下游迅速筑坝，切断受污染水体的流动，采取有效措施处理排入水体的污染物</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对受污染的下游水体及时进行监测，实时掌握水质情况</w:t>
      </w:r>
      <w:r>
        <w:rPr>
          <w:rFonts w:hint="eastAsia" w:eastAsiaTheme="minorEastAsia"/>
          <w:color w:val="000000" w:themeColor="text1"/>
          <w14:textFill>
            <w14:solidFill>
              <w14:schemeClr w14:val="tx1"/>
            </w14:solidFill>
          </w14:textFill>
        </w:rPr>
        <w:t>。</w:t>
      </w:r>
    </w:p>
    <w:p w14:paraId="1D764936">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63425857">
      <w:pPr>
        <w:keepNext/>
        <w:keepLines/>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Theme="minorEastAsia"/>
          <w:color w:val="000000" w:themeColor="text1"/>
          <w14:textFill>
            <w14:solidFill>
              <w14:schemeClr w14:val="tx1"/>
            </w14:solidFill>
          </w14:textFill>
        </w:rPr>
        <w:t>砂土、收集容器、沙包、应急泵等。</w:t>
      </w:r>
      <w:bookmarkStart w:id="215" w:name="_Toc299"/>
    </w:p>
    <w:p w14:paraId="02F0C8AF">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16" w:name="_Toc19933"/>
      <w:bookmarkStart w:id="217" w:name="_Toc19174"/>
      <w:bookmarkStart w:id="218" w:name="_Toc20452"/>
      <w:r>
        <w:rPr>
          <w:rFonts w:eastAsia="宋体"/>
          <w:color w:val="000000" w:themeColor="text1"/>
          <w14:textFill>
            <w14:solidFill>
              <w14:schemeClr w14:val="tx1"/>
            </w14:solidFill>
          </w14:textFill>
        </w:rPr>
        <w:t>4.3.</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15"/>
      <w:bookmarkEnd w:id="216"/>
      <w:bookmarkEnd w:id="217"/>
      <w:bookmarkEnd w:id="218"/>
      <w:r>
        <w:rPr>
          <w:rFonts w:hint="eastAsia" w:eastAsia="宋体"/>
          <w:color w:val="000000" w:themeColor="text1"/>
          <w:lang w:val="en-US" w:eastAsia="zh-CN"/>
          <w14:textFill>
            <w14:solidFill>
              <w14:schemeClr w14:val="tx1"/>
            </w14:solidFill>
          </w14:textFill>
        </w:rPr>
        <w:t>7、8</w:t>
      </w:r>
    </w:p>
    <w:p w14:paraId="02E075E4">
      <w:pPr>
        <w:adjustRightInd w:val="0"/>
        <w:snapToGrid w:val="0"/>
        <w:spacing w:line="500" w:lineRule="exact"/>
        <w:ind w:firstLine="482" w:firstLineChars="200"/>
        <w:jc w:val="left"/>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2690378A">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7585F845">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60437E5C">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①假如发现废气超标排放（</w:t>
      </w:r>
      <w:r>
        <w:rPr>
          <w:rFonts w:hint="eastAsia" w:eastAsiaTheme="minorEastAsia"/>
          <w:color w:val="000000" w:themeColor="text1"/>
          <w14:textFill>
            <w14:solidFill>
              <w14:schemeClr w14:val="tx1"/>
            </w14:solidFill>
          </w14:textFill>
        </w:rPr>
        <w:t>废气处理设备故障、</w:t>
      </w:r>
      <w:r>
        <w:rPr>
          <w:rFonts w:eastAsiaTheme="minorEastAsia"/>
          <w:color w:val="000000" w:themeColor="text1"/>
          <w14:textFill>
            <w14:solidFill>
              <w14:schemeClr w14:val="tx1"/>
            </w14:solidFill>
          </w14:textFill>
        </w:rPr>
        <w:t>车间味道明显增大，员工因环境污染导致身体不适等），最早发现事故者应立即报告</w:t>
      </w:r>
      <w:r>
        <w:rPr>
          <w:rFonts w:hint="eastAsia" w:eastAsiaTheme="minorEastAsia"/>
          <w:color w:val="000000" w:themeColor="text1"/>
          <w14:textFill>
            <w14:solidFill>
              <w14:schemeClr w14:val="tx1"/>
            </w14:solidFill>
          </w14:textFill>
        </w:rPr>
        <w:t>应急救援指挥组</w:t>
      </w:r>
      <w:r>
        <w:rPr>
          <w:rFonts w:eastAsiaTheme="minorEastAsia"/>
          <w:color w:val="000000" w:themeColor="text1"/>
          <w14:textFill>
            <w14:solidFill>
              <w14:schemeClr w14:val="tx1"/>
            </w14:solidFill>
          </w14:textFill>
        </w:rPr>
        <w:t>。</w:t>
      </w:r>
    </w:p>
    <w:p w14:paraId="6BDF43A1">
      <w:pPr>
        <w:spacing w:line="500" w:lineRule="exact"/>
        <w:ind w:firstLine="480" w:firstLineChars="200"/>
        <w:rPr>
          <w:rFonts w:eastAsiaTheme="minorEastAsia"/>
        </w:rPr>
      </w:pPr>
      <w:r>
        <w:rPr>
          <w:rFonts w:eastAsiaTheme="minorEastAsia"/>
          <w:color w:val="000000" w:themeColor="text1"/>
          <w14:textFill>
            <w14:solidFill>
              <w14:schemeClr w14:val="tx1"/>
            </w14:solidFill>
          </w14:textFill>
        </w:rPr>
        <w:t>②各应急救援队伍接到</w:t>
      </w:r>
      <w:r>
        <w:rPr>
          <w:rFonts w:eastAsiaTheme="minorEastAsia"/>
        </w:rPr>
        <w:t>通知，应迅速携带相关器材赶往事故现场。</w:t>
      </w:r>
    </w:p>
    <w:p w14:paraId="5F9E79FC">
      <w:pPr>
        <w:spacing w:line="500" w:lineRule="exact"/>
        <w:ind w:firstLine="480" w:firstLineChars="200"/>
        <w:rPr>
          <w:rFonts w:eastAsiaTheme="minorEastAsia"/>
        </w:rPr>
      </w:pPr>
      <w:r>
        <w:rPr>
          <w:rFonts w:eastAsiaTheme="minorEastAsia"/>
        </w:rPr>
        <w:t>③检查设备情况，若废气超标在短时间内不能有效控制，现场应急处置指挥部视情况严重程度，下达生产线全线停产指令。</w:t>
      </w:r>
    </w:p>
    <w:p w14:paraId="5F7E1587">
      <w:pPr>
        <w:spacing w:line="500" w:lineRule="exact"/>
        <w:ind w:firstLine="480" w:firstLineChars="200"/>
        <w:rPr>
          <w:rFonts w:eastAsiaTheme="minorEastAsia"/>
        </w:rPr>
      </w:pPr>
      <w:r>
        <w:rPr>
          <w:rFonts w:eastAsiaTheme="minorEastAsia"/>
        </w:rPr>
        <w:t>④若废气管道泄漏，</w:t>
      </w:r>
      <w:r>
        <w:rPr>
          <w:rFonts w:hint="eastAsia" w:eastAsiaTheme="minorEastAsia"/>
        </w:rPr>
        <w:t>应急小组</w:t>
      </w:r>
      <w:r>
        <w:rPr>
          <w:rFonts w:eastAsiaTheme="minorEastAsia"/>
        </w:rPr>
        <w:t>到达现场后，应首先穿戴</w:t>
      </w:r>
      <w:r>
        <w:rPr>
          <w:rFonts w:hint="eastAsia" w:eastAsiaTheme="minorEastAsia"/>
          <w:lang w:val="en-US" w:eastAsia="zh-CN"/>
        </w:rPr>
        <w:t>消防服</w:t>
      </w:r>
      <w:r>
        <w:rPr>
          <w:rFonts w:eastAsiaTheme="minorEastAsia"/>
        </w:rPr>
        <w:t>、佩戴</w:t>
      </w:r>
      <w:r>
        <w:rPr>
          <w:rFonts w:hint="eastAsia" w:eastAsiaTheme="minorEastAsia"/>
        </w:rPr>
        <w:t>防毒面具</w:t>
      </w:r>
      <w:r>
        <w:rPr>
          <w:rFonts w:eastAsiaTheme="minorEastAsia"/>
        </w:rPr>
        <w:t>，</w:t>
      </w:r>
      <w:r>
        <w:rPr>
          <w:rFonts w:hint="eastAsia" w:eastAsiaTheme="minorEastAsia"/>
        </w:rPr>
        <w:t>停止生产后</w:t>
      </w:r>
      <w:r>
        <w:rPr>
          <w:rFonts w:eastAsiaTheme="minorEastAsia"/>
        </w:rPr>
        <w:t>关闭废气处理设施、修补泄漏管道，阻止有毒有害气体继续外泄。</w:t>
      </w:r>
    </w:p>
    <w:p w14:paraId="02E203F3">
      <w:pPr>
        <w:spacing w:line="500" w:lineRule="exact"/>
        <w:ind w:firstLine="480" w:firstLineChars="200"/>
        <w:rPr>
          <w:rFonts w:eastAsiaTheme="minorEastAsia"/>
        </w:rPr>
      </w:pPr>
      <w:r>
        <w:rPr>
          <w:rFonts w:eastAsiaTheme="minorEastAsia"/>
        </w:rPr>
        <w:t>⑤</w:t>
      </w:r>
      <w:r>
        <w:rPr>
          <w:rFonts w:hint="eastAsia" w:eastAsiaTheme="minorEastAsia"/>
        </w:rPr>
        <w:t>应急救援指挥组</w:t>
      </w:r>
      <w:r>
        <w:rPr>
          <w:rFonts w:eastAsiaTheme="minorEastAsia"/>
        </w:rPr>
        <w:t>调查废气</w:t>
      </w:r>
      <w:r>
        <w:rPr>
          <w:rFonts w:hint="eastAsia" w:eastAsiaTheme="minorEastAsia"/>
        </w:rPr>
        <w:t>超标排放</w:t>
      </w:r>
      <w:r>
        <w:rPr>
          <w:rFonts w:eastAsiaTheme="minorEastAsia"/>
        </w:rPr>
        <w:t>的原因、已造成的污染范围、影响程度、影响后果等，并立即采取相应的对策措施，如</w:t>
      </w:r>
      <w:r>
        <w:rPr>
          <w:rFonts w:hint="eastAsia" w:eastAsiaTheme="minorEastAsia"/>
        </w:rPr>
        <w:t>停止生产</w:t>
      </w:r>
      <w:r>
        <w:rPr>
          <w:rFonts w:eastAsiaTheme="minorEastAsia"/>
        </w:rPr>
        <w:t>更换故障设备等。</w:t>
      </w:r>
    </w:p>
    <w:p w14:paraId="6AD1BBAE">
      <w:pPr>
        <w:spacing w:line="500" w:lineRule="exact"/>
        <w:ind w:firstLine="480" w:firstLineChars="200"/>
        <w:rPr>
          <w:rFonts w:eastAsiaTheme="minorEastAsia"/>
        </w:rPr>
      </w:pPr>
      <w:r>
        <w:rPr>
          <w:rFonts w:eastAsiaTheme="minorEastAsia"/>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3EB63C19">
      <w:pPr>
        <w:spacing w:line="500" w:lineRule="exact"/>
        <w:ind w:firstLine="480" w:firstLineChars="20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⑦故障排除后，应联系</w:t>
      </w:r>
      <w:r>
        <w:rPr>
          <w:rFonts w:hint="eastAsia" w:eastAsiaTheme="minorEastAsia"/>
          <w:color w:val="000000" w:themeColor="text1"/>
          <w14:textFill>
            <w14:solidFill>
              <w14:schemeClr w14:val="tx1"/>
            </w14:solidFill>
          </w14:textFill>
        </w:rPr>
        <w:t>江苏裕和检测技术有限公司</w:t>
      </w:r>
      <w:r>
        <w:rPr>
          <w:rFonts w:eastAsiaTheme="minorEastAsia"/>
          <w:color w:val="000000" w:themeColor="text1"/>
          <w14:textFill>
            <w14:solidFill>
              <w14:schemeClr w14:val="tx1"/>
            </w14:solidFill>
          </w14:textFill>
        </w:rPr>
        <w:t>对废气进行检测，废气排放达标后，恢复相关生产。</w:t>
      </w:r>
    </w:p>
    <w:p w14:paraId="4B524827">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⑧事故后向南通市海安生态环境局汇报废气处理设施的异常情况。</w:t>
      </w:r>
    </w:p>
    <w:p w14:paraId="0AD96498">
      <w:pPr>
        <w:adjustRightInd w:val="0"/>
        <w:snapToGrid w:val="0"/>
        <w:spacing w:line="500" w:lineRule="exact"/>
        <w:ind w:firstLine="482" w:firstLineChars="200"/>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7A8CE13C">
      <w:pPr>
        <w:spacing w:line="500" w:lineRule="exact"/>
        <w:ind w:firstLine="480" w:firstLineChars="200"/>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防毒面具</w:t>
      </w:r>
      <w:r>
        <w:rPr>
          <w:rFonts w:eastAsiaTheme="minorEastAsia"/>
          <w:color w:val="000000" w:themeColor="text1"/>
          <w14:textFill>
            <w14:solidFill>
              <w14:schemeClr w14:val="tx1"/>
            </w14:solidFill>
          </w14:textFill>
        </w:rPr>
        <w:t>、防护服等。</w:t>
      </w:r>
    </w:p>
    <w:p w14:paraId="602ABBD7">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19" w:name="_Toc26102"/>
      <w:bookmarkStart w:id="220" w:name="_Toc30305"/>
      <w:bookmarkStart w:id="221" w:name="_Toc5392"/>
      <w:bookmarkStart w:id="222" w:name="_Toc3234"/>
      <w:r>
        <w:rPr>
          <w:rFonts w:eastAsia="宋体"/>
          <w:color w:val="000000" w:themeColor="text1"/>
          <w:sz w:val="24"/>
          <w:szCs w:val="24"/>
          <w14:textFill>
            <w14:solidFill>
              <w14:schemeClr w14:val="tx1"/>
            </w14:solidFill>
          </w14:textFill>
        </w:rPr>
        <w:t>4.4突发环境事件危害后果分析</w:t>
      </w:r>
      <w:bookmarkEnd w:id="219"/>
      <w:bookmarkEnd w:id="220"/>
      <w:bookmarkEnd w:id="221"/>
      <w:bookmarkEnd w:id="222"/>
    </w:p>
    <w:p w14:paraId="25FFFA59">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3" w:name="_Toc31396"/>
      <w:bookmarkStart w:id="224" w:name="_Toc30977"/>
      <w:bookmarkStart w:id="225" w:name="_Toc26602"/>
      <w:bookmarkStart w:id="226" w:name="_Toc24961"/>
      <w:bookmarkStart w:id="227" w:name="_Toc5010"/>
      <w:r>
        <w:rPr>
          <w:rFonts w:eastAsia="宋体"/>
          <w:color w:val="000000" w:themeColor="text1"/>
          <w14:textFill>
            <w14:solidFill>
              <w14:schemeClr w14:val="tx1"/>
            </w14:solidFill>
          </w14:textFill>
        </w:rPr>
        <w:t>4.4.1</w:t>
      </w:r>
      <w:bookmarkEnd w:id="223"/>
      <w:bookmarkEnd w:id="224"/>
      <w:r>
        <w:rPr>
          <w:rFonts w:hint="eastAsia" w:eastAsia="宋体"/>
          <w:color w:val="000000" w:themeColor="text1"/>
          <w14:textFill>
            <w14:solidFill>
              <w14:schemeClr w14:val="tx1"/>
            </w14:solidFill>
          </w14:textFill>
        </w:rPr>
        <w:t>事件情景1</w:t>
      </w:r>
      <w:bookmarkEnd w:id="225"/>
      <w:bookmarkEnd w:id="226"/>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2、3、4</w:t>
      </w:r>
    </w:p>
    <w:p w14:paraId="59E62639">
      <w:pPr>
        <w:adjustRightInd w:val="0"/>
        <w:snapToGrid w:val="0"/>
        <w:spacing w:line="500" w:lineRule="exact"/>
        <w:ind w:firstLine="482" w:firstLineChars="200"/>
        <w:jc w:val="center"/>
        <w:rPr>
          <w:rFonts w:eastAsia="宋体"/>
          <w:b/>
          <w:bCs/>
          <w:color w:val="000000" w:themeColor="text1"/>
          <w:highlight w:val="yellow"/>
          <w14:textFill>
            <w14:solidFill>
              <w14:schemeClr w14:val="tx1"/>
            </w14:solidFill>
          </w14:textFill>
        </w:rPr>
      </w:pPr>
      <w:r>
        <w:rPr>
          <w:rFonts w:eastAsia="宋体"/>
          <w:b/>
          <w:bCs/>
          <w:color w:val="000000" w:themeColor="text1"/>
          <w14:textFill>
            <w14:solidFill>
              <w14:schemeClr w14:val="tx1"/>
            </w14:solidFill>
          </w14:textFill>
        </w:rPr>
        <w:t>表4-</w:t>
      </w:r>
      <w:r>
        <w:rPr>
          <w:rFonts w:hint="eastAsia" w:eastAsia="宋体"/>
          <w:b/>
          <w:bCs/>
          <w:color w:val="000000" w:themeColor="text1"/>
          <w:lang w:val="en-US" w:eastAsia="zh-CN"/>
          <w14:textFill>
            <w14:solidFill>
              <w14:schemeClr w14:val="tx1"/>
            </w14:solidFill>
          </w14:textFill>
        </w:rPr>
        <w:t>7</w:t>
      </w:r>
      <w:r>
        <w:rPr>
          <w:rFonts w:eastAsia="宋体"/>
          <w:b/>
          <w:bCs/>
          <w:color w:val="000000" w:themeColor="text1"/>
          <w14:textFill>
            <w14:solidFill>
              <w14:schemeClr w14:val="tx1"/>
            </w14:solidFill>
          </w14:textFill>
        </w:rPr>
        <w:t>CO影响范围预测结果</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60C6D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04F664D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6AB96F2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95mg/m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6A36A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5CB2032">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52886892">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137E5532">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509D2F6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05184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B67484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182F345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182.10</w:t>
            </w:r>
          </w:p>
        </w:tc>
        <w:tc>
          <w:tcPr>
            <w:tcW w:w="2130" w:type="dxa"/>
            <w:gridSpan w:val="2"/>
            <w:tcBorders>
              <w:tl2br w:val="nil"/>
              <w:tr2bl w:val="nil"/>
            </w:tcBorders>
            <w:vAlign w:val="center"/>
          </w:tcPr>
          <w:p w14:paraId="20DE3A6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650</w:t>
            </w:r>
          </w:p>
        </w:tc>
        <w:tc>
          <w:tcPr>
            <w:tcW w:w="2130" w:type="dxa"/>
            <w:tcBorders>
              <w:tl2br w:val="nil"/>
              <w:tr2bl w:val="nil"/>
            </w:tcBorders>
            <w:vAlign w:val="center"/>
          </w:tcPr>
          <w:p w14:paraId="4C884E7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99.86</w:t>
            </w:r>
          </w:p>
        </w:tc>
      </w:tr>
      <w:tr w14:paraId="52778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696625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2D4562F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248.78</w:t>
            </w:r>
          </w:p>
        </w:tc>
        <w:tc>
          <w:tcPr>
            <w:tcW w:w="2130" w:type="dxa"/>
            <w:gridSpan w:val="2"/>
            <w:tcBorders>
              <w:tl2br w:val="nil"/>
              <w:tr2bl w:val="nil"/>
            </w:tcBorders>
            <w:vAlign w:val="center"/>
          </w:tcPr>
          <w:p w14:paraId="3EB3247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700</w:t>
            </w:r>
          </w:p>
        </w:tc>
        <w:tc>
          <w:tcPr>
            <w:tcW w:w="2130" w:type="dxa"/>
            <w:tcBorders>
              <w:tl2br w:val="nil"/>
              <w:tr2bl w:val="nil"/>
            </w:tcBorders>
            <w:vAlign w:val="center"/>
          </w:tcPr>
          <w:p w14:paraId="1A1C678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97.46</w:t>
            </w:r>
          </w:p>
        </w:tc>
      </w:tr>
      <w:tr w14:paraId="7EA01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C2B40B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287F974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325.42</w:t>
            </w:r>
          </w:p>
        </w:tc>
        <w:tc>
          <w:tcPr>
            <w:tcW w:w="2130" w:type="dxa"/>
            <w:gridSpan w:val="2"/>
            <w:tcBorders>
              <w:tl2br w:val="nil"/>
              <w:tr2bl w:val="nil"/>
            </w:tcBorders>
            <w:vAlign w:val="center"/>
          </w:tcPr>
          <w:p w14:paraId="6B244B8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750</w:t>
            </w:r>
          </w:p>
        </w:tc>
        <w:tc>
          <w:tcPr>
            <w:tcW w:w="2130" w:type="dxa"/>
            <w:tcBorders>
              <w:tl2br w:val="nil"/>
              <w:tr2bl w:val="nil"/>
            </w:tcBorders>
            <w:vAlign w:val="center"/>
          </w:tcPr>
          <w:p w14:paraId="5889DA2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95.18</w:t>
            </w:r>
          </w:p>
        </w:tc>
      </w:tr>
      <w:tr w14:paraId="5707E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105FC5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14:paraId="14DB872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352.14</w:t>
            </w:r>
          </w:p>
        </w:tc>
        <w:tc>
          <w:tcPr>
            <w:tcW w:w="2130" w:type="dxa"/>
            <w:gridSpan w:val="2"/>
            <w:tcBorders>
              <w:tl2br w:val="nil"/>
              <w:tr2bl w:val="nil"/>
            </w:tcBorders>
            <w:vAlign w:val="center"/>
          </w:tcPr>
          <w:p w14:paraId="22591DF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800</w:t>
            </w:r>
          </w:p>
        </w:tc>
        <w:tc>
          <w:tcPr>
            <w:tcW w:w="2130" w:type="dxa"/>
            <w:tcBorders>
              <w:tl2br w:val="nil"/>
              <w:tr2bl w:val="nil"/>
            </w:tcBorders>
            <w:vAlign w:val="center"/>
          </w:tcPr>
          <w:p w14:paraId="3852984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93.00</w:t>
            </w:r>
          </w:p>
        </w:tc>
      </w:tr>
      <w:tr w14:paraId="29586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A9FC73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14:paraId="238F54D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318.87</w:t>
            </w:r>
          </w:p>
        </w:tc>
        <w:tc>
          <w:tcPr>
            <w:tcW w:w="2130" w:type="dxa"/>
            <w:gridSpan w:val="2"/>
            <w:tcBorders>
              <w:tl2br w:val="nil"/>
              <w:tr2bl w:val="nil"/>
            </w:tcBorders>
            <w:vAlign w:val="center"/>
          </w:tcPr>
          <w:p w14:paraId="7C5FE8C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850</w:t>
            </w:r>
          </w:p>
        </w:tc>
        <w:tc>
          <w:tcPr>
            <w:tcW w:w="2130" w:type="dxa"/>
            <w:tcBorders>
              <w:tl2br w:val="nil"/>
              <w:tr2bl w:val="nil"/>
            </w:tcBorders>
            <w:vAlign w:val="center"/>
          </w:tcPr>
          <w:p w14:paraId="5B16F19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90.95</w:t>
            </w:r>
          </w:p>
        </w:tc>
      </w:tr>
      <w:tr w14:paraId="59BDF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59858E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14:paraId="62A4FA5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274.79</w:t>
            </w:r>
          </w:p>
        </w:tc>
        <w:tc>
          <w:tcPr>
            <w:tcW w:w="2130" w:type="dxa"/>
            <w:gridSpan w:val="2"/>
            <w:tcBorders>
              <w:tl2br w:val="nil"/>
              <w:tr2bl w:val="nil"/>
            </w:tcBorders>
            <w:vAlign w:val="center"/>
          </w:tcPr>
          <w:p w14:paraId="4580FE5E">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900</w:t>
            </w:r>
          </w:p>
        </w:tc>
        <w:tc>
          <w:tcPr>
            <w:tcW w:w="2130" w:type="dxa"/>
            <w:tcBorders>
              <w:tl2br w:val="nil"/>
              <w:tr2bl w:val="nil"/>
            </w:tcBorders>
            <w:vAlign w:val="center"/>
          </w:tcPr>
          <w:p w14:paraId="61EA4AB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89.02</w:t>
            </w:r>
          </w:p>
        </w:tc>
      </w:tr>
      <w:tr w14:paraId="7213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140F6F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14:paraId="69AE6CA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238.86</w:t>
            </w:r>
          </w:p>
        </w:tc>
        <w:tc>
          <w:tcPr>
            <w:tcW w:w="2130" w:type="dxa"/>
            <w:gridSpan w:val="2"/>
            <w:tcBorders>
              <w:tl2br w:val="nil"/>
              <w:tr2bl w:val="nil"/>
            </w:tcBorders>
            <w:vAlign w:val="center"/>
          </w:tcPr>
          <w:p w14:paraId="55459BB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950</w:t>
            </w:r>
          </w:p>
        </w:tc>
        <w:tc>
          <w:tcPr>
            <w:tcW w:w="2130" w:type="dxa"/>
            <w:tcBorders>
              <w:tl2br w:val="nil"/>
              <w:tr2bl w:val="nil"/>
            </w:tcBorders>
            <w:vAlign w:val="center"/>
          </w:tcPr>
          <w:p w14:paraId="463366B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87.18</w:t>
            </w:r>
          </w:p>
        </w:tc>
      </w:tr>
      <w:tr w14:paraId="4BC51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29D01A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14:paraId="6831FE7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213.13</w:t>
            </w:r>
          </w:p>
        </w:tc>
        <w:tc>
          <w:tcPr>
            <w:tcW w:w="2130" w:type="dxa"/>
            <w:gridSpan w:val="2"/>
            <w:tcBorders>
              <w:tl2br w:val="nil"/>
              <w:tr2bl w:val="nil"/>
            </w:tcBorders>
            <w:vAlign w:val="center"/>
          </w:tcPr>
          <w:p w14:paraId="2986FBF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1000</w:t>
            </w:r>
          </w:p>
        </w:tc>
        <w:tc>
          <w:tcPr>
            <w:tcW w:w="2130" w:type="dxa"/>
            <w:tcBorders>
              <w:tl2br w:val="nil"/>
              <w:tr2bl w:val="nil"/>
            </w:tcBorders>
            <w:vAlign w:val="center"/>
          </w:tcPr>
          <w:p w14:paraId="73A315A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85.42</w:t>
            </w:r>
          </w:p>
        </w:tc>
      </w:tr>
      <w:tr w14:paraId="10E7B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4F11FF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14:paraId="54C9521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194.41</w:t>
            </w:r>
          </w:p>
        </w:tc>
        <w:tc>
          <w:tcPr>
            <w:tcW w:w="2130" w:type="dxa"/>
            <w:gridSpan w:val="2"/>
            <w:tcBorders>
              <w:tl2br w:val="nil"/>
              <w:tr2bl w:val="nil"/>
            </w:tcBorders>
            <w:vAlign w:val="center"/>
          </w:tcPr>
          <w:p w14:paraId="45BB049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1050</w:t>
            </w:r>
          </w:p>
        </w:tc>
        <w:tc>
          <w:tcPr>
            <w:tcW w:w="2130" w:type="dxa"/>
            <w:tcBorders>
              <w:tl2br w:val="nil"/>
              <w:tr2bl w:val="nil"/>
            </w:tcBorders>
            <w:vAlign w:val="center"/>
          </w:tcPr>
          <w:p w14:paraId="53A8DFE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83.74</w:t>
            </w:r>
          </w:p>
        </w:tc>
      </w:tr>
      <w:tr w14:paraId="2EB4E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ACD5F0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250</w:t>
            </w:r>
          </w:p>
        </w:tc>
        <w:tc>
          <w:tcPr>
            <w:tcW w:w="2130" w:type="dxa"/>
            <w:tcBorders>
              <w:tl2br w:val="nil"/>
              <w:tr2bl w:val="nil"/>
            </w:tcBorders>
            <w:vAlign w:val="center"/>
          </w:tcPr>
          <w:p w14:paraId="6A604C3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2130" w:type="dxa"/>
            <w:gridSpan w:val="2"/>
            <w:tcBorders>
              <w:tl2br w:val="nil"/>
              <w:tr2bl w:val="nil"/>
            </w:tcBorders>
            <w:vAlign w:val="center"/>
          </w:tcPr>
          <w:p w14:paraId="0DF46A3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1100</w:t>
            </w:r>
          </w:p>
        </w:tc>
        <w:tc>
          <w:tcPr>
            <w:tcW w:w="2130" w:type="dxa"/>
            <w:tcBorders>
              <w:tl2br w:val="nil"/>
              <w:tr2bl w:val="nil"/>
            </w:tcBorders>
            <w:vAlign w:val="center"/>
          </w:tcPr>
          <w:p w14:paraId="038D5FA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82.13</w:t>
            </w:r>
          </w:p>
        </w:tc>
      </w:tr>
      <w:tr w14:paraId="7193F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63CA7D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300</w:t>
            </w:r>
          </w:p>
        </w:tc>
        <w:tc>
          <w:tcPr>
            <w:tcW w:w="2130" w:type="dxa"/>
            <w:tcBorders>
              <w:tl2br w:val="nil"/>
              <w:tr2bl w:val="nil"/>
            </w:tcBorders>
            <w:vAlign w:val="center"/>
          </w:tcPr>
          <w:p w14:paraId="2876E38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150.99</w:t>
            </w:r>
          </w:p>
        </w:tc>
        <w:tc>
          <w:tcPr>
            <w:tcW w:w="2130" w:type="dxa"/>
            <w:gridSpan w:val="2"/>
            <w:tcBorders>
              <w:tl2br w:val="nil"/>
              <w:tr2bl w:val="nil"/>
            </w:tcBorders>
            <w:vAlign w:val="center"/>
          </w:tcPr>
          <w:p w14:paraId="77A8C1C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1150</w:t>
            </w:r>
          </w:p>
        </w:tc>
        <w:tc>
          <w:tcPr>
            <w:tcW w:w="2130" w:type="dxa"/>
            <w:tcBorders>
              <w:tl2br w:val="nil"/>
              <w:tr2bl w:val="nil"/>
            </w:tcBorders>
            <w:vAlign w:val="center"/>
          </w:tcPr>
          <w:p w14:paraId="57CF7FE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80.59</w:t>
            </w:r>
          </w:p>
        </w:tc>
      </w:tr>
      <w:tr w14:paraId="63A0C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FA1B48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350</w:t>
            </w:r>
          </w:p>
        </w:tc>
        <w:tc>
          <w:tcPr>
            <w:tcW w:w="2130" w:type="dxa"/>
            <w:tcBorders>
              <w:tl2br w:val="nil"/>
              <w:tr2bl w:val="nil"/>
            </w:tcBorders>
            <w:vAlign w:val="center"/>
          </w:tcPr>
          <w:p w14:paraId="2A4C02E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135.32</w:t>
            </w:r>
          </w:p>
        </w:tc>
        <w:tc>
          <w:tcPr>
            <w:tcW w:w="2130" w:type="dxa"/>
            <w:gridSpan w:val="2"/>
            <w:tcBorders>
              <w:tl2br w:val="nil"/>
              <w:tr2bl w:val="nil"/>
            </w:tcBorders>
            <w:vAlign w:val="center"/>
          </w:tcPr>
          <w:p w14:paraId="262DC26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1200</w:t>
            </w:r>
          </w:p>
        </w:tc>
        <w:tc>
          <w:tcPr>
            <w:tcW w:w="2130" w:type="dxa"/>
            <w:tcBorders>
              <w:tl2br w:val="nil"/>
              <w:tr2bl w:val="nil"/>
            </w:tcBorders>
            <w:vAlign w:val="center"/>
          </w:tcPr>
          <w:p w14:paraId="4408EC0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79.69</w:t>
            </w:r>
          </w:p>
        </w:tc>
      </w:tr>
      <w:tr w14:paraId="2640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1072BE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400</w:t>
            </w:r>
          </w:p>
        </w:tc>
        <w:tc>
          <w:tcPr>
            <w:tcW w:w="2130" w:type="dxa"/>
            <w:tcBorders>
              <w:tl2br w:val="nil"/>
              <w:tr2bl w:val="nil"/>
            </w:tcBorders>
            <w:vAlign w:val="center"/>
          </w:tcPr>
          <w:p w14:paraId="0EEF7C1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123.09</w:t>
            </w:r>
          </w:p>
        </w:tc>
        <w:tc>
          <w:tcPr>
            <w:tcW w:w="2130" w:type="dxa"/>
            <w:gridSpan w:val="2"/>
            <w:tcBorders>
              <w:tl2br w:val="nil"/>
              <w:tr2bl w:val="nil"/>
            </w:tcBorders>
            <w:vAlign w:val="center"/>
          </w:tcPr>
          <w:p w14:paraId="3F68BA0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1250</w:t>
            </w:r>
          </w:p>
        </w:tc>
        <w:tc>
          <w:tcPr>
            <w:tcW w:w="2130" w:type="dxa"/>
            <w:tcBorders>
              <w:tl2br w:val="nil"/>
              <w:tr2bl w:val="nil"/>
            </w:tcBorders>
            <w:vAlign w:val="center"/>
          </w:tcPr>
          <w:p w14:paraId="3AF9625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78.19</w:t>
            </w:r>
          </w:p>
        </w:tc>
      </w:tr>
      <w:tr w14:paraId="20FFC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315AE5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450</w:t>
            </w:r>
          </w:p>
        </w:tc>
        <w:tc>
          <w:tcPr>
            <w:tcW w:w="2130" w:type="dxa"/>
            <w:tcBorders>
              <w:tl2br w:val="nil"/>
              <w:tr2bl w:val="nil"/>
            </w:tcBorders>
            <w:vAlign w:val="center"/>
          </w:tcPr>
          <w:p w14:paraId="0662C73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113.23</w:t>
            </w:r>
          </w:p>
        </w:tc>
        <w:tc>
          <w:tcPr>
            <w:tcW w:w="2130" w:type="dxa"/>
            <w:gridSpan w:val="2"/>
            <w:tcBorders>
              <w:tl2br w:val="nil"/>
              <w:tr2bl w:val="nil"/>
            </w:tcBorders>
            <w:vAlign w:val="center"/>
          </w:tcPr>
          <w:p w14:paraId="281F61F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5931A7E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885E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15DCE7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500</w:t>
            </w:r>
          </w:p>
        </w:tc>
        <w:tc>
          <w:tcPr>
            <w:tcW w:w="2130" w:type="dxa"/>
            <w:tcBorders>
              <w:tl2br w:val="nil"/>
              <w:tr2bl w:val="nil"/>
            </w:tcBorders>
            <w:vAlign w:val="center"/>
          </w:tcPr>
          <w:p w14:paraId="6148881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108.55</w:t>
            </w:r>
          </w:p>
        </w:tc>
        <w:tc>
          <w:tcPr>
            <w:tcW w:w="2130" w:type="dxa"/>
            <w:gridSpan w:val="2"/>
            <w:tcBorders>
              <w:tl2br w:val="nil"/>
              <w:tr2bl w:val="nil"/>
            </w:tcBorders>
            <w:vAlign w:val="center"/>
          </w:tcPr>
          <w:p w14:paraId="267367F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4FCE436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C923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1D4FF2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550</w:t>
            </w:r>
          </w:p>
        </w:tc>
        <w:tc>
          <w:tcPr>
            <w:tcW w:w="2130" w:type="dxa"/>
            <w:tcBorders>
              <w:tl2br w:val="nil"/>
              <w:tr2bl w:val="nil"/>
            </w:tcBorders>
            <w:vAlign w:val="center"/>
          </w:tcPr>
          <w:p w14:paraId="1C6F966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105.35</w:t>
            </w:r>
          </w:p>
        </w:tc>
        <w:tc>
          <w:tcPr>
            <w:tcW w:w="2130" w:type="dxa"/>
            <w:gridSpan w:val="2"/>
            <w:tcBorders>
              <w:tl2br w:val="nil"/>
              <w:tr2bl w:val="nil"/>
            </w:tcBorders>
            <w:vAlign w:val="center"/>
          </w:tcPr>
          <w:p w14:paraId="5C1838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CCDADB5">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9F6F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4610602">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600</w:t>
            </w:r>
          </w:p>
        </w:tc>
        <w:tc>
          <w:tcPr>
            <w:tcW w:w="2130" w:type="dxa"/>
            <w:tcBorders>
              <w:tl2br w:val="nil"/>
              <w:tr2bl w:val="nil"/>
            </w:tcBorders>
            <w:vAlign w:val="center"/>
          </w:tcPr>
          <w:p w14:paraId="193A33EF">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102.47</w:t>
            </w:r>
          </w:p>
        </w:tc>
        <w:tc>
          <w:tcPr>
            <w:tcW w:w="2130" w:type="dxa"/>
            <w:gridSpan w:val="2"/>
            <w:tcBorders>
              <w:tl2br w:val="nil"/>
              <w:tr2bl w:val="nil"/>
            </w:tcBorders>
            <w:vAlign w:val="center"/>
          </w:tcPr>
          <w:p w14:paraId="4FE695A0">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208A00DD">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79574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4A31840">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51BE6098">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380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65840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145B3A8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47D05A33">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0C83317A">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416ADCC7">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4464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AEE11C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7781D37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182.10</w:t>
            </w:r>
          </w:p>
        </w:tc>
        <w:tc>
          <w:tcPr>
            <w:tcW w:w="2115" w:type="dxa"/>
            <w:tcBorders>
              <w:tl2br w:val="nil"/>
              <w:tr2bl w:val="nil"/>
            </w:tcBorders>
            <w:vAlign w:val="center"/>
          </w:tcPr>
          <w:p w14:paraId="787E729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275</w:t>
            </w:r>
          </w:p>
        </w:tc>
        <w:tc>
          <w:tcPr>
            <w:tcW w:w="2145" w:type="dxa"/>
            <w:gridSpan w:val="2"/>
            <w:tcBorders>
              <w:tl2br w:val="nil"/>
              <w:tr2bl w:val="nil"/>
            </w:tcBorders>
            <w:vAlign w:val="center"/>
          </w:tcPr>
          <w:p w14:paraId="4B30C25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156.67</w:t>
            </w:r>
          </w:p>
        </w:tc>
      </w:tr>
      <w:tr w14:paraId="666B6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9A96D3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44100A6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248.78</w:t>
            </w:r>
          </w:p>
        </w:tc>
        <w:tc>
          <w:tcPr>
            <w:tcW w:w="2115" w:type="dxa"/>
            <w:tcBorders>
              <w:tl2br w:val="nil"/>
              <w:tr2bl w:val="nil"/>
            </w:tcBorders>
            <w:vAlign w:val="center"/>
          </w:tcPr>
          <w:p w14:paraId="049DBCE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300</w:t>
            </w:r>
          </w:p>
        </w:tc>
        <w:tc>
          <w:tcPr>
            <w:tcW w:w="2145" w:type="dxa"/>
            <w:gridSpan w:val="2"/>
            <w:tcBorders>
              <w:tl2br w:val="nil"/>
              <w:tr2bl w:val="nil"/>
            </w:tcBorders>
            <w:vAlign w:val="center"/>
          </w:tcPr>
          <w:p w14:paraId="5C19888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150.99</w:t>
            </w:r>
          </w:p>
        </w:tc>
      </w:tr>
      <w:tr w14:paraId="502AC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3F4169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5F4E5EC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325.42</w:t>
            </w:r>
          </w:p>
        </w:tc>
        <w:tc>
          <w:tcPr>
            <w:tcW w:w="2115" w:type="dxa"/>
            <w:tcBorders>
              <w:tl2br w:val="nil"/>
              <w:tr2bl w:val="nil"/>
            </w:tcBorders>
            <w:vAlign w:val="center"/>
          </w:tcPr>
          <w:p w14:paraId="51ADC7E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325</w:t>
            </w:r>
          </w:p>
        </w:tc>
        <w:tc>
          <w:tcPr>
            <w:tcW w:w="2145" w:type="dxa"/>
            <w:gridSpan w:val="2"/>
            <w:tcBorders>
              <w:tl2br w:val="nil"/>
              <w:tr2bl w:val="nil"/>
            </w:tcBorders>
            <w:vAlign w:val="center"/>
          </w:tcPr>
          <w:p w14:paraId="4D491F0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142.66</w:t>
            </w:r>
          </w:p>
        </w:tc>
      </w:tr>
      <w:tr w14:paraId="4D797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850984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tl2br w:val="nil"/>
              <w:tr2bl w:val="nil"/>
            </w:tcBorders>
            <w:vAlign w:val="center"/>
          </w:tcPr>
          <w:p w14:paraId="7397260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352.14</w:t>
            </w:r>
          </w:p>
        </w:tc>
        <w:tc>
          <w:tcPr>
            <w:tcW w:w="2115" w:type="dxa"/>
            <w:tcBorders>
              <w:tl2br w:val="nil"/>
              <w:tr2bl w:val="nil"/>
            </w:tcBorders>
            <w:vAlign w:val="center"/>
          </w:tcPr>
          <w:p w14:paraId="7F0FBCC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350</w:t>
            </w:r>
          </w:p>
        </w:tc>
        <w:tc>
          <w:tcPr>
            <w:tcW w:w="2145" w:type="dxa"/>
            <w:gridSpan w:val="2"/>
            <w:tcBorders>
              <w:tl2br w:val="nil"/>
              <w:tr2bl w:val="nil"/>
            </w:tcBorders>
            <w:vAlign w:val="center"/>
          </w:tcPr>
          <w:p w14:paraId="410D5AB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135.32</w:t>
            </w:r>
          </w:p>
        </w:tc>
      </w:tr>
      <w:tr w14:paraId="3F495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42BA95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14:paraId="5584F6E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318.87</w:t>
            </w:r>
          </w:p>
        </w:tc>
        <w:tc>
          <w:tcPr>
            <w:tcW w:w="2115" w:type="dxa"/>
            <w:tcBorders>
              <w:tl2br w:val="nil"/>
              <w:tr2bl w:val="nil"/>
            </w:tcBorders>
            <w:vAlign w:val="center"/>
          </w:tcPr>
          <w:p w14:paraId="1E4F2A8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375</w:t>
            </w:r>
          </w:p>
        </w:tc>
        <w:tc>
          <w:tcPr>
            <w:tcW w:w="2145" w:type="dxa"/>
            <w:gridSpan w:val="2"/>
            <w:tcBorders>
              <w:tl2br w:val="nil"/>
              <w:tr2bl w:val="nil"/>
            </w:tcBorders>
            <w:vAlign w:val="center"/>
          </w:tcPr>
          <w:p w14:paraId="686A5E5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128.85</w:t>
            </w:r>
          </w:p>
        </w:tc>
      </w:tr>
      <w:tr w14:paraId="63E9F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CDDFCA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30" w:type="dxa"/>
            <w:tcBorders>
              <w:tl2br w:val="nil"/>
              <w:tr2bl w:val="nil"/>
            </w:tcBorders>
            <w:vAlign w:val="center"/>
          </w:tcPr>
          <w:p w14:paraId="5017B5C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274.79</w:t>
            </w:r>
          </w:p>
        </w:tc>
        <w:tc>
          <w:tcPr>
            <w:tcW w:w="2115" w:type="dxa"/>
            <w:tcBorders>
              <w:tl2br w:val="nil"/>
              <w:tr2bl w:val="nil"/>
            </w:tcBorders>
            <w:vAlign w:val="center"/>
          </w:tcPr>
          <w:p w14:paraId="6628875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400</w:t>
            </w:r>
          </w:p>
        </w:tc>
        <w:tc>
          <w:tcPr>
            <w:tcW w:w="2145" w:type="dxa"/>
            <w:gridSpan w:val="2"/>
            <w:tcBorders>
              <w:tl2br w:val="nil"/>
              <w:tr2bl w:val="nil"/>
            </w:tcBorders>
            <w:vAlign w:val="center"/>
          </w:tcPr>
          <w:p w14:paraId="58CA5AF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123.09</w:t>
            </w:r>
          </w:p>
        </w:tc>
      </w:tr>
      <w:tr w14:paraId="5CFF9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AE86C1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14:paraId="20DE086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238.86</w:t>
            </w:r>
          </w:p>
        </w:tc>
        <w:tc>
          <w:tcPr>
            <w:tcW w:w="2115" w:type="dxa"/>
            <w:tcBorders>
              <w:tl2br w:val="nil"/>
              <w:tr2bl w:val="nil"/>
            </w:tcBorders>
            <w:vAlign w:val="center"/>
          </w:tcPr>
          <w:p w14:paraId="5A990FF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425</w:t>
            </w:r>
          </w:p>
        </w:tc>
        <w:tc>
          <w:tcPr>
            <w:tcW w:w="2145" w:type="dxa"/>
            <w:gridSpan w:val="2"/>
            <w:tcBorders>
              <w:tl2br w:val="nil"/>
              <w:tr2bl w:val="nil"/>
            </w:tcBorders>
            <w:vAlign w:val="center"/>
          </w:tcPr>
          <w:p w14:paraId="4E4B2D3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117.91</w:t>
            </w:r>
          </w:p>
        </w:tc>
      </w:tr>
      <w:tr w14:paraId="2D182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ED4914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175</w:t>
            </w:r>
          </w:p>
        </w:tc>
        <w:tc>
          <w:tcPr>
            <w:tcW w:w="2130" w:type="dxa"/>
            <w:tcBorders>
              <w:tl2br w:val="nil"/>
              <w:tr2bl w:val="nil"/>
            </w:tcBorders>
            <w:vAlign w:val="center"/>
          </w:tcPr>
          <w:p w14:paraId="44039AB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213.13</w:t>
            </w:r>
          </w:p>
        </w:tc>
        <w:tc>
          <w:tcPr>
            <w:tcW w:w="2115" w:type="dxa"/>
            <w:tcBorders>
              <w:tl2br w:val="nil"/>
              <w:tr2bl w:val="nil"/>
            </w:tcBorders>
            <w:vAlign w:val="center"/>
          </w:tcPr>
          <w:p w14:paraId="7711383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450</w:t>
            </w:r>
          </w:p>
        </w:tc>
        <w:tc>
          <w:tcPr>
            <w:tcW w:w="2145" w:type="dxa"/>
            <w:gridSpan w:val="2"/>
            <w:tcBorders>
              <w:tl2br w:val="nil"/>
              <w:tr2bl w:val="nil"/>
            </w:tcBorders>
            <w:vAlign w:val="center"/>
          </w:tcPr>
          <w:p w14:paraId="5F2C4AA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113.23</w:t>
            </w:r>
          </w:p>
        </w:tc>
      </w:tr>
      <w:tr w14:paraId="67E6D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FCFC96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14:paraId="53EFD15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194.41</w:t>
            </w:r>
          </w:p>
        </w:tc>
        <w:tc>
          <w:tcPr>
            <w:tcW w:w="2115" w:type="dxa"/>
            <w:tcBorders>
              <w:tl2br w:val="nil"/>
              <w:tr2bl w:val="nil"/>
            </w:tcBorders>
            <w:vAlign w:val="center"/>
          </w:tcPr>
          <w:p w14:paraId="61B2094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tl2br w:val="nil"/>
              <w:tr2bl w:val="nil"/>
            </w:tcBorders>
            <w:vAlign w:val="center"/>
          </w:tcPr>
          <w:p w14:paraId="31CDBBF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36D18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A90E117">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225</w:t>
            </w:r>
          </w:p>
        </w:tc>
        <w:tc>
          <w:tcPr>
            <w:tcW w:w="2130" w:type="dxa"/>
            <w:tcBorders>
              <w:tl2br w:val="nil"/>
              <w:tr2bl w:val="nil"/>
            </w:tcBorders>
            <w:vAlign w:val="center"/>
          </w:tcPr>
          <w:p w14:paraId="256284E4">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2115" w:type="dxa"/>
            <w:tcBorders>
              <w:tl2br w:val="nil"/>
              <w:tr2bl w:val="nil"/>
            </w:tcBorders>
            <w:vAlign w:val="center"/>
          </w:tcPr>
          <w:p w14:paraId="72FC361E">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tl2br w:val="nil"/>
              <w:tr2bl w:val="nil"/>
            </w:tcBorders>
            <w:vAlign w:val="center"/>
          </w:tcPr>
          <w:p w14:paraId="794E55B2">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947F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vAlign w:val="center"/>
          </w:tcPr>
          <w:p w14:paraId="5C3ED413">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250</w:t>
            </w:r>
          </w:p>
        </w:tc>
        <w:tc>
          <w:tcPr>
            <w:tcW w:w="2130" w:type="dxa"/>
            <w:vAlign w:val="center"/>
          </w:tcPr>
          <w:p w14:paraId="61916F29">
            <w:pPr>
              <w:adjustRightInd w:val="0"/>
              <w:snapToGrid w:val="0"/>
              <w:spacing w:line="240" w:lineRule="auto"/>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167.13</w:t>
            </w:r>
          </w:p>
        </w:tc>
        <w:tc>
          <w:tcPr>
            <w:tcW w:w="2115" w:type="dxa"/>
            <w:vAlign w:val="center"/>
          </w:tcPr>
          <w:p w14:paraId="45C9672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Pr>
          <w:p w14:paraId="0DD6176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0DCB0865">
      <w:pPr>
        <w:spacing w:line="500" w:lineRule="exact"/>
        <w:ind w:firstLine="480" w:firstLineChars="200"/>
        <w:rPr>
          <w:rFonts w:eastAsia="宋体"/>
        </w:rPr>
      </w:pPr>
      <w:r>
        <w:rPr>
          <w:rFonts w:eastAsia="宋体"/>
          <w:color w:val="000000" w:themeColor="text1"/>
          <w14:textFill>
            <w14:solidFill>
              <w14:schemeClr w14:val="tx1"/>
            </w14:solidFill>
          </w14:textFill>
        </w:rPr>
        <w:t>由预测结果可知，发生火灾时CO扩散的最大影响</w:t>
      </w:r>
      <w:r>
        <w:rPr>
          <w:rFonts w:eastAsia="宋体"/>
        </w:rPr>
        <w:t>范围为周边</w:t>
      </w:r>
      <w:r>
        <w:rPr>
          <w:rFonts w:hint="eastAsia" w:eastAsia="宋体"/>
        </w:rPr>
        <w:t>800</w:t>
      </w:r>
      <w:r>
        <w:rPr>
          <w:rFonts w:eastAsia="宋体"/>
        </w:rPr>
        <w:t>米内。</w:t>
      </w:r>
    </w:p>
    <w:p w14:paraId="17150C37">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28" w:name="_Toc11612"/>
      <w:bookmarkStart w:id="229" w:name="_Toc6104"/>
      <w:bookmarkStart w:id="230" w:name="_Toc2498"/>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2</w:t>
      </w:r>
      <w:bookmarkEnd w:id="227"/>
      <w:bookmarkEnd w:id="228"/>
      <w:r>
        <w:rPr>
          <w:rFonts w:hint="eastAsia" w:eastAsia="宋体"/>
          <w:color w:val="000000" w:themeColor="text1"/>
          <w14:textFill>
            <w14:solidFill>
              <w14:schemeClr w14:val="tx1"/>
            </w14:solidFill>
          </w14:textFill>
        </w:rPr>
        <w:t>事件情景</w:t>
      </w:r>
      <w:bookmarkEnd w:id="229"/>
      <w:bookmarkEnd w:id="230"/>
      <w:r>
        <w:rPr>
          <w:rFonts w:hint="eastAsia" w:eastAsia="宋体"/>
          <w:color w:val="000000" w:themeColor="text1"/>
          <w:lang w:val="en-US" w:eastAsia="zh-CN"/>
          <w14:textFill>
            <w14:solidFill>
              <w14:schemeClr w14:val="tx1"/>
            </w14:solidFill>
          </w14:textFill>
        </w:rPr>
        <w:t>6、9、11</w:t>
      </w:r>
    </w:p>
    <w:p w14:paraId="55B8055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bookmarkStart w:id="231" w:name="_Toc1731"/>
      <w:r>
        <w:rPr>
          <w:rFonts w:eastAsia="宋体"/>
          <w:color w:val="000000" w:themeColor="text1"/>
          <w14:textFill>
            <w14:solidFill>
              <w14:schemeClr w14:val="tx1"/>
            </w14:solidFill>
          </w14:textFill>
        </w:rPr>
        <w:t>对地表水造成的不良影响以</w:t>
      </w:r>
      <w:r>
        <w:rPr>
          <w:rFonts w:hint="eastAsia" w:eastAsia="宋体"/>
          <w:color w:val="000000" w:themeColor="text1"/>
          <w14:textFill>
            <w14:solidFill>
              <w14:schemeClr w14:val="tx1"/>
            </w14:solidFill>
          </w14:textFill>
        </w:rPr>
        <w:t>洗消废水</w:t>
      </w:r>
      <w:r>
        <w:rPr>
          <w:rFonts w:eastAsia="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进行测算。</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COD为</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mg/L，水深3~4米，枯水期流速平均约为0.06m/s，枯水期流量约</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.0m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水质情况见表4-</w:t>
      </w:r>
      <w:r>
        <w:rPr>
          <w:rFonts w:hint="eastAsia" w:eastAsia="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p>
    <w:p w14:paraId="7178B7C8">
      <w:pPr>
        <w:pStyle w:val="13"/>
        <w:adjustRightInd w:val="0"/>
        <w:snapToGrid w:val="0"/>
        <w:spacing w:after="0" w:line="500" w:lineRule="exact"/>
        <w:jc w:val="center"/>
        <w:rPr>
          <w:rFonts w:ascii="宋体" w:hAnsi="宋体" w:eastAsia="宋体" w:cs="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8环港北河</w:t>
      </w:r>
      <w:r>
        <w:rPr>
          <w:rFonts w:eastAsia="宋体"/>
          <w:b/>
          <w:color w:val="000000" w:themeColor="text1"/>
          <w14:textFill>
            <w14:solidFill>
              <w14:schemeClr w14:val="tx1"/>
            </w14:solidFill>
          </w14:textFill>
        </w:rPr>
        <w:t>水质情况</w:t>
      </w:r>
    </w:p>
    <w:tbl>
      <w:tblPr>
        <w:tblStyle w:val="38"/>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6478E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3693AD20">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河流</w:t>
            </w:r>
          </w:p>
        </w:tc>
        <w:tc>
          <w:tcPr>
            <w:tcW w:w="2922" w:type="pct"/>
            <w:tcBorders>
              <w:tl2br w:val="nil"/>
              <w:tr2bl w:val="nil"/>
            </w:tcBorders>
            <w:vAlign w:val="center"/>
          </w:tcPr>
          <w:p w14:paraId="5BDA900A">
            <w:pPr>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CODcr(mg/L)</w:t>
            </w:r>
          </w:p>
        </w:tc>
      </w:tr>
      <w:tr w14:paraId="6EC4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6C6035E4">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环港北河</w:t>
            </w:r>
          </w:p>
        </w:tc>
        <w:tc>
          <w:tcPr>
            <w:tcW w:w="2922" w:type="pct"/>
            <w:tcBorders>
              <w:tl2br w:val="nil"/>
              <w:tr2bl w:val="nil"/>
            </w:tcBorders>
            <w:vAlign w:val="center"/>
          </w:tcPr>
          <w:p w14:paraId="286E3A3D">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18</w:t>
            </w:r>
          </w:p>
        </w:tc>
      </w:tr>
    </w:tbl>
    <w:p w14:paraId="2597993E">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污水非正常排放对水质会产生不良影响，假设污</w:t>
      </w:r>
      <w:r>
        <w:rPr>
          <w:rFonts w:eastAsia="宋体"/>
          <w:color w:val="000000" w:themeColor="text1"/>
          <w14:textFill>
            <w14:solidFill>
              <w14:schemeClr w14:val="tx1"/>
            </w14:solidFill>
          </w14:textFill>
        </w:rPr>
        <w:t>水COD浓度为</w:t>
      </w:r>
      <w:r>
        <w:rPr>
          <w:rFonts w:hint="eastAsia" w:eastAsia="宋体"/>
          <w:color w:val="000000" w:themeColor="text1"/>
          <w:lang w:val="en-US" w:eastAsia="zh-CN"/>
          <w14:textFill>
            <w14:solidFill>
              <w14:schemeClr w14:val="tx1"/>
            </w14:solidFill>
          </w14:textFill>
        </w:rPr>
        <w:t>400</w:t>
      </w:r>
      <w:r>
        <w:rPr>
          <w:rFonts w:eastAsia="宋体"/>
          <w:color w:val="000000" w:themeColor="text1"/>
          <w14:textFill>
            <w14:solidFill>
              <w14:schemeClr w14:val="tx1"/>
            </w14:solidFill>
          </w14:textFill>
        </w:rPr>
        <w:t>mg/L，流量</w:t>
      </w:r>
      <w:r>
        <w:rPr>
          <w:rFonts w:hint="eastAsia" w:eastAsia="宋体"/>
          <w:color w:val="000000" w:themeColor="text1"/>
          <w:szCs w:val="28"/>
          <w:lang w:val="en-US" w:eastAsia="zh-CN"/>
          <w14:textFill>
            <w14:solidFill>
              <w14:schemeClr w14:val="tx1"/>
            </w14:solidFill>
          </w14:textFill>
        </w:rPr>
        <w:t>0.056</w:t>
      </w:r>
      <w:r>
        <w:rPr>
          <w:rFonts w:eastAsia="宋体"/>
          <w:color w:val="000000" w:themeColor="text1"/>
          <w:szCs w:val="28"/>
          <w14:textFill>
            <w14:solidFill>
              <w14:schemeClr w14:val="tx1"/>
            </w14:solidFill>
          </w14:textFill>
        </w:rPr>
        <w:t>m</w:t>
      </w:r>
      <w:r>
        <w:rPr>
          <w:rFonts w:eastAsia="宋体"/>
          <w:color w:val="000000" w:themeColor="text1"/>
          <w:szCs w:val="28"/>
          <w:vertAlign w:val="superscript"/>
          <w14:textFill>
            <w14:solidFill>
              <w14:schemeClr w14:val="tx1"/>
            </w14:solidFill>
          </w14:textFill>
        </w:rPr>
        <w:t>3</w:t>
      </w:r>
      <w:r>
        <w:rPr>
          <w:rFonts w:eastAsia="宋体"/>
          <w:color w:val="000000" w:themeColor="text1"/>
          <w:szCs w:val="28"/>
          <w14:textFill>
            <w14:solidFill>
              <w14:schemeClr w14:val="tx1"/>
            </w14:solidFill>
          </w14:textFill>
        </w:rPr>
        <w:t>/s</w:t>
      </w:r>
      <w:r>
        <w:rPr>
          <w:rFonts w:eastAsia="宋体"/>
          <w:color w:val="000000" w:themeColor="text1"/>
          <w14:textFill>
            <w14:solidFill>
              <w14:schemeClr w14:val="tx1"/>
            </w14:solidFill>
          </w14:textFill>
        </w:rPr>
        <w:t>，事故时间</w:t>
      </w:r>
      <w:r>
        <w:rPr>
          <w:rFonts w:hint="eastAsia" w:eastAsia="宋体"/>
          <w:color w:val="000000" w:themeColor="text1"/>
          <w:highlight w:val="none"/>
          <w14:textFill>
            <w14:solidFill>
              <w14:schemeClr w14:val="tx1"/>
            </w14:solidFill>
          </w14:textFill>
        </w:rPr>
        <w:t>1h</w:t>
      </w:r>
      <w:r>
        <w:rPr>
          <w:rFonts w:eastAsia="宋体"/>
          <w:color w:val="000000" w:themeColor="text1"/>
          <w:highlight w:val="none"/>
          <w14:textFill>
            <w14:solidFill>
              <w14:schemeClr w14:val="tx1"/>
            </w14:solidFill>
          </w14:textFill>
        </w:rPr>
        <w:t>，总废水量</w:t>
      </w:r>
      <w:r>
        <w:rPr>
          <w:rFonts w:hint="eastAsia" w:eastAsia="宋体"/>
          <w:color w:val="000000" w:themeColor="text1"/>
          <w:highlight w:val="none"/>
          <w:lang w:val="en-US" w:eastAsia="zh-CN"/>
          <w14:textFill>
            <w14:solidFill>
              <w14:schemeClr w14:val="tx1"/>
            </w14:solidFill>
          </w14:textFill>
        </w:rPr>
        <w:t>140</w:t>
      </w:r>
      <w:r>
        <w:rPr>
          <w:rFonts w:eastAsia="宋体"/>
          <w:color w:val="000000" w:themeColor="text1"/>
          <w:highlight w:val="none"/>
          <w14:textFill>
            <w14:solidFill>
              <w14:schemeClr w14:val="tx1"/>
            </w14:solidFill>
          </w14:textFill>
        </w:rPr>
        <w:t>m</w:t>
      </w:r>
      <w:r>
        <w:rPr>
          <w:rFonts w:eastAsia="宋体"/>
          <w:color w:val="000000" w:themeColor="text1"/>
          <w:vertAlign w:val="superscript"/>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p>
    <w:p w14:paraId="3FAB2EF1">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按照《环境影响评价技术导则地表水环境》，</w:t>
      </w:r>
      <w:r>
        <w:rPr>
          <w:rFonts w:hint="eastAsia" w:eastAsia="宋体"/>
          <w:color w:val="000000" w:themeColor="text1"/>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河道基本平直,考虑河流充分混合段，评价采用一维对流扩散模型进行预测。</w:t>
      </w:r>
    </w:p>
    <w:p w14:paraId="524B68B2">
      <w:pPr>
        <w:adjustRightInd w:val="0"/>
        <w:snapToGrid w:val="0"/>
        <w:spacing w:line="500" w:lineRule="exact"/>
        <w:ind w:firstLine="480" w:firstLineChars="200"/>
        <w:jc w:val="left"/>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455954AC">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45pt;width:124.6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p>
    <w:p w14:paraId="587C3DE1">
      <w:pPr>
        <w:adjustRightInd w:val="0"/>
        <w:snapToGrid w:val="0"/>
        <w:spacing w:line="500" w:lineRule="exact"/>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E15F628">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C—预测河段污染物浓度，mg/L;</w:t>
      </w:r>
    </w:p>
    <w:p w14:paraId="7F87631F">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—初始预测断面污染物浓度，mg/L;</w:t>
      </w:r>
    </w:p>
    <w:p w14:paraId="342CCD87">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—衰减系数，1/d;</w:t>
      </w:r>
    </w:p>
    <w:p w14:paraId="5B698692">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d—混合深度；</w:t>
      </w:r>
    </w:p>
    <w:p w14:paraId="29D7C6DD">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x—距排污口的纵向距离，m;</w:t>
      </w:r>
    </w:p>
    <w:p w14:paraId="639E808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u—河水流速，m/s;</w:t>
      </w:r>
    </w:p>
    <w:p w14:paraId="18CF6CCD">
      <w:pPr>
        <w:widowControl/>
        <w:adjustRightInd w:val="0"/>
        <w:snapToGrid w:val="0"/>
        <w:spacing w:line="360" w:lineRule="auto"/>
        <w:ind w:firstLine="560"/>
        <w:rPr>
          <w:rFonts w:eastAsia="宋体"/>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5408;mso-width-relative:page;mso-height-relative:page;" o:ole="t" filled="f" o:preferrelative="t" stroked="f" coordsize="21600,21600">
            <v:path/>
            <v:fill on="f" focussize="0,0"/>
            <v:stroke on="f" joinstyle="miter"/>
            <v:imagedata r:id="rId23" o:title=""/>
            <o:lock v:ext="edit" aspectratio="t"/>
            <w10:wrap type="topAndBottom"/>
          </v:shape>
          <o:OLEObject Type="Embed" ProgID="Equation.3" ShapeID="_x0000_s1027" DrawAspect="Content" ObjectID="_1468075726" r:id="rId22">
            <o:LockedField>false</o:LockedField>
          </o:OLEObject>
        </w:pict>
      </w:r>
      <w:r>
        <w:rPr>
          <w:rFonts w:eastAsia="宋体"/>
          <w:color w:val="000000" w:themeColor="text1"/>
          <w14:textFill>
            <w14:solidFill>
              <w14:schemeClr w14:val="tx1"/>
            </w14:solidFill>
          </w14:textFill>
        </w:rPr>
        <w:t>式中：</w:t>
      </w:r>
    </w:p>
    <w:p w14:paraId="7710EAE3">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0</w:t>
      </w:r>
      <w:r>
        <w:rPr>
          <w:rFonts w:eastAsia="宋体"/>
          <w:color w:val="000000" w:themeColor="text1"/>
          <w14:textFill>
            <w14:solidFill>
              <w14:schemeClr w14:val="tx1"/>
            </w14:solidFill>
          </w14:textFill>
        </w:rPr>
        <w:t>—混合后河流中污染物浓度，mg/L;</w:t>
      </w:r>
    </w:p>
    <w:p w14:paraId="5DD538C6">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—河流中污染物的背景浓度，mg/L;</w:t>
      </w:r>
    </w:p>
    <w:p w14:paraId="6CB8C072">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—污水中污染物的浓度，mg/L;</w:t>
      </w:r>
    </w:p>
    <w:p w14:paraId="5198D254">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h</w:t>
      </w:r>
      <w:r>
        <w:rPr>
          <w:rFonts w:eastAsia="宋体"/>
          <w:color w:val="000000" w:themeColor="text1"/>
          <w14:textFill>
            <w14:solidFill>
              <w14:schemeClr w14:val="tx1"/>
            </w14:solidFill>
          </w14:textFill>
        </w:rPr>
        <w:t>—河流流量，m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7ED0D91B">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Q</w:t>
      </w:r>
      <w:r>
        <w:rPr>
          <w:rFonts w:eastAsia="宋体"/>
          <w:color w:val="000000" w:themeColor="text1"/>
          <w:vertAlign w:val="subscript"/>
          <w14:textFill>
            <w14:solidFill>
              <w14:schemeClr w14:val="tx1"/>
            </w14:solidFill>
          </w14:textFill>
        </w:rPr>
        <w:t>p</w:t>
      </w:r>
      <w:r>
        <w:rPr>
          <w:rFonts w:eastAsia="宋体"/>
          <w:color w:val="000000" w:themeColor="text1"/>
          <w14:textFill>
            <w14:solidFill>
              <w14:schemeClr w14:val="tx1"/>
            </w14:solidFill>
          </w14:textFill>
        </w:rPr>
        <w:t>—污水流量，m</w:t>
      </w:r>
      <w:r>
        <w:rPr>
          <w:rFonts w:eastAsia="宋体"/>
          <w:color w:val="000000" w:themeColor="text1"/>
          <w:vertAlign w:val="superscript"/>
          <w14:textFill>
            <w14:solidFill>
              <w14:schemeClr w14:val="tx1"/>
            </w14:solidFill>
          </w14:textFill>
        </w:rPr>
        <w:t>3</w:t>
      </w:r>
      <w:r>
        <w:rPr>
          <w:rFonts w:eastAsia="宋体"/>
          <w:color w:val="000000" w:themeColor="text1"/>
          <w14:textFill>
            <w14:solidFill>
              <w14:schemeClr w14:val="tx1"/>
            </w14:solidFill>
          </w14:textFill>
        </w:rPr>
        <w:t>/s。</w:t>
      </w:r>
    </w:p>
    <w:p w14:paraId="309E2A05">
      <w:pPr>
        <w:adjustRightInd w:val="0"/>
        <w:snapToGrid w:val="0"/>
        <w:spacing w:line="500" w:lineRule="exact"/>
        <w:ind w:firstLine="480" w:firstLineChars="20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COD降解系数K</w:t>
      </w:r>
      <w:r>
        <w:rPr>
          <w:rFonts w:eastAsia="宋体"/>
          <w:color w:val="000000" w:themeColor="text1"/>
          <w:vertAlign w:val="subscript"/>
          <w14:textFill>
            <w14:solidFill>
              <w14:schemeClr w14:val="tx1"/>
            </w14:solidFill>
          </w14:textFill>
        </w:rPr>
        <w:t>1</w:t>
      </w:r>
      <w:r>
        <w:rPr>
          <w:rFonts w:eastAsia="宋体"/>
          <w:color w:val="000000" w:themeColor="text1"/>
          <w14:textFill>
            <w14:solidFill>
              <w14:schemeClr w14:val="tx1"/>
            </w14:solidFill>
          </w14:textFill>
        </w:rPr>
        <w:t>为0.1-0.25d</w:t>
      </w:r>
      <w:r>
        <w:rPr>
          <w:rFonts w:eastAsia="宋体"/>
          <w:color w:val="000000" w:themeColor="text1"/>
          <w:vertAlign w:val="superscript"/>
          <w14:textFill>
            <w14:solidFill>
              <w14:schemeClr w14:val="tx1"/>
            </w14:solidFill>
          </w14:textFill>
        </w:rPr>
        <w:t>-1</w:t>
      </w:r>
      <w:r>
        <w:rPr>
          <w:rFonts w:eastAsia="宋体"/>
          <w:color w:val="000000" w:themeColor="text1"/>
          <w14:textFill>
            <w14:solidFill>
              <w14:schemeClr w14:val="tx1"/>
            </w14:solidFill>
          </w14:textFill>
        </w:rPr>
        <w:t>，取0.2。</w:t>
      </w:r>
    </w:p>
    <w:p w14:paraId="2DEDCD69">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河段COD浓度影响进行预测，结算结果见表4-</w:t>
      </w:r>
      <w:r>
        <w:rPr>
          <w:rFonts w:hint="eastAsia" w:eastAsia="宋体"/>
          <w:color w:val="000000" w:themeColor="text1"/>
          <w:lang w:val="en-US" w:eastAsia="zh-CN"/>
          <w14:textFill>
            <w14:solidFill>
              <w14:schemeClr w14:val="tx1"/>
            </w14:solidFill>
          </w14:textFill>
        </w:rPr>
        <w:t>9</w:t>
      </w:r>
      <w:r>
        <w:rPr>
          <w:rFonts w:eastAsia="宋体"/>
          <w:color w:val="000000" w:themeColor="text1"/>
          <w14:textFill>
            <w14:solidFill>
              <w14:schemeClr w14:val="tx1"/>
            </w14:solidFill>
          </w14:textFill>
        </w:rPr>
        <w:t>。</w:t>
      </w:r>
    </w:p>
    <w:p w14:paraId="23CCE919">
      <w:pPr>
        <w:pStyle w:val="13"/>
        <w:adjustRightInd w:val="0"/>
        <w:snapToGrid w:val="0"/>
        <w:spacing w:after="0" w:line="460" w:lineRule="exact"/>
        <w:jc w:val="center"/>
        <w:rPr>
          <w:rFonts w:eastAsia="宋体"/>
          <w:b/>
          <w:color w:val="0000FF"/>
        </w:rPr>
      </w:pPr>
      <w:r>
        <w:rPr>
          <w:rFonts w:eastAsia="宋体"/>
          <w:b/>
          <w:color w:val="000000" w:themeColor="text1"/>
          <w14:textFill>
            <w14:solidFill>
              <w14:schemeClr w14:val="tx1"/>
            </w14:solidFill>
          </w14:textFill>
        </w:rPr>
        <w:t>表4-</w:t>
      </w:r>
      <w:r>
        <w:rPr>
          <w:rFonts w:hint="eastAsia" w:eastAsia="宋体"/>
          <w:b/>
          <w:color w:val="000000" w:themeColor="text1"/>
          <w:lang w:val="en-US" w:eastAsia="zh-CN"/>
          <w14:textFill>
            <w14:solidFill>
              <w14:schemeClr w14:val="tx1"/>
            </w14:solidFill>
          </w14:textFill>
        </w:rPr>
        <w:t>9</w:t>
      </w:r>
      <w:r>
        <w:rPr>
          <w:rFonts w:eastAsia="宋体"/>
          <w:b/>
          <w:color w:val="000000" w:themeColor="text1"/>
          <w14:textFill>
            <w14:solidFill>
              <w14:schemeClr w14:val="tx1"/>
            </w14:solidFill>
          </w14:textFill>
        </w:rPr>
        <w:t>超标废水直排对下游不同断面影响</w:t>
      </w:r>
    </w:p>
    <w:tbl>
      <w:tblPr>
        <w:tblStyle w:val="39"/>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621AE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67B4421E">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0157B665">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14:paraId="1FBF2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8256313">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14:paraId="7C9D6AD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24.32</w:t>
            </w:r>
          </w:p>
        </w:tc>
      </w:tr>
      <w:tr w14:paraId="6A5E7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761C340D">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14:paraId="04B3A7B6">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23.95</w:t>
            </w:r>
          </w:p>
        </w:tc>
      </w:tr>
      <w:tr w14:paraId="7CCDF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7848D824">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14:paraId="56743A69">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23.58</w:t>
            </w:r>
          </w:p>
        </w:tc>
      </w:tr>
      <w:tr w14:paraId="2AB63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51881167">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14:paraId="40DF96B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23.22</w:t>
            </w:r>
          </w:p>
        </w:tc>
      </w:tr>
      <w:tr w14:paraId="57B19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660D6F8">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14:paraId="3AD19B4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22.86</w:t>
            </w:r>
          </w:p>
        </w:tc>
      </w:tr>
      <w:tr w14:paraId="7604B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70F34C1">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14:paraId="053095EE">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22.51</w:t>
            </w:r>
          </w:p>
        </w:tc>
      </w:tr>
      <w:tr w14:paraId="5D81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5331885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600</w:t>
            </w:r>
          </w:p>
        </w:tc>
        <w:tc>
          <w:tcPr>
            <w:tcW w:w="4390" w:type="dxa"/>
            <w:tcBorders>
              <w:tl2br w:val="nil"/>
              <w:tr2bl w:val="nil"/>
            </w:tcBorders>
            <w:vAlign w:val="center"/>
          </w:tcPr>
          <w:p w14:paraId="31163DC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22.17</w:t>
            </w:r>
          </w:p>
        </w:tc>
      </w:tr>
      <w:tr w14:paraId="3085A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tcBorders>
              <w:tl2br w:val="nil"/>
              <w:tr2bl w:val="nil"/>
            </w:tcBorders>
            <w:vAlign w:val="center"/>
          </w:tcPr>
          <w:p w14:paraId="1853CB1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700</w:t>
            </w:r>
          </w:p>
        </w:tc>
        <w:tc>
          <w:tcPr>
            <w:tcW w:w="4390" w:type="dxa"/>
            <w:tcBorders>
              <w:tl2br w:val="nil"/>
              <w:tr2bl w:val="nil"/>
            </w:tcBorders>
            <w:vAlign w:val="center"/>
          </w:tcPr>
          <w:p w14:paraId="3A9F807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21.83</w:t>
            </w:r>
          </w:p>
        </w:tc>
      </w:tr>
      <w:tr w14:paraId="01652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7A919C5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800</w:t>
            </w:r>
          </w:p>
        </w:tc>
        <w:tc>
          <w:tcPr>
            <w:tcW w:w="4390" w:type="dxa"/>
            <w:tcBorders>
              <w:tl2br w:val="nil"/>
              <w:tr2bl w:val="nil"/>
            </w:tcBorders>
            <w:vAlign w:val="center"/>
          </w:tcPr>
          <w:p w14:paraId="6EC2CDF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21.50</w:t>
            </w:r>
          </w:p>
        </w:tc>
      </w:tr>
      <w:tr w14:paraId="54CE2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390" w:type="dxa"/>
            <w:tcBorders>
              <w:tl2br w:val="nil"/>
              <w:tr2bl w:val="nil"/>
            </w:tcBorders>
            <w:vAlign w:val="center"/>
          </w:tcPr>
          <w:p w14:paraId="64A7D34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900</w:t>
            </w:r>
          </w:p>
        </w:tc>
        <w:tc>
          <w:tcPr>
            <w:tcW w:w="4390" w:type="dxa"/>
            <w:tcBorders>
              <w:tl2br w:val="nil"/>
              <w:tr2bl w:val="nil"/>
            </w:tcBorders>
            <w:vAlign w:val="center"/>
          </w:tcPr>
          <w:p w14:paraId="4EA1649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21.17</w:t>
            </w:r>
          </w:p>
        </w:tc>
      </w:tr>
      <w:tr w14:paraId="481C7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5C7875D">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tl2br w:val="nil"/>
              <w:tr2bl w:val="nil"/>
            </w:tcBorders>
            <w:vAlign w:val="center"/>
          </w:tcPr>
          <w:p w14:paraId="1607469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20.84</w:t>
            </w:r>
          </w:p>
        </w:tc>
      </w:tr>
      <w:tr w14:paraId="407A6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753265F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1100</w:t>
            </w:r>
          </w:p>
        </w:tc>
        <w:tc>
          <w:tcPr>
            <w:tcW w:w="4390" w:type="dxa"/>
            <w:tcBorders>
              <w:tl2br w:val="nil"/>
              <w:tr2bl w:val="nil"/>
            </w:tcBorders>
            <w:vAlign w:val="center"/>
          </w:tcPr>
          <w:p w14:paraId="1646717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20.52</w:t>
            </w:r>
          </w:p>
        </w:tc>
      </w:tr>
      <w:tr w14:paraId="0DDBC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1B350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1200</w:t>
            </w:r>
          </w:p>
        </w:tc>
        <w:tc>
          <w:tcPr>
            <w:tcW w:w="4390" w:type="dxa"/>
            <w:tcBorders>
              <w:tl2br w:val="nil"/>
              <w:tr2bl w:val="nil"/>
            </w:tcBorders>
            <w:vAlign w:val="center"/>
          </w:tcPr>
          <w:p w14:paraId="719130B5">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20.21</w:t>
            </w:r>
          </w:p>
        </w:tc>
      </w:tr>
      <w:tr w14:paraId="19EC8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D2CFF05">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1300</w:t>
            </w:r>
          </w:p>
        </w:tc>
        <w:tc>
          <w:tcPr>
            <w:tcW w:w="4390" w:type="dxa"/>
            <w:tcBorders>
              <w:tl2br w:val="nil"/>
              <w:tr2bl w:val="nil"/>
            </w:tcBorders>
            <w:vAlign w:val="center"/>
          </w:tcPr>
          <w:p w14:paraId="490DAC59">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19.90</w:t>
            </w:r>
          </w:p>
        </w:tc>
      </w:tr>
      <w:tr w14:paraId="6FAA4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7927E1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1400</w:t>
            </w:r>
          </w:p>
        </w:tc>
        <w:tc>
          <w:tcPr>
            <w:tcW w:w="4390" w:type="dxa"/>
            <w:tcBorders>
              <w:tl2br w:val="nil"/>
              <w:tr2bl w:val="nil"/>
            </w:tcBorders>
            <w:vAlign w:val="center"/>
          </w:tcPr>
          <w:p w14:paraId="371E934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19.59</w:t>
            </w:r>
          </w:p>
        </w:tc>
      </w:tr>
      <w:tr w14:paraId="4197F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5DEF02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1500</w:t>
            </w:r>
          </w:p>
        </w:tc>
        <w:tc>
          <w:tcPr>
            <w:tcW w:w="4390" w:type="dxa"/>
            <w:tcBorders>
              <w:tl2br w:val="nil"/>
              <w:tr2bl w:val="nil"/>
            </w:tcBorders>
            <w:vAlign w:val="center"/>
          </w:tcPr>
          <w:p w14:paraId="6495DDB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19.29</w:t>
            </w:r>
          </w:p>
        </w:tc>
      </w:tr>
      <w:tr w14:paraId="4EFE0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148B815">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1600</w:t>
            </w:r>
          </w:p>
        </w:tc>
        <w:tc>
          <w:tcPr>
            <w:tcW w:w="4390" w:type="dxa"/>
            <w:tcBorders>
              <w:tl2br w:val="nil"/>
              <w:tr2bl w:val="nil"/>
            </w:tcBorders>
            <w:vAlign w:val="center"/>
          </w:tcPr>
          <w:p w14:paraId="31E000A0">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19.00</w:t>
            </w:r>
          </w:p>
        </w:tc>
      </w:tr>
      <w:tr w14:paraId="5346C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390" w:type="dxa"/>
            <w:tcBorders>
              <w:tl2br w:val="nil"/>
              <w:tr2bl w:val="nil"/>
            </w:tcBorders>
            <w:vAlign w:val="center"/>
          </w:tcPr>
          <w:p w14:paraId="5C34BDC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1700</w:t>
            </w:r>
          </w:p>
        </w:tc>
        <w:tc>
          <w:tcPr>
            <w:tcW w:w="4390" w:type="dxa"/>
            <w:tcBorders>
              <w:tl2br w:val="nil"/>
              <w:tr2bl w:val="nil"/>
            </w:tcBorders>
            <w:vAlign w:val="center"/>
          </w:tcPr>
          <w:p w14:paraId="48F45845">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18.71</w:t>
            </w:r>
          </w:p>
        </w:tc>
      </w:tr>
      <w:tr w14:paraId="54AB6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5FA9EA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1800</w:t>
            </w:r>
          </w:p>
        </w:tc>
        <w:tc>
          <w:tcPr>
            <w:tcW w:w="4390" w:type="dxa"/>
            <w:tcBorders>
              <w:tl2br w:val="nil"/>
              <w:tr2bl w:val="nil"/>
            </w:tcBorders>
            <w:vAlign w:val="center"/>
          </w:tcPr>
          <w:p w14:paraId="08659974">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18.42</w:t>
            </w:r>
          </w:p>
        </w:tc>
      </w:tr>
      <w:tr w14:paraId="26187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95E84F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1900</w:t>
            </w:r>
          </w:p>
        </w:tc>
        <w:tc>
          <w:tcPr>
            <w:tcW w:w="4390" w:type="dxa"/>
            <w:tcBorders>
              <w:tl2br w:val="nil"/>
              <w:tr2bl w:val="nil"/>
            </w:tcBorders>
            <w:vAlign w:val="center"/>
          </w:tcPr>
          <w:p w14:paraId="78607FA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18.14</w:t>
            </w:r>
          </w:p>
        </w:tc>
      </w:tr>
      <w:tr w14:paraId="5FF9BA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500D9C5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2000</w:t>
            </w:r>
          </w:p>
        </w:tc>
        <w:tc>
          <w:tcPr>
            <w:tcW w:w="4390" w:type="dxa"/>
            <w:tcBorders>
              <w:tl2br w:val="nil"/>
              <w:tr2bl w:val="nil"/>
            </w:tcBorders>
            <w:vAlign w:val="center"/>
          </w:tcPr>
          <w:p w14:paraId="6F5926D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17.86</w:t>
            </w:r>
          </w:p>
        </w:tc>
      </w:tr>
    </w:tbl>
    <w:p w14:paraId="7C050316">
      <w:pPr>
        <w:spacing w:line="500" w:lineRule="exact"/>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eastAsia="宋体"/>
          <w:color w:val="000000" w:themeColor="text1"/>
          <w14:textFill>
            <w14:solidFill>
              <w14:schemeClr w14:val="tx1"/>
            </w14:solidFill>
          </w14:textFill>
        </w:rPr>
        <w:t>度为</w:t>
      </w:r>
      <w:r>
        <w:rPr>
          <w:rFonts w:hint="eastAsia" w:eastAsia="宋体"/>
          <w:color w:val="000000" w:themeColor="text1"/>
          <w:lang w:val="en-US" w:eastAsia="zh-CN"/>
          <w14:textFill>
            <w14:solidFill>
              <w14:schemeClr w14:val="tx1"/>
            </w14:solidFill>
          </w14:textFill>
        </w:rPr>
        <w:t>24.32</w:t>
      </w:r>
      <w:r>
        <w:rPr>
          <w:rFonts w:eastAsia="宋体"/>
          <w:color w:val="000000" w:themeColor="text1"/>
          <w14:textFill>
            <w14:solidFill>
              <w14:schemeClr w14:val="tx1"/>
            </w14:solidFill>
          </w14:textFill>
        </w:rPr>
        <w:t>mg/L，与本底值（</w:t>
      </w:r>
      <w:r>
        <w:rPr>
          <w:rFonts w:hint="eastAsia" w:eastAsia="宋体"/>
          <w:color w:val="000000" w:themeColor="text1"/>
          <w14:textFill>
            <w14:solidFill>
              <w14:schemeClr w14:val="tx1"/>
            </w14:solidFill>
          </w14:textFill>
        </w:rPr>
        <w:t>20</w:t>
      </w:r>
      <w:r>
        <w:rPr>
          <w:rFonts w:eastAsia="宋体"/>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环港北河</w:t>
      </w:r>
      <w:r>
        <w:rPr>
          <w:rFonts w:eastAsia="宋体"/>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0EAAA3EE">
      <w:pPr>
        <w:pStyle w:val="5"/>
        <w:adjustRightInd w:val="0"/>
        <w:snapToGrid w:val="0"/>
        <w:spacing w:line="500" w:lineRule="exact"/>
        <w:jc w:val="left"/>
        <w:rPr>
          <w:rFonts w:hint="default" w:eastAsia="宋体"/>
          <w:color w:val="000000" w:themeColor="text1"/>
          <w:lang w:val="en-US" w:eastAsia="zh-CN"/>
          <w14:textFill>
            <w14:solidFill>
              <w14:schemeClr w14:val="tx1"/>
            </w14:solidFill>
          </w14:textFill>
        </w:rPr>
      </w:pPr>
      <w:bookmarkStart w:id="232" w:name="_Toc8859"/>
      <w:bookmarkStart w:id="233" w:name="_Toc6431"/>
      <w:bookmarkStart w:id="234" w:name="_Toc19761"/>
      <w:r>
        <w:rPr>
          <w:rFonts w:hint="eastAsia" w:eastAsia="宋体"/>
          <w:color w:val="000000" w:themeColor="text1"/>
          <w:lang w:val="en-US" w:eastAsia="zh-CN"/>
          <w14:textFill>
            <w14:solidFill>
              <w14:schemeClr w14:val="tx1"/>
            </w14:solidFill>
          </w14:textFill>
        </w:rPr>
        <w:t>1</w:t>
      </w:r>
      <w:r>
        <w:rPr>
          <w:rFonts w:eastAsia="宋体"/>
          <w:color w:val="000000" w:themeColor="text1"/>
          <w14:textFill>
            <w14:solidFill>
              <w14:schemeClr w14:val="tx1"/>
            </w14:solidFill>
          </w14:textFill>
        </w:rPr>
        <w:t>4.4.</w:t>
      </w:r>
      <w:r>
        <w:rPr>
          <w:rFonts w:hint="eastAsia" w:eastAsia="宋体"/>
          <w:color w:val="000000" w:themeColor="text1"/>
          <w14:textFill>
            <w14:solidFill>
              <w14:schemeClr w14:val="tx1"/>
            </w14:solidFill>
          </w14:textFill>
        </w:rPr>
        <w:t>3</w:t>
      </w:r>
      <w:r>
        <w:rPr>
          <w:rFonts w:eastAsia="宋体"/>
          <w:color w:val="000000" w:themeColor="text1"/>
          <w14:textFill>
            <w14:solidFill>
              <w14:schemeClr w14:val="tx1"/>
            </w14:solidFill>
          </w14:textFill>
        </w:rPr>
        <w:t>事件情景</w:t>
      </w:r>
      <w:bookmarkEnd w:id="231"/>
      <w:bookmarkEnd w:id="232"/>
      <w:bookmarkEnd w:id="233"/>
      <w:bookmarkEnd w:id="234"/>
      <w:r>
        <w:rPr>
          <w:rFonts w:hint="eastAsia" w:eastAsia="宋体"/>
          <w:color w:val="000000" w:themeColor="text1"/>
          <w:lang w:val="en-US" w:eastAsia="zh-CN"/>
          <w14:textFill>
            <w14:solidFill>
              <w14:schemeClr w14:val="tx1"/>
            </w14:solidFill>
          </w14:textFill>
        </w:rPr>
        <w:t>7、8</w:t>
      </w:r>
    </w:p>
    <w:p w14:paraId="2DA53D73">
      <w:pPr>
        <w:adjustRightInd w:val="0"/>
        <w:snapToGrid w:val="0"/>
        <w:spacing w:line="50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废气超标排放对外环境影响根据大气环境影响评价技术导则中的单源预测模式。根据公司验收报告，预测源强参数见</w:t>
      </w:r>
      <w:r>
        <w:rPr>
          <w:rFonts w:eastAsia="宋体"/>
          <w:color w:val="000000" w:themeColor="text1"/>
          <w14:textFill>
            <w14:solidFill>
              <w14:schemeClr w14:val="tx1"/>
            </w14:solidFill>
          </w14:textFill>
        </w:rPr>
        <w:t>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0</w:t>
      </w:r>
      <w:r>
        <w:rPr>
          <w:rFonts w:eastAsia="宋体"/>
          <w:color w:val="000000" w:themeColor="text1"/>
          <w14:textFill>
            <w14:solidFill>
              <w14:schemeClr w14:val="tx1"/>
            </w14:solidFill>
          </w14:textFill>
        </w:rPr>
        <w:t>，预测结果见表4-</w:t>
      </w:r>
      <w:r>
        <w:rPr>
          <w:rFonts w:hint="eastAsia" w:eastAsia="宋体"/>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w:t>
      </w:r>
    </w:p>
    <w:p w14:paraId="5430EAA3">
      <w:pPr>
        <w:pStyle w:val="12"/>
        <w:adjustRightInd w:val="0"/>
        <w:snapToGrid w:val="0"/>
        <w:spacing w:line="460" w:lineRule="exact"/>
        <w:jc w:val="center"/>
        <w:rPr>
          <w:color w:val="000000" w:themeColor="text1"/>
          <w:highlight w:val="yellow"/>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有组织污染源参数</w:t>
      </w:r>
    </w:p>
    <w:tbl>
      <w:tblPr>
        <w:tblStyle w:val="38"/>
        <w:tblW w:w="523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29"/>
        <w:gridCol w:w="1033"/>
        <w:gridCol w:w="1118"/>
        <w:gridCol w:w="1331"/>
        <w:gridCol w:w="1090"/>
        <w:gridCol w:w="1029"/>
        <w:gridCol w:w="1485"/>
        <w:gridCol w:w="1570"/>
      </w:tblGrid>
      <w:tr w14:paraId="548F07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48" w:hRule="atLeast"/>
          <w:tblHeader/>
          <w:jc w:val="center"/>
        </w:trPr>
        <w:tc>
          <w:tcPr>
            <w:tcW w:w="437" w:type="pct"/>
            <w:tcBorders>
              <w:tl2br w:val="nil"/>
              <w:tr2bl w:val="nil"/>
            </w:tcBorders>
            <w:vAlign w:val="center"/>
          </w:tcPr>
          <w:p w14:paraId="7BC8D8F6">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4" w:type="pct"/>
            <w:tcBorders>
              <w:tl2br w:val="nil"/>
              <w:tr2bl w:val="nil"/>
            </w:tcBorders>
            <w:vAlign w:val="center"/>
          </w:tcPr>
          <w:p w14:paraId="22FFDE53">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1B73352C">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1" w:type="pct"/>
            <w:tcBorders>
              <w:tl2br w:val="nil"/>
              <w:tr2bl w:val="nil"/>
            </w:tcBorders>
            <w:vAlign w:val="center"/>
          </w:tcPr>
          <w:p w14:paraId="3870A27F">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排气筒出口内径（m）</w:t>
            </w:r>
          </w:p>
        </w:tc>
        <w:tc>
          <w:tcPr>
            <w:tcW w:w="574" w:type="pct"/>
            <w:tcBorders>
              <w:tl2br w:val="nil"/>
              <w:tr2bl w:val="nil"/>
            </w:tcBorders>
            <w:vAlign w:val="center"/>
          </w:tcPr>
          <w:p w14:paraId="3B989893">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217E7D95">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烟气温度（℃）</w:t>
            </w:r>
          </w:p>
        </w:tc>
        <w:tc>
          <w:tcPr>
            <w:tcW w:w="782" w:type="pct"/>
            <w:tcBorders>
              <w:tl2br w:val="nil"/>
              <w:tr2bl w:val="nil"/>
            </w:tcBorders>
            <w:vAlign w:val="center"/>
          </w:tcPr>
          <w:p w14:paraId="18DC420F">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1A82D1FD">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827" w:type="pct"/>
            <w:tcBorders>
              <w:tl2br w:val="nil"/>
              <w:tr2bl w:val="nil"/>
            </w:tcBorders>
            <w:vAlign w:val="center"/>
          </w:tcPr>
          <w:p w14:paraId="221D1565">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28829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22" w:hRule="atLeast"/>
          <w:jc w:val="center"/>
        </w:trPr>
        <w:tc>
          <w:tcPr>
            <w:tcW w:w="437" w:type="pct"/>
            <w:tcBorders>
              <w:tl2br w:val="nil"/>
              <w:tr2bl w:val="nil"/>
            </w:tcBorders>
            <w:vAlign w:val="center"/>
          </w:tcPr>
          <w:p w14:paraId="6573C443">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544" w:type="pct"/>
            <w:tcBorders>
              <w:tl2br w:val="nil"/>
              <w:tr2bl w:val="nil"/>
            </w:tcBorders>
            <w:vAlign w:val="center"/>
          </w:tcPr>
          <w:p w14:paraId="5555E110">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89" w:type="pct"/>
            <w:tcBorders>
              <w:tl2br w:val="nil"/>
              <w:tr2bl w:val="nil"/>
            </w:tcBorders>
            <w:vAlign w:val="center"/>
          </w:tcPr>
          <w:p w14:paraId="532CD614">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1" w:type="pct"/>
            <w:tcBorders>
              <w:tl2br w:val="nil"/>
              <w:tr2bl w:val="nil"/>
            </w:tcBorders>
            <w:vAlign w:val="center"/>
          </w:tcPr>
          <w:p w14:paraId="2BBEEF00">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0.4</w:t>
            </w:r>
          </w:p>
        </w:tc>
        <w:tc>
          <w:tcPr>
            <w:tcW w:w="574" w:type="pct"/>
            <w:tcBorders>
              <w:tl2br w:val="nil"/>
              <w:tr2bl w:val="nil"/>
            </w:tcBorders>
            <w:vAlign w:val="center"/>
          </w:tcPr>
          <w:p w14:paraId="1B9F1156">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sz w:val="21"/>
                <w:szCs w:val="21"/>
                <w:lang w:val="en-US" w:eastAsia="zh-CN"/>
              </w:rPr>
              <w:t>6500</w:t>
            </w:r>
          </w:p>
        </w:tc>
        <w:tc>
          <w:tcPr>
            <w:tcW w:w="542" w:type="pct"/>
            <w:tcBorders>
              <w:tl2br w:val="nil"/>
              <w:tr2bl w:val="nil"/>
            </w:tcBorders>
            <w:vAlign w:val="center"/>
          </w:tcPr>
          <w:p w14:paraId="56E883EC">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11DB4D08">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74F2913B">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7" w:type="pct"/>
            <w:tcBorders>
              <w:tl2br w:val="nil"/>
              <w:tr2bl w:val="nil"/>
            </w:tcBorders>
            <w:vAlign w:val="center"/>
          </w:tcPr>
          <w:p w14:paraId="2419A25F">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0.720</w:t>
            </w:r>
          </w:p>
        </w:tc>
      </w:tr>
      <w:tr w14:paraId="71234D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22" w:hRule="atLeast"/>
          <w:jc w:val="center"/>
        </w:trPr>
        <w:tc>
          <w:tcPr>
            <w:tcW w:w="437" w:type="pct"/>
            <w:tcBorders>
              <w:tl2br w:val="nil"/>
              <w:tr2bl w:val="nil"/>
            </w:tcBorders>
            <w:vAlign w:val="center"/>
          </w:tcPr>
          <w:p w14:paraId="52A60D9F">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544" w:type="pct"/>
            <w:tcBorders>
              <w:tl2br w:val="nil"/>
              <w:tr2bl w:val="nil"/>
            </w:tcBorders>
            <w:vAlign w:val="center"/>
          </w:tcPr>
          <w:p w14:paraId="514BE417">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89" w:type="pct"/>
            <w:tcBorders>
              <w:tl2br w:val="nil"/>
              <w:tr2bl w:val="nil"/>
            </w:tcBorders>
            <w:vAlign w:val="center"/>
          </w:tcPr>
          <w:p w14:paraId="53D8E811">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1" w:type="pct"/>
            <w:tcBorders>
              <w:tl2br w:val="nil"/>
              <w:tr2bl w:val="nil"/>
            </w:tcBorders>
            <w:vAlign w:val="center"/>
          </w:tcPr>
          <w:p w14:paraId="29880EB9">
            <w:pPr>
              <w:pStyle w:val="118"/>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0.7</w:t>
            </w:r>
          </w:p>
        </w:tc>
        <w:tc>
          <w:tcPr>
            <w:tcW w:w="574" w:type="pct"/>
            <w:tcBorders>
              <w:tl2br w:val="nil"/>
              <w:tr2bl w:val="nil"/>
            </w:tcBorders>
            <w:vAlign w:val="center"/>
          </w:tcPr>
          <w:p w14:paraId="1D9B860D">
            <w:pPr>
              <w:adjustRightInd w:val="0"/>
              <w:snapToGrid w:val="0"/>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16000</w:t>
            </w:r>
          </w:p>
        </w:tc>
        <w:tc>
          <w:tcPr>
            <w:tcW w:w="542" w:type="pct"/>
            <w:tcBorders>
              <w:tl2br w:val="nil"/>
              <w:tr2bl w:val="nil"/>
            </w:tcBorders>
            <w:vAlign w:val="center"/>
          </w:tcPr>
          <w:p w14:paraId="02DB5AD3">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243E77B9">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4F8AF7C2">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7" w:type="pct"/>
            <w:tcBorders>
              <w:tl2br w:val="nil"/>
              <w:tr2bl w:val="nil"/>
            </w:tcBorders>
            <w:vAlign w:val="center"/>
          </w:tcPr>
          <w:p w14:paraId="6B86AB9F">
            <w:pPr>
              <w:widowControl/>
              <w:jc w:val="center"/>
              <w:textAlignment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0.898</w:t>
            </w:r>
          </w:p>
        </w:tc>
      </w:tr>
      <w:tr w14:paraId="3572A8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22" w:hRule="atLeast"/>
          <w:jc w:val="center"/>
        </w:trPr>
        <w:tc>
          <w:tcPr>
            <w:tcW w:w="437" w:type="pct"/>
            <w:vMerge w:val="restart"/>
            <w:tcBorders>
              <w:tl2br w:val="nil"/>
              <w:tr2bl w:val="nil"/>
            </w:tcBorders>
            <w:vAlign w:val="center"/>
          </w:tcPr>
          <w:p w14:paraId="66E86B61">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14:paraId="03459955">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14:paraId="56E3E371">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14:paraId="080717E8">
            <w:pPr>
              <w:adjustRightInd/>
              <w:snapToGrid/>
              <w:jc w:val="center"/>
              <w:rPr>
                <w:rFonts w:hint="default" w:ascii="宋体" w:hAnsi="宋体" w:eastAsia="宋体" w:cs="宋体"/>
                <w:kern w:val="0"/>
                <w:sz w:val="21"/>
                <w:szCs w:val="21"/>
                <w:lang w:val="en-US" w:eastAsia="zh-CN" w:bidi="ar-SA"/>
              </w:rPr>
            </w:pPr>
            <w:r>
              <w:rPr>
                <w:rFonts w:hint="eastAsia" w:ascii="Times New Roman" w:hAnsi="Times New Roman" w:eastAsia="宋体" w:cs="Times New Roman"/>
                <w:kern w:val="0"/>
                <w:sz w:val="21"/>
                <w:szCs w:val="21"/>
                <w:lang w:val="en-US" w:eastAsia="zh-CN"/>
              </w:rPr>
              <w:t>1#底漆晾干房</w:t>
            </w:r>
          </w:p>
        </w:tc>
        <w:tc>
          <w:tcPr>
            <w:tcW w:w="544" w:type="pct"/>
            <w:tcBorders>
              <w:tl2br w:val="nil"/>
              <w:tr2bl w:val="nil"/>
            </w:tcBorders>
            <w:vAlign w:val="center"/>
          </w:tcPr>
          <w:p w14:paraId="3C94401D">
            <w:pPr>
              <w:widowControl/>
              <w:jc w:val="center"/>
              <w:rPr>
                <w:rFonts w:hint="default"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89" w:type="pct"/>
            <w:vMerge w:val="restart"/>
            <w:tcBorders>
              <w:tl2br w:val="nil"/>
              <w:tr2bl w:val="nil"/>
            </w:tcBorders>
            <w:vAlign w:val="center"/>
          </w:tcPr>
          <w:p w14:paraId="6D5AC703">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25</w:t>
            </w:r>
          </w:p>
        </w:tc>
        <w:tc>
          <w:tcPr>
            <w:tcW w:w="701" w:type="pct"/>
            <w:vMerge w:val="restart"/>
            <w:tcBorders>
              <w:tl2br w:val="nil"/>
              <w:tr2bl w:val="nil"/>
            </w:tcBorders>
            <w:vAlign w:val="center"/>
          </w:tcPr>
          <w:p w14:paraId="116A6AFC">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1.0</w:t>
            </w:r>
          </w:p>
        </w:tc>
        <w:tc>
          <w:tcPr>
            <w:tcW w:w="574" w:type="pct"/>
            <w:vMerge w:val="restart"/>
            <w:tcBorders>
              <w:tl2br w:val="nil"/>
              <w:tr2bl w:val="nil"/>
            </w:tcBorders>
            <w:vAlign w:val="center"/>
          </w:tcPr>
          <w:p w14:paraId="34BCBFBB">
            <w:pPr>
              <w:pStyle w:val="118"/>
              <w:adjustRightInd w:val="0"/>
              <w:spacing w:line="240"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eastAsia="宋体" w:cs="Times New Roman"/>
                <w:kern w:val="0"/>
                <w:sz w:val="21"/>
                <w:szCs w:val="21"/>
                <w:lang w:val="en-US" w:eastAsia="zh-CN"/>
              </w:rPr>
              <w:t>37500</w:t>
            </w:r>
          </w:p>
        </w:tc>
        <w:tc>
          <w:tcPr>
            <w:tcW w:w="542" w:type="pct"/>
            <w:vMerge w:val="restart"/>
            <w:tcBorders>
              <w:tl2br w:val="nil"/>
              <w:tr2bl w:val="nil"/>
            </w:tcBorders>
            <w:vAlign w:val="center"/>
          </w:tcPr>
          <w:p w14:paraId="51DACE97">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lang w:val="en-US" w:eastAsia="zh-CN"/>
                <w14:textFill>
                  <w14:solidFill>
                    <w14:schemeClr w14:val="tx1"/>
                  </w14:solidFill>
                </w14:textFill>
              </w:rPr>
              <w:t>2</w:t>
            </w:r>
            <w:r>
              <w:rPr>
                <w:rFonts w:hint="eastAsia" w:eastAsia="宋体" w:cs="Times New Roman"/>
                <w:color w:val="000000" w:themeColor="text1"/>
                <w:kern w:val="2"/>
                <w:sz w:val="21"/>
                <w:lang w:val="en-US" w:eastAsia="zh-CN"/>
                <w14:textFill>
                  <w14:solidFill>
                    <w14:schemeClr w14:val="tx1"/>
                  </w14:solidFill>
                </w14:textFill>
              </w:rPr>
              <w:t>5</w:t>
            </w:r>
          </w:p>
        </w:tc>
        <w:tc>
          <w:tcPr>
            <w:tcW w:w="782" w:type="pct"/>
            <w:tcBorders>
              <w:tl2br w:val="nil"/>
              <w:tr2bl w:val="nil"/>
            </w:tcBorders>
            <w:vAlign w:val="center"/>
          </w:tcPr>
          <w:p w14:paraId="327A1ADC">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745268D3">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7" w:type="pct"/>
            <w:tcBorders>
              <w:tl2br w:val="nil"/>
              <w:tr2bl w:val="nil"/>
            </w:tcBorders>
            <w:vAlign w:val="center"/>
          </w:tcPr>
          <w:p w14:paraId="6B218A7D">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4.363</w:t>
            </w:r>
          </w:p>
        </w:tc>
      </w:tr>
      <w:tr w14:paraId="56B170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1457" w:hRule="atLeast"/>
          <w:jc w:val="center"/>
        </w:trPr>
        <w:tc>
          <w:tcPr>
            <w:tcW w:w="437" w:type="pct"/>
            <w:vMerge w:val="continue"/>
            <w:tcBorders>
              <w:tl2br w:val="nil"/>
              <w:tr2bl w:val="nil"/>
            </w:tcBorders>
            <w:vAlign w:val="center"/>
          </w:tcPr>
          <w:p w14:paraId="08FBD7F6">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544" w:type="pct"/>
            <w:tcBorders>
              <w:tl2br w:val="nil"/>
              <w:tr2bl w:val="nil"/>
            </w:tcBorders>
            <w:vAlign w:val="center"/>
          </w:tcPr>
          <w:p w14:paraId="4D1F29A3">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589" w:type="pct"/>
            <w:vMerge w:val="continue"/>
            <w:tcBorders>
              <w:tl2br w:val="nil"/>
              <w:tr2bl w:val="nil"/>
            </w:tcBorders>
            <w:vAlign w:val="center"/>
          </w:tcPr>
          <w:p w14:paraId="2058C72E">
            <w:pPr>
              <w:widowControl/>
              <w:jc w:val="center"/>
              <w:rPr>
                <w:rFonts w:hint="eastAsia" w:ascii="Times New Roman" w:hAnsi="Times New Roman" w:eastAsia="宋体" w:cs="Times New Roman"/>
                <w:kern w:val="0"/>
                <w:sz w:val="21"/>
                <w:szCs w:val="21"/>
                <w:lang w:val="en-US" w:eastAsia="zh-CN" w:bidi="ar-SA"/>
              </w:rPr>
            </w:pPr>
          </w:p>
        </w:tc>
        <w:tc>
          <w:tcPr>
            <w:tcW w:w="701" w:type="pct"/>
            <w:vMerge w:val="continue"/>
            <w:tcBorders>
              <w:tl2br w:val="nil"/>
              <w:tr2bl w:val="nil"/>
            </w:tcBorders>
            <w:vAlign w:val="center"/>
          </w:tcPr>
          <w:p w14:paraId="2BE54D07">
            <w:pPr>
              <w:pStyle w:val="118"/>
              <w:adjustRightInd w:val="0"/>
              <w:spacing w:line="240" w:lineRule="auto"/>
              <w:rPr>
                <w:rFonts w:hint="eastAsia" w:eastAsia="宋体" w:cs="Times New Roman"/>
                <w:color w:val="000000" w:themeColor="text1"/>
                <w:kern w:val="2"/>
                <w:sz w:val="21"/>
                <w:lang w:val="en-US" w:eastAsia="zh-CN"/>
                <w14:textFill>
                  <w14:solidFill>
                    <w14:schemeClr w14:val="tx1"/>
                  </w14:solidFill>
                </w14:textFill>
              </w:rPr>
            </w:pPr>
          </w:p>
        </w:tc>
        <w:tc>
          <w:tcPr>
            <w:tcW w:w="574" w:type="pct"/>
            <w:vMerge w:val="continue"/>
            <w:tcBorders>
              <w:tl2br w:val="nil"/>
              <w:tr2bl w:val="nil"/>
            </w:tcBorders>
            <w:vAlign w:val="center"/>
          </w:tcPr>
          <w:p w14:paraId="434AC4B3">
            <w:pPr>
              <w:pStyle w:val="118"/>
              <w:adjustRightInd w:val="0"/>
              <w:spacing w:line="240" w:lineRule="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42" w:type="pct"/>
            <w:vMerge w:val="continue"/>
            <w:tcBorders>
              <w:tl2br w:val="nil"/>
              <w:tr2bl w:val="nil"/>
            </w:tcBorders>
            <w:vAlign w:val="center"/>
          </w:tcPr>
          <w:p w14:paraId="44595EC0">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p>
        </w:tc>
        <w:tc>
          <w:tcPr>
            <w:tcW w:w="782" w:type="pct"/>
            <w:tcBorders>
              <w:tl2br w:val="nil"/>
              <w:tr2bl w:val="nil"/>
            </w:tcBorders>
            <w:vAlign w:val="center"/>
          </w:tcPr>
          <w:p w14:paraId="2CDBD693">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827" w:type="pct"/>
            <w:tcBorders>
              <w:tl2br w:val="nil"/>
              <w:tr2bl w:val="nil"/>
            </w:tcBorders>
            <w:vAlign w:val="center"/>
          </w:tcPr>
          <w:p w14:paraId="40F3B15C">
            <w:pPr>
              <w:widowControl/>
              <w:jc w:val="center"/>
              <w:rPr>
                <w:rFonts w:hint="default" w:ascii="Times New Roman" w:hAnsi="Times New Roman" w:eastAsia="宋体" w:cs="Times New Roman"/>
                <w:kern w:val="0"/>
                <w:sz w:val="21"/>
                <w:szCs w:val="21"/>
                <w:lang w:val="en-US" w:eastAsia="zh-CN" w:bidi="ar-SA"/>
              </w:rPr>
            </w:pPr>
            <w:r>
              <w:rPr>
                <w:rFonts w:hint="eastAsia"/>
                <w:color w:val="000000"/>
                <w:sz w:val="21"/>
                <w:szCs w:val="21"/>
                <w:lang w:val="en-US" w:eastAsia="zh-CN"/>
              </w:rPr>
              <w:t>2.671</w:t>
            </w:r>
          </w:p>
        </w:tc>
      </w:tr>
      <w:tr w14:paraId="2D95FA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22" w:hRule="atLeast"/>
          <w:jc w:val="center"/>
        </w:trPr>
        <w:tc>
          <w:tcPr>
            <w:tcW w:w="437" w:type="pct"/>
            <w:tcBorders>
              <w:tl2br w:val="nil"/>
              <w:tr2bl w:val="nil"/>
            </w:tcBorders>
            <w:vAlign w:val="center"/>
          </w:tcPr>
          <w:p w14:paraId="0D4F16B2">
            <w:pPr>
              <w:adjustRightInd w:val="0"/>
              <w:snapToGrid w:val="0"/>
              <w:jc w:val="center"/>
              <w:rPr>
                <w:rFonts w:hint="default"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544" w:type="pct"/>
            <w:tcBorders>
              <w:tl2br w:val="nil"/>
              <w:tr2bl w:val="nil"/>
            </w:tcBorders>
            <w:vAlign w:val="center"/>
          </w:tcPr>
          <w:p w14:paraId="09A6BDD0">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89" w:type="pct"/>
            <w:tcBorders>
              <w:tl2br w:val="nil"/>
              <w:tr2bl w:val="nil"/>
            </w:tcBorders>
            <w:vAlign w:val="center"/>
          </w:tcPr>
          <w:p w14:paraId="01925D87">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25</w:t>
            </w:r>
          </w:p>
        </w:tc>
        <w:tc>
          <w:tcPr>
            <w:tcW w:w="701" w:type="pct"/>
            <w:tcBorders>
              <w:tl2br w:val="nil"/>
              <w:tr2bl w:val="nil"/>
            </w:tcBorders>
            <w:vAlign w:val="center"/>
          </w:tcPr>
          <w:p w14:paraId="5EB8A525">
            <w:pPr>
              <w:pStyle w:val="118"/>
              <w:adjustRightInd w:val="0"/>
              <w:spacing w:line="240" w:lineRule="auto"/>
              <w:rPr>
                <w:rFonts w:hint="default"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0.4</w:t>
            </w:r>
          </w:p>
        </w:tc>
        <w:tc>
          <w:tcPr>
            <w:tcW w:w="574" w:type="pct"/>
            <w:tcBorders>
              <w:tl2br w:val="nil"/>
              <w:tr2bl w:val="nil"/>
            </w:tcBorders>
            <w:vAlign w:val="center"/>
          </w:tcPr>
          <w:p w14:paraId="5A8E8FAA">
            <w:pPr>
              <w:adjustRightInd w:val="0"/>
              <w:snapToGrid w:val="0"/>
              <w:jc w:val="center"/>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6000</w:t>
            </w:r>
          </w:p>
        </w:tc>
        <w:tc>
          <w:tcPr>
            <w:tcW w:w="542" w:type="pct"/>
            <w:tcBorders>
              <w:tl2br w:val="nil"/>
              <w:tr2bl w:val="nil"/>
            </w:tcBorders>
            <w:vAlign w:val="center"/>
          </w:tcPr>
          <w:p w14:paraId="20FAC8E2">
            <w:pPr>
              <w:pStyle w:val="118"/>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70A49463">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p w14:paraId="7B6E2BE4">
            <w:pPr>
              <w:adjustRightInd w:val="0"/>
              <w:snapToGrid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900（小时值）</w:t>
            </w:r>
          </w:p>
        </w:tc>
        <w:tc>
          <w:tcPr>
            <w:tcW w:w="827" w:type="pct"/>
            <w:tcBorders>
              <w:tl2br w:val="nil"/>
              <w:tr2bl w:val="nil"/>
            </w:tcBorders>
            <w:vAlign w:val="center"/>
          </w:tcPr>
          <w:p w14:paraId="5A2BB2CC">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0.431</w:t>
            </w:r>
          </w:p>
        </w:tc>
      </w:tr>
      <w:tr w14:paraId="59DB8F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760" w:hRule="atLeast"/>
          <w:jc w:val="center"/>
        </w:trPr>
        <w:tc>
          <w:tcPr>
            <w:tcW w:w="437" w:type="pct"/>
            <w:vMerge w:val="restart"/>
            <w:tcBorders>
              <w:tl2br w:val="nil"/>
              <w:tr2bl w:val="nil"/>
            </w:tcBorders>
            <w:vAlign w:val="center"/>
          </w:tcPr>
          <w:p w14:paraId="3C2B2A2F">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14:paraId="2BCD60B8">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14:paraId="160634F7">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14:paraId="0508A517">
            <w:pPr>
              <w:adjustRightInd w:val="0"/>
              <w:spacing w:line="240" w:lineRule="auto"/>
              <w:jc w:val="center"/>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kern w:val="0"/>
                <w:sz w:val="21"/>
                <w:szCs w:val="21"/>
              </w:rPr>
              <w:t>2#底漆晾干房</w:t>
            </w:r>
          </w:p>
        </w:tc>
        <w:tc>
          <w:tcPr>
            <w:tcW w:w="544" w:type="pct"/>
            <w:tcBorders>
              <w:tl2br w:val="nil"/>
              <w:tr2bl w:val="nil"/>
            </w:tcBorders>
            <w:vAlign w:val="center"/>
          </w:tcPr>
          <w:p w14:paraId="0EB2995B">
            <w:pPr>
              <w:widowControl/>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589" w:type="pct"/>
            <w:vMerge w:val="restart"/>
            <w:tcBorders>
              <w:tl2br w:val="nil"/>
              <w:tr2bl w:val="nil"/>
            </w:tcBorders>
            <w:vAlign w:val="center"/>
          </w:tcPr>
          <w:p w14:paraId="036F3C0F">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25</w:t>
            </w:r>
          </w:p>
        </w:tc>
        <w:tc>
          <w:tcPr>
            <w:tcW w:w="701" w:type="pct"/>
            <w:vMerge w:val="restart"/>
            <w:tcBorders>
              <w:tl2br w:val="nil"/>
              <w:tr2bl w:val="nil"/>
            </w:tcBorders>
            <w:vAlign w:val="center"/>
          </w:tcPr>
          <w:p w14:paraId="712E88A5">
            <w:pPr>
              <w:pStyle w:val="118"/>
              <w:adjustRightInd w:val="0"/>
              <w:spacing w:line="240" w:lineRule="auto"/>
              <w:rPr>
                <w:rFonts w:hint="default" w:ascii="Times New Roman" w:hAnsi="Times New Roman" w:eastAsia="宋体" w:cs="Times New Roman"/>
                <w:color w:val="000000" w:themeColor="text1"/>
                <w:kern w:val="2"/>
                <w:sz w:val="21"/>
                <w:lang w:val="en-US"/>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1.0</w:t>
            </w:r>
          </w:p>
        </w:tc>
        <w:tc>
          <w:tcPr>
            <w:tcW w:w="574" w:type="pct"/>
            <w:vMerge w:val="restart"/>
            <w:tcBorders>
              <w:tl2br w:val="nil"/>
              <w:tr2bl w:val="nil"/>
            </w:tcBorders>
            <w:vAlign w:val="center"/>
          </w:tcPr>
          <w:p w14:paraId="1D309E10">
            <w:pPr>
              <w:widowControl/>
              <w:adjustRightInd/>
              <w:snapToGrid/>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eastAsia="宋体" w:cs="Times New Roman"/>
                <w:kern w:val="0"/>
                <w:sz w:val="21"/>
                <w:szCs w:val="21"/>
                <w:lang w:val="en-US" w:eastAsia="zh-CN"/>
              </w:rPr>
              <w:t>35500</w:t>
            </w:r>
          </w:p>
        </w:tc>
        <w:tc>
          <w:tcPr>
            <w:tcW w:w="542" w:type="pct"/>
            <w:vMerge w:val="restart"/>
            <w:tcBorders>
              <w:tl2br w:val="nil"/>
              <w:tr2bl w:val="nil"/>
            </w:tcBorders>
            <w:vAlign w:val="center"/>
          </w:tcPr>
          <w:p w14:paraId="68E1DAB2">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25</w:t>
            </w:r>
          </w:p>
        </w:tc>
        <w:tc>
          <w:tcPr>
            <w:tcW w:w="782" w:type="pct"/>
            <w:tcBorders>
              <w:tl2br w:val="nil"/>
              <w:tr2bl w:val="nil"/>
            </w:tcBorders>
            <w:vAlign w:val="center"/>
          </w:tcPr>
          <w:p w14:paraId="5747CD4D">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w:t>
            </w:r>
            <w:r>
              <w:rPr>
                <w:rFonts w:hint="eastAsia" w:eastAsia="宋体" w:cs="Times New Roman"/>
                <w:color w:val="000000" w:themeColor="text1"/>
                <w:sz w:val="21"/>
                <w:szCs w:val="21"/>
                <w:highlight w:val="none"/>
                <w:lang w:val="en-US" w:eastAsia="zh-CN"/>
                <w14:textFill>
                  <w14:solidFill>
                    <w14:schemeClr w14:val="tx1"/>
                  </w14:solidFill>
                </w14:textFill>
              </w:rPr>
              <w:t>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均值）</w:t>
            </w:r>
          </w:p>
          <w:p w14:paraId="1E666F37">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00（小时值）</w:t>
            </w:r>
          </w:p>
        </w:tc>
        <w:tc>
          <w:tcPr>
            <w:tcW w:w="827" w:type="pct"/>
            <w:tcBorders>
              <w:tl2br w:val="nil"/>
              <w:tr2bl w:val="nil"/>
            </w:tcBorders>
            <w:vAlign w:val="center"/>
          </w:tcPr>
          <w:p w14:paraId="39789BB2">
            <w:pPr>
              <w:widowControl/>
              <w:jc w:val="center"/>
              <w:rPr>
                <w:rFonts w:hint="default" w:ascii="Times New Roman" w:hAnsi="Times New Roman" w:eastAsia="仿宋_GB2312" w:cs="Times New Roman"/>
                <w:color w:val="000000"/>
                <w:kern w:val="2"/>
                <w:sz w:val="21"/>
                <w:szCs w:val="21"/>
                <w:lang w:val="en-US" w:eastAsia="zh-CN" w:bidi="ar-SA"/>
              </w:rPr>
            </w:pPr>
            <w:r>
              <w:rPr>
                <w:rFonts w:hint="eastAsia"/>
                <w:color w:val="000000"/>
                <w:sz w:val="21"/>
                <w:szCs w:val="21"/>
                <w:lang w:val="en-US" w:eastAsia="zh-CN"/>
              </w:rPr>
              <w:t>4.363</w:t>
            </w:r>
          </w:p>
        </w:tc>
      </w:tr>
      <w:tr w14:paraId="4020FB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wAfter w:w="0" w:type="auto"/>
          <w:trHeight w:val="1449" w:hRule="atLeast"/>
          <w:jc w:val="center"/>
        </w:trPr>
        <w:tc>
          <w:tcPr>
            <w:tcW w:w="437" w:type="pct"/>
            <w:vMerge w:val="continue"/>
            <w:tcBorders>
              <w:bottom w:val="single" w:color="000000" w:sz="12" w:space="0"/>
            </w:tcBorders>
            <w:vAlign w:val="center"/>
          </w:tcPr>
          <w:p w14:paraId="13B27F68">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p>
        </w:tc>
        <w:tc>
          <w:tcPr>
            <w:tcW w:w="544" w:type="pct"/>
            <w:tcBorders>
              <w:bottom w:val="single" w:color="000000" w:sz="12" w:space="0"/>
            </w:tcBorders>
            <w:vAlign w:val="center"/>
          </w:tcPr>
          <w:p w14:paraId="1155E947">
            <w:pPr>
              <w:widowControl/>
              <w:jc w:val="center"/>
              <w:rPr>
                <w:rFonts w:hint="default"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589" w:type="pct"/>
            <w:vMerge w:val="continue"/>
            <w:tcBorders>
              <w:bottom w:val="single" w:color="000000" w:sz="12" w:space="0"/>
            </w:tcBorders>
            <w:vAlign w:val="center"/>
          </w:tcPr>
          <w:p w14:paraId="327E7327">
            <w:pPr>
              <w:widowControl/>
              <w:jc w:val="center"/>
              <w:rPr>
                <w:rFonts w:hint="default" w:ascii="Times New Roman" w:hAnsi="Times New Roman" w:eastAsia="宋体" w:cs="Times New Roman"/>
                <w:kern w:val="0"/>
                <w:sz w:val="21"/>
                <w:szCs w:val="21"/>
                <w:lang w:val="en-US" w:eastAsia="zh-CN" w:bidi="ar-SA"/>
              </w:rPr>
            </w:pPr>
          </w:p>
        </w:tc>
        <w:tc>
          <w:tcPr>
            <w:tcW w:w="701" w:type="pct"/>
            <w:vMerge w:val="continue"/>
            <w:tcBorders>
              <w:bottom w:val="single" w:color="000000" w:sz="12" w:space="0"/>
            </w:tcBorders>
            <w:vAlign w:val="center"/>
          </w:tcPr>
          <w:p w14:paraId="27F29DDE">
            <w:pPr>
              <w:pStyle w:val="118"/>
              <w:adjustRightInd w:val="0"/>
              <w:spacing w:line="240" w:lineRule="auto"/>
              <w:rPr>
                <w:rFonts w:hint="default" w:ascii="Times New Roman" w:hAnsi="Times New Roman" w:eastAsia="宋体" w:cs="Times New Roman"/>
                <w:color w:val="000000" w:themeColor="text1"/>
                <w:kern w:val="2"/>
                <w:sz w:val="21"/>
                <w:lang w:val="en-US"/>
                <w14:textFill>
                  <w14:solidFill>
                    <w14:schemeClr w14:val="tx1"/>
                  </w14:solidFill>
                </w14:textFill>
              </w:rPr>
            </w:pPr>
          </w:p>
        </w:tc>
        <w:tc>
          <w:tcPr>
            <w:tcW w:w="574" w:type="pct"/>
            <w:vMerge w:val="continue"/>
            <w:tcBorders>
              <w:bottom w:val="single" w:color="000000" w:sz="12" w:space="0"/>
            </w:tcBorders>
            <w:vAlign w:val="center"/>
          </w:tcPr>
          <w:p w14:paraId="3AEE41DD">
            <w:pPr>
              <w:widowControl/>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pct"/>
            <w:vMerge w:val="continue"/>
            <w:tcBorders>
              <w:bottom w:val="single" w:color="000000" w:sz="12" w:space="0"/>
            </w:tcBorders>
            <w:vAlign w:val="center"/>
          </w:tcPr>
          <w:p w14:paraId="5D6B9282">
            <w:pPr>
              <w:pStyle w:val="118"/>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p>
        </w:tc>
        <w:tc>
          <w:tcPr>
            <w:tcW w:w="782" w:type="pct"/>
            <w:tcBorders>
              <w:bottom w:val="single" w:color="000000" w:sz="12" w:space="0"/>
            </w:tcBorders>
            <w:vAlign w:val="center"/>
          </w:tcPr>
          <w:p w14:paraId="0E17990B">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827" w:type="pct"/>
            <w:tcBorders>
              <w:bottom w:val="single" w:color="000000" w:sz="12" w:space="0"/>
            </w:tcBorders>
            <w:vAlign w:val="center"/>
          </w:tcPr>
          <w:p w14:paraId="4F0E8388">
            <w:pPr>
              <w:jc w:val="center"/>
              <w:rPr>
                <w:rFonts w:hint="default" w:ascii="Times New Roman" w:hAnsi="Times New Roman" w:eastAsia="宋体" w:cs="Times New Roman"/>
                <w:kern w:val="0"/>
                <w:sz w:val="21"/>
                <w:szCs w:val="21"/>
                <w:lang w:val="en-US" w:eastAsia="zh-CN" w:bidi="ar-SA"/>
              </w:rPr>
            </w:pPr>
            <w:r>
              <w:rPr>
                <w:rFonts w:hint="eastAsia"/>
                <w:color w:val="000000"/>
                <w:kern w:val="0"/>
                <w:sz w:val="21"/>
                <w:szCs w:val="21"/>
                <w:lang w:val="en-US" w:eastAsia="zh-CN"/>
              </w:rPr>
              <w:t>2.671</w:t>
            </w:r>
          </w:p>
        </w:tc>
      </w:tr>
    </w:tbl>
    <w:p w14:paraId="475CB3CC">
      <w:pPr>
        <w:pStyle w:val="13"/>
        <w:adjustRightInd w:val="0"/>
        <w:snapToGrid w:val="0"/>
        <w:spacing w:after="0" w:line="500" w:lineRule="exact"/>
        <w:jc w:val="both"/>
        <w:rPr>
          <w:rFonts w:hint="eastAsia" w:ascii="宋体" w:hAnsi="宋体" w:eastAsia="宋体" w:cs="宋体"/>
          <w:b/>
          <w:color w:val="000000" w:themeColor="text1"/>
          <w14:textFill>
            <w14:solidFill>
              <w14:schemeClr w14:val="tx1"/>
            </w14:solidFill>
          </w14:textFill>
        </w:rPr>
      </w:pPr>
    </w:p>
    <w:p w14:paraId="15C11C40">
      <w:pPr>
        <w:pStyle w:val="13"/>
        <w:adjustRightInd w:val="0"/>
        <w:snapToGrid w:val="0"/>
        <w:spacing w:after="0" w:line="500" w:lineRule="exact"/>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eastAsia="宋体"/>
          <w:b/>
          <w:color w:val="000000" w:themeColor="text1"/>
          <w14:textFill>
            <w14:solidFill>
              <w14:schemeClr w14:val="tx1"/>
            </w14:solidFill>
          </w14:textFill>
        </w:rPr>
        <w:t>4-</w:t>
      </w:r>
      <w:r>
        <w:rPr>
          <w:rFonts w:hint="eastAsia" w:eastAsia="宋体"/>
          <w:b/>
          <w:color w:val="000000" w:themeColor="text1"/>
          <w14:textFill>
            <w14:solidFill>
              <w14:schemeClr w14:val="tx1"/>
            </w14:solidFill>
          </w14:textFill>
        </w:rPr>
        <w:t>12</w:t>
      </w:r>
      <w:r>
        <w:rPr>
          <w:rFonts w:hint="eastAsia" w:ascii="宋体" w:hAnsi="宋体" w:eastAsia="宋体" w:cs="宋体"/>
          <w:b/>
          <w:color w:val="000000" w:themeColor="text1"/>
          <w:highlight w:val="none"/>
          <w14:textFill>
            <w14:solidFill>
              <w14:schemeClr w14:val="tx1"/>
            </w14:solidFill>
          </w14:textFill>
        </w:rPr>
        <w:t>废气污染源</w:t>
      </w:r>
      <w:r>
        <w:rPr>
          <w:rFonts w:hint="eastAsia" w:ascii="宋体" w:hAnsi="宋体" w:eastAsia="宋体" w:cs="宋体"/>
          <w:b/>
          <w:color w:val="000000" w:themeColor="text1"/>
          <w14:textFill>
            <w14:solidFill>
              <w14:schemeClr w14:val="tx1"/>
            </w14:solidFill>
          </w14:textFill>
        </w:rPr>
        <w:t>预测参数</w:t>
      </w:r>
    </w:p>
    <w:tbl>
      <w:tblPr>
        <w:tblStyle w:val="38"/>
        <w:tblpPr w:leftFromText="180" w:rightFromText="180" w:vertAnchor="text" w:horzAnchor="page" w:tblpX="1191" w:tblpY="184"/>
        <w:tblOverlap w:val="never"/>
        <w:tblW w:w="494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47"/>
        <w:gridCol w:w="1937"/>
        <w:gridCol w:w="2437"/>
        <w:gridCol w:w="2130"/>
      </w:tblGrid>
      <w:tr w14:paraId="38518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tblHeader/>
        </w:trPr>
        <w:tc>
          <w:tcPr>
            <w:tcW w:w="813" w:type="pct"/>
            <w:tcBorders>
              <w:tl2br w:val="nil"/>
              <w:tr2bl w:val="nil"/>
            </w:tcBorders>
            <w:vAlign w:val="center"/>
          </w:tcPr>
          <w:p w14:paraId="0F4750FC">
            <w:pPr>
              <w:pStyle w:val="13"/>
              <w:adjustRightInd w:val="0"/>
              <w:snapToGrid w:val="0"/>
              <w:spacing w:before="127"/>
              <w:ind w:right="237"/>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627" w:type="pct"/>
            <w:tcBorders>
              <w:tl2br w:val="nil"/>
              <w:tr2bl w:val="nil"/>
            </w:tcBorders>
            <w:vAlign w:val="center"/>
          </w:tcPr>
          <w:p w14:paraId="27082435">
            <w:pPr>
              <w:pStyle w:val="13"/>
              <w:adjustRightInd w:val="0"/>
              <w:snapToGrid w:val="0"/>
              <w:spacing w:before="127"/>
              <w:ind w:right="237"/>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1059" w:type="pct"/>
            <w:tcBorders>
              <w:tl2br w:val="nil"/>
              <w:tr2bl w:val="nil"/>
            </w:tcBorders>
            <w:vAlign w:val="center"/>
          </w:tcPr>
          <w:p w14:paraId="73343B30">
            <w:pPr>
              <w:pStyle w:val="142"/>
              <w:adjustRightInd w:val="0"/>
              <w:snapToGrid w:val="0"/>
              <w:ind w:left="92" w:right="83"/>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333" w:type="pct"/>
            <w:tcBorders>
              <w:tl2br w:val="nil"/>
              <w:tr2bl w:val="nil"/>
            </w:tcBorders>
            <w:vAlign w:val="center"/>
          </w:tcPr>
          <w:p w14:paraId="12A757A9">
            <w:pPr>
              <w:pStyle w:val="142"/>
              <w:adjustRightInd w:val="0"/>
              <w:snapToGrid w:val="0"/>
              <w:ind w:left="92" w:right="83"/>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1165" w:type="pct"/>
            <w:tcBorders>
              <w:tl2br w:val="nil"/>
              <w:tr2bl w:val="nil"/>
            </w:tcBorders>
            <w:vAlign w:val="center"/>
          </w:tcPr>
          <w:p w14:paraId="035A2304">
            <w:pPr>
              <w:pStyle w:val="142"/>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5FAB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3" w:type="pct"/>
            <w:tcBorders>
              <w:tl2br w:val="nil"/>
              <w:tr2bl w:val="nil"/>
            </w:tcBorders>
            <w:vAlign w:val="center"/>
          </w:tcPr>
          <w:p w14:paraId="0128EB98">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木工车间</w:t>
            </w:r>
          </w:p>
        </w:tc>
        <w:tc>
          <w:tcPr>
            <w:tcW w:w="627" w:type="pct"/>
            <w:tcBorders>
              <w:tl2br w:val="nil"/>
              <w:tr2bl w:val="nil"/>
            </w:tcBorders>
            <w:vAlign w:val="center"/>
          </w:tcPr>
          <w:p w14:paraId="014E5F44">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113</w:t>
            </w:r>
          </w:p>
        </w:tc>
        <w:tc>
          <w:tcPr>
            <w:tcW w:w="1059" w:type="pct"/>
            <w:tcBorders>
              <w:tl2br w:val="nil"/>
              <w:tr2bl w:val="nil"/>
            </w:tcBorders>
            <w:vAlign w:val="center"/>
          </w:tcPr>
          <w:p w14:paraId="0C293750">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14:paraId="15D46B86">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0.03897</w:t>
            </w:r>
          </w:p>
        </w:tc>
        <w:tc>
          <w:tcPr>
            <w:tcW w:w="1165" w:type="pct"/>
            <w:tcBorders>
              <w:tl2br w:val="nil"/>
              <w:tr2bl w:val="nil"/>
            </w:tcBorders>
            <w:vAlign w:val="center"/>
          </w:tcPr>
          <w:p w14:paraId="4539A936">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4.33</w:t>
            </w:r>
          </w:p>
        </w:tc>
      </w:tr>
      <w:tr w14:paraId="7765B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3" w:type="pct"/>
            <w:tcBorders>
              <w:tl2br w:val="nil"/>
              <w:tr2bl w:val="nil"/>
            </w:tcBorders>
            <w:vAlign w:val="center"/>
          </w:tcPr>
          <w:p w14:paraId="52747498">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1#打磨房</w:t>
            </w:r>
          </w:p>
        </w:tc>
        <w:tc>
          <w:tcPr>
            <w:tcW w:w="627" w:type="pct"/>
            <w:tcBorders>
              <w:tl2br w:val="nil"/>
              <w:tr2bl w:val="nil"/>
            </w:tcBorders>
            <w:vAlign w:val="center"/>
          </w:tcPr>
          <w:p w14:paraId="566A1360">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128</w:t>
            </w:r>
          </w:p>
        </w:tc>
        <w:tc>
          <w:tcPr>
            <w:tcW w:w="1059" w:type="pct"/>
            <w:tcBorders>
              <w:tl2br w:val="nil"/>
              <w:tr2bl w:val="nil"/>
            </w:tcBorders>
            <w:vAlign w:val="center"/>
          </w:tcPr>
          <w:p w14:paraId="10649967">
            <w:pPr>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14:paraId="6EE08543">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0.04114</w:t>
            </w:r>
          </w:p>
        </w:tc>
        <w:tc>
          <w:tcPr>
            <w:tcW w:w="1165" w:type="pct"/>
            <w:tcBorders>
              <w:tl2br w:val="nil"/>
              <w:tr2bl w:val="nil"/>
            </w:tcBorders>
            <w:vAlign w:val="center"/>
          </w:tcPr>
          <w:p w14:paraId="1E54183D">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4.57</w:t>
            </w:r>
          </w:p>
        </w:tc>
      </w:tr>
      <w:tr w14:paraId="77EBC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3" w:type="pct"/>
            <w:vMerge w:val="restart"/>
            <w:tcBorders>
              <w:tl2br w:val="nil"/>
              <w:tr2bl w:val="nil"/>
            </w:tcBorders>
            <w:vAlign w:val="center"/>
          </w:tcPr>
          <w:p w14:paraId="298CFBBC">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1#底漆房</w:t>
            </w:r>
          </w:p>
          <w:p w14:paraId="7A0974B3">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1#色面漆房</w:t>
            </w:r>
          </w:p>
          <w:p w14:paraId="3CA2F20E">
            <w:pPr>
              <w:adjustRightInd/>
              <w:snapToGrid/>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1#面漆晾干房</w:t>
            </w:r>
          </w:p>
          <w:p w14:paraId="6026312E">
            <w:pPr>
              <w:adjustRightInd/>
              <w:snapToGrid/>
              <w:jc w:val="center"/>
              <w:rPr>
                <w:rFonts w:hint="default" w:ascii="宋体" w:hAnsi="宋体" w:eastAsia="宋体" w:cs="宋体"/>
                <w:kern w:val="0"/>
                <w:sz w:val="21"/>
                <w:szCs w:val="21"/>
                <w:lang w:val="en-US" w:eastAsia="zh-CN" w:bidi="ar-SA"/>
              </w:rPr>
            </w:pPr>
            <w:r>
              <w:rPr>
                <w:rFonts w:hint="eastAsia" w:ascii="Times New Roman" w:hAnsi="Times New Roman" w:eastAsia="宋体" w:cs="Times New Roman"/>
                <w:kern w:val="0"/>
                <w:sz w:val="21"/>
                <w:szCs w:val="21"/>
                <w:lang w:val="en-US" w:eastAsia="zh-CN"/>
              </w:rPr>
              <w:t>1#底漆晾干房</w:t>
            </w:r>
          </w:p>
        </w:tc>
        <w:tc>
          <w:tcPr>
            <w:tcW w:w="627" w:type="pct"/>
            <w:vMerge w:val="restart"/>
            <w:tcBorders>
              <w:tl2br w:val="nil"/>
              <w:tr2bl w:val="nil"/>
            </w:tcBorders>
            <w:vAlign w:val="center"/>
          </w:tcPr>
          <w:p w14:paraId="147F61CA">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128</w:t>
            </w:r>
          </w:p>
        </w:tc>
        <w:tc>
          <w:tcPr>
            <w:tcW w:w="1059" w:type="pct"/>
            <w:tcBorders>
              <w:tl2br w:val="nil"/>
              <w:tr2bl w:val="nil"/>
            </w:tcBorders>
            <w:vAlign w:val="center"/>
          </w:tcPr>
          <w:p w14:paraId="771FFFC0">
            <w:pPr>
              <w:widowControl/>
              <w:jc w:val="center"/>
              <w:rPr>
                <w:rFonts w:hint="eastAsia" w:ascii="Times New Roman" w:hAnsi="Times New Roman" w:eastAsia="宋体" w:cs="Times New Roman"/>
                <w:spacing w:val="-4"/>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14:paraId="03949B69">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0.19027</w:t>
            </w:r>
          </w:p>
        </w:tc>
        <w:tc>
          <w:tcPr>
            <w:tcW w:w="1165" w:type="pct"/>
            <w:tcBorders>
              <w:tl2br w:val="nil"/>
              <w:tr2bl w:val="nil"/>
            </w:tcBorders>
            <w:vAlign w:val="center"/>
          </w:tcPr>
          <w:p w14:paraId="7A81884E">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21.14</w:t>
            </w:r>
          </w:p>
        </w:tc>
      </w:tr>
      <w:tr w14:paraId="0D344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3" w:type="pct"/>
            <w:vMerge w:val="continue"/>
            <w:tcBorders>
              <w:tl2br w:val="nil"/>
              <w:tr2bl w:val="nil"/>
            </w:tcBorders>
            <w:vAlign w:val="center"/>
          </w:tcPr>
          <w:p w14:paraId="550AE8A7">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27" w:type="pct"/>
            <w:vMerge w:val="continue"/>
            <w:tcBorders>
              <w:tl2br w:val="nil"/>
              <w:tr2bl w:val="nil"/>
            </w:tcBorders>
            <w:vAlign w:val="center"/>
          </w:tcPr>
          <w:p w14:paraId="438C8AA4">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p>
        </w:tc>
        <w:tc>
          <w:tcPr>
            <w:tcW w:w="1059" w:type="pct"/>
            <w:tcBorders>
              <w:tl2br w:val="nil"/>
              <w:tr2bl w:val="nil"/>
            </w:tcBorders>
            <w:vAlign w:val="center"/>
          </w:tcPr>
          <w:p w14:paraId="1327A6F3">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333" w:type="pct"/>
            <w:tcBorders>
              <w:tl2br w:val="nil"/>
              <w:tr2bl w:val="nil"/>
            </w:tcBorders>
            <w:vAlign w:val="center"/>
          </w:tcPr>
          <w:p w14:paraId="5C50326C">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0.11648</w:t>
            </w:r>
          </w:p>
        </w:tc>
        <w:tc>
          <w:tcPr>
            <w:tcW w:w="1165" w:type="pct"/>
            <w:tcBorders>
              <w:tl2br w:val="nil"/>
              <w:tr2bl w:val="nil"/>
            </w:tcBorders>
            <w:vAlign w:val="center"/>
          </w:tcPr>
          <w:p w14:paraId="22179F68">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9.71</w:t>
            </w:r>
          </w:p>
        </w:tc>
      </w:tr>
      <w:tr w14:paraId="0B593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3" w:type="pct"/>
            <w:tcBorders>
              <w:tl2br w:val="nil"/>
              <w:tr2bl w:val="nil"/>
            </w:tcBorders>
            <w:vAlign w:val="center"/>
          </w:tcPr>
          <w:p w14:paraId="45D7FAEE">
            <w:pPr>
              <w:adjustRightInd w:val="0"/>
              <w:snapToGrid w:val="0"/>
              <w:jc w:val="center"/>
              <w:rPr>
                <w:rFonts w:hint="default" w:ascii="宋体" w:hAnsi="宋体" w:eastAsia="宋体" w:cs="宋体"/>
                <w:kern w:val="0"/>
                <w:sz w:val="21"/>
                <w:szCs w:val="21"/>
                <w:lang w:val="en-US" w:eastAsia="zh-CN" w:bidi="ar-SA"/>
              </w:rPr>
            </w:pPr>
            <w:r>
              <w:rPr>
                <w:rFonts w:hint="default" w:ascii="Times New Roman" w:hAnsi="Times New Roman" w:eastAsia="宋体" w:cs="Times New Roman"/>
                <w:kern w:val="0"/>
                <w:sz w:val="21"/>
                <w:szCs w:val="21"/>
                <w:lang w:val="en-US" w:eastAsia="zh-CN"/>
              </w:rPr>
              <w:t>2#</w:t>
            </w:r>
            <w:r>
              <w:rPr>
                <w:rFonts w:hint="eastAsia" w:ascii="宋体" w:hAnsi="宋体" w:eastAsia="宋体" w:cs="宋体"/>
                <w:kern w:val="0"/>
                <w:sz w:val="21"/>
                <w:szCs w:val="21"/>
                <w:lang w:val="en-US" w:eastAsia="zh-CN"/>
              </w:rPr>
              <w:t>打磨房</w:t>
            </w:r>
          </w:p>
        </w:tc>
        <w:tc>
          <w:tcPr>
            <w:tcW w:w="627" w:type="pct"/>
            <w:tcBorders>
              <w:tl2br w:val="nil"/>
              <w:tr2bl w:val="nil"/>
            </w:tcBorders>
            <w:vAlign w:val="center"/>
          </w:tcPr>
          <w:p w14:paraId="1435B613">
            <w:pPr>
              <w:adjustRightInd w:val="0"/>
              <w:snapToGrid w:val="0"/>
              <w:jc w:val="center"/>
              <w:rPr>
                <w:rFonts w:hint="default"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116</w:t>
            </w:r>
          </w:p>
        </w:tc>
        <w:tc>
          <w:tcPr>
            <w:tcW w:w="1059" w:type="pct"/>
            <w:tcBorders>
              <w:tl2br w:val="nil"/>
              <w:tr2bl w:val="nil"/>
            </w:tcBorders>
            <w:vAlign w:val="center"/>
          </w:tcPr>
          <w:p w14:paraId="2281BC40">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14:paraId="5A8D1BD2">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0.02236</w:t>
            </w:r>
          </w:p>
        </w:tc>
        <w:tc>
          <w:tcPr>
            <w:tcW w:w="1165" w:type="pct"/>
            <w:tcBorders>
              <w:tl2br w:val="nil"/>
              <w:tr2bl w:val="nil"/>
            </w:tcBorders>
            <w:vAlign w:val="center"/>
          </w:tcPr>
          <w:p w14:paraId="3A7CBA2F">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2.48</w:t>
            </w:r>
          </w:p>
        </w:tc>
      </w:tr>
      <w:tr w14:paraId="3525D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3" w:type="pct"/>
            <w:vMerge w:val="restart"/>
            <w:tcBorders>
              <w:tl2br w:val="nil"/>
              <w:tr2bl w:val="nil"/>
            </w:tcBorders>
            <w:vAlign w:val="center"/>
          </w:tcPr>
          <w:p w14:paraId="23437FEF">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2#底漆房</w:t>
            </w:r>
          </w:p>
          <w:p w14:paraId="79D27C88">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2#色面漆房</w:t>
            </w:r>
          </w:p>
          <w:p w14:paraId="630A965B">
            <w:pPr>
              <w:adjustRightInd/>
              <w:snapToGrid/>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2#面漆晾干房</w:t>
            </w:r>
          </w:p>
          <w:p w14:paraId="0C8B6B88">
            <w:pPr>
              <w:adjustRightInd w:val="0"/>
              <w:spacing w:line="240" w:lineRule="auto"/>
              <w:jc w:val="center"/>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r>
              <w:rPr>
                <w:rFonts w:hint="default" w:ascii="Times New Roman" w:hAnsi="Times New Roman" w:eastAsia="宋体" w:cs="Times New Roman"/>
                <w:kern w:val="0"/>
                <w:sz w:val="21"/>
                <w:szCs w:val="21"/>
              </w:rPr>
              <w:t>2#底漆晾干房</w:t>
            </w:r>
          </w:p>
        </w:tc>
        <w:tc>
          <w:tcPr>
            <w:tcW w:w="627" w:type="pct"/>
            <w:vMerge w:val="restart"/>
            <w:tcBorders>
              <w:tl2br w:val="nil"/>
              <w:tr2bl w:val="nil"/>
            </w:tcBorders>
            <w:vAlign w:val="center"/>
          </w:tcPr>
          <w:p w14:paraId="44DC638E">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eastAsia="宋体" w:cs="Times New Roman"/>
                <w:b w:val="0"/>
                <w:bCs w:val="0"/>
                <w:color w:val="000000" w:themeColor="text1"/>
                <w:sz w:val="21"/>
                <w:szCs w:val="21"/>
                <w:highlight w:val="none"/>
                <w:lang w:val="en-US" w:eastAsia="zh-CN"/>
                <w14:textFill>
                  <w14:solidFill>
                    <w14:schemeClr w14:val="tx1"/>
                  </w14:solidFill>
                </w14:textFill>
              </w:rPr>
              <w:t>131</w:t>
            </w:r>
          </w:p>
        </w:tc>
        <w:tc>
          <w:tcPr>
            <w:tcW w:w="1059" w:type="pct"/>
            <w:tcBorders>
              <w:tl2br w:val="nil"/>
              <w:tr2bl w:val="nil"/>
            </w:tcBorders>
            <w:vAlign w:val="center"/>
          </w:tcPr>
          <w:p w14:paraId="2635F587">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s="Times New Roman"/>
                <w:color w:val="000000"/>
                <w:kern w:val="0"/>
                <w:sz w:val="21"/>
                <w:szCs w:val="21"/>
                <w:lang w:val="en-US" w:eastAsia="zh-CN"/>
              </w:rPr>
              <w:t>颗粒物</w:t>
            </w:r>
          </w:p>
        </w:tc>
        <w:tc>
          <w:tcPr>
            <w:tcW w:w="1333" w:type="pct"/>
            <w:tcBorders>
              <w:tl2br w:val="nil"/>
              <w:tr2bl w:val="nil"/>
            </w:tcBorders>
            <w:vAlign w:val="center"/>
          </w:tcPr>
          <w:p w14:paraId="56E420F1">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0.18946</w:t>
            </w:r>
          </w:p>
        </w:tc>
        <w:tc>
          <w:tcPr>
            <w:tcW w:w="1165" w:type="pct"/>
            <w:tcBorders>
              <w:tl2br w:val="nil"/>
              <w:tr2bl w:val="nil"/>
            </w:tcBorders>
            <w:vAlign w:val="center"/>
          </w:tcPr>
          <w:p w14:paraId="7568957C">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21.05</w:t>
            </w:r>
          </w:p>
        </w:tc>
      </w:tr>
      <w:tr w14:paraId="38337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3" w:type="pct"/>
            <w:vMerge w:val="continue"/>
            <w:tcBorders>
              <w:bottom w:val="single" w:color="auto" w:sz="12" w:space="0"/>
            </w:tcBorders>
            <w:vAlign w:val="center"/>
          </w:tcPr>
          <w:p w14:paraId="331931D2">
            <w:pPr>
              <w:pStyle w:val="118"/>
              <w:adjustRightInd w:val="0"/>
              <w:spacing w:line="240" w:lineRule="auto"/>
              <w:rPr>
                <w:rFonts w:hint="default" w:ascii="Times New Roman" w:hAnsi="Times New Roman" w:eastAsia="宋体" w:cs="Times New Roman"/>
                <w:b w:val="0"/>
                <w:bCs w:val="0"/>
                <w:color w:val="000000" w:themeColor="text1"/>
                <w:kern w:val="2"/>
                <w:sz w:val="21"/>
                <w:lang w:val="en-US" w:eastAsia="zh-CN"/>
                <w14:textFill>
                  <w14:solidFill>
                    <w14:schemeClr w14:val="tx1"/>
                  </w14:solidFill>
                </w14:textFill>
              </w:rPr>
            </w:pPr>
          </w:p>
        </w:tc>
        <w:tc>
          <w:tcPr>
            <w:tcW w:w="627" w:type="pct"/>
            <w:vMerge w:val="continue"/>
            <w:tcBorders>
              <w:bottom w:val="single" w:color="auto" w:sz="12" w:space="0"/>
            </w:tcBorders>
            <w:vAlign w:val="center"/>
          </w:tcPr>
          <w:p w14:paraId="2EF26366">
            <w:pPr>
              <w:adjustRightInd w:val="0"/>
              <w:snapToGrid w:val="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1059" w:type="pct"/>
            <w:tcBorders>
              <w:bottom w:val="single" w:color="auto" w:sz="12" w:space="0"/>
            </w:tcBorders>
            <w:vAlign w:val="center"/>
          </w:tcPr>
          <w:p w14:paraId="1C29A77E">
            <w:pPr>
              <w:widowControl/>
              <w:jc w:val="center"/>
              <w:rPr>
                <w:rFonts w:hint="eastAsia" w:ascii="Times New Roman" w:hAnsi="Times New Roman" w:eastAsia="宋体" w:cs="Times New Roman"/>
                <w:kern w:val="0"/>
                <w:sz w:val="21"/>
                <w:szCs w:val="21"/>
                <w:lang w:val="en-US" w:eastAsia="zh-CN" w:bidi="ar-SA"/>
              </w:rPr>
            </w:pPr>
            <w:r>
              <w:rPr>
                <w:rFonts w:hint="eastAsia" w:eastAsia="宋体" w:cs="Times New Roman"/>
                <w:color w:val="000000"/>
                <w:kern w:val="0"/>
                <w:sz w:val="21"/>
                <w:szCs w:val="21"/>
                <w:lang w:val="en-US" w:eastAsia="zh-CN"/>
              </w:rPr>
              <w:t>TVOC</w:t>
            </w:r>
          </w:p>
        </w:tc>
        <w:tc>
          <w:tcPr>
            <w:tcW w:w="1333" w:type="pct"/>
            <w:tcBorders>
              <w:bottom w:val="single" w:color="auto" w:sz="12" w:space="0"/>
            </w:tcBorders>
            <w:vAlign w:val="center"/>
          </w:tcPr>
          <w:p w14:paraId="2C54DB8B">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0.11599</w:t>
            </w:r>
          </w:p>
        </w:tc>
        <w:tc>
          <w:tcPr>
            <w:tcW w:w="1165" w:type="pct"/>
            <w:tcBorders>
              <w:bottom w:val="single" w:color="auto" w:sz="12" w:space="0"/>
            </w:tcBorders>
            <w:vAlign w:val="center"/>
          </w:tcPr>
          <w:p w14:paraId="4BACA159">
            <w:pPr>
              <w:adjustRightInd w:val="0"/>
              <w:snapToGrid w:val="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9.67</w:t>
            </w:r>
          </w:p>
        </w:tc>
      </w:tr>
    </w:tbl>
    <w:p w14:paraId="56E58721">
      <w:pPr>
        <w:adjustRightInd w:val="0"/>
        <w:snapToGrid w:val="0"/>
        <w:spacing w:line="500" w:lineRule="exact"/>
        <w:ind w:firstLine="482" w:firstLineChars="20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排气筒废气超标排放事故</w:t>
      </w:r>
    </w:p>
    <w:p w14:paraId="75A7049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木工车间</w:t>
      </w:r>
      <w:r>
        <w:rPr>
          <w:rFonts w:hint="eastAsia" w:ascii="宋体" w:hAnsi="宋体" w:eastAsia="宋体" w:cs="宋体"/>
          <w:b/>
          <w:color w:val="000000" w:themeColor="text1"/>
          <w14:textFill>
            <w14:solidFill>
              <w14:schemeClr w14:val="tx1"/>
            </w14:solidFill>
          </w14:textFill>
        </w:rPr>
        <w:t>废气超标排放事故</w:t>
      </w:r>
    </w:p>
    <w:p w14:paraId="269576A9">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eastAsia" w:eastAsia="宋体" w:cs="Times New Roman"/>
          <w:color w:val="000000" w:themeColor="text1"/>
          <w:lang w:val="en-US" w:eastAsia="zh-CN"/>
          <w14:textFill>
            <w14:solidFill>
              <w14:schemeClr w14:val="tx1"/>
            </w14:solidFill>
          </w14:textFill>
        </w:rPr>
        <w:t>木工车间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113</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为0.03897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14:paraId="5C1D635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打磨车间</w:t>
      </w:r>
      <w:r>
        <w:rPr>
          <w:rFonts w:hint="eastAsia" w:ascii="宋体" w:hAnsi="宋体" w:eastAsia="宋体" w:cs="宋体"/>
          <w:b/>
          <w:color w:val="000000" w:themeColor="text1"/>
          <w14:textFill>
            <w14:solidFill>
              <w14:schemeClr w14:val="tx1"/>
            </w14:solidFill>
          </w14:textFill>
        </w:rPr>
        <w:t>废气超标排放事故</w:t>
      </w:r>
    </w:p>
    <w:p w14:paraId="7A94E038">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eastAsia" w:eastAsia="宋体" w:cs="Times New Roman"/>
          <w:color w:val="000000" w:themeColor="text1"/>
          <w:lang w:val="en-US" w:eastAsia="zh-CN"/>
          <w14:textFill>
            <w14:solidFill>
              <w14:schemeClr w14:val="tx1"/>
            </w14:solidFill>
          </w14:textFill>
        </w:rPr>
        <w:t>1#打磨车间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128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为0.04114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2#打磨车间</w:t>
      </w:r>
      <w:r>
        <w:rPr>
          <w:rFonts w:hint="default" w:ascii="Times New Roman" w:hAnsi="Times New Roman" w:eastAsia="宋体" w:cs="Times New Roman"/>
          <w:color w:val="000000" w:themeColor="text1"/>
          <w14:textFill>
            <w14:solidFill>
              <w14:schemeClr w14:val="tx1"/>
            </w14:solidFill>
          </w14:textFill>
        </w:rPr>
        <w:t>废气</w:t>
      </w:r>
      <w:r>
        <w:rPr>
          <w:rFonts w:hint="eastAsia" w:eastAsia="宋体" w:cs="Times New Roman"/>
          <w:color w:val="000000" w:themeColor="text1"/>
          <w:lang w:val="en-US" w:eastAsia="zh-CN"/>
          <w14:textFill>
            <w14:solidFill>
              <w14:schemeClr w14:val="tx1"/>
            </w14:solidFill>
          </w14:textFill>
        </w:rPr>
        <w:t>排气筒均在</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116</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 xml:space="preserve">为0.02236 </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标准</w:t>
      </w:r>
      <w:r>
        <w:rPr>
          <w:rFonts w:hint="default" w:ascii="Times New Roman" w:hAnsi="Times New Roman" w:eastAsia="宋体" w:cs="Times New Roman"/>
          <w:color w:val="000000" w:themeColor="text1"/>
          <w:highlight w:val="none"/>
          <w14:textFill>
            <w14:solidFill>
              <w14:schemeClr w14:val="tx1"/>
            </w14:solidFill>
          </w14:textFill>
        </w:rPr>
        <w:t>值0.</w:t>
      </w:r>
      <w:r>
        <w:rPr>
          <w:rFonts w:hint="default" w:ascii="Times New Roman" w:hAnsi="Times New Roman" w:eastAsia="宋体" w:cs="Times New Roman"/>
          <w:color w:val="000000" w:themeColor="text1"/>
          <w:highlight w:val="none"/>
          <w:lang w:val="en-US" w:eastAsia="zh-CN"/>
          <w14:textFill>
            <w14:solidFill>
              <w14:schemeClr w14:val="tx1"/>
            </w14:solidFill>
          </w14:textFill>
        </w:rPr>
        <w:t>90</w:t>
      </w:r>
      <w:r>
        <w:rPr>
          <w:rFonts w:hint="default" w:ascii="Times New Roman" w:hAnsi="Times New Roman" w:eastAsia="宋体" w:cs="Times New Roman"/>
          <w:color w:val="000000" w:themeColor="text1"/>
          <w:highlight w:val="none"/>
          <w14:textFill>
            <w14:solidFill>
              <w14:schemeClr w14:val="tx1"/>
            </w14:solidFill>
          </w14:textFill>
        </w:rPr>
        <w:t>mg</w:t>
      </w:r>
      <w:r>
        <w:rPr>
          <w:rFonts w:hint="default" w:ascii="Times New Roman" w:hAnsi="Times New Roman" w:eastAsia="宋体" w:cs="Times New Roman"/>
          <w:color w:val="000000" w:themeColor="text1"/>
          <w14:textFill>
            <w14:solidFill>
              <w14:schemeClr w14:val="tx1"/>
            </w14:solidFill>
          </w14:textFill>
        </w:rPr>
        <w:t>/m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14:paraId="0BFF555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喷漆车间</w:t>
      </w:r>
      <w:r>
        <w:rPr>
          <w:rFonts w:hint="default" w:ascii="Times New Roman" w:hAnsi="Times New Roman" w:eastAsia="宋体" w:cs="Times New Roman"/>
          <w:b/>
          <w:color w:val="000000" w:themeColor="text1"/>
          <w14:textFill>
            <w14:solidFill>
              <w14:schemeClr w14:val="tx1"/>
            </w14:solidFill>
          </w14:textFill>
        </w:rPr>
        <w:t>废气超标排放事故</w:t>
      </w:r>
    </w:p>
    <w:p w14:paraId="306303C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Times New Roman" w:hAnsi="Times New Roman" w:eastAsia="宋体" w:cs="Times New Roman"/>
          <w:lang w:eastAsia="zh-CN"/>
        </w:rPr>
      </w:pPr>
      <w:r>
        <w:rPr>
          <w:rFonts w:hint="default" w:ascii="Times New Roman" w:hAnsi="Times New Roman" w:eastAsia="宋体" w:cs="Times New Roman"/>
          <w:color w:val="000000" w:themeColor="text1"/>
          <w14:textFill>
            <w14:solidFill>
              <w14:schemeClr w14:val="tx1"/>
            </w14:solidFill>
          </w14:textFill>
        </w:rPr>
        <w:t>从上表分析可知，</w:t>
      </w:r>
      <w:r>
        <w:rPr>
          <w:rFonts w:hint="default" w:ascii="Times New Roman" w:hAnsi="Times New Roman" w:eastAsia="宋体" w:cs="Times New Roman"/>
          <w:color w:val="000000" w:themeColor="text1"/>
          <w:lang w:val="en-US" w:eastAsia="zh-CN"/>
          <w14:textFill>
            <w14:solidFill>
              <w14:schemeClr w14:val="tx1"/>
            </w14:solidFill>
          </w14:textFill>
        </w:rPr>
        <w:t>1#底漆房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色面漆房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面漆晾干房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底漆晾干房</w:t>
      </w:r>
      <w:r>
        <w:rPr>
          <w:rFonts w:hint="eastAsia" w:eastAsia="宋体" w:cs="Times New Roman"/>
          <w:color w:val="000000" w:themeColor="text1"/>
          <w:lang w:val="en-US" w:eastAsia="zh-CN"/>
          <w14:textFill>
            <w14:solidFill>
              <w14:schemeClr w14:val="tx1"/>
            </w14:solidFill>
          </w14:textFill>
        </w:rPr>
        <w:t>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128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0.19027</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值0.</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w:t>
      </w:r>
      <w:r>
        <w:rPr>
          <w:rFonts w:hint="eastAsia" w:eastAsia="宋体" w:cs="Times New Roman"/>
          <w:color w:val="000000" w:themeColor="text1"/>
          <w:lang w:val="en-US" w:eastAsia="zh-CN"/>
          <w14:textFill>
            <w14:solidFill>
              <w14:schemeClr w14:val="tx1"/>
            </w14:solidFill>
          </w14:textFill>
        </w:rPr>
        <w:t>0.11648</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#底漆房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色面漆房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面漆晾干房</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底漆晾干房</w:t>
      </w:r>
      <w:r>
        <w:rPr>
          <w:rFonts w:hint="eastAsia" w:eastAsia="宋体" w:cs="Times New Roman"/>
          <w:color w:val="000000" w:themeColor="text1"/>
          <w:lang w:val="en-US" w:eastAsia="zh-CN"/>
          <w14:textFill>
            <w14:solidFill>
              <w14:schemeClr w14:val="tx1"/>
            </w14:solidFill>
          </w14:textFill>
        </w:rPr>
        <w:t>排气筒</w:t>
      </w:r>
      <w:r>
        <w:rPr>
          <w:rFonts w:hint="default" w:ascii="Times New Roman" w:hAnsi="Times New Roman" w:eastAsia="宋体" w:cs="Times New Roman"/>
          <w:color w:val="000000" w:themeColor="text1"/>
          <w14:textFill>
            <w14:solidFill>
              <w14:schemeClr w14:val="tx1"/>
            </w14:solidFill>
          </w14:textFill>
        </w:rPr>
        <w:t>在下方向</w:t>
      </w:r>
      <w:r>
        <w:rPr>
          <w:rFonts w:hint="eastAsia" w:eastAsia="宋体" w:cs="Times New Roman"/>
          <w:color w:val="000000" w:themeColor="text1"/>
          <w:lang w:val="en-US" w:eastAsia="zh-CN"/>
          <w14:textFill>
            <w14:solidFill>
              <w14:schemeClr w14:val="tx1"/>
            </w14:solidFill>
          </w14:textFill>
        </w:rPr>
        <w:t>131</w:t>
      </w:r>
      <w:r>
        <w:rPr>
          <w:rFonts w:hint="default" w:ascii="Times New Roman" w:hAnsi="Times New Roman" w:eastAsia="宋体" w:cs="Times New Roman"/>
          <w:color w:val="000000" w:themeColor="text1"/>
          <w14:textFill>
            <w14:solidFill>
              <w14:schemeClr w14:val="tx1"/>
            </w14:solidFill>
          </w14:textFill>
        </w:rPr>
        <w:t>米处</w:t>
      </w:r>
      <w:r>
        <w:rPr>
          <w:rFonts w:hint="eastAsia" w:ascii="Times New Roman" w:hAnsi="Times New Roman"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lang w:val="en-US" w:eastAsia="zh-CN"/>
          <w14:textFill>
            <w14:solidFill>
              <w14:schemeClr w14:val="tx1"/>
            </w14:solidFill>
          </w14:textFill>
        </w:rPr>
        <w:t>最大落地浓度</w:t>
      </w:r>
      <w:r>
        <w:rPr>
          <w:rFonts w:hint="eastAsia" w:eastAsia="宋体" w:cs="Times New Roman"/>
          <w:color w:val="000000" w:themeColor="text1"/>
          <w:lang w:val="en-US" w:eastAsia="zh-CN"/>
          <w14:textFill>
            <w14:solidFill>
              <w14:schemeClr w14:val="tx1"/>
            </w14:solidFill>
          </w14:textFill>
        </w:rPr>
        <w:t>0.18946</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w:t>
      </w:r>
      <w:r>
        <w:rPr>
          <w:rFonts w:hint="eastAsia" w:ascii="Times New Roman" w:hAnsi="Times New Roman" w:eastAsia="宋体" w:cs="Times New Roman"/>
          <w:color w:val="000000" w:themeColor="text1"/>
          <w:vertAlign w:val="baseline"/>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挥发性有机物最大落地浓度</w:t>
      </w:r>
      <w:r>
        <w:rPr>
          <w:rFonts w:hint="eastAsia" w:eastAsia="宋体" w:cs="Times New Roman"/>
          <w:color w:val="000000" w:themeColor="text1"/>
          <w:lang w:val="en-US" w:eastAsia="zh-CN"/>
          <w14:textFill>
            <w14:solidFill>
              <w14:schemeClr w14:val="tx1"/>
            </w14:solidFill>
          </w14:textFill>
        </w:rPr>
        <w:t>0.11599</w:t>
      </w:r>
      <w:r>
        <w:rPr>
          <w:rFonts w:hint="default" w:ascii="Times New Roman" w:hAnsi="Times New Roman" w:eastAsia="宋体" w:cs="Times New Roman"/>
          <w:color w:val="000000" w:themeColor="text1"/>
          <w14:textFill>
            <w14:solidFill>
              <w14:schemeClr w14:val="tx1"/>
            </w14:solidFill>
          </w14:textFill>
        </w:rPr>
        <w:t xml:space="preserve"> 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vertAlign w:val="baseline"/>
          <w:lang w:val="en-US" w:eastAsia="zh-CN"/>
          <w14:textFill>
            <w14:solidFill>
              <w14:schemeClr w14:val="tx1"/>
            </w14:solidFill>
          </w14:textFill>
        </w:rPr>
        <w:t>小于标准值1.2</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vertAlign w:val="baseline"/>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r>
        <w:rPr>
          <w:rFonts w:hint="eastAsia" w:eastAsia="宋体" w:cs="Times New Roman"/>
          <w:color w:val="000000" w:themeColor="text1"/>
          <w:lang w:eastAsia="zh-CN"/>
          <w14:textFill>
            <w14:solidFill>
              <w14:schemeClr w14:val="tx1"/>
            </w14:solidFill>
          </w14:textFill>
        </w:rPr>
        <w:t>。</w:t>
      </w:r>
    </w:p>
    <w:p w14:paraId="2B22BF03">
      <w:pPr>
        <w:pStyle w:val="2"/>
        <w:adjustRightInd w:val="0"/>
        <w:snapToGrid w:val="0"/>
        <w:spacing w:line="500" w:lineRule="exact"/>
        <w:rPr>
          <w:rFonts w:eastAsia="宋体"/>
          <w:sz w:val="24"/>
          <w:szCs w:val="24"/>
        </w:rPr>
      </w:pPr>
      <w:bookmarkStart w:id="235" w:name="_Toc2754"/>
      <w:bookmarkStart w:id="236" w:name="_Toc32454"/>
      <w:bookmarkStart w:id="237" w:name="_Toc30419"/>
      <w:bookmarkStart w:id="238" w:name="_Toc24446"/>
      <w:r>
        <w:rPr>
          <w:rFonts w:hint="eastAsia" w:eastAsia="宋体"/>
          <w:sz w:val="24"/>
          <w:szCs w:val="24"/>
        </w:rPr>
        <w:t>5现有环境风险防控和应急措施差距分析</w:t>
      </w:r>
      <w:bookmarkEnd w:id="179"/>
      <w:bookmarkEnd w:id="235"/>
      <w:bookmarkEnd w:id="236"/>
      <w:bookmarkEnd w:id="237"/>
      <w:bookmarkEnd w:id="238"/>
    </w:p>
    <w:p w14:paraId="4B255313">
      <w:pPr>
        <w:adjustRightInd w:val="0"/>
        <w:snapToGrid w:val="0"/>
        <w:spacing w:line="500" w:lineRule="exact"/>
        <w:ind w:firstLine="480" w:firstLineChars="200"/>
        <w:rPr>
          <w:rFonts w:ascii="宋体" w:hAnsi="宋体" w:eastAsia="宋体" w:cs="宋体"/>
        </w:rPr>
      </w:pPr>
      <w:bookmarkStart w:id="239" w:name="_Toc353379550"/>
      <w:r>
        <w:rPr>
          <w:rFonts w:hint="eastAsia" w:ascii="宋体" w:hAnsi="宋体" w:eastAsia="宋体" w:cs="宋体"/>
        </w:rPr>
        <w:t>环境风险管理是对可能存在的事故采取有效的防范措施，控制和防治对环境的污染，同时对可能造成的环境灾害制定应急预案，减少环境风险。</w:t>
      </w:r>
    </w:p>
    <w:p w14:paraId="62D2A1B1">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40" w:name="_Toc402776217"/>
      <w:bookmarkStart w:id="241" w:name="_Toc7996"/>
      <w:bookmarkStart w:id="242" w:name="_Toc2496"/>
      <w:bookmarkStart w:id="243" w:name="_Toc7007"/>
      <w:bookmarkStart w:id="244" w:name="_Toc27239"/>
      <w:r>
        <w:rPr>
          <w:rFonts w:hint="eastAsia" w:eastAsia="宋体"/>
          <w:color w:val="000000" w:themeColor="text1"/>
          <w:sz w:val="24"/>
          <w:szCs w:val="24"/>
          <w14:textFill>
            <w14:solidFill>
              <w14:schemeClr w14:val="tx1"/>
            </w14:solidFill>
          </w14:textFill>
        </w:rPr>
        <w:t>5.1环境风险管理制度</w:t>
      </w:r>
      <w:bookmarkEnd w:id="240"/>
      <w:bookmarkEnd w:id="241"/>
      <w:bookmarkEnd w:id="242"/>
      <w:bookmarkEnd w:id="243"/>
      <w:bookmarkEnd w:id="244"/>
    </w:p>
    <w:p w14:paraId="1BE747FF">
      <w:pPr>
        <w:adjustRightInd w:val="0"/>
        <w:snapToGrid w:val="0"/>
        <w:spacing w:line="500" w:lineRule="exact"/>
        <w:ind w:firstLine="480" w:firstLineChars="200"/>
        <w:rPr>
          <w:rFonts w:eastAsia="宋体"/>
        </w:rPr>
      </w:pPr>
      <w:bookmarkStart w:id="245" w:name="_Toc402776219"/>
      <w:r>
        <w:rPr>
          <w:rFonts w:eastAsia="宋体"/>
        </w:rPr>
        <w:t>公司现有环境风险管理制度差距分析见表5-1。</w:t>
      </w:r>
    </w:p>
    <w:p w14:paraId="4BC8626C">
      <w:pPr>
        <w:adjustRightInd w:val="0"/>
        <w:snapToGrid w:val="0"/>
        <w:spacing w:line="500" w:lineRule="exact"/>
        <w:jc w:val="center"/>
        <w:rPr>
          <w:rFonts w:eastAsia="宋体"/>
          <w:b/>
        </w:rPr>
      </w:pPr>
      <w:r>
        <w:rPr>
          <w:rFonts w:eastAsia="宋体"/>
          <w:b/>
        </w:rPr>
        <w:t>表5-1环境风险管理制度差距分析</w:t>
      </w:r>
    </w:p>
    <w:tbl>
      <w:tblPr>
        <w:tblStyle w:val="38"/>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34AD4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65DD5A7F">
            <w:pPr>
              <w:pStyle w:val="118"/>
              <w:adjustRightInd w:val="0"/>
              <w:spacing w:line="240" w:lineRule="auto"/>
              <w:rPr>
                <w:rFonts w:eastAsia="宋体"/>
                <w:sz w:val="21"/>
              </w:rPr>
            </w:pPr>
            <w:r>
              <w:rPr>
                <w:rFonts w:eastAsia="宋体"/>
                <w:sz w:val="21"/>
              </w:rPr>
              <w:t>序号</w:t>
            </w:r>
          </w:p>
        </w:tc>
        <w:tc>
          <w:tcPr>
            <w:tcW w:w="1354" w:type="pct"/>
            <w:tcBorders>
              <w:tl2br w:val="nil"/>
              <w:tr2bl w:val="nil"/>
            </w:tcBorders>
            <w:vAlign w:val="center"/>
          </w:tcPr>
          <w:p w14:paraId="724EF62D">
            <w:pPr>
              <w:pStyle w:val="118"/>
              <w:adjustRightInd w:val="0"/>
              <w:spacing w:line="240" w:lineRule="auto"/>
              <w:rPr>
                <w:rFonts w:eastAsia="宋体"/>
                <w:sz w:val="21"/>
              </w:rPr>
            </w:pPr>
            <w:r>
              <w:rPr>
                <w:rFonts w:eastAsia="宋体"/>
                <w:sz w:val="21"/>
              </w:rPr>
              <w:t>项目</w:t>
            </w:r>
          </w:p>
        </w:tc>
        <w:tc>
          <w:tcPr>
            <w:tcW w:w="2241" w:type="pct"/>
            <w:tcBorders>
              <w:tl2br w:val="nil"/>
              <w:tr2bl w:val="nil"/>
            </w:tcBorders>
            <w:vAlign w:val="center"/>
          </w:tcPr>
          <w:p w14:paraId="62A0B4F1">
            <w:pPr>
              <w:pStyle w:val="118"/>
              <w:adjustRightInd w:val="0"/>
              <w:spacing w:line="240" w:lineRule="auto"/>
              <w:rPr>
                <w:rFonts w:eastAsia="宋体"/>
                <w:sz w:val="21"/>
              </w:rPr>
            </w:pPr>
            <w:r>
              <w:rPr>
                <w:rFonts w:eastAsia="宋体"/>
                <w:sz w:val="21"/>
              </w:rPr>
              <w:t>实际情况</w:t>
            </w:r>
          </w:p>
        </w:tc>
        <w:tc>
          <w:tcPr>
            <w:tcW w:w="1006" w:type="pct"/>
            <w:tcBorders>
              <w:tl2br w:val="nil"/>
              <w:tr2bl w:val="nil"/>
            </w:tcBorders>
            <w:vAlign w:val="center"/>
          </w:tcPr>
          <w:p w14:paraId="6A2A1212">
            <w:pPr>
              <w:pStyle w:val="118"/>
              <w:adjustRightInd w:val="0"/>
              <w:spacing w:line="240" w:lineRule="auto"/>
              <w:rPr>
                <w:rFonts w:eastAsia="宋体"/>
                <w:sz w:val="21"/>
              </w:rPr>
            </w:pPr>
            <w:r>
              <w:rPr>
                <w:rFonts w:eastAsia="宋体"/>
                <w:sz w:val="21"/>
              </w:rPr>
              <w:t>存在问题</w:t>
            </w:r>
          </w:p>
        </w:tc>
      </w:tr>
      <w:tr w14:paraId="4E0CE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18A4E298">
            <w:pPr>
              <w:pStyle w:val="118"/>
              <w:adjustRightInd w:val="0"/>
              <w:spacing w:line="240" w:lineRule="auto"/>
              <w:rPr>
                <w:rFonts w:eastAsia="宋体"/>
                <w:sz w:val="21"/>
              </w:rPr>
            </w:pPr>
            <w:r>
              <w:rPr>
                <w:rFonts w:eastAsia="宋体"/>
                <w:sz w:val="21"/>
              </w:rPr>
              <w:t>1</w:t>
            </w:r>
          </w:p>
        </w:tc>
        <w:tc>
          <w:tcPr>
            <w:tcW w:w="1354" w:type="pct"/>
            <w:tcBorders>
              <w:tl2br w:val="nil"/>
              <w:tr2bl w:val="nil"/>
            </w:tcBorders>
            <w:vAlign w:val="center"/>
          </w:tcPr>
          <w:p w14:paraId="1E561616">
            <w:pPr>
              <w:pStyle w:val="118"/>
              <w:adjustRightInd w:val="0"/>
              <w:spacing w:line="240" w:lineRule="auto"/>
              <w:rPr>
                <w:rFonts w:eastAsia="宋体"/>
                <w:sz w:val="21"/>
              </w:rPr>
            </w:pPr>
            <w:r>
              <w:rPr>
                <w:rFonts w:eastAsia="宋体"/>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45128D">
            <w:pPr>
              <w:pStyle w:val="118"/>
              <w:adjustRightInd w:val="0"/>
              <w:spacing w:line="240" w:lineRule="auto"/>
              <w:rPr>
                <w:rFonts w:eastAsia="宋体"/>
                <w:sz w:val="21"/>
              </w:rPr>
            </w:pPr>
            <w:r>
              <w:rPr>
                <w:rFonts w:eastAsia="宋体"/>
                <w:sz w:val="21"/>
              </w:rPr>
              <w:t>公司已建立了环境风险防控和应急措施制度、环境应急资源维护更新制度、污染防治设施运行管理制度，重点风险防控岗位由专人负责，见表5-2、5-3。</w:t>
            </w:r>
          </w:p>
        </w:tc>
        <w:tc>
          <w:tcPr>
            <w:tcW w:w="1006" w:type="pct"/>
            <w:tcBorders>
              <w:tl2br w:val="nil"/>
              <w:tr2bl w:val="nil"/>
            </w:tcBorders>
            <w:vAlign w:val="center"/>
          </w:tcPr>
          <w:p w14:paraId="199CADE2">
            <w:pPr>
              <w:pStyle w:val="118"/>
              <w:adjustRightInd w:val="0"/>
              <w:spacing w:line="240" w:lineRule="auto"/>
              <w:rPr>
                <w:rFonts w:eastAsia="宋体"/>
                <w:sz w:val="21"/>
              </w:rPr>
            </w:pPr>
            <w:r>
              <w:rPr>
                <w:rFonts w:eastAsia="宋体"/>
                <w:sz w:val="21"/>
              </w:rPr>
              <w:t>/</w:t>
            </w:r>
          </w:p>
        </w:tc>
      </w:tr>
      <w:tr w14:paraId="3D751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55440BBA">
            <w:pPr>
              <w:pStyle w:val="118"/>
              <w:adjustRightInd w:val="0"/>
              <w:spacing w:line="240" w:lineRule="auto"/>
              <w:rPr>
                <w:rFonts w:eastAsia="宋体"/>
                <w:sz w:val="21"/>
              </w:rPr>
            </w:pPr>
            <w:r>
              <w:rPr>
                <w:rFonts w:eastAsia="宋体"/>
                <w:sz w:val="21"/>
              </w:rPr>
              <w:t>2</w:t>
            </w:r>
          </w:p>
        </w:tc>
        <w:tc>
          <w:tcPr>
            <w:tcW w:w="1354" w:type="pct"/>
            <w:tcBorders>
              <w:tl2br w:val="nil"/>
              <w:tr2bl w:val="nil"/>
            </w:tcBorders>
            <w:vAlign w:val="center"/>
          </w:tcPr>
          <w:p w14:paraId="56373A4C">
            <w:pPr>
              <w:pStyle w:val="118"/>
              <w:adjustRightInd w:val="0"/>
              <w:spacing w:line="240" w:lineRule="auto"/>
              <w:rPr>
                <w:rFonts w:eastAsia="宋体"/>
                <w:sz w:val="21"/>
              </w:rPr>
            </w:pPr>
            <w:r>
              <w:rPr>
                <w:rFonts w:eastAsia="宋体"/>
                <w:sz w:val="21"/>
              </w:rPr>
              <w:t>环评及批复文件的各项环境风险防控和应急措施要求是否落实。</w:t>
            </w:r>
          </w:p>
        </w:tc>
        <w:tc>
          <w:tcPr>
            <w:tcW w:w="2241" w:type="pct"/>
            <w:tcBorders>
              <w:tl2br w:val="nil"/>
              <w:tr2bl w:val="nil"/>
            </w:tcBorders>
            <w:shd w:val="clear" w:color="auto" w:fill="auto"/>
            <w:vAlign w:val="center"/>
          </w:tcPr>
          <w:p w14:paraId="4F4C248B">
            <w:pPr>
              <w:pStyle w:val="118"/>
              <w:adjustRightInd w:val="0"/>
              <w:spacing w:line="240" w:lineRule="auto"/>
              <w:jc w:val="both"/>
              <w:rPr>
                <w:rFonts w:eastAsia="宋体"/>
                <w:sz w:val="21"/>
              </w:rPr>
            </w:pPr>
            <w:r>
              <w:rPr>
                <w:rFonts w:eastAsia="宋体"/>
                <w:sz w:val="21"/>
              </w:rPr>
              <w:t>公司建设项目</w:t>
            </w:r>
            <w:r>
              <w:rPr>
                <w:rFonts w:hint="eastAsia" w:eastAsia="宋体"/>
                <w:sz w:val="21"/>
              </w:rPr>
              <w:t>环评</w:t>
            </w:r>
            <w:r>
              <w:rPr>
                <w:rFonts w:eastAsia="宋体"/>
                <w:sz w:val="21"/>
              </w:rPr>
              <w:t>及</w:t>
            </w:r>
            <w:r>
              <w:rPr>
                <w:rFonts w:hint="eastAsia" w:eastAsia="宋体"/>
                <w:sz w:val="21"/>
              </w:rPr>
              <w:t>环评批复</w:t>
            </w:r>
            <w:r>
              <w:rPr>
                <w:rFonts w:eastAsia="宋体"/>
                <w:sz w:val="21"/>
              </w:rPr>
              <w:t>的各项环境风险防控和应急措施均已落实。</w:t>
            </w:r>
          </w:p>
        </w:tc>
        <w:tc>
          <w:tcPr>
            <w:tcW w:w="1006" w:type="pct"/>
            <w:tcBorders>
              <w:tl2br w:val="nil"/>
              <w:tr2bl w:val="nil"/>
            </w:tcBorders>
            <w:vAlign w:val="center"/>
          </w:tcPr>
          <w:p w14:paraId="323AB5F2">
            <w:pPr>
              <w:tabs>
                <w:tab w:val="left" w:pos="432"/>
              </w:tabs>
              <w:adjustRightInd w:val="0"/>
              <w:snapToGrid w:val="0"/>
              <w:jc w:val="center"/>
              <w:rPr>
                <w:rFonts w:eastAsia="宋体"/>
                <w:sz w:val="21"/>
                <w:szCs w:val="21"/>
              </w:rPr>
            </w:pPr>
            <w:r>
              <w:rPr>
                <w:rFonts w:eastAsia="宋体"/>
                <w:sz w:val="21"/>
                <w:szCs w:val="21"/>
              </w:rPr>
              <w:t>/</w:t>
            </w:r>
          </w:p>
        </w:tc>
      </w:tr>
      <w:tr w14:paraId="6B6FF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E6EF08A">
            <w:pPr>
              <w:pStyle w:val="118"/>
              <w:adjustRightInd w:val="0"/>
              <w:spacing w:line="240" w:lineRule="auto"/>
              <w:rPr>
                <w:rFonts w:eastAsia="宋体"/>
                <w:sz w:val="21"/>
              </w:rPr>
            </w:pPr>
            <w:r>
              <w:rPr>
                <w:rFonts w:eastAsia="宋体"/>
                <w:sz w:val="21"/>
              </w:rPr>
              <w:t>3</w:t>
            </w:r>
          </w:p>
        </w:tc>
        <w:tc>
          <w:tcPr>
            <w:tcW w:w="1354" w:type="pct"/>
            <w:tcBorders>
              <w:tl2br w:val="nil"/>
              <w:tr2bl w:val="nil"/>
            </w:tcBorders>
            <w:vAlign w:val="center"/>
          </w:tcPr>
          <w:p w14:paraId="382F6F71">
            <w:pPr>
              <w:pStyle w:val="118"/>
              <w:adjustRightInd w:val="0"/>
              <w:spacing w:line="240" w:lineRule="auto"/>
              <w:rPr>
                <w:rFonts w:eastAsia="宋体"/>
                <w:sz w:val="21"/>
              </w:rPr>
            </w:pPr>
            <w:r>
              <w:rPr>
                <w:rFonts w:eastAsia="宋体"/>
                <w:sz w:val="21"/>
              </w:rPr>
              <w:t>是否经常对职工开展环境风险和环境应急管理宣传和培训。</w:t>
            </w:r>
          </w:p>
        </w:tc>
        <w:tc>
          <w:tcPr>
            <w:tcW w:w="2241" w:type="pct"/>
            <w:tcBorders>
              <w:tl2br w:val="nil"/>
              <w:tr2bl w:val="nil"/>
            </w:tcBorders>
            <w:vAlign w:val="center"/>
          </w:tcPr>
          <w:p w14:paraId="4A14E89B">
            <w:pPr>
              <w:pStyle w:val="118"/>
              <w:adjustRightInd w:val="0"/>
              <w:spacing w:line="240" w:lineRule="auto"/>
              <w:rPr>
                <w:rFonts w:eastAsia="宋体"/>
                <w:sz w:val="21"/>
              </w:rPr>
            </w:pPr>
            <w:r>
              <w:rPr>
                <w:rFonts w:hint="eastAsia" w:eastAsia="宋体"/>
                <w:sz w:val="21"/>
              </w:rPr>
              <w:t>未张贴应急处置卡</w:t>
            </w:r>
            <w:r>
              <w:rPr>
                <w:rFonts w:eastAsia="宋体"/>
                <w:sz w:val="21"/>
              </w:rPr>
              <w:t>，</w:t>
            </w:r>
            <w:r>
              <w:rPr>
                <w:rFonts w:hint="eastAsia" w:eastAsia="宋体"/>
                <w:sz w:val="21"/>
              </w:rPr>
              <w:t>但已对</w:t>
            </w:r>
            <w:r>
              <w:rPr>
                <w:rFonts w:eastAsia="宋体"/>
                <w:sz w:val="21"/>
              </w:rPr>
              <w:t>对员工进行宣讲及培训。</w:t>
            </w:r>
          </w:p>
        </w:tc>
        <w:tc>
          <w:tcPr>
            <w:tcW w:w="1006" w:type="pct"/>
            <w:tcBorders>
              <w:tl2br w:val="nil"/>
              <w:tr2bl w:val="nil"/>
            </w:tcBorders>
            <w:vAlign w:val="center"/>
          </w:tcPr>
          <w:p w14:paraId="0C2B8988">
            <w:pPr>
              <w:pStyle w:val="118"/>
              <w:adjustRightInd w:val="0"/>
              <w:spacing w:line="240" w:lineRule="auto"/>
              <w:rPr>
                <w:rFonts w:eastAsia="宋体"/>
                <w:sz w:val="21"/>
              </w:rPr>
            </w:pPr>
            <w:r>
              <w:rPr>
                <w:rFonts w:hint="eastAsia" w:eastAsia="宋体"/>
                <w:sz w:val="21"/>
              </w:rPr>
              <w:t>未张贴应急处置卡</w:t>
            </w:r>
          </w:p>
        </w:tc>
      </w:tr>
      <w:tr w14:paraId="4684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5A4B2214">
            <w:pPr>
              <w:pStyle w:val="118"/>
              <w:adjustRightInd w:val="0"/>
              <w:spacing w:line="240" w:lineRule="auto"/>
              <w:rPr>
                <w:rFonts w:eastAsia="宋体"/>
                <w:sz w:val="21"/>
              </w:rPr>
            </w:pPr>
            <w:r>
              <w:rPr>
                <w:rFonts w:eastAsia="宋体"/>
                <w:sz w:val="21"/>
              </w:rPr>
              <w:t>4</w:t>
            </w:r>
          </w:p>
        </w:tc>
        <w:tc>
          <w:tcPr>
            <w:tcW w:w="1354" w:type="pct"/>
            <w:tcBorders>
              <w:tl2br w:val="nil"/>
              <w:tr2bl w:val="nil"/>
            </w:tcBorders>
            <w:vAlign w:val="center"/>
          </w:tcPr>
          <w:p w14:paraId="305AAF42">
            <w:pPr>
              <w:pStyle w:val="118"/>
              <w:adjustRightInd w:val="0"/>
              <w:spacing w:line="240" w:lineRule="auto"/>
              <w:rPr>
                <w:rFonts w:eastAsia="宋体"/>
                <w:sz w:val="21"/>
              </w:rPr>
            </w:pPr>
            <w:r>
              <w:rPr>
                <w:rFonts w:eastAsia="宋体"/>
                <w:sz w:val="21"/>
              </w:rPr>
              <w:t>是否建立突发环境事件信息报告制度，并有效执行。</w:t>
            </w:r>
          </w:p>
        </w:tc>
        <w:tc>
          <w:tcPr>
            <w:tcW w:w="2241" w:type="pct"/>
            <w:tcBorders>
              <w:tl2br w:val="nil"/>
              <w:tr2bl w:val="nil"/>
            </w:tcBorders>
            <w:vAlign w:val="center"/>
          </w:tcPr>
          <w:p w14:paraId="7769BDFF">
            <w:pPr>
              <w:pStyle w:val="118"/>
              <w:adjustRightInd w:val="0"/>
              <w:spacing w:line="240" w:lineRule="auto"/>
              <w:rPr>
                <w:rFonts w:eastAsia="宋体"/>
                <w:sz w:val="21"/>
              </w:rPr>
            </w:pPr>
            <w:r>
              <w:rPr>
                <w:rFonts w:eastAsia="宋体"/>
                <w:sz w:val="21"/>
              </w:rPr>
              <w:t>公司建立了有效的突发环境事件信息报告制度，并确保有效执行。</w:t>
            </w:r>
          </w:p>
        </w:tc>
        <w:tc>
          <w:tcPr>
            <w:tcW w:w="1006" w:type="pct"/>
            <w:tcBorders>
              <w:tl2br w:val="nil"/>
              <w:tr2bl w:val="nil"/>
            </w:tcBorders>
            <w:vAlign w:val="center"/>
          </w:tcPr>
          <w:p w14:paraId="2134F9D2">
            <w:pPr>
              <w:pStyle w:val="118"/>
              <w:adjustRightInd w:val="0"/>
              <w:spacing w:line="240" w:lineRule="auto"/>
              <w:rPr>
                <w:rFonts w:eastAsia="宋体"/>
                <w:sz w:val="21"/>
              </w:rPr>
            </w:pPr>
            <w:r>
              <w:rPr>
                <w:rFonts w:eastAsia="宋体"/>
                <w:sz w:val="21"/>
              </w:rPr>
              <w:t>/</w:t>
            </w:r>
          </w:p>
        </w:tc>
      </w:tr>
    </w:tbl>
    <w:p w14:paraId="6587EAD8">
      <w:pPr>
        <w:adjustRightInd w:val="0"/>
        <w:snapToGrid w:val="0"/>
        <w:spacing w:line="500" w:lineRule="exact"/>
        <w:ind w:firstLine="480" w:firstLineChars="200"/>
        <w:jc w:val="left"/>
        <w:rPr>
          <w:rFonts w:eastAsia="宋体"/>
        </w:rPr>
      </w:pPr>
      <w:r>
        <w:rPr>
          <w:rFonts w:eastAsia="宋体"/>
        </w:rPr>
        <w:t>公司已建立了环境风险防控和应急措施制度，重点风险防控岗位由专人负责；公司环境风险防控相关制度见表5-2；关键装置/重点部位岗位责任情况见表5-3。</w:t>
      </w:r>
    </w:p>
    <w:p w14:paraId="441B663A">
      <w:pPr>
        <w:adjustRightInd w:val="0"/>
        <w:snapToGrid w:val="0"/>
        <w:spacing w:line="500" w:lineRule="exact"/>
        <w:jc w:val="center"/>
        <w:rPr>
          <w:rFonts w:eastAsia="宋体"/>
          <w:b/>
        </w:rPr>
      </w:pPr>
      <w:r>
        <w:rPr>
          <w:rFonts w:eastAsia="宋体"/>
          <w:b/>
        </w:rPr>
        <w:t>表5-2环境风险防控相关制度一览表</w:t>
      </w:r>
    </w:p>
    <w:tbl>
      <w:tblPr>
        <w:tblStyle w:val="38"/>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63967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6F996165">
            <w:pPr>
              <w:widowControl/>
              <w:adjustRightInd w:val="0"/>
              <w:snapToGrid w:val="0"/>
              <w:jc w:val="center"/>
              <w:rPr>
                <w:rFonts w:eastAsia="宋体"/>
                <w:b/>
                <w:kern w:val="0"/>
                <w:sz w:val="21"/>
                <w:szCs w:val="21"/>
              </w:rPr>
            </w:pPr>
            <w:r>
              <w:rPr>
                <w:rFonts w:eastAsia="宋体"/>
                <w:b/>
                <w:kern w:val="0"/>
                <w:sz w:val="21"/>
                <w:szCs w:val="21"/>
              </w:rPr>
              <w:t>序号</w:t>
            </w:r>
          </w:p>
        </w:tc>
        <w:tc>
          <w:tcPr>
            <w:tcW w:w="4470" w:type="pct"/>
            <w:tcBorders>
              <w:tl2br w:val="nil"/>
              <w:tr2bl w:val="nil"/>
            </w:tcBorders>
            <w:tcMar>
              <w:left w:w="0" w:type="dxa"/>
              <w:right w:w="0" w:type="dxa"/>
            </w:tcMar>
            <w:vAlign w:val="center"/>
          </w:tcPr>
          <w:p w14:paraId="3A2A70A7">
            <w:pPr>
              <w:widowControl/>
              <w:adjustRightInd w:val="0"/>
              <w:snapToGrid w:val="0"/>
              <w:jc w:val="center"/>
              <w:rPr>
                <w:rFonts w:eastAsia="宋体"/>
                <w:b/>
                <w:kern w:val="0"/>
                <w:sz w:val="21"/>
                <w:szCs w:val="21"/>
              </w:rPr>
            </w:pPr>
            <w:r>
              <w:rPr>
                <w:rFonts w:eastAsia="宋体"/>
                <w:b/>
                <w:kern w:val="0"/>
                <w:sz w:val="21"/>
                <w:szCs w:val="21"/>
              </w:rPr>
              <w:t>文件名称</w:t>
            </w:r>
          </w:p>
        </w:tc>
      </w:tr>
      <w:tr w14:paraId="505AF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087B2FC">
            <w:pPr>
              <w:widowControl/>
              <w:adjustRightInd w:val="0"/>
              <w:snapToGrid w:val="0"/>
              <w:jc w:val="center"/>
              <w:rPr>
                <w:rFonts w:eastAsia="宋体"/>
                <w:kern w:val="0"/>
                <w:sz w:val="21"/>
                <w:szCs w:val="21"/>
              </w:rPr>
            </w:pPr>
            <w:r>
              <w:rPr>
                <w:rFonts w:eastAsia="宋体"/>
                <w:kern w:val="0"/>
                <w:sz w:val="21"/>
                <w:szCs w:val="21"/>
              </w:rPr>
              <w:t>1</w:t>
            </w:r>
          </w:p>
        </w:tc>
        <w:tc>
          <w:tcPr>
            <w:tcW w:w="4470" w:type="pct"/>
            <w:tcBorders>
              <w:tl2br w:val="nil"/>
              <w:tr2bl w:val="nil"/>
            </w:tcBorders>
            <w:tcMar>
              <w:left w:w="0" w:type="dxa"/>
              <w:right w:w="0" w:type="dxa"/>
            </w:tcMar>
            <w:vAlign w:val="center"/>
          </w:tcPr>
          <w:p w14:paraId="5CABE553">
            <w:pPr>
              <w:widowControl/>
              <w:adjustRightInd w:val="0"/>
              <w:snapToGrid w:val="0"/>
              <w:jc w:val="center"/>
              <w:rPr>
                <w:rFonts w:eastAsia="宋体"/>
                <w:kern w:val="0"/>
                <w:sz w:val="21"/>
                <w:szCs w:val="21"/>
              </w:rPr>
            </w:pPr>
            <w:r>
              <w:rPr>
                <w:rFonts w:eastAsia="宋体"/>
                <w:sz w:val="21"/>
              </w:rPr>
              <w:t>环境风险防控和应急措施制度</w:t>
            </w:r>
          </w:p>
        </w:tc>
      </w:tr>
      <w:tr w14:paraId="4CC91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347986EE">
            <w:pPr>
              <w:widowControl/>
              <w:adjustRightInd w:val="0"/>
              <w:snapToGrid w:val="0"/>
              <w:jc w:val="center"/>
              <w:rPr>
                <w:rFonts w:eastAsia="宋体"/>
                <w:kern w:val="0"/>
                <w:sz w:val="21"/>
                <w:szCs w:val="21"/>
              </w:rPr>
            </w:pPr>
            <w:r>
              <w:rPr>
                <w:rFonts w:eastAsia="宋体"/>
                <w:kern w:val="0"/>
                <w:sz w:val="21"/>
                <w:szCs w:val="21"/>
              </w:rPr>
              <w:t>2</w:t>
            </w:r>
          </w:p>
        </w:tc>
        <w:tc>
          <w:tcPr>
            <w:tcW w:w="4470" w:type="pct"/>
            <w:tcBorders>
              <w:tl2br w:val="nil"/>
              <w:tr2bl w:val="nil"/>
            </w:tcBorders>
            <w:tcMar>
              <w:left w:w="0" w:type="dxa"/>
              <w:right w:w="0" w:type="dxa"/>
            </w:tcMar>
            <w:vAlign w:val="center"/>
          </w:tcPr>
          <w:p w14:paraId="5B91AC2D">
            <w:pPr>
              <w:widowControl/>
              <w:adjustRightInd w:val="0"/>
              <w:snapToGrid w:val="0"/>
              <w:jc w:val="center"/>
              <w:rPr>
                <w:rFonts w:eastAsia="宋体"/>
                <w:kern w:val="0"/>
                <w:sz w:val="21"/>
                <w:szCs w:val="21"/>
              </w:rPr>
            </w:pPr>
            <w:r>
              <w:rPr>
                <w:rFonts w:eastAsia="宋体"/>
                <w:sz w:val="21"/>
              </w:rPr>
              <w:t>环境应急资源维护更新制度</w:t>
            </w:r>
          </w:p>
        </w:tc>
      </w:tr>
      <w:tr w14:paraId="4EBF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F7A71A9">
            <w:pPr>
              <w:widowControl/>
              <w:adjustRightInd w:val="0"/>
              <w:snapToGrid w:val="0"/>
              <w:jc w:val="center"/>
              <w:rPr>
                <w:rFonts w:eastAsia="宋体"/>
                <w:kern w:val="0"/>
                <w:sz w:val="21"/>
                <w:szCs w:val="21"/>
              </w:rPr>
            </w:pPr>
            <w:r>
              <w:rPr>
                <w:rFonts w:eastAsia="宋体"/>
                <w:kern w:val="0"/>
                <w:sz w:val="21"/>
                <w:szCs w:val="21"/>
              </w:rPr>
              <w:t>3</w:t>
            </w:r>
          </w:p>
        </w:tc>
        <w:tc>
          <w:tcPr>
            <w:tcW w:w="4470" w:type="pct"/>
            <w:tcBorders>
              <w:tl2br w:val="nil"/>
              <w:tr2bl w:val="nil"/>
            </w:tcBorders>
            <w:tcMar>
              <w:left w:w="0" w:type="dxa"/>
              <w:right w:w="0" w:type="dxa"/>
            </w:tcMar>
            <w:vAlign w:val="center"/>
          </w:tcPr>
          <w:p w14:paraId="22A33789">
            <w:pPr>
              <w:widowControl/>
              <w:adjustRightInd w:val="0"/>
              <w:snapToGrid w:val="0"/>
              <w:jc w:val="center"/>
              <w:rPr>
                <w:rFonts w:eastAsia="宋体"/>
                <w:kern w:val="0"/>
                <w:sz w:val="21"/>
                <w:szCs w:val="21"/>
              </w:rPr>
            </w:pPr>
            <w:r>
              <w:rPr>
                <w:rFonts w:eastAsia="宋体"/>
                <w:sz w:val="21"/>
              </w:rPr>
              <w:t>污染防治设施运行管理制度</w:t>
            </w:r>
          </w:p>
        </w:tc>
      </w:tr>
    </w:tbl>
    <w:p w14:paraId="08BB29D5">
      <w:pPr>
        <w:adjustRightInd w:val="0"/>
        <w:snapToGrid w:val="0"/>
        <w:spacing w:line="500" w:lineRule="exact"/>
        <w:jc w:val="center"/>
        <w:rPr>
          <w:rFonts w:eastAsia="宋体"/>
          <w:b/>
        </w:rPr>
      </w:pPr>
      <w:r>
        <w:rPr>
          <w:rFonts w:eastAsia="宋体"/>
          <w:b/>
        </w:rPr>
        <w:t>表5-3环境风险防控重点岗位责任一览表</w:t>
      </w:r>
    </w:p>
    <w:tbl>
      <w:tblPr>
        <w:tblStyle w:val="38"/>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3AD0D8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19A9FC5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2A8FF474">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4B1BC7F7">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部门负责人</w:t>
            </w:r>
          </w:p>
        </w:tc>
        <w:tc>
          <w:tcPr>
            <w:tcW w:w="2917" w:type="dxa"/>
            <w:tcBorders>
              <w:tl2br w:val="nil"/>
              <w:tr2bl w:val="nil"/>
            </w:tcBorders>
            <w:vAlign w:val="center"/>
          </w:tcPr>
          <w:p w14:paraId="5E53FC1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0C3E5CB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35BE25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生产车间、油漆仓库、原料仓库</w:t>
            </w:r>
          </w:p>
        </w:tc>
        <w:tc>
          <w:tcPr>
            <w:tcW w:w="1378" w:type="dxa"/>
            <w:tcBorders>
              <w:tl2br w:val="nil"/>
              <w:tr2bl w:val="nil"/>
            </w:tcBorders>
            <w:vAlign w:val="center"/>
          </w:tcPr>
          <w:p w14:paraId="622A6509">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5502FBE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蔺光保</w:t>
            </w:r>
          </w:p>
        </w:tc>
        <w:tc>
          <w:tcPr>
            <w:tcW w:w="2917" w:type="dxa"/>
            <w:vMerge w:val="restart"/>
            <w:tcBorders>
              <w:tl2br w:val="nil"/>
              <w:tr2bl w:val="nil"/>
            </w:tcBorders>
            <w:vAlign w:val="center"/>
          </w:tcPr>
          <w:p w14:paraId="1D2D3582">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0F31AB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7B767A6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危废仓库</w:t>
            </w:r>
          </w:p>
        </w:tc>
        <w:tc>
          <w:tcPr>
            <w:tcW w:w="1378" w:type="dxa"/>
            <w:tcBorders>
              <w:tl2br w:val="nil"/>
              <w:tr2bl w:val="nil"/>
            </w:tcBorders>
            <w:vAlign w:val="center"/>
          </w:tcPr>
          <w:p w14:paraId="54305CCB">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10DF71F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蔺光保</w:t>
            </w:r>
          </w:p>
        </w:tc>
        <w:tc>
          <w:tcPr>
            <w:tcW w:w="2917" w:type="dxa"/>
            <w:vMerge w:val="continue"/>
            <w:tcBorders>
              <w:tl2br w:val="nil"/>
              <w:tr2bl w:val="nil"/>
            </w:tcBorders>
            <w:vAlign w:val="center"/>
          </w:tcPr>
          <w:p w14:paraId="35F1931D">
            <w:pPr>
              <w:widowControl/>
              <w:adjustRightInd w:val="0"/>
              <w:snapToGrid w:val="0"/>
              <w:jc w:val="center"/>
              <w:rPr>
                <w:rFonts w:ascii="宋体" w:hAnsi="宋体" w:eastAsia="宋体" w:cs="宋体"/>
                <w:kern w:val="0"/>
                <w:sz w:val="21"/>
                <w:szCs w:val="21"/>
              </w:rPr>
            </w:pPr>
          </w:p>
        </w:tc>
      </w:tr>
      <w:tr w14:paraId="1B2A895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49FB9BE0">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废气处理设施</w:t>
            </w:r>
          </w:p>
        </w:tc>
        <w:tc>
          <w:tcPr>
            <w:tcW w:w="1378" w:type="dxa"/>
            <w:tcBorders>
              <w:tl2br w:val="nil"/>
              <w:tr2bl w:val="nil"/>
            </w:tcBorders>
            <w:vAlign w:val="center"/>
          </w:tcPr>
          <w:p w14:paraId="056D88FD">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3448419C">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蔺光保</w:t>
            </w:r>
          </w:p>
        </w:tc>
        <w:tc>
          <w:tcPr>
            <w:tcW w:w="2917" w:type="dxa"/>
            <w:vMerge w:val="continue"/>
            <w:tcBorders>
              <w:tl2br w:val="nil"/>
              <w:tr2bl w:val="nil"/>
            </w:tcBorders>
            <w:vAlign w:val="center"/>
          </w:tcPr>
          <w:p w14:paraId="7A0CABE0">
            <w:pPr>
              <w:widowControl/>
              <w:adjustRightInd w:val="0"/>
              <w:snapToGrid w:val="0"/>
              <w:jc w:val="center"/>
              <w:rPr>
                <w:rFonts w:ascii="宋体" w:hAnsi="宋体" w:eastAsia="宋体" w:cs="宋体"/>
                <w:kern w:val="0"/>
                <w:sz w:val="21"/>
                <w:szCs w:val="21"/>
              </w:rPr>
            </w:pPr>
          </w:p>
        </w:tc>
      </w:tr>
      <w:tr w14:paraId="4BCF8B0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54E8836B">
            <w:pPr>
              <w:widowControl/>
              <w:adjustRightInd w:val="0"/>
              <w:snapToGrid w:val="0"/>
              <w:jc w:val="center"/>
              <w:rPr>
                <w:rFonts w:hint="eastAsia" w:ascii="宋体" w:hAnsi="宋体" w:eastAsia="宋体" w:cs="宋体"/>
                <w:kern w:val="0"/>
                <w:sz w:val="21"/>
                <w:szCs w:val="21"/>
                <w:lang w:eastAsia="zh-CN"/>
              </w:rPr>
            </w:pPr>
            <w:bookmarkStart w:id="246" w:name="_Toc4920"/>
            <w:bookmarkStart w:id="247" w:name="_Toc510092964"/>
            <w:bookmarkStart w:id="248" w:name="_Toc496887136"/>
            <w:bookmarkStart w:id="249" w:name="_Toc402776218"/>
            <w:r>
              <w:rPr>
                <w:rFonts w:hint="eastAsia" w:ascii="宋体" w:hAnsi="宋体" w:eastAsia="宋体" w:cs="宋体"/>
                <w:kern w:val="0"/>
                <w:sz w:val="21"/>
                <w:szCs w:val="21"/>
                <w:lang w:eastAsia="zh-CN"/>
              </w:rPr>
              <w:t>回用水设施</w:t>
            </w:r>
          </w:p>
        </w:tc>
        <w:tc>
          <w:tcPr>
            <w:tcW w:w="1378" w:type="dxa"/>
            <w:tcBorders>
              <w:tl2br w:val="nil"/>
              <w:tr2bl w:val="nil"/>
            </w:tcBorders>
            <w:vAlign w:val="center"/>
          </w:tcPr>
          <w:p w14:paraId="20B502C6">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2AD2C3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蔺光保</w:t>
            </w:r>
          </w:p>
        </w:tc>
        <w:tc>
          <w:tcPr>
            <w:tcW w:w="2917" w:type="dxa"/>
            <w:vMerge w:val="continue"/>
            <w:tcBorders>
              <w:tl2br w:val="nil"/>
              <w:tr2bl w:val="nil"/>
            </w:tcBorders>
            <w:vAlign w:val="center"/>
          </w:tcPr>
          <w:p w14:paraId="43B67CE8">
            <w:pPr>
              <w:widowControl/>
              <w:adjustRightInd w:val="0"/>
              <w:snapToGrid w:val="0"/>
              <w:jc w:val="center"/>
              <w:rPr>
                <w:rFonts w:ascii="宋体" w:hAnsi="宋体" w:eastAsia="宋体" w:cs="宋体"/>
                <w:kern w:val="0"/>
                <w:sz w:val="21"/>
                <w:szCs w:val="21"/>
              </w:rPr>
            </w:pPr>
          </w:p>
        </w:tc>
      </w:tr>
      <w:tr w14:paraId="2ABC04B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DCF4FB1">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雨水排口、应急池</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污水排口</w:t>
            </w:r>
          </w:p>
        </w:tc>
        <w:tc>
          <w:tcPr>
            <w:tcW w:w="1378" w:type="dxa"/>
            <w:tcBorders>
              <w:tl2br w:val="nil"/>
              <w:tr2bl w:val="nil"/>
            </w:tcBorders>
            <w:vAlign w:val="center"/>
          </w:tcPr>
          <w:p w14:paraId="1ABE6D6F">
            <w:pPr>
              <w:widowControl/>
              <w:jc w:val="center"/>
              <w:rPr>
                <w:rFonts w:ascii="宋体" w:hAnsi="宋体" w:eastAsia="宋体" w:cs="宋体"/>
                <w:color w:val="000000"/>
                <w:sz w:val="21"/>
                <w:szCs w:val="21"/>
                <w:lang w:bidi="zh-CN"/>
              </w:rPr>
            </w:pPr>
            <w:r>
              <w:rPr>
                <w:rFonts w:hint="eastAsia" w:ascii="宋体" w:hAnsi="宋体" w:eastAsia="宋体" w:cs="宋体"/>
                <w:sz w:val="21"/>
                <w:szCs w:val="21"/>
                <w:lang w:val="en-US" w:eastAsia="zh-CN"/>
              </w:rPr>
              <w:t>总经理</w:t>
            </w:r>
          </w:p>
        </w:tc>
        <w:tc>
          <w:tcPr>
            <w:tcW w:w="1721" w:type="dxa"/>
            <w:tcBorders>
              <w:tl2br w:val="nil"/>
              <w:tr2bl w:val="nil"/>
            </w:tcBorders>
            <w:vAlign w:val="center"/>
          </w:tcPr>
          <w:p w14:paraId="7E3BEB5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蔺光保</w:t>
            </w:r>
          </w:p>
        </w:tc>
        <w:tc>
          <w:tcPr>
            <w:tcW w:w="2917" w:type="dxa"/>
            <w:vMerge w:val="continue"/>
            <w:tcBorders>
              <w:tl2br w:val="nil"/>
              <w:tr2bl w:val="nil"/>
            </w:tcBorders>
            <w:vAlign w:val="center"/>
          </w:tcPr>
          <w:p w14:paraId="08ABE7B6">
            <w:pPr>
              <w:widowControl/>
              <w:adjustRightInd w:val="0"/>
              <w:snapToGrid w:val="0"/>
              <w:jc w:val="center"/>
              <w:rPr>
                <w:rFonts w:ascii="宋体" w:hAnsi="宋体" w:eastAsia="宋体" w:cs="宋体"/>
                <w:kern w:val="0"/>
                <w:sz w:val="21"/>
                <w:szCs w:val="21"/>
              </w:rPr>
            </w:pPr>
          </w:p>
        </w:tc>
      </w:tr>
    </w:tbl>
    <w:p w14:paraId="44DD3580">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50" w:name="_Toc24558"/>
      <w:bookmarkStart w:id="251" w:name="_Toc10025"/>
      <w:bookmarkStart w:id="252" w:name="_Toc5822"/>
      <w:r>
        <w:rPr>
          <w:rFonts w:hint="eastAsia" w:eastAsia="宋体"/>
          <w:color w:val="000000" w:themeColor="text1"/>
          <w:sz w:val="24"/>
          <w:szCs w:val="24"/>
          <w14:textFill>
            <w14:solidFill>
              <w14:schemeClr w14:val="tx1"/>
            </w14:solidFill>
          </w14:textFill>
        </w:rPr>
        <w:t>5.2环境风险防控与应急措施</w:t>
      </w:r>
      <w:bookmarkEnd w:id="246"/>
      <w:bookmarkEnd w:id="247"/>
      <w:bookmarkEnd w:id="248"/>
      <w:bookmarkEnd w:id="249"/>
      <w:bookmarkEnd w:id="250"/>
      <w:bookmarkEnd w:id="251"/>
      <w:bookmarkEnd w:id="252"/>
    </w:p>
    <w:p w14:paraId="6EB8436F">
      <w:pPr>
        <w:adjustRightInd w:val="0"/>
        <w:snapToGrid w:val="0"/>
        <w:spacing w:line="500" w:lineRule="exact"/>
        <w:ind w:firstLine="480" w:firstLineChars="200"/>
        <w:jc w:val="left"/>
        <w:rPr>
          <w:rFonts w:eastAsia="宋体"/>
        </w:rPr>
      </w:pPr>
      <w:r>
        <w:rPr>
          <w:rFonts w:eastAsia="宋体"/>
        </w:rPr>
        <w:t>企业环境风险防范与应急措施情况见表5-4。</w:t>
      </w:r>
    </w:p>
    <w:p w14:paraId="13D13B3A">
      <w:pPr>
        <w:adjustRightInd w:val="0"/>
        <w:snapToGrid w:val="0"/>
        <w:spacing w:line="500" w:lineRule="exact"/>
        <w:jc w:val="center"/>
        <w:rPr>
          <w:rFonts w:eastAsia="宋体"/>
          <w:b/>
        </w:rPr>
      </w:pPr>
      <w:r>
        <w:rPr>
          <w:rFonts w:eastAsia="宋体"/>
          <w:b/>
        </w:rPr>
        <w:t>表5-4环境风险防控与应急措施差距分析对比表</w:t>
      </w:r>
    </w:p>
    <w:tbl>
      <w:tblPr>
        <w:tblStyle w:val="38"/>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27E08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2DD29EFF">
            <w:pPr>
              <w:adjustRightInd w:val="0"/>
              <w:snapToGrid w:val="0"/>
              <w:spacing w:line="320" w:lineRule="exact"/>
              <w:jc w:val="center"/>
              <w:rPr>
                <w:rFonts w:eastAsia="宋体"/>
                <w:sz w:val="21"/>
                <w:szCs w:val="21"/>
              </w:rPr>
            </w:pPr>
            <w:r>
              <w:rPr>
                <w:rFonts w:eastAsia="宋体"/>
                <w:sz w:val="21"/>
                <w:szCs w:val="21"/>
              </w:rPr>
              <w:t>序号</w:t>
            </w:r>
          </w:p>
        </w:tc>
        <w:tc>
          <w:tcPr>
            <w:tcW w:w="2253" w:type="pct"/>
            <w:tcBorders>
              <w:tl2br w:val="nil"/>
              <w:tr2bl w:val="nil"/>
            </w:tcBorders>
            <w:vAlign w:val="center"/>
          </w:tcPr>
          <w:p w14:paraId="3EA24903">
            <w:pPr>
              <w:adjustRightInd w:val="0"/>
              <w:snapToGrid w:val="0"/>
              <w:spacing w:line="320" w:lineRule="exact"/>
              <w:jc w:val="center"/>
              <w:rPr>
                <w:rFonts w:eastAsia="宋体"/>
                <w:sz w:val="21"/>
                <w:szCs w:val="21"/>
              </w:rPr>
            </w:pPr>
            <w:r>
              <w:rPr>
                <w:rFonts w:eastAsia="宋体"/>
                <w:sz w:val="21"/>
                <w:szCs w:val="21"/>
              </w:rPr>
              <w:t>环境风险防控与应急措施要求</w:t>
            </w:r>
          </w:p>
        </w:tc>
        <w:tc>
          <w:tcPr>
            <w:tcW w:w="1335" w:type="pct"/>
            <w:tcBorders>
              <w:tl2br w:val="nil"/>
              <w:tr2bl w:val="nil"/>
            </w:tcBorders>
            <w:vAlign w:val="center"/>
          </w:tcPr>
          <w:p w14:paraId="6AD11E24">
            <w:pPr>
              <w:adjustRightInd w:val="0"/>
              <w:snapToGrid w:val="0"/>
              <w:spacing w:line="320" w:lineRule="exact"/>
              <w:jc w:val="center"/>
              <w:rPr>
                <w:rFonts w:eastAsia="宋体"/>
                <w:sz w:val="21"/>
                <w:szCs w:val="21"/>
              </w:rPr>
            </w:pPr>
            <w:r>
              <w:rPr>
                <w:rFonts w:eastAsia="宋体"/>
                <w:sz w:val="21"/>
                <w:szCs w:val="21"/>
              </w:rPr>
              <w:t>企业现状</w:t>
            </w:r>
          </w:p>
        </w:tc>
        <w:tc>
          <w:tcPr>
            <w:tcW w:w="1152" w:type="pct"/>
            <w:tcBorders>
              <w:tl2br w:val="nil"/>
              <w:tr2bl w:val="nil"/>
            </w:tcBorders>
            <w:vAlign w:val="center"/>
          </w:tcPr>
          <w:p w14:paraId="34F1E812">
            <w:pPr>
              <w:adjustRightInd w:val="0"/>
              <w:snapToGrid w:val="0"/>
              <w:spacing w:line="320" w:lineRule="exact"/>
              <w:jc w:val="center"/>
              <w:rPr>
                <w:rFonts w:eastAsia="宋体"/>
                <w:sz w:val="21"/>
                <w:szCs w:val="21"/>
              </w:rPr>
            </w:pPr>
            <w:r>
              <w:rPr>
                <w:rFonts w:eastAsia="宋体"/>
                <w:sz w:val="21"/>
                <w:szCs w:val="21"/>
              </w:rPr>
              <w:t>差距分析情况</w:t>
            </w:r>
          </w:p>
        </w:tc>
      </w:tr>
      <w:tr w14:paraId="1ECE8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0BD2F72">
            <w:pPr>
              <w:adjustRightInd w:val="0"/>
              <w:snapToGrid w:val="0"/>
              <w:spacing w:line="320" w:lineRule="exact"/>
              <w:jc w:val="center"/>
              <w:rPr>
                <w:rFonts w:eastAsia="宋体"/>
                <w:sz w:val="21"/>
                <w:szCs w:val="21"/>
              </w:rPr>
            </w:pPr>
            <w:r>
              <w:rPr>
                <w:rFonts w:eastAsia="宋体"/>
                <w:sz w:val="21"/>
                <w:szCs w:val="21"/>
              </w:rPr>
              <w:t>1</w:t>
            </w:r>
          </w:p>
        </w:tc>
        <w:tc>
          <w:tcPr>
            <w:tcW w:w="2253" w:type="pct"/>
            <w:tcBorders>
              <w:tl2br w:val="nil"/>
              <w:tr2bl w:val="nil"/>
            </w:tcBorders>
            <w:vAlign w:val="center"/>
          </w:tcPr>
          <w:p w14:paraId="56EC69C1">
            <w:pPr>
              <w:adjustRightInd w:val="0"/>
              <w:snapToGrid w:val="0"/>
              <w:spacing w:line="320" w:lineRule="exact"/>
              <w:jc w:val="center"/>
              <w:rPr>
                <w:rFonts w:eastAsia="宋体"/>
                <w:sz w:val="21"/>
                <w:szCs w:val="21"/>
              </w:rPr>
            </w:pPr>
            <w:r>
              <w:rPr>
                <w:rFonts w:eastAsia="宋体"/>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0E7164CC">
            <w:pPr>
              <w:adjustRightInd w:val="0"/>
              <w:snapToGrid w:val="0"/>
              <w:spacing w:line="320" w:lineRule="exact"/>
              <w:jc w:val="left"/>
              <w:rPr>
                <w:rFonts w:eastAsia="宋体"/>
                <w:sz w:val="21"/>
                <w:szCs w:val="21"/>
              </w:rPr>
            </w:pPr>
            <w:r>
              <w:rPr>
                <w:rFonts w:eastAsia="宋体"/>
                <w:sz w:val="21"/>
                <w:szCs w:val="21"/>
              </w:rPr>
              <w:t>公司废气排放口设置采样孔，虽已配备专人负责巡回检查废气处理装置的运转情况，但无监督核查机制，无法确保责任人是否履职。公司实行“雨污分流”制，雨水收集后经厂区雨水管网排入市政雨水管网。</w:t>
            </w:r>
          </w:p>
        </w:tc>
        <w:tc>
          <w:tcPr>
            <w:tcW w:w="1152" w:type="pct"/>
            <w:tcBorders>
              <w:tl2br w:val="nil"/>
              <w:tr2bl w:val="nil"/>
            </w:tcBorders>
            <w:vAlign w:val="center"/>
          </w:tcPr>
          <w:p w14:paraId="15B6E2EB">
            <w:pPr>
              <w:adjustRightInd w:val="0"/>
              <w:snapToGrid w:val="0"/>
              <w:spacing w:line="320" w:lineRule="exact"/>
              <w:jc w:val="center"/>
              <w:rPr>
                <w:rFonts w:eastAsia="宋体"/>
                <w:sz w:val="21"/>
                <w:szCs w:val="21"/>
              </w:rPr>
            </w:pPr>
            <w:r>
              <w:rPr>
                <w:rFonts w:eastAsia="宋体"/>
                <w:sz w:val="21"/>
                <w:szCs w:val="21"/>
              </w:rPr>
              <w:t>配备专人巡查，并由</w:t>
            </w:r>
            <w:r>
              <w:rPr>
                <w:rFonts w:hint="eastAsia" w:eastAsia="宋体"/>
                <w:sz w:val="21"/>
                <w:szCs w:val="21"/>
              </w:rPr>
              <w:t>安环</w:t>
            </w:r>
            <w:r>
              <w:rPr>
                <w:rFonts w:eastAsia="宋体"/>
                <w:sz w:val="21"/>
                <w:szCs w:val="21"/>
              </w:rPr>
              <w:t>部门进行监督检查。</w:t>
            </w:r>
          </w:p>
        </w:tc>
      </w:tr>
      <w:tr w14:paraId="0016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2E99B64F">
            <w:pPr>
              <w:adjustRightInd w:val="0"/>
              <w:snapToGrid w:val="0"/>
              <w:spacing w:line="320" w:lineRule="exact"/>
              <w:jc w:val="center"/>
              <w:rPr>
                <w:rFonts w:eastAsia="宋体"/>
                <w:sz w:val="21"/>
                <w:szCs w:val="21"/>
              </w:rPr>
            </w:pPr>
            <w:r>
              <w:rPr>
                <w:rFonts w:eastAsia="宋体"/>
                <w:sz w:val="21"/>
                <w:szCs w:val="21"/>
              </w:rPr>
              <w:t>2</w:t>
            </w:r>
          </w:p>
        </w:tc>
        <w:tc>
          <w:tcPr>
            <w:tcW w:w="2253" w:type="pct"/>
            <w:tcBorders>
              <w:tl2br w:val="nil"/>
              <w:tr2bl w:val="nil"/>
            </w:tcBorders>
            <w:vAlign w:val="center"/>
          </w:tcPr>
          <w:p w14:paraId="3EC7DB43">
            <w:pPr>
              <w:adjustRightInd w:val="0"/>
              <w:snapToGrid w:val="0"/>
              <w:spacing w:line="320" w:lineRule="exact"/>
              <w:jc w:val="center"/>
              <w:rPr>
                <w:rFonts w:eastAsia="宋体"/>
                <w:sz w:val="21"/>
                <w:szCs w:val="21"/>
              </w:rPr>
            </w:pPr>
            <w:r>
              <w:rPr>
                <w:rFonts w:eastAsia="宋体"/>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69C75414">
            <w:pPr>
              <w:adjustRightInd w:val="0"/>
              <w:snapToGrid w:val="0"/>
              <w:rPr>
                <w:rFonts w:eastAsia="宋体"/>
                <w:sz w:val="21"/>
                <w:szCs w:val="21"/>
              </w:rPr>
            </w:pPr>
            <w:r>
              <w:rPr>
                <w:rFonts w:hint="eastAsia" w:eastAsia="宋体"/>
                <w:sz w:val="21"/>
                <w:szCs w:val="21"/>
              </w:rPr>
              <w:t>（</w:t>
            </w:r>
            <w:r>
              <w:rPr>
                <w:rFonts w:eastAsia="宋体"/>
                <w:sz w:val="21"/>
                <w:szCs w:val="21"/>
              </w:rPr>
              <w:t>1）危废仓库设置导流沟和收集槽；</w:t>
            </w:r>
          </w:p>
          <w:p w14:paraId="761C5E1B">
            <w:pPr>
              <w:adjustRightInd w:val="0"/>
              <w:snapToGrid w:val="0"/>
              <w:rPr>
                <w:rFonts w:eastAsia="宋体"/>
                <w:sz w:val="21"/>
                <w:szCs w:val="21"/>
              </w:rPr>
            </w:pPr>
            <w:r>
              <w:rPr>
                <w:rFonts w:eastAsia="宋体"/>
                <w:sz w:val="21"/>
                <w:szCs w:val="21"/>
              </w:rPr>
              <w:t>（2）本公司消防尾水全部排入</w:t>
            </w:r>
            <w:r>
              <w:rPr>
                <w:rFonts w:hint="eastAsia" w:eastAsia="宋体"/>
                <w:sz w:val="21"/>
                <w:szCs w:val="21"/>
                <w:lang w:val="en-US" w:eastAsia="zh-CN"/>
              </w:rPr>
              <w:t>公司</w:t>
            </w:r>
            <w:r>
              <w:rPr>
                <w:rFonts w:hint="eastAsia" w:eastAsia="宋体"/>
                <w:sz w:val="21"/>
                <w:szCs w:val="21"/>
              </w:rPr>
              <w:t>的</w:t>
            </w:r>
            <w:r>
              <w:rPr>
                <w:rFonts w:eastAsia="宋体"/>
                <w:sz w:val="21"/>
                <w:szCs w:val="21"/>
              </w:rPr>
              <w:t>事故应急池</w:t>
            </w:r>
            <w:r>
              <w:rPr>
                <w:rFonts w:eastAsia="宋体"/>
                <w:sz w:val="21"/>
                <w:szCs w:val="21"/>
                <w:highlight w:val="none"/>
              </w:rPr>
              <w:t>（</w:t>
            </w:r>
            <w:r>
              <w:rPr>
                <w:rFonts w:hint="eastAsia" w:eastAsia="宋体"/>
                <w:sz w:val="21"/>
                <w:szCs w:val="21"/>
                <w:highlight w:val="none"/>
                <w:lang w:val="en-US" w:eastAsia="zh-CN"/>
              </w:rPr>
              <w:t>110</w:t>
            </w:r>
            <w:r>
              <w:rPr>
                <w:rFonts w:hint="eastAsia" w:eastAsia="宋体"/>
                <w:sz w:val="21"/>
                <w:szCs w:val="21"/>
                <w:highlight w:val="none"/>
              </w:rPr>
              <w:t>m</w:t>
            </w:r>
            <w:r>
              <w:rPr>
                <w:rFonts w:hint="eastAsia" w:eastAsia="宋体"/>
                <w:sz w:val="21"/>
                <w:szCs w:val="21"/>
                <w:highlight w:val="none"/>
                <w:vertAlign w:val="superscript"/>
              </w:rPr>
              <w:t>3</w:t>
            </w:r>
            <w:r>
              <w:rPr>
                <w:rFonts w:eastAsia="宋体"/>
                <w:sz w:val="21"/>
                <w:szCs w:val="21"/>
                <w:highlight w:val="none"/>
              </w:rPr>
              <w:t>）</w:t>
            </w:r>
            <w:r>
              <w:rPr>
                <w:rFonts w:eastAsia="宋体"/>
                <w:sz w:val="21"/>
                <w:szCs w:val="21"/>
              </w:rPr>
              <w:t>，</w:t>
            </w:r>
            <w:r>
              <w:rPr>
                <w:rFonts w:hint="eastAsia" w:eastAsia="宋体"/>
                <w:sz w:val="21"/>
                <w:szCs w:val="21"/>
              </w:rPr>
              <w:t>应急事故</w:t>
            </w:r>
            <w:r>
              <w:rPr>
                <w:rFonts w:eastAsia="宋体"/>
                <w:sz w:val="21"/>
                <w:szCs w:val="21"/>
              </w:rPr>
              <w:t>池位于</w:t>
            </w:r>
            <w:r>
              <w:rPr>
                <w:rFonts w:hint="eastAsia" w:eastAsia="宋体"/>
                <w:sz w:val="21"/>
                <w:szCs w:val="21"/>
              </w:rPr>
              <w:t>雨</w:t>
            </w:r>
            <w:r>
              <w:rPr>
                <w:rFonts w:eastAsia="宋体"/>
                <w:sz w:val="21"/>
                <w:szCs w:val="21"/>
              </w:rPr>
              <w:t>水收集管道的末端，能保证事故状态下顺利收集泄漏物，并已设置抽水设备，可将泄漏物运送至污水处理厂处理。</w:t>
            </w:r>
          </w:p>
        </w:tc>
        <w:tc>
          <w:tcPr>
            <w:tcW w:w="1152" w:type="pct"/>
            <w:tcBorders>
              <w:tl2br w:val="nil"/>
              <w:tr2bl w:val="nil"/>
            </w:tcBorders>
            <w:vAlign w:val="center"/>
          </w:tcPr>
          <w:p w14:paraId="281872D1">
            <w:pPr>
              <w:adjustRightInd w:val="0"/>
              <w:snapToGrid w:val="0"/>
              <w:spacing w:line="320" w:lineRule="exact"/>
              <w:jc w:val="center"/>
              <w:rPr>
                <w:rFonts w:eastAsia="宋体"/>
                <w:sz w:val="21"/>
                <w:szCs w:val="21"/>
              </w:rPr>
            </w:pPr>
            <w:r>
              <w:rPr>
                <w:rFonts w:eastAsia="宋体"/>
                <w:sz w:val="21"/>
                <w:szCs w:val="21"/>
              </w:rPr>
              <w:t>上述措施合理有效，但未能定岗定员，需安排专门人员并严格执行，方可有效控制事故排放。</w:t>
            </w:r>
          </w:p>
        </w:tc>
      </w:tr>
      <w:tr w14:paraId="36CE3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3639E39A">
            <w:pPr>
              <w:adjustRightInd w:val="0"/>
              <w:snapToGrid w:val="0"/>
              <w:spacing w:line="320" w:lineRule="exact"/>
              <w:jc w:val="center"/>
              <w:rPr>
                <w:rFonts w:eastAsia="宋体"/>
                <w:sz w:val="21"/>
                <w:szCs w:val="21"/>
              </w:rPr>
            </w:pPr>
            <w:r>
              <w:rPr>
                <w:rFonts w:eastAsia="宋体"/>
                <w:sz w:val="21"/>
                <w:szCs w:val="21"/>
              </w:rPr>
              <w:t>3</w:t>
            </w:r>
          </w:p>
        </w:tc>
        <w:tc>
          <w:tcPr>
            <w:tcW w:w="2253" w:type="pct"/>
            <w:tcBorders>
              <w:tl2br w:val="nil"/>
              <w:tr2bl w:val="nil"/>
            </w:tcBorders>
            <w:vAlign w:val="center"/>
          </w:tcPr>
          <w:p w14:paraId="688078A9">
            <w:pPr>
              <w:adjustRightInd w:val="0"/>
              <w:snapToGrid w:val="0"/>
              <w:spacing w:line="320" w:lineRule="exact"/>
              <w:jc w:val="center"/>
              <w:rPr>
                <w:rFonts w:eastAsia="宋体"/>
                <w:sz w:val="21"/>
                <w:szCs w:val="21"/>
              </w:rPr>
            </w:pPr>
            <w:r>
              <w:rPr>
                <w:rFonts w:eastAsia="宋体"/>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1261CD52">
            <w:pPr>
              <w:adjustRightInd w:val="0"/>
              <w:snapToGrid w:val="0"/>
              <w:spacing w:line="320" w:lineRule="exact"/>
              <w:jc w:val="center"/>
              <w:rPr>
                <w:rFonts w:eastAsia="宋体"/>
                <w:sz w:val="21"/>
                <w:szCs w:val="21"/>
              </w:rPr>
            </w:pPr>
            <w:r>
              <w:rPr>
                <w:rFonts w:eastAsia="宋体"/>
                <w:sz w:val="21"/>
                <w:szCs w:val="21"/>
              </w:rPr>
              <w:t>不涉及</w:t>
            </w:r>
          </w:p>
        </w:tc>
        <w:tc>
          <w:tcPr>
            <w:tcW w:w="1152" w:type="pct"/>
            <w:tcBorders>
              <w:tl2br w:val="nil"/>
              <w:tr2bl w:val="nil"/>
            </w:tcBorders>
            <w:vAlign w:val="center"/>
          </w:tcPr>
          <w:p w14:paraId="7338C347">
            <w:pPr>
              <w:adjustRightInd w:val="0"/>
              <w:snapToGrid w:val="0"/>
              <w:spacing w:line="320" w:lineRule="exact"/>
              <w:jc w:val="center"/>
              <w:rPr>
                <w:rFonts w:eastAsia="宋体"/>
                <w:sz w:val="21"/>
                <w:szCs w:val="21"/>
              </w:rPr>
            </w:pPr>
            <w:r>
              <w:rPr>
                <w:rFonts w:eastAsia="宋体"/>
                <w:sz w:val="21"/>
                <w:szCs w:val="21"/>
              </w:rPr>
              <w:t>不涉及</w:t>
            </w:r>
          </w:p>
        </w:tc>
      </w:tr>
    </w:tbl>
    <w:p w14:paraId="5C58F88D">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53" w:name="_Toc31733"/>
      <w:bookmarkStart w:id="254" w:name="_Toc14196"/>
      <w:bookmarkStart w:id="255" w:name="_Toc24990"/>
      <w:bookmarkStart w:id="256" w:name="_Toc16479"/>
      <w:r>
        <w:rPr>
          <w:rFonts w:hint="eastAsia" w:eastAsia="宋体"/>
          <w:color w:val="000000" w:themeColor="text1"/>
          <w:sz w:val="24"/>
          <w:szCs w:val="24"/>
          <w14:textFill>
            <w14:solidFill>
              <w14:schemeClr w14:val="tx1"/>
            </w14:solidFill>
          </w14:textFill>
        </w:rPr>
        <w:t>5.3环境应急资源</w:t>
      </w:r>
      <w:bookmarkEnd w:id="253"/>
      <w:bookmarkEnd w:id="254"/>
      <w:bookmarkEnd w:id="255"/>
      <w:bookmarkEnd w:id="256"/>
    </w:p>
    <w:p w14:paraId="153608F2">
      <w:pPr>
        <w:adjustRightInd w:val="0"/>
        <w:snapToGrid w:val="0"/>
        <w:spacing w:line="500" w:lineRule="exact"/>
        <w:ind w:firstLine="480" w:firstLineChars="200"/>
        <w:rPr>
          <w:rFonts w:eastAsia="宋体"/>
          <w:color w:val="000000" w:themeColor="text1"/>
          <w:szCs w:val="28"/>
          <w14:textFill>
            <w14:solidFill>
              <w14:schemeClr w14:val="tx1"/>
            </w14:solidFill>
          </w14:textFill>
        </w:rPr>
      </w:pPr>
      <w:r>
        <w:rPr>
          <w:rFonts w:eastAsia="宋体"/>
          <w:color w:val="000000" w:themeColor="text1"/>
          <w:szCs w:val="28"/>
          <w14:textFill>
            <w14:solidFill>
              <w14:schemeClr w14:val="tx1"/>
            </w14:solidFill>
          </w14:textFill>
        </w:rPr>
        <w:t>公司环境应急资源见表5-5。</w:t>
      </w:r>
    </w:p>
    <w:p w14:paraId="39FDEF9A">
      <w:pPr>
        <w:adjustRightInd w:val="0"/>
        <w:snapToGrid w:val="0"/>
        <w:spacing w:line="480" w:lineRule="exact"/>
        <w:jc w:val="center"/>
        <w:rPr>
          <w:rFonts w:eastAsia="宋体"/>
          <w:b/>
        </w:rPr>
      </w:pPr>
      <w:r>
        <w:rPr>
          <w:rFonts w:eastAsia="宋体"/>
          <w:b/>
        </w:rPr>
        <w:t>表5-5公司环境应急资源情况</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17C98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5410000B">
            <w:pPr>
              <w:tabs>
                <w:tab w:val="left" w:pos="432"/>
              </w:tabs>
              <w:adjustRightInd w:val="0"/>
              <w:snapToGrid w:val="0"/>
              <w:jc w:val="center"/>
              <w:rPr>
                <w:rFonts w:eastAsia="宋体"/>
                <w:sz w:val="21"/>
                <w:szCs w:val="21"/>
              </w:rPr>
            </w:pPr>
            <w:r>
              <w:rPr>
                <w:rFonts w:eastAsia="宋体"/>
                <w:sz w:val="21"/>
                <w:szCs w:val="21"/>
              </w:rPr>
              <w:t>序号</w:t>
            </w:r>
          </w:p>
        </w:tc>
        <w:tc>
          <w:tcPr>
            <w:tcW w:w="1886" w:type="pct"/>
            <w:tcBorders>
              <w:tl2br w:val="nil"/>
              <w:tr2bl w:val="nil"/>
            </w:tcBorders>
            <w:vAlign w:val="center"/>
          </w:tcPr>
          <w:p w14:paraId="429AEE37">
            <w:pPr>
              <w:tabs>
                <w:tab w:val="left" w:pos="432"/>
              </w:tabs>
              <w:adjustRightInd w:val="0"/>
              <w:snapToGrid w:val="0"/>
              <w:jc w:val="center"/>
              <w:rPr>
                <w:rFonts w:eastAsia="宋体"/>
                <w:sz w:val="21"/>
                <w:szCs w:val="21"/>
              </w:rPr>
            </w:pPr>
            <w:r>
              <w:rPr>
                <w:rFonts w:eastAsia="宋体"/>
                <w:sz w:val="21"/>
                <w:szCs w:val="21"/>
              </w:rPr>
              <w:t>环境应急资源</w:t>
            </w:r>
          </w:p>
        </w:tc>
        <w:tc>
          <w:tcPr>
            <w:tcW w:w="2041" w:type="pct"/>
            <w:tcBorders>
              <w:tl2br w:val="nil"/>
              <w:tr2bl w:val="nil"/>
            </w:tcBorders>
            <w:vAlign w:val="center"/>
          </w:tcPr>
          <w:p w14:paraId="55721FFD">
            <w:pPr>
              <w:tabs>
                <w:tab w:val="left" w:pos="432"/>
              </w:tabs>
              <w:adjustRightInd w:val="0"/>
              <w:snapToGrid w:val="0"/>
              <w:jc w:val="center"/>
              <w:rPr>
                <w:rFonts w:eastAsia="宋体"/>
                <w:sz w:val="21"/>
                <w:szCs w:val="21"/>
              </w:rPr>
            </w:pPr>
            <w:r>
              <w:rPr>
                <w:rFonts w:eastAsia="宋体"/>
                <w:sz w:val="21"/>
                <w:szCs w:val="21"/>
              </w:rPr>
              <w:t>企业现状</w:t>
            </w:r>
          </w:p>
        </w:tc>
        <w:tc>
          <w:tcPr>
            <w:tcW w:w="838" w:type="pct"/>
            <w:tcBorders>
              <w:tl2br w:val="nil"/>
              <w:tr2bl w:val="nil"/>
            </w:tcBorders>
            <w:vAlign w:val="center"/>
          </w:tcPr>
          <w:p w14:paraId="02606C99">
            <w:pPr>
              <w:tabs>
                <w:tab w:val="left" w:pos="432"/>
              </w:tabs>
              <w:adjustRightInd w:val="0"/>
              <w:snapToGrid w:val="0"/>
              <w:jc w:val="center"/>
              <w:rPr>
                <w:rFonts w:eastAsia="宋体"/>
                <w:sz w:val="21"/>
                <w:szCs w:val="21"/>
              </w:rPr>
            </w:pPr>
            <w:r>
              <w:rPr>
                <w:rFonts w:eastAsia="宋体"/>
                <w:sz w:val="21"/>
                <w:szCs w:val="21"/>
              </w:rPr>
              <w:t>差距分析情况</w:t>
            </w:r>
          </w:p>
        </w:tc>
      </w:tr>
      <w:tr w14:paraId="3C02A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26DBADC">
            <w:pPr>
              <w:tabs>
                <w:tab w:val="left" w:pos="432"/>
              </w:tabs>
              <w:adjustRightInd w:val="0"/>
              <w:snapToGrid w:val="0"/>
              <w:jc w:val="center"/>
              <w:rPr>
                <w:rFonts w:eastAsia="宋体"/>
                <w:sz w:val="21"/>
                <w:szCs w:val="21"/>
              </w:rPr>
            </w:pPr>
            <w:r>
              <w:rPr>
                <w:rFonts w:eastAsia="宋体"/>
                <w:sz w:val="21"/>
                <w:szCs w:val="21"/>
              </w:rPr>
              <w:t>1</w:t>
            </w:r>
          </w:p>
        </w:tc>
        <w:tc>
          <w:tcPr>
            <w:tcW w:w="1886" w:type="pct"/>
            <w:tcBorders>
              <w:tl2br w:val="nil"/>
              <w:tr2bl w:val="nil"/>
            </w:tcBorders>
            <w:vAlign w:val="center"/>
          </w:tcPr>
          <w:p w14:paraId="570E9DE2">
            <w:pPr>
              <w:tabs>
                <w:tab w:val="left" w:pos="432"/>
              </w:tabs>
              <w:adjustRightInd w:val="0"/>
              <w:snapToGrid w:val="0"/>
              <w:jc w:val="center"/>
              <w:rPr>
                <w:rFonts w:eastAsia="宋体"/>
                <w:sz w:val="21"/>
                <w:szCs w:val="21"/>
              </w:rPr>
            </w:pPr>
            <w:r>
              <w:rPr>
                <w:rFonts w:eastAsia="宋体"/>
                <w:sz w:val="21"/>
                <w:szCs w:val="21"/>
              </w:rPr>
              <w:t>是否配备必要的应急物资和应急装备（包括应急监测）</w:t>
            </w:r>
          </w:p>
        </w:tc>
        <w:tc>
          <w:tcPr>
            <w:tcW w:w="2041" w:type="pct"/>
            <w:tcBorders>
              <w:tl2br w:val="nil"/>
              <w:tr2bl w:val="nil"/>
            </w:tcBorders>
            <w:vAlign w:val="center"/>
          </w:tcPr>
          <w:p w14:paraId="128F27E4">
            <w:pPr>
              <w:tabs>
                <w:tab w:val="left" w:pos="432"/>
              </w:tabs>
              <w:adjustRightInd w:val="0"/>
              <w:snapToGrid w:val="0"/>
              <w:jc w:val="center"/>
              <w:rPr>
                <w:rFonts w:eastAsia="宋体"/>
                <w:sz w:val="21"/>
                <w:szCs w:val="21"/>
              </w:rPr>
            </w:pPr>
            <w:r>
              <w:rPr>
                <w:rFonts w:eastAsia="宋体"/>
                <w:sz w:val="21"/>
                <w:szCs w:val="21"/>
              </w:rPr>
              <w:t>已配备大部分的应急物资和应急装备</w:t>
            </w:r>
            <w:r>
              <w:rPr>
                <w:rFonts w:hint="eastAsia" w:eastAsia="宋体"/>
                <w:sz w:val="21"/>
                <w:szCs w:val="21"/>
              </w:rPr>
              <w:t>，</w:t>
            </w:r>
            <w:r>
              <w:rPr>
                <w:rFonts w:eastAsia="宋体"/>
                <w:sz w:val="21"/>
                <w:szCs w:val="21"/>
              </w:rPr>
              <w:t>应急监测委托专业的监测队伍进行</w:t>
            </w:r>
          </w:p>
        </w:tc>
        <w:tc>
          <w:tcPr>
            <w:tcW w:w="838" w:type="pct"/>
            <w:tcBorders>
              <w:tl2br w:val="nil"/>
              <w:tr2bl w:val="nil"/>
            </w:tcBorders>
            <w:vAlign w:val="center"/>
          </w:tcPr>
          <w:p w14:paraId="0312618D">
            <w:pPr>
              <w:tabs>
                <w:tab w:val="left" w:pos="432"/>
              </w:tabs>
              <w:adjustRightInd w:val="0"/>
              <w:snapToGrid w:val="0"/>
              <w:jc w:val="center"/>
              <w:rPr>
                <w:rFonts w:eastAsia="宋体"/>
                <w:sz w:val="21"/>
                <w:szCs w:val="21"/>
              </w:rPr>
            </w:pPr>
            <w:r>
              <w:rPr>
                <w:rFonts w:hint="eastAsia" w:eastAsia="宋体"/>
                <w:sz w:val="21"/>
                <w:szCs w:val="21"/>
              </w:rPr>
              <w:t>/</w:t>
            </w:r>
          </w:p>
        </w:tc>
      </w:tr>
      <w:tr w14:paraId="40699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20F91B4F">
            <w:pPr>
              <w:tabs>
                <w:tab w:val="left" w:pos="432"/>
              </w:tabs>
              <w:adjustRightInd w:val="0"/>
              <w:snapToGrid w:val="0"/>
              <w:jc w:val="center"/>
              <w:rPr>
                <w:rFonts w:eastAsia="宋体"/>
                <w:sz w:val="21"/>
                <w:szCs w:val="21"/>
              </w:rPr>
            </w:pPr>
            <w:r>
              <w:rPr>
                <w:rFonts w:eastAsia="宋体"/>
                <w:sz w:val="21"/>
                <w:szCs w:val="21"/>
              </w:rPr>
              <w:t>2</w:t>
            </w:r>
          </w:p>
        </w:tc>
        <w:tc>
          <w:tcPr>
            <w:tcW w:w="1886" w:type="pct"/>
            <w:tcBorders>
              <w:tl2br w:val="nil"/>
              <w:tr2bl w:val="nil"/>
            </w:tcBorders>
            <w:vAlign w:val="center"/>
          </w:tcPr>
          <w:p w14:paraId="00AC5394">
            <w:pPr>
              <w:tabs>
                <w:tab w:val="left" w:pos="432"/>
              </w:tabs>
              <w:adjustRightInd w:val="0"/>
              <w:snapToGrid w:val="0"/>
              <w:jc w:val="center"/>
              <w:rPr>
                <w:rFonts w:eastAsia="宋体"/>
                <w:sz w:val="21"/>
                <w:szCs w:val="21"/>
              </w:rPr>
            </w:pPr>
            <w:r>
              <w:rPr>
                <w:rFonts w:eastAsia="宋体"/>
                <w:sz w:val="21"/>
                <w:szCs w:val="21"/>
              </w:rPr>
              <w:t>是否已设专职或兼职人员组成的应急救援队伍</w:t>
            </w:r>
          </w:p>
        </w:tc>
        <w:tc>
          <w:tcPr>
            <w:tcW w:w="2041" w:type="pct"/>
            <w:tcBorders>
              <w:tl2br w:val="nil"/>
              <w:tr2bl w:val="nil"/>
            </w:tcBorders>
            <w:vAlign w:val="center"/>
          </w:tcPr>
          <w:p w14:paraId="6674DEE7">
            <w:pPr>
              <w:tabs>
                <w:tab w:val="left" w:pos="432"/>
              </w:tabs>
              <w:adjustRightInd w:val="0"/>
              <w:snapToGrid w:val="0"/>
              <w:jc w:val="center"/>
              <w:rPr>
                <w:rFonts w:eastAsia="宋体"/>
                <w:sz w:val="21"/>
                <w:szCs w:val="21"/>
              </w:rPr>
            </w:pPr>
            <w:r>
              <w:rPr>
                <w:rFonts w:eastAsia="宋体"/>
                <w:sz w:val="21"/>
                <w:szCs w:val="21"/>
              </w:rPr>
              <w:t>已设置专门的应急救援队伍，由不同部门人员兼职。</w:t>
            </w:r>
          </w:p>
        </w:tc>
        <w:tc>
          <w:tcPr>
            <w:tcW w:w="838" w:type="pct"/>
            <w:tcBorders>
              <w:tl2br w:val="nil"/>
              <w:tr2bl w:val="nil"/>
            </w:tcBorders>
            <w:vAlign w:val="center"/>
          </w:tcPr>
          <w:p w14:paraId="4FED68EC">
            <w:pPr>
              <w:tabs>
                <w:tab w:val="left" w:pos="432"/>
              </w:tabs>
              <w:adjustRightInd w:val="0"/>
              <w:snapToGrid w:val="0"/>
              <w:jc w:val="center"/>
              <w:rPr>
                <w:rFonts w:eastAsia="宋体"/>
                <w:sz w:val="21"/>
                <w:szCs w:val="21"/>
              </w:rPr>
            </w:pPr>
            <w:r>
              <w:rPr>
                <w:rFonts w:eastAsia="宋体"/>
                <w:sz w:val="21"/>
                <w:szCs w:val="21"/>
              </w:rPr>
              <w:t>/</w:t>
            </w:r>
          </w:p>
        </w:tc>
      </w:tr>
      <w:tr w14:paraId="10DC9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1F18EA5B">
            <w:pPr>
              <w:tabs>
                <w:tab w:val="left" w:pos="432"/>
              </w:tabs>
              <w:adjustRightInd w:val="0"/>
              <w:snapToGrid w:val="0"/>
              <w:jc w:val="center"/>
              <w:rPr>
                <w:rFonts w:eastAsia="宋体"/>
                <w:sz w:val="21"/>
                <w:szCs w:val="21"/>
              </w:rPr>
            </w:pPr>
            <w:r>
              <w:rPr>
                <w:rFonts w:eastAsia="宋体"/>
                <w:sz w:val="21"/>
                <w:szCs w:val="21"/>
              </w:rPr>
              <w:t>3</w:t>
            </w:r>
          </w:p>
        </w:tc>
        <w:tc>
          <w:tcPr>
            <w:tcW w:w="1886" w:type="pct"/>
            <w:tcBorders>
              <w:tl2br w:val="nil"/>
              <w:tr2bl w:val="nil"/>
            </w:tcBorders>
            <w:vAlign w:val="center"/>
          </w:tcPr>
          <w:p w14:paraId="5D6A4C7D">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E1A2878">
            <w:pPr>
              <w:tabs>
                <w:tab w:val="left" w:pos="432"/>
              </w:tabs>
              <w:adjustRightInd w:val="0"/>
              <w:snapToGrid w:val="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与签订互救协议。</w:t>
            </w:r>
          </w:p>
        </w:tc>
        <w:tc>
          <w:tcPr>
            <w:tcW w:w="838" w:type="pct"/>
            <w:tcBorders>
              <w:tl2br w:val="nil"/>
              <w:tr2bl w:val="nil"/>
            </w:tcBorders>
            <w:vAlign w:val="center"/>
          </w:tcPr>
          <w:p w14:paraId="0AECD923">
            <w:pPr>
              <w:tabs>
                <w:tab w:val="left" w:pos="432"/>
              </w:tabs>
              <w:adjustRightInd w:val="0"/>
              <w:snapToGrid w:val="0"/>
              <w:jc w:val="center"/>
              <w:rPr>
                <w:rFonts w:eastAsia="宋体"/>
                <w:sz w:val="21"/>
                <w:szCs w:val="21"/>
              </w:rPr>
            </w:pPr>
            <w:r>
              <w:rPr>
                <w:rFonts w:eastAsia="宋体"/>
                <w:sz w:val="21"/>
                <w:szCs w:val="21"/>
              </w:rPr>
              <w:t>/</w:t>
            </w:r>
          </w:p>
        </w:tc>
      </w:tr>
      <w:tr w14:paraId="4E308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503082B">
            <w:pPr>
              <w:tabs>
                <w:tab w:val="left" w:pos="432"/>
              </w:tabs>
              <w:adjustRightInd w:val="0"/>
              <w:snapToGrid w:val="0"/>
              <w:jc w:val="center"/>
              <w:rPr>
                <w:rFonts w:eastAsia="宋体"/>
                <w:sz w:val="21"/>
                <w:szCs w:val="21"/>
              </w:rPr>
            </w:pPr>
            <w:r>
              <w:rPr>
                <w:rFonts w:eastAsia="宋体"/>
                <w:sz w:val="21"/>
                <w:szCs w:val="21"/>
              </w:rPr>
              <w:t>4</w:t>
            </w:r>
          </w:p>
        </w:tc>
        <w:tc>
          <w:tcPr>
            <w:tcW w:w="1886" w:type="pct"/>
            <w:tcBorders>
              <w:tl2br w:val="nil"/>
              <w:tr2bl w:val="nil"/>
            </w:tcBorders>
            <w:vAlign w:val="center"/>
          </w:tcPr>
          <w:p w14:paraId="6EC78E98">
            <w:pPr>
              <w:tabs>
                <w:tab w:val="left" w:pos="432"/>
              </w:tabs>
              <w:adjustRightInd w:val="0"/>
              <w:snapToGrid w:val="0"/>
              <w:jc w:val="center"/>
              <w:rPr>
                <w:rFonts w:eastAsia="宋体"/>
                <w:sz w:val="21"/>
                <w:szCs w:val="21"/>
              </w:rPr>
            </w:pPr>
            <w:r>
              <w:rPr>
                <w:rFonts w:eastAsia="宋体"/>
                <w:sz w:val="21"/>
                <w:szCs w:val="21"/>
              </w:rPr>
              <w:t>是否签订突发环境事件应急监测协议</w:t>
            </w:r>
          </w:p>
        </w:tc>
        <w:tc>
          <w:tcPr>
            <w:tcW w:w="2041" w:type="pct"/>
            <w:tcBorders>
              <w:tl2br w:val="nil"/>
              <w:tr2bl w:val="nil"/>
            </w:tcBorders>
            <w:vAlign w:val="center"/>
          </w:tcPr>
          <w:p w14:paraId="235A532C">
            <w:pPr>
              <w:tabs>
                <w:tab w:val="left" w:pos="432"/>
              </w:tabs>
              <w:adjustRightInd w:val="0"/>
              <w:snapToGrid w:val="0"/>
              <w:jc w:val="center"/>
              <w:rPr>
                <w:rFonts w:eastAsia="宋体"/>
                <w:sz w:val="21"/>
                <w:szCs w:val="21"/>
              </w:rPr>
            </w:pPr>
            <w:r>
              <w:rPr>
                <w:rFonts w:eastAsia="宋体"/>
                <w:sz w:val="21"/>
                <w:szCs w:val="21"/>
              </w:rPr>
              <w:t>与</w:t>
            </w:r>
            <w:r>
              <w:rPr>
                <w:rFonts w:hint="eastAsia" w:eastAsia="宋体"/>
                <w:sz w:val="21"/>
                <w:szCs w:val="21"/>
              </w:rPr>
              <w:t>江苏裕和检测技术有限公司</w:t>
            </w:r>
            <w:r>
              <w:rPr>
                <w:rFonts w:eastAsia="宋体"/>
                <w:sz w:val="21"/>
                <w:szCs w:val="21"/>
              </w:rPr>
              <w:t>签订应急监测协议。</w:t>
            </w:r>
          </w:p>
        </w:tc>
        <w:tc>
          <w:tcPr>
            <w:tcW w:w="838" w:type="pct"/>
            <w:tcBorders>
              <w:tl2br w:val="nil"/>
              <w:tr2bl w:val="nil"/>
            </w:tcBorders>
            <w:vAlign w:val="center"/>
          </w:tcPr>
          <w:p w14:paraId="25F64C0F">
            <w:pPr>
              <w:tabs>
                <w:tab w:val="left" w:pos="432"/>
              </w:tabs>
              <w:adjustRightInd w:val="0"/>
              <w:snapToGrid w:val="0"/>
              <w:jc w:val="center"/>
              <w:rPr>
                <w:rFonts w:eastAsia="宋体"/>
                <w:sz w:val="21"/>
                <w:szCs w:val="21"/>
              </w:rPr>
            </w:pPr>
            <w:r>
              <w:rPr>
                <w:rFonts w:eastAsia="宋体"/>
                <w:sz w:val="21"/>
                <w:szCs w:val="21"/>
              </w:rPr>
              <w:t>/</w:t>
            </w:r>
          </w:p>
        </w:tc>
      </w:tr>
      <w:bookmarkEnd w:id="239"/>
      <w:bookmarkEnd w:id="245"/>
    </w:tbl>
    <w:p w14:paraId="3B36F45E">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57" w:name="_Toc402776220"/>
      <w:bookmarkStart w:id="258" w:name="_Toc510092966"/>
      <w:bookmarkStart w:id="259" w:name="_Toc14351"/>
      <w:bookmarkStart w:id="260" w:name="_Toc22853"/>
      <w:bookmarkStart w:id="261" w:name="_Toc496887138"/>
      <w:bookmarkStart w:id="262" w:name="_Toc19935"/>
      <w:bookmarkStart w:id="263" w:name="_Toc7855"/>
      <w:bookmarkStart w:id="264" w:name="_Toc402776225"/>
      <w:bookmarkStart w:id="265" w:name="_Toc353379551"/>
      <w:r>
        <w:rPr>
          <w:rFonts w:hint="eastAsia" w:eastAsia="宋体"/>
          <w:color w:val="000000" w:themeColor="text1"/>
          <w:sz w:val="24"/>
          <w:szCs w:val="24"/>
          <w14:textFill>
            <w14:solidFill>
              <w14:schemeClr w14:val="tx1"/>
            </w14:solidFill>
          </w14:textFill>
        </w:rPr>
        <w:t>5.4历史经验教训总结</w:t>
      </w:r>
      <w:bookmarkEnd w:id="257"/>
      <w:bookmarkEnd w:id="258"/>
      <w:bookmarkEnd w:id="259"/>
      <w:bookmarkEnd w:id="260"/>
      <w:bookmarkEnd w:id="261"/>
      <w:bookmarkEnd w:id="262"/>
      <w:bookmarkEnd w:id="263"/>
    </w:p>
    <w:p w14:paraId="16B11F63">
      <w:pPr>
        <w:adjustRightInd w:val="0"/>
        <w:snapToGrid w:val="0"/>
        <w:spacing w:line="500" w:lineRule="exact"/>
        <w:ind w:firstLine="480" w:firstLineChars="200"/>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2949DD6D">
      <w:pPr>
        <w:adjustRightInd w:val="0"/>
        <w:snapToGrid w:val="0"/>
        <w:spacing w:line="500" w:lineRule="exact"/>
        <w:ind w:firstLine="480" w:firstLineChars="200"/>
        <w:rPr>
          <w:rFonts w:ascii="宋体" w:hAnsi="宋体" w:eastAsia="宋体" w:cs="宋体"/>
        </w:rPr>
      </w:pPr>
      <w:r>
        <w:rPr>
          <w:rFonts w:hint="eastAsia" w:ascii="宋体" w:hAnsi="宋体" w:eastAsia="宋体" w:cs="宋体"/>
          <w:szCs w:val="28"/>
        </w:rPr>
        <w:t>公司生产装置、储存场所以及需要提醒人员注意的地点需设置各种安全标志；</w:t>
      </w:r>
      <w:r>
        <w:rPr>
          <w:rFonts w:hint="eastAsia" w:ascii="宋体" w:hAnsi="宋体" w:eastAsia="宋体" w:cs="宋体"/>
        </w:rPr>
        <w:t>定期系统检漏；管道施工按规范要求进行；设置了建构筑物的安全通道；严格控制与消除火源；严格控制设备质量与安装质量；加强管理、严格纪律；委托有运输资质和经验的运输单位承担危险化学物质等运输转移工作。</w:t>
      </w:r>
    </w:p>
    <w:p w14:paraId="1FA390E8">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66" w:name="_Toc23361"/>
      <w:bookmarkStart w:id="267" w:name="_Toc510092967"/>
      <w:bookmarkStart w:id="268" w:name="_Toc496887139"/>
      <w:bookmarkStart w:id="269" w:name="_Toc2535"/>
      <w:bookmarkStart w:id="270" w:name="_Toc9941"/>
      <w:bookmarkStart w:id="271" w:name="_Toc29208"/>
      <w:bookmarkStart w:id="272" w:name="_Toc402776221"/>
      <w:r>
        <w:rPr>
          <w:rFonts w:hint="eastAsia" w:eastAsia="宋体"/>
          <w:color w:val="000000" w:themeColor="text1"/>
          <w:sz w:val="24"/>
          <w:szCs w:val="24"/>
          <w14:textFill>
            <w14:solidFill>
              <w14:schemeClr w14:val="tx1"/>
            </w14:solidFill>
          </w14:textFill>
        </w:rPr>
        <w:t>5.5需要整改的短期、中期和长期项目内容</w:t>
      </w:r>
      <w:bookmarkEnd w:id="266"/>
      <w:bookmarkEnd w:id="267"/>
      <w:bookmarkEnd w:id="268"/>
      <w:bookmarkEnd w:id="269"/>
      <w:bookmarkEnd w:id="270"/>
      <w:bookmarkEnd w:id="271"/>
      <w:bookmarkEnd w:id="272"/>
    </w:p>
    <w:p w14:paraId="1EB692A3">
      <w:pPr>
        <w:adjustRightInd w:val="0"/>
        <w:snapToGrid w:val="0"/>
        <w:spacing w:line="500" w:lineRule="exact"/>
        <w:ind w:firstLine="480" w:firstLineChars="200"/>
        <w:rPr>
          <w:rFonts w:eastAsia="宋体"/>
        </w:rPr>
      </w:pPr>
      <w:r>
        <w:rPr>
          <w:rFonts w:eastAsia="宋体"/>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11AC3905">
      <w:pPr>
        <w:adjustRightInd w:val="0"/>
        <w:snapToGrid w:val="0"/>
        <w:spacing w:line="500" w:lineRule="exact"/>
        <w:ind w:firstLine="480" w:firstLineChars="200"/>
        <w:rPr>
          <w:rFonts w:eastAsia="宋体"/>
        </w:rPr>
      </w:pPr>
      <w:r>
        <w:rPr>
          <w:rFonts w:eastAsia="宋体"/>
        </w:rPr>
        <w:t>通过本次对公司的检查，发现公司存在的事故隐患及需要整改的内容见表5-6。</w:t>
      </w:r>
    </w:p>
    <w:p w14:paraId="4D45C393">
      <w:pPr>
        <w:adjustRightInd w:val="0"/>
        <w:snapToGrid w:val="0"/>
        <w:spacing w:line="480" w:lineRule="exact"/>
        <w:jc w:val="center"/>
        <w:rPr>
          <w:rFonts w:eastAsia="宋体"/>
          <w:b/>
        </w:rPr>
      </w:pPr>
      <w:r>
        <w:rPr>
          <w:rFonts w:eastAsia="宋体"/>
          <w:b/>
        </w:rPr>
        <w:t>表5-6存在的事故隐患及需整改内容表</w:t>
      </w:r>
    </w:p>
    <w:tbl>
      <w:tblPr>
        <w:tblStyle w:val="38"/>
        <w:tblW w:w="51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81"/>
        <w:gridCol w:w="7721"/>
        <w:gridCol w:w="980"/>
      </w:tblGrid>
      <w:tr w14:paraId="68DD163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78956F01">
            <w:pPr>
              <w:tabs>
                <w:tab w:val="left" w:pos="432"/>
              </w:tabs>
              <w:adjustRightInd w:val="0"/>
              <w:snapToGrid w:val="0"/>
              <w:jc w:val="center"/>
              <w:rPr>
                <w:rFonts w:eastAsia="宋体"/>
                <w:sz w:val="21"/>
                <w:szCs w:val="21"/>
              </w:rPr>
            </w:pPr>
            <w:r>
              <w:rPr>
                <w:rFonts w:eastAsia="宋体"/>
                <w:sz w:val="21"/>
                <w:szCs w:val="21"/>
              </w:rPr>
              <w:t>序号</w:t>
            </w:r>
          </w:p>
        </w:tc>
        <w:tc>
          <w:tcPr>
            <w:tcW w:w="4114" w:type="pct"/>
            <w:tcBorders>
              <w:tl2br w:val="nil"/>
              <w:tr2bl w:val="nil"/>
            </w:tcBorders>
            <w:vAlign w:val="center"/>
          </w:tcPr>
          <w:p w14:paraId="38D8EA15">
            <w:pPr>
              <w:tabs>
                <w:tab w:val="left" w:pos="432"/>
              </w:tabs>
              <w:adjustRightInd w:val="0"/>
              <w:snapToGrid w:val="0"/>
              <w:jc w:val="center"/>
              <w:rPr>
                <w:rFonts w:eastAsia="宋体"/>
                <w:sz w:val="21"/>
                <w:szCs w:val="21"/>
              </w:rPr>
            </w:pPr>
            <w:r>
              <w:rPr>
                <w:rFonts w:eastAsia="宋体"/>
                <w:sz w:val="21"/>
                <w:szCs w:val="21"/>
              </w:rPr>
              <w:t>存在问题</w:t>
            </w:r>
          </w:p>
        </w:tc>
        <w:tc>
          <w:tcPr>
            <w:tcW w:w="522" w:type="pct"/>
            <w:tcBorders>
              <w:tl2br w:val="nil"/>
              <w:tr2bl w:val="nil"/>
            </w:tcBorders>
            <w:vAlign w:val="center"/>
          </w:tcPr>
          <w:p w14:paraId="7E42FE7E">
            <w:pPr>
              <w:tabs>
                <w:tab w:val="left" w:pos="432"/>
              </w:tabs>
              <w:adjustRightInd w:val="0"/>
              <w:snapToGrid w:val="0"/>
              <w:jc w:val="center"/>
              <w:rPr>
                <w:rFonts w:eastAsia="宋体"/>
                <w:sz w:val="21"/>
                <w:szCs w:val="21"/>
              </w:rPr>
            </w:pPr>
            <w:r>
              <w:rPr>
                <w:rFonts w:eastAsia="宋体"/>
                <w:sz w:val="21"/>
                <w:szCs w:val="21"/>
              </w:rPr>
              <w:t>整改期限</w:t>
            </w:r>
          </w:p>
        </w:tc>
      </w:tr>
      <w:tr w14:paraId="3A0CBAC4">
        <w:tblPrEx>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4888FFB">
            <w:pPr>
              <w:tabs>
                <w:tab w:val="left" w:pos="432"/>
              </w:tabs>
              <w:adjustRightInd w:val="0"/>
              <w:snapToGrid w:val="0"/>
              <w:jc w:val="center"/>
              <w:rPr>
                <w:rFonts w:eastAsia="宋体"/>
                <w:sz w:val="21"/>
                <w:szCs w:val="21"/>
              </w:rPr>
            </w:pPr>
            <w:r>
              <w:rPr>
                <w:rFonts w:hint="eastAsia" w:eastAsia="宋体"/>
                <w:sz w:val="21"/>
                <w:szCs w:val="21"/>
              </w:rPr>
              <w:t>1</w:t>
            </w:r>
          </w:p>
        </w:tc>
        <w:tc>
          <w:tcPr>
            <w:tcW w:w="4114" w:type="pct"/>
            <w:tcBorders>
              <w:tl2br w:val="nil"/>
              <w:tr2bl w:val="nil"/>
            </w:tcBorders>
            <w:vAlign w:val="center"/>
          </w:tcPr>
          <w:p w14:paraId="3C089814">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未制定隐患排查年度计划</w:t>
            </w:r>
          </w:p>
        </w:tc>
        <w:tc>
          <w:tcPr>
            <w:tcW w:w="522" w:type="pct"/>
            <w:tcBorders>
              <w:tl2br w:val="nil"/>
              <w:tr2bl w:val="nil"/>
            </w:tcBorders>
            <w:vAlign w:val="center"/>
          </w:tcPr>
          <w:p w14:paraId="307B6177">
            <w:pPr>
              <w:tabs>
                <w:tab w:val="left" w:pos="432"/>
              </w:tabs>
              <w:adjustRightInd w:val="0"/>
              <w:snapToGrid w:val="0"/>
              <w:jc w:val="center"/>
              <w:rPr>
                <w:rFonts w:eastAsia="宋体"/>
                <w:sz w:val="21"/>
                <w:szCs w:val="21"/>
              </w:rPr>
            </w:pPr>
            <w:r>
              <w:rPr>
                <w:rFonts w:hint="eastAsia" w:eastAsia="宋体"/>
                <w:sz w:val="21"/>
                <w:szCs w:val="21"/>
              </w:rPr>
              <w:t>短期</w:t>
            </w:r>
          </w:p>
        </w:tc>
      </w:tr>
      <w:tr w14:paraId="596BF3E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36C66AA1">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rPr>
              <w:t>2</w:t>
            </w:r>
          </w:p>
        </w:tc>
        <w:tc>
          <w:tcPr>
            <w:tcW w:w="4114" w:type="pct"/>
            <w:tcBorders>
              <w:tl2br w:val="nil"/>
              <w:tr2bl w:val="nil"/>
            </w:tcBorders>
            <w:vAlign w:val="center"/>
          </w:tcPr>
          <w:p w14:paraId="30B5313C">
            <w:pPr>
              <w:tabs>
                <w:tab w:val="left" w:pos="432"/>
              </w:tabs>
              <w:adjustRightInd w:val="0"/>
              <w:snapToGrid w:val="0"/>
              <w:jc w:val="center"/>
              <w:rPr>
                <w:rFonts w:hint="default" w:eastAsia="宋体"/>
                <w:sz w:val="21"/>
                <w:szCs w:val="21"/>
                <w:lang w:val="en-US" w:eastAsia="zh-CN"/>
              </w:rPr>
            </w:pPr>
            <w:r>
              <w:rPr>
                <w:rFonts w:hint="eastAsia" w:eastAsia="宋体"/>
                <w:sz w:val="21"/>
                <w:szCs w:val="21"/>
                <w:lang w:val="en-US" w:eastAsia="zh-CN"/>
              </w:rPr>
              <w:t>环保设施未进行安全风险评价</w:t>
            </w:r>
          </w:p>
        </w:tc>
        <w:tc>
          <w:tcPr>
            <w:tcW w:w="522" w:type="pct"/>
            <w:tcBorders>
              <w:tl2br w:val="nil"/>
              <w:tr2bl w:val="nil"/>
            </w:tcBorders>
            <w:vAlign w:val="center"/>
          </w:tcPr>
          <w:p w14:paraId="50E35185">
            <w:pPr>
              <w:tabs>
                <w:tab w:val="left" w:pos="432"/>
              </w:tabs>
              <w:adjustRightInd w:val="0"/>
              <w:snapToGrid w:val="0"/>
              <w:jc w:val="center"/>
              <w:rPr>
                <w:rFonts w:hint="eastAsia" w:eastAsia="宋体"/>
                <w:sz w:val="21"/>
                <w:szCs w:val="21"/>
                <w:lang w:val="en-US" w:eastAsia="zh-CN"/>
              </w:rPr>
            </w:pPr>
            <w:r>
              <w:rPr>
                <w:rFonts w:hint="eastAsia" w:eastAsia="宋体"/>
                <w:sz w:val="21"/>
                <w:szCs w:val="21"/>
                <w:lang w:val="en-US" w:eastAsia="zh-CN"/>
              </w:rPr>
              <w:t>短期</w:t>
            </w:r>
          </w:p>
        </w:tc>
      </w:tr>
      <w:tr w14:paraId="75B23C2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5CD3A339">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3</w:t>
            </w:r>
          </w:p>
        </w:tc>
        <w:tc>
          <w:tcPr>
            <w:tcW w:w="4114" w:type="pct"/>
            <w:tcBorders>
              <w:tl2br w:val="nil"/>
              <w:tr2bl w:val="nil"/>
            </w:tcBorders>
            <w:vAlign w:val="center"/>
          </w:tcPr>
          <w:p w14:paraId="6144214A">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522" w:type="pct"/>
            <w:tcBorders>
              <w:tl2br w:val="nil"/>
              <w:tr2bl w:val="nil"/>
            </w:tcBorders>
            <w:vAlign w:val="center"/>
          </w:tcPr>
          <w:p w14:paraId="0D992BF9">
            <w:pPr>
              <w:tabs>
                <w:tab w:val="left" w:pos="432"/>
              </w:tabs>
              <w:adjustRightInd w:val="0"/>
              <w:snapToGrid w:val="0"/>
              <w:jc w:val="center"/>
              <w:rPr>
                <w:rFonts w:eastAsia="宋体"/>
                <w:sz w:val="21"/>
                <w:szCs w:val="21"/>
              </w:rPr>
            </w:pPr>
            <w:r>
              <w:rPr>
                <w:rFonts w:hint="eastAsia" w:eastAsia="宋体"/>
                <w:sz w:val="21"/>
                <w:szCs w:val="21"/>
              </w:rPr>
              <w:t>短期</w:t>
            </w:r>
          </w:p>
        </w:tc>
      </w:tr>
      <w:tr w14:paraId="3AE45B6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114E1207">
            <w:pPr>
              <w:tabs>
                <w:tab w:val="left" w:pos="432"/>
              </w:tabs>
              <w:adjustRightInd w:val="0"/>
              <w:snapToGrid w:val="0"/>
              <w:jc w:val="center"/>
              <w:rPr>
                <w:rFonts w:ascii="Times New Roman" w:hAnsi="Times New Roman" w:eastAsia="宋体" w:cs="Times New Roman"/>
                <w:kern w:val="2"/>
                <w:sz w:val="21"/>
                <w:szCs w:val="21"/>
                <w:lang w:val="en-US" w:eastAsia="zh-CN" w:bidi="ar-SA"/>
              </w:rPr>
            </w:pPr>
            <w:r>
              <w:rPr>
                <w:rFonts w:hint="eastAsia" w:eastAsia="宋体"/>
                <w:sz w:val="21"/>
                <w:szCs w:val="21"/>
              </w:rPr>
              <w:t>4</w:t>
            </w:r>
          </w:p>
        </w:tc>
        <w:tc>
          <w:tcPr>
            <w:tcW w:w="4114" w:type="pct"/>
            <w:tcBorders>
              <w:tl2br w:val="nil"/>
              <w:tr2bl w:val="nil"/>
            </w:tcBorders>
            <w:vAlign w:val="center"/>
          </w:tcPr>
          <w:p w14:paraId="4AE4C4B2">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522" w:type="pct"/>
            <w:tcBorders>
              <w:tl2br w:val="nil"/>
              <w:tr2bl w:val="nil"/>
            </w:tcBorders>
            <w:vAlign w:val="center"/>
          </w:tcPr>
          <w:p w14:paraId="6B9BB648">
            <w:pPr>
              <w:tabs>
                <w:tab w:val="left" w:pos="432"/>
              </w:tabs>
              <w:adjustRightInd w:val="0"/>
              <w:snapToGrid w:val="0"/>
              <w:jc w:val="center"/>
              <w:rPr>
                <w:rFonts w:eastAsia="宋体"/>
                <w:sz w:val="21"/>
                <w:szCs w:val="21"/>
              </w:rPr>
            </w:pPr>
            <w:r>
              <w:rPr>
                <w:rFonts w:hint="eastAsia" w:eastAsia="宋体"/>
                <w:sz w:val="21"/>
                <w:szCs w:val="21"/>
              </w:rPr>
              <w:t>中</w:t>
            </w:r>
            <w:r>
              <w:rPr>
                <w:rFonts w:eastAsia="宋体"/>
                <w:sz w:val="21"/>
                <w:szCs w:val="21"/>
              </w:rPr>
              <w:t>期</w:t>
            </w:r>
          </w:p>
        </w:tc>
      </w:tr>
      <w:tr w14:paraId="2406731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794D3250">
            <w:pPr>
              <w:tabs>
                <w:tab w:val="left" w:pos="432"/>
              </w:tabs>
              <w:adjustRightInd w:val="0"/>
              <w:snapToGrid w:val="0"/>
              <w:jc w:val="center"/>
              <w:rPr>
                <w:rFonts w:hint="eastAsia" w:eastAsia="宋体"/>
                <w:sz w:val="21"/>
                <w:szCs w:val="21"/>
                <w:lang w:eastAsia="zh-CN"/>
              </w:rPr>
            </w:pPr>
            <w:r>
              <w:rPr>
                <w:rFonts w:hint="eastAsia" w:eastAsia="宋体"/>
                <w:sz w:val="21"/>
                <w:szCs w:val="21"/>
                <w:lang w:val="en-US" w:eastAsia="zh-CN"/>
              </w:rPr>
              <w:t>5</w:t>
            </w:r>
          </w:p>
        </w:tc>
        <w:tc>
          <w:tcPr>
            <w:tcW w:w="4114" w:type="pct"/>
            <w:tcBorders>
              <w:tl2br w:val="nil"/>
              <w:tr2bl w:val="nil"/>
            </w:tcBorders>
            <w:vAlign w:val="center"/>
          </w:tcPr>
          <w:p w14:paraId="229D5366">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522" w:type="pct"/>
            <w:tcBorders>
              <w:tl2br w:val="nil"/>
              <w:tr2bl w:val="nil"/>
            </w:tcBorders>
            <w:vAlign w:val="center"/>
          </w:tcPr>
          <w:p w14:paraId="3384234D">
            <w:pPr>
              <w:tabs>
                <w:tab w:val="left" w:pos="432"/>
              </w:tabs>
              <w:adjustRightInd w:val="0"/>
              <w:snapToGrid w:val="0"/>
              <w:jc w:val="center"/>
              <w:rPr>
                <w:rFonts w:eastAsia="宋体"/>
                <w:sz w:val="21"/>
                <w:szCs w:val="21"/>
              </w:rPr>
            </w:pPr>
            <w:r>
              <w:rPr>
                <w:rFonts w:eastAsia="宋体"/>
                <w:sz w:val="21"/>
                <w:szCs w:val="21"/>
              </w:rPr>
              <w:t>长期</w:t>
            </w:r>
          </w:p>
        </w:tc>
      </w:tr>
    </w:tbl>
    <w:p w14:paraId="2A6277EB">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73" w:name="_Toc402776222"/>
    </w:p>
    <w:p w14:paraId="66EFA380">
      <w:pPr>
        <w:pStyle w:val="2"/>
        <w:adjustRightInd w:val="0"/>
        <w:snapToGrid w:val="0"/>
        <w:spacing w:line="500" w:lineRule="exact"/>
        <w:rPr>
          <w:rFonts w:eastAsia="宋体"/>
          <w:color w:val="000000" w:themeColor="text1"/>
          <w:sz w:val="24"/>
          <w:szCs w:val="24"/>
          <w14:textFill>
            <w14:solidFill>
              <w14:schemeClr w14:val="tx1"/>
            </w14:solidFill>
          </w14:textFill>
        </w:rPr>
      </w:pPr>
      <w:bookmarkStart w:id="274" w:name="_Toc31696"/>
      <w:bookmarkStart w:id="275" w:name="_Toc21425"/>
      <w:bookmarkStart w:id="276" w:name="_Toc496887140"/>
      <w:bookmarkStart w:id="277" w:name="_Toc510092968"/>
      <w:bookmarkStart w:id="278" w:name="_Toc4096"/>
      <w:bookmarkStart w:id="279" w:name="_Toc594"/>
      <w:r>
        <w:rPr>
          <w:rFonts w:hint="eastAsia" w:eastAsia="宋体"/>
          <w:color w:val="000000" w:themeColor="text1"/>
          <w:sz w:val="24"/>
          <w:szCs w:val="24"/>
          <w14:textFill>
            <w14:solidFill>
              <w14:schemeClr w14:val="tx1"/>
            </w14:solidFill>
          </w14:textFill>
        </w:rPr>
        <w:t>6完善环境风险防控和应急措施的实施计划</w:t>
      </w:r>
      <w:bookmarkEnd w:id="273"/>
      <w:bookmarkEnd w:id="274"/>
      <w:bookmarkEnd w:id="275"/>
      <w:bookmarkEnd w:id="276"/>
      <w:bookmarkEnd w:id="277"/>
      <w:bookmarkEnd w:id="278"/>
      <w:bookmarkEnd w:id="279"/>
    </w:p>
    <w:p w14:paraId="33C018FA">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80" w:name="_Toc8362"/>
      <w:bookmarkStart w:id="281" w:name="_Toc17059"/>
      <w:bookmarkStart w:id="282" w:name="_Toc15485"/>
      <w:bookmarkStart w:id="283" w:name="_Toc510092969"/>
      <w:bookmarkStart w:id="284" w:name="_Toc30219"/>
      <w:r>
        <w:rPr>
          <w:rFonts w:hint="eastAsia" w:eastAsia="宋体"/>
          <w:color w:val="000000" w:themeColor="text1"/>
          <w:sz w:val="24"/>
          <w:szCs w:val="24"/>
          <w14:textFill>
            <w14:solidFill>
              <w14:schemeClr w14:val="tx1"/>
            </w14:solidFill>
          </w14:textFill>
        </w:rPr>
        <w:t>6.1短期整改内容及实施计划</w:t>
      </w:r>
      <w:bookmarkEnd w:id="280"/>
      <w:bookmarkEnd w:id="281"/>
      <w:bookmarkEnd w:id="282"/>
      <w:bookmarkEnd w:id="283"/>
      <w:bookmarkEnd w:id="284"/>
    </w:p>
    <w:p w14:paraId="192D43F9">
      <w:pPr>
        <w:adjustRightInd w:val="0"/>
        <w:snapToGrid w:val="0"/>
        <w:spacing w:line="500" w:lineRule="exact"/>
        <w:ind w:firstLine="480" w:firstLineChars="200"/>
        <w:jc w:val="left"/>
        <w:rPr>
          <w:rFonts w:eastAsia="宋体"/>
        </w:rPr>
      </w:pPr>
      <w:r>
        <w:rPr>
          <w:rFonts w:eastAsia="宋体"/>
        </w:rPr>
        <w:t>公司列入短期整改内容及实施计划见表6-1。</w:t>
      </w:r>
    </w:p>
    <w:p w14:paraId="18A958C9">
      <w:pPr>
        <w:adjustRightInd w:val="0"/>
        <w:snapToGrid w:val="0"/>
        <w:spacing w:line="500" w:lineRule="exact"/>
        <w:ind w:firstLine="482" w:firstLineChars="200"/>
        <w:jc w:val="center"/>
        <w:rPr>
          <w:rFonts w:eastAsia="宋体"/>
        </w:rPr>
      </w:pPr>
      <w:r>
        <w:rPr>
          <w:rFonts w:eastAsia="宋体"/>
          <w:b/>
          <w:bCs/>
        </w:rPr>
        <w:t>表6-1短期整改内容及实施计划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383DE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55845A2B">
            <w:pPr>
              <w:adjustRightInd w:val="0"/>
              <w:snapToGrid w:val="0"/>
              <w:jc w:val="center"/>
              <w:rPr>
                <w:rFonts w:eastAsia="宋体"/>
                <w:sz w:val="21"/>
                <w:szCs w:val="21"/>
              </w:rPr>
            </w:pPr>
            <w:r>
              <w:rPr>
                <w:rFonts w:eastAsia="宋体"/>
                <w:sz w:val="21"/>
                <w:szCs w:val="21"/>
              </w:rPr>
              <w:t>序号</w:t>
            </w:r>
          </w:p>
        </w:tc>
        <w:tc>
          <w:tcPr>
            <w:tcW w:w="1606" w:type="pct"/>
            <w:tcBorders>
              <w:tl2br w:val="nil"/>
              <w:tr2bl w:val="nil"/>
            </w:tcBorders>
            <w:vAlign w:val="center"/>
          </w:tcPr>
          <w:p w14:paraId="09D2B4E0">
            <w:pPr>
              <w:adjustRightInd w:val="0"/>
              <w:snapToGrid w:val="0"/>
              <w:jc w:val="center"/>
              <w:rPr>
                <w:rFonts w:eastAsia="宋体"/>
                <w:sz w:val="21"/>
                <w:szCs w:val="21"/>
              </w:rPr>
            </w:pPr>
            <w:r>
              <w:rPr>
                <w:rFonts w:eastAsia="宋体"/>
                <w:sz w:val="21"/>
                <w:szCs w:val="21"/>
              </w:rPr>
              <w:t>问题</w:t>
            </w:r>
          </w:p>
        </w:tc>
        <w:tc>
          <w:tcPr>
            <w:tcW w:w="1849" w:type="pct"/>
            <w:tcBorders>
              <w:tl2br w:val="nil"/>
              <w:tr2bl w:val="nil"/>
            </w:tcBorders>
            <w:vAlign w:val="center"/>
          </w:tcPr>
          <w:p w14:paraId="2CE0FD33">
            <w:pPr>
              <w:adjustRightInd w:val="0"/>
              <w:snapToGrid w:val="0"/>
              <w:jc w:val="center"/>
              <w:rPr>
                <w:rFonts w:eastAsia="宋体"/>
                <w:sz w:val="21"/>
                <w:szCs w:val="21"/>
              </w:rPr>
            </w:pPr>
            <w:r>
              <w:rPr>
                <w:rFonts w:eastAsia="宋体"/>
                <w:sz w:val="21"/>
                <w:szCs w:val="21"/>
              </w:rPr>
              <w:t>整改方案</w:t>
            </w:r>
          </w:p>
        </w:tc>
        <w:tc>
          <w:tcPr>
            <w:tcW w:w="786" w:type="pct"/>
            <w:tcBorders>
              <w:tl2br w:val="nil"/>
              <w:tr2bl w:val="nil"/>
            </w:tcBorders>
            <w:vAlign w:val="center"/>
          </w:tcPr>
          <w:p w14:paraId="7306A7D4">
            <w:pPr>
              <w:adjustRightInd w:val="0"/>
              <w:snapToGrid w:val="0"/>
              <w:jc w:val="center"/>
              <w:rPr>
                <w:rFonts w:eastAsia="宋体"/>
                <w:sz w:val="21"/>
                <w:szCs w:val="21"/>
              </w:rPr>
            </w:pPr>
            <w:r>
              <w:rPr>
                <w:rFonts w:eastAsia="宋体"/>
                <w:sz w:val="21"/>
                <w:szCs w:val="21"/>
              </w:rPr>
              <w:t>完成时间</w:t>
            </w:r>
          </w:p>
        </w:tc>
        <w:tc>
          <w:tcPr>
            <w:tcW w:w="443" w:type="pct"/>
            <w:tcBorders>
              <w:tl2br w:val="nil"/>
              <w:tr2bl w:val="nil"/>
            </w:tcBorders>
            <w:vAlign w:val="center"/>
          </w:tcPr>
          <w:p w14:paraId="0F2F5B6D">
            <w:pPr>
              <w:adjustRightInd w:val="0"/>
              <w:snapToGrid w:val="0"/>
              <w:jc w:val="center"/>
              <w:rPr>
                <w:rFonts w:eastAsia="宋体"/>
                <w:sz w:val="21"/>
                <w:szCs w:val="21"/>
              </w:rPr>
            </w:pPr>
            <w:r>
              <w:rPr>
                <w:rFonts w:eastAsia="宋体"/>
                <w:sz w:val="21"/>
                <w:szCs w:val="21"/>
              </w:rPr>
              <w:t>责任人</w:t>
            </w:r>
          </w:p>
        </w:tc>
      </w:tr>
      <w:tr w14:paraId="6E945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33710A3E">
            <w:pPr>
              <w:adjustRightInd w:val="0"/>
              <w:snapToGrid w:val="0"/>
              <w:jc w:val="center"/>
              <w:rPr>
                <w:rFonts w:eastAsia="宋体"/>
                <w:sz w:val="21"/>
                <w:szCs w:val="21"/>
              </w:rPr>
            </w:pPr>
            <w:bookmarkStart w:id="285" w:name="_Toc24534"/>
            <w:bookmarkStart w:id="286" w:name="_Toc510092970"/>
            <w:bookmarkStart w:id="287" w:name="_Toc402776224"/>
            <w:r>
              <w:rPr>
                <w:rFonts w:hint="eastAsia" w:eastAsia="宋体"/>
                <w:sz w:val="21"/>
                <w:szCs w:val="21"/>
              </w:rPr>
              <w:t>1</w:t>
            </w:r>
          </w:p>
        </w:tc>
        <w:tc>
          <w:tcPr>
            <w:tcW w:w="1606" w:type="pct"/>
            <w:tcBorders>
              <w:tl2br w:val="nil"/>
              <w:tr2bl w:val="nil"/>
            </w:tcBorders>
            <w:vAlign w:val="center"/>
          </w:tcPr>
          <w:p w14:paraId="5D5F065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未制定隐患排查年度计划</w:t>
            </w:r>
          </w:p>
        </w:tc>
        <w:tc>
          <w:tcPr>
            <w:tcW w:w="1849" w:type="pct"/>
            <w:tcBorders>
              <w:tl2br w:val="nil"/>
              <w:tr2bl w:val="nil"/>
            </w:tcBorders>
            <w:vAlign w:val="center"/>
          </w:tcPr>
          <w:p w14:paraId="5B914A14">
            <w:pPr>
              <w:adjustRightInd w:val="0"/>
              <w:snapToGrid w:val="0"/>
              <w:jc w:val="center"/>
              <w:rPr>
                <w:rFonts w:eastAsia="宋体"/>
                <w:sz w:val="21"/>
                <w:szCs w:val="21"/>
              </w:rPr>
            </w:pPr>
            <w:r>
              <w:rPr>
                <w:rFonts w:hint="eastAsia" w:eastAsia="宋体"/>
                <w:sz w:val="21"/>
                <w:szCs w:val="21"/>
                <w:lang w:val="en-US" w:eastAsia="zh-CN"/>
              </w:rPr>
              <w:t>制定隐患排查年度计划</w:t>
            </w:r>
          </w:p>
        </w:tc>
        <w:tc>
          <w:tcPr>
            <w:tcW w:w="786" w:type="pct"/>
            <w:tcBorders>
              <w:tl2br w:val="nil"/>
              <w:tr2bl w:val="nil"/>
            </w:tcBorders>
            <w:vAlign w:val="center"/>
          </w:tcPr>
          <w:p w14:paraId="263525A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70A6BB34">
            <w:pPr>
              <w:adjustRightInd w:val="0"/>
              <w:snapToGrid w:val="0"/>
              <w:jc w:val="center"/>
              <w:rPr>
                <w:rFonts w:hint="eastAsia" w:eastAsia="宋体"/>
                <w:sz w:val="21"/>
                <w:szCs w:val="21"/>
                <w:lang w:eastAsia="zh-CN"/>
              </w:rPr>
            </w:pPr>
            <w:r>
              <w:rPr>
                <w:rFonts w:hint="eastAsia" w:eastAsia="宋体"/>
                <w:color w:val="000000"/>
                <w:sz w:val="21"/>
                <w:szCs w:val="21"/>
                <w:lang w:eastAsia="zh-CN"/>
              </w:rPr>
              <w:t>蔺光保</w:t>
            </w:r>
          </w:p>
        </w:tc>
      </w:tr>
      <w:tr w14:paraId="555D8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1AD2DFA6">
            <w:pPr>
              <w:adjustRightInd w:val="0"/>
              <w:snapToGrid w:val="0"/>
              <w:jc w:val="center"/>
              <w:rPr>
                <w:rFonts w:hint="eastAsia" w:eastAsia="宋体"/>
                <w:sz w:val="21"/>
                <w:szCs w:val="21"/>
                <w:lang w:val="en-US" w:eastAsia="zh-CN"/>
              </w:rPr>
            </w:pPr>
            <w:r>
              <w:rPr>
                <w:rFonts w:hint="eastAsia" w:eastAsia="宋体"/>
                <w:sz w:val="21"/>
                <w:szCs w:val="21"/>
                <w:lang w:val="en-US" w:eastAsia="zh-CN"/>
              </w:rPr>
              <w:t>2</w:t>
            </w:r>
          </w:p>
        </w:tc>
        <w:tc>
          <w:tcPr>
            <w:tcW w:w="1606" w:type="pct"/>
            <w:tcBorders>
              <w:tl2br w:val="nil"/>
              <w:tr2bl w:val="nil"/>
            </w:tcBorders>
            <w:vAlign w:val="center"/>
          </w:tcPr>
          <w:p w14:paraId="2CA9FC3C">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环保设施未进行安全风险评价</w:t>
            </w:r>
          </w:p>
        </w:tc>
        <w:tc>
          <w:tcPr>
            <w:tcW w:w="1849" w:type="pct"/>
            <w:tcBorders>
              <w:tl2br w:val="nil"/>
              <w:tr2bl w:val="nil"/>
            </w:tcBorders>
            <w:vAlign w:val="center"/>
          </w:tcPr>
          <w:p w14:paraId="01605412">
            <w:pPr>
              <w:adjustRightInd w:val="0"/>
              <w:snapToGrid w:val="0"/>
              <w:jc w:val="center"/>
              <w:rPr>
                <w:rFonts w:hint="eastAsia" w:eastAsia="宋体"/>
                <w:sz w:val="21"/>
                <w:szCs w:val="21"/>
              </w:rPr>
            </w:pPr>
            <w:r>
              <w:rPr>
                <w:rFonts w:hint="eastAsia" w:eastAsia="宋体"/>
                <w:sz w:val="21"/>
                <w:szCs w:val="21"/>
                <w:lang w:val="en-US" w:eastAsia="zh-CN"/>
              </w:rPr>
              <w:t>环保设施进行安全风险评价</w:t>
            </w:r>
          </w:p>
        </w:tc>
        <w:tc>
          <w:tcPr>
            <w:tcW w:w="786" w:type="pct"/>
            <w:tcBorders>
              <w:tl2br w:val="nil"/>
              <w:tr2bl w:val="nil"/>
            </w:tcBorders>
            <w:vAlign w:val="center"/>
          </w:tcPr>
          <w:p w14:paraId="2E98FAD1">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0EC19EAC">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olor w:val="000000"/>
                <w:sz w:val="21"/>
                <w:szCs w:val="21"/>
                <w:lang w:eastAsia="zh-CN"/>
              </w:rPr>
              <w:t>蔺光保</w:t>
            </w:r>
          </w:p>
        </w:tc>
      </w:tr>
      <w:tr w14:paraId="43DDF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630072D8">
            <w:pPr>
              <w:adjustRightInd w:val="0"/>
              <w:snapToGrid w:val="0"/>
              <w:jc w:val="center"/>
              <w:rPr>
                <w:rFonts w:hint="eastAsia" w:eastAsia="宋体"/>
                <w:sz w:val="21"/>
                <w:szCs w:val="21"/>
                <w:lang w:eastAsia="zh-CN"/>
              </w:rPr>
            </w:pPr>
            <w:r>
              <w:rPr>
                <w:rFonts w:hint="eastAsia" w:eastAsia="宋体"/>
                <w:sz w:val="21"/>
                <w:szCs w:val="21"/>
                <w:lang w:val="en-US" w:eastAsia="zh-CN"/>
              </w:rPr>
              <w:t>3</w:t>
            </w:r>
          </w:p>
        </w:tc>
        <w:tc>
          <w:tcPr>
            <w:tcW w:w="1606" w:type="pct"/>
            <w:tcBorders>
              <w:tl2br w:val="nil"/>
              <w:tr2bl w:val="nil"/>
            </w:tcBorders>
            <w:vAlign w:val="center"/>
          </w:tcPr>
          <w:p w14:paraId="664D0EE8">
            <w:pPr>
              <w:tabs>
                <w:tab w:val="left" w:pos="432"/>
              </w:tabs>
              <w:adjustRightInd w:val="0"/>
              <w:snapToGrid w:val="0"/>
              <w:jc w:val="center"/>
              <w:rPr>
                <w:rFonts w:eastAsia="宋体"/>
                <w:sz w:val="21"/>
                <w:szCs w:val="21"/>
              </w:rPr>
            </w:pPr>
            <w:r>
              <w:rPr>
                <w:rFonts w:eastAsia="宋体"/>
                <w:sz w:val="21"/>
                <w:szCs w:val="21"/>
              </w:rPr>
              <w:t>风险单元巡查定岗定责，并确定监督检查机制</w:t>
            </w:r>
          </w:p>
        </w:tc>
        <w:tc>
          <w:tcPr>
            <w:tcW w:w="1849" w:type="pct"/>
            <w:tcBorders>
              <w:tl2br w:val="nil"/>
              <w:tr2bl w:val="nil"/>
            </w:tcBorders>
            <w:vAlign w:val="center"/>
          </w:tcPr>
          <w:p w14:paraId="76FFA59A">
            <w:pPr>
              <w:adjustRightInd w:val="0"/>
              <w:snapToGrid w:val="0"/>
              <w:jc w:val="center"/>
              <w:rPr>
                <w:rFonts w:eastAsia="宋体"/>
                <w:sz w:val="21"/>
                <w:szCs w:val="21"/>
              </w:rPr>
            </w:pPr>
            <w:r>
              <w:rPr>
                <w:rFonts w:eastAsia="宋体"/>
                <w:sz w:val="21"/>
                <w:szCs w:val="21"/>
              </w:rPr>
              <w:t>编制监督检查制度并落实至责任人</w:t>
            </w:r>
          </w:p>
        </w:tc>
        <w:tc>
          <w:tcPr>
            <w:tcW w:w="786" w:type="pct"/>
            <w:tcBorders>
              <w:tl2br w:val="nil"/>
              <w:tr2bl w:val="nil"/>
            </w:tcBorders>
            <w:vAlign w:val="center"/>
          </w:tcPr>
          <w:p w14:paraId="670CD37C">
            <w:pPr>
              <w:adjustRightInd w:val="0"/>
              <w:snapToGrid w:val="0"/>
              <w:jc w:val="center"/>
              <w:rPr>
                <w:rFonts w:eastAsia="宋体"/>
                <w:sz w:val="21"/>
                <w:szCs w:val="21"/>
              </w:rPr>
            </w:pPr>
            <w:r>
              <w:rPr>
                <w:rFonts w:hint="eastAsia" w:eastAsia="宋体"/>
                <w:sz w:val="21"/>
                <w:szCs w:val="21"/>
                <w:lang w:eastAsia="zh-CN"/>
              </w:rPr>
              <w:t>2025</w:t>
            </w:r>
            <w:r>
              <w:rPr>
                <w:rFonts w:hint="eastAsia" w:eastAsia="宋体"/>
                <w:sz w:val="21"/>
                <w:szCs w:val="21"/>
              </w:rPr>
              <w:t>年</w:t>
            </w:r>
            <w:r>
              <w:rPr>
                <w:rFonts w:hint="eastAsia" w:eastAsia="宋体"/>
                <w:sz w:val="21"/>
                <w:szCs w:val="21"/>
                <w:lang w:val="en-US" w:eastAsia="zh-CN"/>
              </w:rPr>
              <w:t>5</w:t>
            </w:r>
            <w:r>
              <w:rPr>
                <w:rFonts w:hint="eastAsia" w:eastAsia="宋体"/>
                <w:sz w:val="21"/>
                <w:szCs w:val="21"/>
              </w:rPr>
              <w:t>月</w:t>
            </w:r>
          </w:p>
        </w:tc>
        <w:tc>
          <w:tcPr>
            <w:tcW w:w="443" w:type="pct"/>
            <w:tcBorders>
              <w:tl2br w:val="nil"/>
              <w:tr2bl w:val="nil"/>
            </w:tcBorders>
            <w:vAlign w:val="center"/>
          </w:tcPr>
          <w:p w14:paraId="0719B1A0">
            <w:pPr>
              <w:adjustRightInd w:val="0"/>
              <w:snapToGrid w:val="0"/>
              <w:jc w:val="center"/>
              <w:rPr>
                <w:rFonts w:hint="eastAsia" w:eastAsia="宋体"/>
                <w:sz w:val="21"/>
                <w:szCs w:val="21"/>
                <w:lang w:eastAsia="zh-CN"/>
              </w:rPr>
            </w:pPr>
            <w:r>
              <w:rPr>
                <w:rFonts w:hint="eastAsia" w:eastAsia="宋体"/>
                <w:color w:val="000000"/>
                <w:sz w:val="21"/>
                <w:szCs w:val="21"/>
                <w:lang w:eastAsia="zh-CN"/>
              </w:rPr>
              <w:t>蔺光保</w:t>
            </w:r>
          </w:p>
        </w:tc>
      </w:tr>
      <w:tr w14:paraId="39D66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A5575EE">
            <w:pPr>
              <w:adjustRightInd w:val="0"/>
              <w:snapToGrid w:val="0"/>
              <w:jc w:val="center"/>
              <w:rPr>
                <w:rFonts w:hint="default" w:eastAsia="宋体"/>
                <w:sz w:val="21"/>
                <w:szCs w:val="21"/>
                <w:lang w:val="en-US" w:eastAsia="zh-CN"/>
              </w:rPr>
            </w:pPr>
            <w:bookmarkStart w:id="288" w:name="_Toc25535"/>
            <w:bookmarkStart w:id="289" w:name="_Toc1274"/>
            <w:bookmarkStart w:id="290" w:name="_Toc28359"/>
            <w:r>
              <w:rPr>
                <w:rFonts w:hint="eastAsia" w:eastAsia="宋体"/>
                <w:sz w:val="21"/>
                <w:szCs w:val="21"/>
                <w:lang w:val="en-US" w:eastAsia="zh-CN"/>
              </w:rPr>
              <w:t>4</w:t>
            </w:r>
          </w:p>
        </w:tc>
        <w:tc>
          <w:tcPr>
            <w:tcW w:w="1606" w:type="pct"/>
            <w:tcBorders>
              <w:tl2br w:val="nil"/>
              <w:tr2bl w:val="nil"/>
            </w:tcBorders>
            <w:vAlign w:val="center"/>
          </w:tcPr>
          <w:p w14:paraId="1B979578">
            <w:pPr>
              <w:tabs>
                <w:tab w:val="left" w:pos="432"/>
              </w:tabs>
              <w:adjustRightInd w:val="0"/>
              <w:snapToGrid w:val="0"/>
              <w:jc w:val="center"/>
              <w:rPr>
                <w:rFonts w:hint="default" w:eastAsia="宋体"/>
                <w:sz w:val="21"/>
                <w:szCs w:val="21"/>
                <w:lang w:val="en-US"/>
              </w:rPr>
            </w:pPr>
            <w:r>
              <w:rPr>
                <w:rFonts w:hint="eastAsia" w:eastAsia="宋体"/>
                <w:sz w:val="21"/>
                <w:szCs w:val="21"/>
                <w:lang w:val="en-US" w:eastAsia="zh-CN"/>
              </w:rPr>
              <w:t>雨水阀门和应急池阀门未建立</w:t>
            </w:r>
          </w:p>
        </w:tc>
        <w:tc>
          <w:tcPr>
            <w:tcW w:w="1849" w:type="pct"/>
            <w:tcBorders>
              <w:tl2br w:val="nil"/>
              <w:tr2bl w:val="nil"/>
            </w:tcBorders>
            <w:vAlign w:val="center"/>
          </w:tcPr>
          <w:p w14:paraId="2EA50A03">
            <w:pPr>
              <w:adjustRightInd w:val="0"/>
              <w:snapToGrid w:val="0"/>
              <w:jc w:val="center"/>
              <w:rPr>
                <w:rFonts w:hint="default" w:eastAsia="宋体"/>
                <w:sz w:val="21"/>
                <w:szCs w:val="21"/>
                <w:lang w:val="en-US" w:eastAsia="zh-CN"/>
              </w:rPr>
            </w:pPr>
            <w:r>
              <w:rPr>
                <w:rFonts w:hint="eastAsia" w:eastAsia="宋体"/>
                <w:sz w:val="21"/>
                <w:szCs w:val="21"/>
                <w:lang w:val="en-US" w:eastAsia="zh-CN"/>
              </w:rPr>
              <w:t>设立雨水阀门、应急池阀门</w:t>
            </w:r>
          </w:p>
        </w:tc>
        <w:tc>
          <w:tcPr>
            <w:tcW w:w="786" w:type="pct"/>
            <w:tcBorders>
              <w:tl2br w:val="nil"/>
              <w:tr2bl w:val="nil"/>
            </w:tcBorders>
            <w:vAlign w:val="center"/>
          </w:tcPr>
          <w:p w14:paraId="7BAC4364">
            <w:pPr>
              <w:adjustRightInd w:val="0"/>
              <w:snapToGrid w:val="0"/>
              <w:jc w:val="center"/>
              <w:rPr>
                <w:rFonts w:hint="default" w:eastAsia="宋体"/>
                <w:sz w:val="21"/>
                <w:szCs w:val="21"/>
                <w:lang w:val="en-US" w:eastAsia="zh-CN"/>
              </w:rPr>
            </w:pPr>
            <w:r>
              <w:rPr>
                <w:rFonts w:hint="eastAsia" w:eastAsia="宋体"/>
                <w:sz w:val="21"/>
                <w:szCs w:val="21"/>
                <w:lang w:val="en-US" w:eastAsia="zh-CN"/>
              </w:rPr>
              <w:t>2025年5月</w:t>
            </w:r>
          </w:p>
        </w:tc>
        <w:tc>
          <w:tcPr>
            <w:tcW w:w="443" w:type="pct"/>
            <w:tcBorders>
              <w:tl2br w:val="nil"/>
              <w:tr2bl w:val="nil"/>
            </w:tcBorders>
            <w:vAlign w:val="center"/>
          </w:tcPr>
          <w:p w14:paraId="1C035222">
            <w:pPr>
              <w:adjustRightInd w:val="0"/>
              <w:snapToGrid w:val="0"/>
              <w:jc w:val="center"/>
              <w:rPr>
                <w:rFonts w:hint="eastAsia" w:eastAsia="宋体"/>
                <w:color w:val="000000"/>
                <w:sz w:val="21"/>
                <w:szCs w:val="21"/>
                <w:lang w:eastAsia="zh-CN"/>
              </w:rPr>
            </w:pPr>
            <w:r>
              <w:rPr>
                <w:rFonts w:hint="eastAsia" w:eastAsia="宋体"/>
                <w:color w:val="000000"/>
                <w:sz w:val="21"/>
                <w:szCs w:val="21"/>
                <w:lang w:eastAsia="zh-CN"/>
              </w:rPr>
              <w:t>蔺光保</w:t>
            </w:r>
          </w:p>
        </w:tc>
      </w:tr>
    </w:tbl>
    <w:p w14:paraId="5465CCB3">
      <w:pPr>
        <w:pStyle w:val="3"/>
        <w:adjustRightInd w:val="0"/>
        <w:snapToGrid w:val="0"/>
        <w:spacing w:line="500" w:lineRule="exact"/>
        <w:jc w:val="lef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6.2中、长期整改内容及实施计划</w:t>
      </w:r>
      <w:bookmarkEnd w:id="285"/>
      <w:bookmarkEnd w:id="286"/>
      <w:bookmarkEnd w:id="287"/>
      <w:bookmarkEnd w:id="288"/>
      <w:bookmarkEnd w:id="289"/>
      <w:bookmarkEnd w:id="290"/>
    </w:p>
    <w:p w14:paraId="43009503">
      <w:pPr>
        <w:adjustRightInd w:val="0"/>
        <w:snapToGrid w:val="0"/>
        <w:spacing w:line="500" w:lineRule="exact"/>
        <w:ind w:firstLine="480" w:firstLineChars="200"/>
        <w:jc w:val="left"/>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公司列入中、长期整改内容及实施计划见表6-2。</w:t>
      </w:r>
    </w:p>
    <w:p w14:paraId="1F7BFC3C">
      <w:pPr>
        <w:adjustRightInd w:val="0"/>
        <w:snapToGrid w:val="0"/>
        <w:spacing w:line="500" w:lineRule="exact"/>
        <w:jc w:val="center"/>
        <w:rPr>
          <w:rFonts w:eastAsia="宋体"/>
          <w:b/>
          <w:bCs/>
        </w:rPr>
      </w:pPr>
      <w:r>
        <w:rPr>
          <w:rFonts w:eastAsia="宋体"/>
          <w:b/>
          <w:bCs/>
        </w:rPr>
        <w:t>表6-2中、长期整改内容及实施计划</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1F7BD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30C66E11">
            <w:pPr>
              <w:adjustRightInd w:val="0"/>
              <w:snapToGrid w:val="0"/>
              <w:jc w:val="center"/>
              <w:rPr>
                <w:rFonts w:eastAsia="宋体"/>
                <w:sz w:val="21"/>
                <w:szCs w:val="21"/>
              </w:rPr>
            </w:pPr>
            <w:r>
              <w:rPr>
                <w:rFonts w:eastAsia="宋体"/>
                <w:sz w:val="21"/>
                <w:szCs w:val="21"/>
              </w:rPr>
              <w:t>序号</w:t>
            </w:r>
          </w:p>
        </w:tc>
        <w:tc>
          <w:tcPr>
            <w:tcW w:w="1368" w:type="pct"/>
            <w:tcBorders>
              <w:tl2br w:val="nil"/>
              <w:tr2bl w:val="nil"/>
            </w:tcBorders>
            <w:vAlign w:val="center"/>
          </w:tcPr>
          <w:p w14:paraId="57BE015C">
            <w:pPr>
              <w:adjustRightInd w:val="0"/>
              <w:snapToGrid w:val="0"/>
              <w:jc w:val="center"/>
              <w:rPr>
                <w:rFonts w:eastAsia="宋体"/>
                <w:sz w:val="21"/>
                <w:szCs w:val="21"/>
              </w:rPr>
            </w:pPr>
            <w:r>
              <w:rPr>
                <w:rFonts w:eastAsia="宋体"/>
                <w:sz w:val="21"/>
                <w:szCs w:val="21"/>
              </w:rPr>
              <w:t>问题</w:t>
            </w:r>
          </w:p>
        </w:tc>
        <w:tc>
          <w:tcPr>
            <w:tcW w:w="1792" w:type="pct"/>
            <w:tcBorders>
              <w:tl2br w:val="nil"/>
              <w:tr2bl w:val="nil"/>
            </w:tcBorders>
            <w:vAlign w:val="center"/>
          </w:tcPr>
          <w:p w14:paraId="6B63D1D7">
            <w:pPr>
              <w:adjustRightInd w:val="0"/>
              <w:snapToGrid w:val="0"/>
              <w:jc w:val="center"/>
              <w:rPr>
                <w:rFonts w:eastAsia="宋体"/>
                <w:sz w:val="21"/>
                <w:szCs w:val="21"/>
              </w:rPr>
            </w:pPr>
            <w:r>
              <w:rPr>
                <w:rFonts w:eastAsia="宋体"/>
                <w:sz w:val="21"/>
                <w:szCs w:val="21"/>
              </w:rPr>
              <w:t>整改方案</w:t>
            </w:r>
          </w:p>
        </w:tc>
        <w:tc>
          <w:tcPr>
            <w:tcW w:w="850" w:type="pct"/>
            <w:tcBorders>
              <w:tl2br w:val="nil"/>
              <w:tr2bl w:val="nil"/>
            </w:tcBorders>
            <w:vAlign w:val="center"/>
          </w:tcPr>
          <w:p w14:paraId="7CE9DD3B">
            <w:pPr>
              <w:adjustRightInd w:val="0"/>
              <w:snapToGrid w:val="0"/>
              <w:jc w:val="center"/>
              <w:rPr>
                <w:rFonts w:eastAsia="宋体"/>
                <w:sz w:val="21"/>
                <w:szCs w:val="21"/>
              </w:rPr>
            </w:pPr>
            <w:r>
              <w:rPr>
                <w:rFonts w:eastAsia="宋体"/>
                <w:sz w:val="21"/>
                <w:szCs w:val="21"/>
              </w:rPr>
              <w:t>完成时间</w:t>
            </w:r>
          </w:p>
        </w:tc>
        <w:tc>
          <w:tcPr>
            <w:tcW w:w="570" w:type="pct"/>
            <w:tcBorders>
              <w:tl2br w:val="nil"/>
              <w:tr2bl w:val="nil"/>
            </w:tcBorders>
            <w:vAlign w:val="center"/>
          </w:tcPr>
          <w:p w14:paraId="6BF96325">
            <w:pPr>
              <w:adjustRightInd w:val="0"/>
              <w:snapToGrid w:val="0"/>
              <w:jc w:val="center"/>
              <w:rPr>
                <w:rFonts w:eastAsia="宋体"/>
                <w:sz w:val="21"/>
                <w:szCs w:val="21"/>
              </w:rPr>
            </w:pPr>
            <w:r>
              <w:rPr>
                <w:rFonts w:eastAsia="宋体"/>
                <w:sz w:val="21"/>
                <w:szCs w:val="21"/>
              </w:rPr>
              <w:t>责任人</w:t>
            </w:r>
          </w:p>
        </w:tc>
      </w:tr>
      <w:tr w14:paraId="0CC1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5B5DB022">
            <w:pPr>
              <w:adjustRightInd w:val="0"/>
              <w:snapToGrid w:val="0"/>
              <w:jc w:val="center"/>
              <w:rPr>
                <w:rFonts w:eastAsia="宋体"/>
                <w:sz w:val="21"/>
                <w:szCs w:val="21"/>
              </w:rPr>
            </w:pPr>
            <w:r>
              <w:rPr>
                <w:rFonts w:hint="eastAsia" w:eastAsia="宋体"/>
                <w:sz w:val="21"/>
                <w:szCs w:val="21"/>
              </w:rPr>
              <w:t>1</w:t>
            </w:r>
          </w:p>
        </w:tc>
        <w:tc>
          <w:tcPr>
            <w:tcW w:w="1368" w:type="pct"/>
            <w:tcBorders>
              <w:tl2br w:val="nil"/>
              <w:tr2bl w:val="nil"/>
            </w:tcBorders>
            <w:vAlign w:val="center"/>
          </w:tcPr>
          <w:p w14:paraId="13E8A6A5">
            <w:pPr>
              <w:tabs>
                <w:tab w:val="left" w:pos="432"/>
              </w:tabs>
              <w:adjustRightInd w:val="0"/>
              <w:snapToGrid w:val="0"/>
              <w:jc w:val="center"/>
              <w:rPr>
                <w:rFonts w:eastAsia="宋体"/>
                <w:sz w:val="21"/>
                <w:szCs w:val="21"/>
              </w:rPr>
            </w:pPr>
            <w:r>
              <w:rPr>
                <w:rFonts w:eastAsia="宋体"/>
                <w:sz w:val="21"/>
                <w:szCs w:val="21"/>
              </w:rPr>
              <w:t>公司未开展应急法律法规的宣传工作，也未对职工进行环境风险和环境应急管理方面“一案三制”的培训</w:t>
            </w:r>
          </w:p>
        </w:tc>
        <w:tc>
          <w:tcPr>
            <w:tcW w:w="1792" w:type="pct"/>
            <w:tcBorders>
              <w:tl2br w:val="nil"/>
              <w:tr2bl w:val="nil"/>
            </w:tcBorders>
            <w:vAlign w:val="center"/>
          </w:tcPr>
          <w:p w14:paraId="4B530E6A">
            <w:pPr>
              <w:adjustRightInd w:val="0"/>
              <w:snapToGrid w:val="0"/>
              <w:jc w:val="center"/>
              <w:rPr>
                <w:rFonts w:eastAsia="宋体"/>
                <w:sz w:val="21"/>
                <w:szCs w:val="21"/>
              </w:rPr>
            </w:pPr>
            <w:r>
              <w:rPr>
                <w:rFonts w:eastAsia="宋体"/>
                <w:sz w:val="21"/>
                <w:szCs w:val="21"/>
              </w:rPr>
              <w:t>对员工加强应急预案宣传和培训并组织演练</w:t>
            </w:r>
          </w:p>
        </w:tc>
        <w:tc>
          <w:tcPr>
            <w:tcW w:w="850" w:type="pct"/>
            <w:tcBorders>
              <w:tl2br w:val="nil"/>
              <w:tr2bl w:val="nil"/>
            </w:tcBorders>
            <w:vAlign w:val="center"/>
          </w:tcPr>
          <w:p w14:paraId="4A79852E">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4AE9CB5C">
            <w:pPr>
              <w:adjustRightInd w:val="0"/>
              <w:snapToGrid w:val="0"/>
              <w:jc w:val="center"/>
              <w:rPr>
                <w:rFonts w:hint="eastAsia" w:eastAsia="宋体"/>
                <w:sz w:val="21"/>
                <w:szCs w:val="21"/>
                <w:lang w:eastAsia="zh-CN"/>
              </w:rPr>
            </w:pPr>
            <w:r>
              <w:rPr>
                <w:rFonts w:hint="eastAsia" w:eastAsia="宋体"/>
                <w:color w:val="000000"/>
                <w:sz w:val="21"/>
                <w:szCs w:val="21"/>
                <w:lang w:eastAsia="zh-CN"/>
              </w:rPr>
              <w:t>蔺光保</w:t>
            </w:r>
          </w:p>
        </w:tc>
      </w:tr>
      <w:tr w14:paraId="58D5F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DA63AC7">
            <w:pPr>
              <w:adjustRightInd w:val="0"/>
              <w:snapToGrid w:val="0"/>
              <w:jc w:val="center"/>
              <w:rPr>
                <w:rFonts w:eastAsia="宋体"/>
                <w:sz w:val="21"/>
                <w:szCs w:val="21"/>
              </w:rPr>
            </w:pPr>
            <w:r>
              <w:rPr>
                <w:rFonts w:hint="eastAsia" w:eastAsia="宋体"/>
                <w:sz w:val="21"/>
                <w:szCs w:val="21"/>
              </w:rPr>
              <w:t>2</w:t>
            </w:r>
          </w:p>
        </w:tc>
        <w:tc>
          <w:tcPr>
            <w:tcW w:w="1368" w:type="pct"/>
            <w:tcBorders>
              <w:tl2br w:val="nil"/>
              <w:tr2bl w:val="nil"/>
            </w:tcBorders>
            <w:vAlign w:val="center"/>
          </w:tcPr>
          <w:p w14:paraId="0F8A20E4">
            <w:pPr>
              <w:tabs>
                <w:tab w:val="left" w:pos="432"/>
              </w:tabs>
              <w:adjustRightInd w:val="0"/>
              <w:snapToGrid w:val="0"/>
              <w:jc w:val="center"/>
              <w:rPr>
                <w:rFonts w:eastAsia="宋体"/>
                <w:sz w:val="21"/>
                <w:szCs w:val="21"/>
              </w:rPr>
            </w:pPr>
            <w:r>
              <w:rPr>
                <w:rFonts w:eastAsia="宋体"/>
                <w:sz w:val="21"/>
                <w:szCs w:val="21"/>
              </w:rPr>
              <w:t>需要进行进一步的宣传工作，确保周边敏感目标对应急疏散的措施和手段有所了解</w:t>
            </w:r>
          </w:p>
        </w:tc>
        <w:tc>
          <w:tcPr>
            <w:tcW w:w="1792" w:type="pct"/>
            <w:tcBorders>
              <w:tl2br w:val="nil"/>
              <w:tr2bl w:val="nil"/>
            </w:tcBorders>
            <w:vAlign w:val="center"/>
          </w:tcPr>
          <w:p w14:paraId="3FF38D8C">
            <w:pPr>
              <w:adjustRightInd w:val="0"/>
              <w:snapToGrid w:val="0"/>
              <w:jc w:val="center"/>
              <w:rPr>
                <w:rFonts w:eastAsia="宋体"/>
                <w:sz w:val="21"/>
                <w:szCs w:val="21"/>
              </w:rPr>
            </w:pPr>
            <w:r>
              <w:rPr>
                <w:rFonts w:eastAsia="宋体"/>
                <w:sz w:val="21"/>
                <w:szCs w:val="21"/>
              </w:rPr>
              <w:t>加强宣传工作，可印制宣传手册分发至周边敏感目标</w:t>
            </w:r>
          </w:p>
        </w:tc>
        <w:tc>
          <w:tcPr>
            <w:tcW w:w="850" w:type="pct"/>
            <w:tcBorders>
              <w:tl2br w:val="nil"/>
              <w:tr2bl w:val="nil"/>
            </w:tcBorders>
            <w:vAlign w:val="center"/>
          </w:tcPr>
          <w:p w14:paraId="5A1A2789">
            <w:pPr>
              <w:adjustRightInd w:val="0"/>
              <w:snapToGrid w:val="0"/>
              <w:jc w:val="center"/>
              <w:rPr>
                <w:rFonts w:eastAsia="宋体"/>
                <w:sz w:val="21"/>
                <w:szCs w:val="21"/>
              </w:rPr>
            </w:pPr>
            <w:r>
              <w:rPr>
                <w:rFonts w:hint="eastAsia" w:eastAsia="宋体"/>
                <w:sz w:val="21"/>
                <w:szCs w:val="21"/>
                <w:lang w:eastAsia="zh-CN"/>
              </w:rPr>
              <w:t>2025</w:t>
            </w:r>
            <w:r>
              <w:rPr>
                <w:rFonts w:eastAsia="宋体"/>
                <w:sz w:val="21"/>
                <w:szCs w:val="21"/>
              </w:rPr>
              <w:t>年</w:t>
            </w:r>
            <w:r>
              <w:rPr>
                <w:rFonts w:hint="eastAsia" w:eastAsia="宋体"/>
                <w:sz w:val="21"/>
                <w:szCs w:val="21"/>
                <w:lang w:val="en-US" w:eastAsia="zh-CN"/>
              </w:rPr>
              <w:t>5</w:t>
            </w:r>
            <w:r>
              <w:rPr>
                <w:rFonts w:eastAsia="宋体"/>
                <w:sz w:val="21"/>
                <w:szCs w:val="21"/>
              </w:rPr>
              <w:t>月</w:t>
            </w:r>
          </w:p>
        </w:tc>
        <w:tc>
          <w:tcPr>
            <w:tcW w:w="570" w:type="pct"/>
            <w:tcBorders>
              <w:tl2br w:val="nil"/>
              <w:tr2bl w:val="nil"/>
            </w:tcBorders>
            <w:vAlign w:val="center"/>
          </w:tcPr>
          <w:p w14:paraId="1D543A09">
            <w:pPr>
              <w:adjustRightInd w:val="0"/>
              <w:snapToGrid w:val="0"/>
              <w:jc w:val="center"/>
              <w:rPr>
                <w:rFonts w:hint="eastAsia" w:eastAsia="宋体"/>
                <w:sz w:val="21"/>
                <w:szCs w:val="21"/>
                <w:lang w:eastAsia="zh-CN"/>
              </w:rPr>
            </w:pPr>
            <w:r>
              <w:rPr>
                <w:rFonts w:hint="eastAsia" w:eastAsia="宋体"/>
                <w:color w:val="000000"/>
                <w:sz w:val="21"/>
                <w:szCs w:val="21"/>
                <w:lang w:eastAsia="zh-CN"/>
              </w:rPr>
              <w:t>蔺光保</w:t>
            </w:r>
          </w:p>
        </w:tc>
      </w:tr>
    </w:tbl>
    <w:p w14:paraId="67591CC2">
      <w:pPr>
        <w:adjustRightInd w:val="0"/>
        <w:snapToGrid w:val="0"/>
        <w:spacing w:line="500" w:lineRule="exact"/>
        <w:ind w:firstLine="480" w:firstLineChars="200"/>
        <w:jc w:val="left"/>
        <w:rPr>
          <w:rFonts w:ascii="宋体" w:hAnsi="宋体" w:eastAsia="宋体" w:cs="宋体"/>
        </w:rPr>
      </w:pPr>
    </w:p>
    <w:p w14:paraId="3A9D1A02">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64"/>
    <w:bookmarkEnd w:id="265"/>
    <w:p w14:paraId="3C340E47">
      <w:pPr>
        <w:pStyle w:val="2"/>
        <w:adjustRightInd w:val="0"/>
        <w:snapToGrid w:val="0"/>
        <w:spacing w:line="500" w:lineRule="exact"/>
        <w:rPr>
          <w:rFonts w:eastAsia="宋体"/>
          <w:sz w:val="24"/>
          <w:szCs w:val="24"/>
        </w:rPr>
      </w:pPr>
      <w:bookmarkStart w:id="291" w:name="_Toc12711"/>
      <w:bookmarkStart w:id="292" w:name="_Toc22418"/>
      <w:bookmarkStart w:id="293" w:name="_Toc8571"/>
      <w:bookmarkStart w:id="294" w:name="_Toc24013"/>
      <w:bookmarkStart w:id="295" w:name="_Toc535516085"/>
      <w:bookmarkStart w:id="296" w:name="_Toc353379552"/>
      <w:r>
        <w:rPr>
          <w:rFonts w:hint="eastAsia" w:eastAsia="宋体"/>
          <w:sz w:val="24"/>
          <w:szCs w:val="24"/>
        </w:rPr>
        <w:t>7企业突发环境事件风险等级</w:t>
      </w:r>
      <w:bookmarkEnd w:id="291"/>
      <w:bookmarkEnd w:id="292"/>
      <w:bookmarkEnd w:id="293"/>
      <w:bookmarkEnd w:id="294"/>
      <w:bookmarkEnd w:id="295"/>
    </w:p>
    <w:p w14:paraId="11BEF083">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297" w:name="_Toc1190"/>
      <w:bookmarkStart w:id="298" w:name="_Toc535516086"/>
      <w:bookmarkStart w:id="299" w:name="_Toc510102127"/>
      <w:bookmarkStart w:id="300" w:name="_Toc31961"/>
      <w:bookmarkStart w:id="301" w:name="_Toc534722043"/>
      <w:bookmarkStart w:id="302" w:name="_Toc10459"/>
      <w:bookmarkStart w:id="303" w:name="_Toc23014"/>
      <w:bookmarkStart w:id="304" w:name="_Toc8659"/>
      <w:r>
        <w:rPr>
          <w:rFonts w:hint="eastAsia" w:eastAsia="宋体"/>
          <w:color w:val="000000" w:themeColor="text1"/>
          <w:sz w:val="24"/>
          <w:szCs w:val="24"/>
          <w14:textFill>
            <w14:solidFill>
              <w14:schemeClr w14:val="tx1"/>
            </w14:solidFill>
          </w14:textFill>
        </w:rPr>
        <w:t>7.1</w:t>
      </w:r>
      <w:bookmarkEnd w:id="297"/>
      <w:bookmarkEnd w:id="298"/>
      <w:bookmarkEnd w:id="299"/>
      <w:bookmarkEnd w:id="300"/>
      <w:bookmarkEnd w:id="301"/>
      <w:r>
        <w:rPr>
          <w:rFonts w:hint="eastAsia" w:eastAsia="宋体"/>
          <w:color w:val="000000" w:themeColor="text1"/>
          <w:sz w:val="24"/>
          <w:szCs w:val="24"/>
          <w14:textFill>
            <w14:solidFill>
              <w14:schemeClr w14:val="tx1"/>
            </w14:solidFill>
          </w14:textFill>
        </w:rPr>
        <w:t>企业突发大气环境事件风险等级</w:t>
      </w:r>
      <w:bookmarkEnd w:id="302"/>
      <w:bookmarkEnd w:id="303"/>
      <w:bookmarkEnd w:id="304"/>
    </w:p>
    <w:p w14:paraId="753F8E52">
      <w:pPr>
        <w:pStyle w:val="5"/>
        <w:adjustRightInd w:val="0"/>
        <w:snapToGrid w:val="0"/>
        <w:spacing w:line="500" w:lineRule="exact"/>
        <w:jc w:val="left"/>
        <w:rPr>
          <w:rFonts w:eastAsia="宋体"/>
          <w:color w:val="000000" w:themeColor="text1"/>
          <w14:textFill>
            <w14:solidFill>
              <w14:schemeClr w14:val="tx1"/>
            </w14:solidFill>
          </w14:textFill>
        </w:rPr>
      </w:pPr>
      <w:bookmarkStart w:id="305" w:name="_Toc32695"/>
      <w:bookmarkStart w:id="306" w:name="_Toc14978"/>
      <w:bookmarkStart w:id="307" w:name="_Toc3108"/>
      <w:r>
        <w:rPr>
          <w:rFonts w:hint="eastAsia" w:eastAsia="宋体"/>
          <w:color w:val="000000" w:themeColor="text1"/>
          <w14:textFill>
            <w14:solidFill>
              <w14:schemeClr w14:val="tx1"/>
            </w14:solidFill>
          </w14:textFill>
        </w:rPr>
        <w:t>7.1.1涉气风险物质数量与临界值比值（Q）</w:t>
      </w:r>
      <w:bookmarkEnd w:id="305"/>
      <w:bookmarkEnd w:id="306"/>
      <w:bookmarkEnd w:id="307"/>
    </w:p>
    <w:p w14:paraId="0B95A727">
      <w:pPr>
        <w:pStyle w:val="13"/>
        <w:spacing w:after="0" w:line="500" w:lineRule="exact"/>
        <w:ind w:firstLine="480" w:firstLineChars="200"/>
        <w:rPr>
          <w:rFonts w:eastAsia="宋体"/>
        </w:rPr>
      </w:pPr>
      <w:r>
        <w:rPr>
          <w:rFonts w:eastAsia="宋体"/>
        </w:rPr>
        <w:t>企业生产原料、成品、辅助生产物料、燃料、“三废”污染物等是否涉及大气</w:t>
      </w:r>
      <w:r>
        <w:rPr>
          <w:rFonts w:eastAsia="宋体"/>
          <w:spacing w:val="-5"/>
        </w:rPr>
        <w:t>环境风险物质</w:t>
      </w:r>
      <w:r>
        <w:rPr>
          <w:rFonts w:eastAsia="宋体"/>
        </w:rPr>
        <w:t>（</w:t>
      </w:r>
      <w:r>
        <w:rPr>
          <w:rFonts w:eastAsia="宋体"/>
          <w:spacing w:val="-1"/>
        </w:rPr>
        <w:t>混合或稀释的风险物质按其组分比例折算成纯物质</w:t>
      </w:r>
      <w:r>
        <w:rPr>
          <w:rFonts w:eastAsia="宋体"/>
          <w:spacing w:val="-31"/>
        </w:rPr>
        <w:t>）</w:t>
      </w:r>
      <w:r>
        <w:rPr>
          <w:rFonts w:eastAsia="宋体"/>
          <w:spacing w:val="-8"/>
        </w:rPr>
        <w:t>，计算涉气</w:t>
      </w:r>
      <w:r>
        <w:rPr>
          <w:rFonts w:eastAsia="宋体"/>
          <w:spacing w:val="-17"/>
        </w:rPr>
        <w:t>风险物质在厂界内的存在量</w:t>
      </w:r>
      <w:r>
        <w:rPr>
          <w:rFonts w:eastAsia="宋体"/>
        </w:rPr>
        <w:t>（</w:t>
      </w:r>
      <w:r>
        <w:rPr>
          <w:rFonts w:eastAsia="宋体"/>
          <w:spacing w:val="-10"/>
        </w:rPr>
        <w:t>如存在量呈动态变化，则按年度内最大存在量计算</w:t>
      </w:r>
      <w:r>
        <w:rPr>
          <w:rFonts w:eastAsia="宋体"/>
          <w:spacing w:val="-16"/>
        </w:rPr>
        <w:t>）</w:t>
      </w:r>
      <w:r>
        <w:rPr>
          <w:rFonts w:eastAsia="宋体"/>
          <w:spacing w:val="-3"/>
        </w:rPr>
        <w:t>与其在附录</w:t>
      </w:r>
      <w:r>
        <w:rPr>
          <w:rFonts w:eastAsia="宋体"/>
        </w:rPr>
        <w:t>A中临界量的比值Q：</w:t>
      </w:r>
    </w:p>
    <w:p w14:paraId="1F1D1706">
      <w:pPr>
        <w:pStyle w:val="13"/>
        <w:spacing w:after="0" w:line="500" w:lineRule="exact"/>
        <w:ind w:firstLine="480" w:firstLineChars="200"/>
        <w:rPr>
          <w:rFonts w:eastAsia="宋体"/>
        </w:rPr>
      </w:pPr>
      <w:r>
        <w:rPr>
          <w:rFonts w:eastAsia="宋体"/>
        </w:rPr>
        <w:t>1、当企业只涉及一种化学物质时，该物质的总数量与其临界量比值，即为Q。</w:t>
      </w:r>
    </w:p>
    <w:p w14:paraId="67E69139">
      <w:pPr>
        <w:pStyle w:val="13"/>
        <w:spacing w:after="0" w:line="500" w:lineRule="exact"/>
        <w:ind w:firstLine="480" w:firstLineChars="200"/>
        <w:rPr>
          <w:rFonts w:eastAsia="宋体"/>
        </w:rPr>
      </w:pPr>
      <w:r>
        <w:rPr>
          <w:rFonts w:eastAsia="宋体"/>
        </w:rPr>
        <w:t>2、当企业存在多种化学物质时，则按式（1）计算物质数量与其临界量比值（Q）：</w:t>
      </w:r>
    </w:p>
    <w:p w14:paraId="7CE6783C">
      <w:pPr>
        <w:pStyle w:val="13"/>
        <w:spacing w:after="0" w:line="500" w:lineRule="exact"/>
        <w:ind w:firstLine="480" w:firstLineChars="200"/>
        <w:rPr>
          <w:rFonts w:eastAsia="宋体"/>
        </w:rPr>
      </w:pPr>
      <w:r>
        <w:rPr>
          <w:rFonts w:hint="eastAsia" w:ascii="宋体" w:hAnsi="宋体" w:eastAsia="宋体" w:cs="宋体"/>
        </w:rPr>
        <w:drawing>
          <wp:anchor distT="0" distB="0" distL="0" distR="0" simplePos="0" relativeHeight="251662336"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4"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eastAsia="宋体"/>
        </w:rPr>
        <w:t>式中：w1，w2，……，wn—每种危险物质实际存在量（</w:t>
      </w:r>
      <w:r>
        <w:rPr>
          <w:rFonts w:hint="eastAsia" w:eastAsia="宋体"/>
        </w:rPr>
        <w:t>t</w:t>
      </w:r>
      <w:r>
        <w:rPr>
          <w:rFonts w:eastAsia="宋体"/>
        </w:rPr>
        <w:t>）；</w:t>
      </w:r>
    </w:p>
    <w:p w14:paraId="3A2A39D9">
      <w:pPr>
        <w:pStyle w:val="13"/>
        <w:spacing w:after="0" w:line="500" w:lineRule="exact"/>
        <w:ind w:firstLine="480" w:firstLineChars="200"/>
        <w:rPr>
          <w:rFonts w:eastAsia="宋体"/>
        </w:rPr>
      </w:pPr>
      <w:r>
        <w:rPr>
          <w:rFonts w:eastAsia="宋体"/>
        </w:rPr>
        <w:t>W1，W</w:t>
      </w:r>
      <w:r>
        <w:rPr>
          <w:rFonts w:hint="eastAsia" w:eastAsia="宋体"/>
        </w:rPr>
        <w:t>2</w:t>
      </w:r>
      <w:r>
        <w:rPr>
          <w:rFonts w:eastAsia="宋体"/>
        </w:rPr>
        <w:t>，……，Wn—与各危险物质相对应的临界量（</w:t>
      </w:r>
      <w:r>
        <w:rPr>
          <w:rFonts w:hint="eastAsia" w:eastAsia="宋体"/>
        </w:rPr>
        <w:t>t</w:t>
      </w:r>
      <w:r>
        <w:rPr>
          <w:rFonts w:eastAsia="宋体"/>
        </w:rPr>
        <w:t>）</w:t>
      </w:r>
      <w:r>
        <w:rPr>
          <w:rFonts w:eastAsia="宋体"/>
          <w:spacing w:val="-16"/>
        </w:rPr>
        <w:t>。</w:t>
      </w:r>
      <w:r>
        <w:rPr>
          <w:rFonts w:eastAsia="宋体"/>
        </w:rPr>
        <w:t>按照数值大小，将Q划分为4个水平：</w:t>
      </w:r>
    </w:p>
    <w:p w14:paraId="1F524691">
      <w:pPr>
        <w:pStyle w:val="13"/>
        <w:spacing w:after="0" w:line="500" w:lineRule="exact"/>
        <w:ind w:firstLine="480" w:firstLineChars="200"/>
        <w:rPr>
          <w:rFonts w:eastAsia="宋体"/>
        </w:rPr>
      </w:pPr>
      <w:r>
        <w:rPr>
          <w:rFonts w:eastAsia="宋体"/>
        </w:rPr>
        <w:t>（1）Q＜1</w:t>
      </w:r>
      <w:r>
        <w:rPr>
          <w:rFonts w:eastAsia="宋体"/>
          <w:spacing w:val="-1"/>
        </w:rPr>
        <w:t>，以</w:t>
      </w:r>
      <w:r>
        <w:rPr>
          <w:rFonts w:eastAsia="宋体"/>
        </w:rPr>
        <w:t>Q0表示，企业直接评为一般环境风险等级；</w:t>
      </w:r>
    </w:p>
    <w:p w14:paraId="3D3724D4">
      <w:pPr>
        <w:pStyle w:val="13"/>
        <w:spacing w:after="0" w:line="500" w:lineRule="exact"/>
        <w:ind w:firstLine="480" w:firstLineChars="200"/>
        <w:rPr>
          <w:rFonts w:eastAsia="宋体"/>
        </w:rPr>
      </w:pPr>
      <w:r>
        <w:rPr>
          <w:rFonts w:eastAsia="宋体"/>
        </w:rPr>
        <w:t>（2）1≤Q＜10</w:t>
      </w:r>
      <w:r>
        <w:rPr>
          <w:rFonts w:eastAsia="宋体"/>
          <w:spacing w:val="-1"/>
        </w:rPr>
        <w:t>，以</w:t>
      </w:r>
      <w:r>
        <w:rPr>
          <w:rFonts w:eastAsia="宋体"/>
        </w:rPr>
        <w:t>Q1表示；</w:t>
      </w:r>
    </w:p>
    <w:p w14:paraId="157C04AF">
      <w:pPr>
        <w:pStyle w:val="13"/>
        <w:spacing w:after="0" w:line="500" w:lineRule="exact"/>
        <w:ind w:firstLine="480" w:firstLineChars="200"/>
        <w:rPr>
          <w:rFonts w:eastAsia="宋体"/>
        </w:rPr>
      </w:pPr>
      <w:r>
        <w:rPr>
          <w:rFonts w:eastAsia="宋体"/>
        </w:rPr>
        <w:t>（3）10≤Q＜100</w:t>
      </w:r>
      <w:r>
        <w:rPr>
          <w:rFonts w:eastAsia="宋体"/>
          <w:spacing w:val="-1"/>
        </w:rPr>
        <w:t>，以</w:t>
      </w:r>
      <w:r>
        <w:rPr>
          <w:rFonts w:eastAsia="宋体"/>
        </w:rPr>
        <w:t>Q2表示；</w:t>
      </w:r>
    </w:p>
    <w:p w14:paraId="7CBABDF7">
      <w:pPr>
        <w:pStyle w:val="13"/>
        <w:spacing w:after="0" w:line="500" w:lineRule="exact"/>
        <w:ind w:firstLine="480" w:firstLineChars="200"/>
        <w:rPr>
          <w:rFonts w:eastAsia="宋体"/>
        </w:rPr>
      </w:pPr>
      <w:r>
        <w:rPr>
          <w:rFonts w:eastAsia="宋体"/>
        </w:rPr>
        <w:t>（4）Q≥100</w:t>
      </w:r>
      <w:r>
        <w:rPr>
          <w:rFonts w:eastAsia="宋体"/>
          <w:spacing w:val="-1"/>
        </w:rPr>
        <w:t>，以</w:t>
      </w:r>
      <w:r>
        <w:rPr>
          <w:rFonts w:eastAsia="宋体"/>
        </w:rPr>
        <w:t>Q3表示。</w:t>
      </w:r>
    </w:p>
    <w:p w14:paraId="5D3D0916">
      <w:pPr>
        <w:pStyle w:val="4"/>
        <w:spacing w:line="500" w:lineRule="exact"/>
        <w:ind w:firstLine="480"/>
      </w:pPr>
      <w:r>
        <w:rPr>
          <w:rFonts w:eastAsia="宋体"/>
        </w:rPr>
        <w:t>公司涉气环境风险物质有</w:t>
      </w:r>
      <w:r>
        <w:rPr>
          <w:rFonts w:hint="eastAsia" w:eastAsia="宋体"/>
        </w:rPr>
        <w:t>水性漆、危废等</w:t>
      </w:r>
      <w:r>
        <w:rPr>
          <w:rFonts w:eastAsia="宋体"/>
        </w:rPr>
        <w:t>，计算情况见表7-1。</w:t>
      </w:r>
    </w:p>
    <w:p w14:paraId="0C1478B8">
      <w:pPr>
        <w:adjustRightInd w:val="0"/>
        <w:snapToGrid w:val="0"/>
        <w:spacing w:line="500" w:lineRule="exact"/>
        <w:jc w:val="center"/>
        <w:rPr>
          <w:rFonts w:eastAsia="宋体"/>
          <w:b/>
          <w:bCs/>
        </w:rPr>
      </w:pPr>
      <w:r>
        <w:rPr>
          <w:rFonts w:eastAsia="宋体"/>
          <w:b/>
          <w:bCs/>
        </w:rPr>
        <w:t>表</w:t>
      </w:r>
      <w:r>
        <w:rPr>
          <w:rFonts w:hint="eastAsia" w:eastAsia="宋体"/>
          <w:b/>
          <w:bCs/>
        </w:rPr>
        <w:t>7-1</w:t>
      </w:r>
      <w:r>
        <w:rPr>
          <w:rFonts w:eastAsia="宋体"/>
          <w:b/>
          <w:bCs/>
        </w:rPr>
        <w:t>涉气环境风险物质Q值计算表</w:t>
      </w:r>
    </w:p>
    <w:p w14:paraId="46ADB437">
      <w:pPr>
        <w:pStyle w:val="4"/>
        <w:ind w:firstLine="0" w:firstLineChars="0"/>
        <w:rPr>
          <w:rFonts w:eastAsia="宋体"/>
          <w:b/>
          <w:bCs/>
        </w:rPr>
      </w:pPr>
    </w:p>
    <w:tbl>
      <w:tblPr>
        <w:tblStyle w:val="38"/>
        <w:tblW w:w="9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6B7BB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390" w:hRule="atLeast"/>
          <w:jc w:val="center"/>
        </w:trPr>
        <w:tc>
          <w:tcPr>
            <w:tcW w:w="1522" w:type="dxa"/>
            <w:tcBorders>
              <w:tl2br w:val="nil"/>
              <w:tr2bl w:val="nil"/>
            </w:tcBorders>
            <w:vAlign w:val="center"/>
          </w:tcPr>
          <w:p w14:paraId="56B8D6AA">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14:paraId="429727A3">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14:paraId="563F1979">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14:paraId="2D9D15A3">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14:paraId="2F9C8B24">
            <w:pPr>
              <w:jc w:val="center"/>
              <w:rPr>
                <w:rFonts w:eastAsia="宋体"/>
                <w:b/>
                <w:sz w:val="21"/>
                <w:szCs w:val="21"/>
              </w:rPr>
            </w:pPr>
            <w:r>
              <w:rPr>
                <w:rFonts w:eastAsia="宋体"/>
                <w:b/>
                <w:sz w:val="21"/>
                <w:szCs w:val="21"/>
                <w:highlight w:val="none"/>
              </w:rPr>
              <w:t>风险物质类别</w:t>
            </w:r>
          </w:p>
        </w:tc>
        <w:tc>
          <w:tcPr>
            <w:tcW w:w="1150" w:type="dxa"/>
            <w:tcBorders>
              <w:tl2br w:val="nil"/>
              <w:tr2bl w:val="nil"/>
            </w:tcBorders>
            <w:vAlign w:val="center"/>
          </w:tcPr>
          <w:p w14:paraId="212CF890">
            <w:pPr>
              <w:jc w:val="center"/>
              <w:rPr>
                <w:rFonts w:eastAsia="宋体"/>
                <w:b/>
                <w:sz w:val="21"/>
                <w:szCs w:val="21"/>
              </w:rPr>
            </w:pPr>
            <w:r>
              <w:rPr>
                <w:rFonts w:eastAsia="宋体"/>
                <w:b/>
                <w:sz w:val="21"/>
                <w:szCs w:val="21"/>
              </w:rPr>
              <w:t>qi/Qi</w:t>
            </w:r>
          </w:p>
        </w:tc>
      </w:tr>
      <w:tr w14:paraId="0AFD9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29" w:hRule="atLeast"/>
          <w:jc w:val="center"/>
        </w:trPr>
        <w:tc>
          <w:tcPr>
            <w:tcW w:w="1522" w:type="dxa"/>
            <w:vMerge w:val="restart"/>
            <w:tcBorders>
              <w:tl2br w:val="nil"/>
              <w:tr2bl w:val="nil"/>
            </w:tcBorders>
            <w:vAlign w:val="center"/>
          </w:tcPr>
          <w:p w14:paraId="05A91248">
            <w:pPr>
              <w:jc w:val="center"/>
              <w:rPr>
                <w:rFonts w:eastAsia="宋体"/>
                <w:sz w:val="21"/>
                <w:szCs w:val="21"/>
              </w:rPr>
            </w:pPr>
            <w:r>
              <w:rPr>
                <w:rFonts w:hint="eastAsia" w:eastAsia="宋体"/>
                <w:sz w:val="21"/>
                <w:szCs w:val="21"/>
                <w:lang w:val="en-US" w:eastAsia="zh-CN"/>
              </w:rPr>
              <w:t>涂料</w:t>
            </w:r>
            <w:r>
              <w:rPr>
                <w:rFonts w:eastAsia="宋体"/>
                <w:sz w:val="21"/>
                <w:szCs w:val="21"/>
              </w:rPr>
              <w:t>仓库</w:t>
            </w:r>
          </w:p>
        </w:tc>
        <w:tc>
          <w:tcPr>
            <w:tcW w:w="1538" w:type="dxa"/>
            <w:tcBorders>
              <w:tl2br w:val="nil"/>
              <w:tr2bl w:val="nil"/>
            </w:tcBorders>
            <w:vAlign w:val="center"/>
          </w:tcPr>
          <w:p w14:paraId="4FF0A798">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14:paraId="264EEAB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282A18E7">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065EDDE2">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01B07425">
            <w:pPr>
              <w:jc w:val="center"/>
              <w:rPr>
                <w:rFonts w:hint="default" w:eastAsia="宋体"/>
                <w:sz w:val="21"/>
                <w:szCs w:val="21"/>
                <w:lang w:val="en-US" w:eastAsia="zh-CN"/>
              </w:rPr>
            </w:pPr>
            <w:r>
              <w:rPr>
                <w:rFonts w:hint="eastAsia" w:eastAsia="宋体"/>
                <w:sz w:val="21"/>
                <w:szCs w:val="21"/>
                <w:lang w:val="en-US" w:eastAsia="zh-CN"/>
              </w:rPr>
              <w:t>0.006</w:t>
            </w:r>
          </w:p>
        </w:tc>
      </w:tr>
      <w:tr w14:paraId="3FD0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69" w:hRule="atLeast"/>
          <w:jc w:val="center"/>
        </w:trPr>
        <w:tc>
          <w:tcPr>
            <w:tcW w:w="1522" w:type="dxa"/>
            <w:vMerge w:val="continue"/>
            <w:tcBorders>
              <w:tl2br w:val="nil"/>
              <w:tr2bl w:val="nil"/>
            </w:tcBorders>
            <w:vAlign w:val="center"/>
          </w:tcPr>
          <w:p w14:paraId="37E0AC72">
            <w:pPr>
              <w:jc w:val="center"/>
              <w:rPr>
                <w:rFonts w:eastAsia="宋体"/>
                <w:sz w:val="21"/>
                <w:szCs w:val="21"/>
              </w:rPr>
            </w:pPr>
          </w:p>
        </w:tc>
        <w:tc>
          <w:tcPr>
            <w:tcW w:w="1538" w:type="dxa"/>
            <w:tcBorders>
              <w:tl2br w:val="nil"/>
              <w:tr2bl w:val="nil"/>
            </w:tcBorders>
            <w:vAlign w:val="center"/>
          </w:tcPr>
          <w:p w14:paraId="1A5BF3B6">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14:paraId="0180CB39">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05AE15C3">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rPr>
              <w:t>00</w:t>
            </w:r>
          </w:p>
        </w:tc>
        <w:tc>
          <w:tcPr>
            <w:tcW w:w="1761" w:type="dxa"/>
            <w:tcBorders>
              <w:tl2br w:val="nil"/>
              <w:tr2bl w:val="nil"/>
            </w:tcBorders>
            <w:vAlign w:val="center"/>
          </w:tcPr>
          <w:p w14:paraId="4FD02D62">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033B3FE4">
            <w:pPr>
              <w:jc w:val="center"/>
              <w:rPr>
                <w:rFonts w:hint="default" w:eastAsia="宋体"/>
                <w:sz w:val="21"/>
                <w:szCs w:val="21"/>
                <w:lang w:val="en-US" w:eastAsia="zh-CN"/>
              </w:rPr>
            </w:pPr>
            <w:r>
              <w:rPr>
                <w:rFonts w:hint="eastAsia" w:eastAsia="宋体"/>
                <w:sz w:val="21"/>
                <w:szCs w:val="21"/>
                <w:lang w:val="en-US" w:eastAsia="zh-CN"/>
              </w:rPr>
              <w:t>0.0005</w:t>
            </w:r>
          </w:p>
        </w:tc>
      </w:tr>
      <w:tr w14:paraId="38615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339" w:hRule="atLeast"/>
          <w:jc w:val="center"/>
        </w:trPr>
        <w:tc>
          <w:tcPr>
            <w:tcW w:w="1522" w:type="dxa"/>
            <w:vMerge w:val="continue"/>
            <w:tcBorders>
              <w:tl2br w:val="nil"/>
              <w:tr2bl w:val="nil"/>
            </w:tcBorders>
            <w:vAlign w:val="center"/>
          </w:tcPr>
          <w:p w14:paraId="101C5CB0">
            <w:pPr>
              <w:jc w:val="center"/>
              <w:rPr>
                <w:rFonts w:eastAsia="宋体"/>
                <w:sz w:val="21"/>
                <w:szCs w:val="21"/>
              </w:rPr>
            </w:pPr>
          </w:p>
        </w:tc>
        <w:tc>
          <w:tcPr>
            <w:tcW w:w="1538" w:type="dxa"/>
            <w:tcBorders>
              <w:tl2br w:val="nil"/>
              <w:tr2bl w:val="nil"/>
            </w:tcBorders>
            <w:vAlign w:val="center"/>
          </w:tcPr>
          <w:p w14:paraId="65E8D0B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14:paraId="2E851B18">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6F0D3E3D">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0D91EC0E">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50170A74">
            <w:pPr>
              <w:jc w:val="center"/>
              <w:rPr>
                <w:rFonts w:hint="default" w:eastAsia="宋体"/>
                <w:sz w:val="21"/>
                <w:szCs w:val="21"/>
                <w:lang w:val="en-US" w:eastAsia="zh-CN"/>
              </w:rPr>
            </w:pPr>
            <w:r>
              <w:rPr>
                <w:rFonts w:hint="eastAsia" w:eastAsia="宋体"/>
                <w:sz w:val="21"/>
                <w:szCs w:val="21"/>
                <w:lang w:val="en-US" w:eastAsia="zh-CN"/>
              </w:rPr>
              <w:t>0.017</w:t>
            </w:r>
          </w:p>
        </w:tc>
      </w:tr>
      <w:tr w14:paraId="4869F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90" w:hRule="atLeast"/>
          <w:jc w:val="center"/>
        </w:trPr>
        <w:tc>
          <w:tcPr>
            <w:tcW w:w="1522" w:type="dxa"/>
            <w:vMerge w:val="continue"/>
            <w:tcBorders>
              <w:tl2br w:val="nil"/>
              <w:tr2bl w:val="nil"/>
            </w:tcBorders>
            <w:vAlign w:val="center"/>
          </w:tcPr>
          <w:p w14:paraId="7B07D629">
            <w:pPr>
              <w:jc w:val="center"/>
              <w:rPr>
                <w:rFonts w:eastAsia="宋体"/>
                <w:sz w:val="21"/>
                <w:szCs w:val="21"/>
              </w:rPr>
            </w:pPr>
          </w:p>
        </w:tc>
        <w:tc>
          <w:tcPr>
            <w:tcW w:w="1538" w:type="dxa"/>
            <w:tcBorders>
              <w:tl2br w:val="nil"/>
              <w:tr2bl w:val="nil"/>
            </w:tcBorders>
            <w:vAlign w:val="center"/>
          </w:tcPr>
          <w:p w14:paraId="68A8EB39">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14:paraId="354C191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5301C182">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36332B4A">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7DE0FA1">
            <w:pPr>
              <w:jc w:val="center"/>
              <w:rPr>
                <w:rFonts w:hint="default" w:eastAsia="宋体"/>
                <w:sz w:val="21"/>
                <w:szCs w:val="21"/>
                <w:lang w:val="en-US" w:eastAsia="zh-CN"/>
              </w:rPr>
            </w:pPr>
            <w:r>
              <w:rPr>
                <w:rFonts w:hint="eastAsia" w:eastAsia="宋体"/>
                <w:sz w:val="21"/>
                <w:szCs w:val="21"/>
                <w:lang w:val="en-US" w:eastAsia="zh-CN"/>
              </w:rPr>
              <w:t>0.013</w:t>
            </w:r>
          </w:p>
        </w:tc>
      </w:tr>
      <w:tr w14:paraId="086D5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29" w:hRule="atLeast"/>
          <w:jc w:val="center"/>
        </w:trPr>
        <w:tc>
          <w:tcPr>
            <w:tcW w:w="1522" w:type="dxa"/>
            <w:vMerge w:val="continue"/>
            <w:tcBorders>
              <w:tl2br w:val="nil"/>
              <w:tr2bl w:val="nil"/>
            </w:tcBorders>
            <w:vAlign w:val="center"/>
          </w:tcPr>
          <w:p w14:paraId="5846AAA5">
            <w:pPr>
              <w:jc w:val="center"/>
              <w:rPr>
                <w:rFonts w:eastAsia="宋体"/>
                <w:sz w:val="21"/>
                <w:szCs w:val="21"/>
              </w:rPr>
            </w:pPr>
          </w:p>
        </w:tc>
        <w:tc>
          <w:tcPr>
            <w:tcW w:w="1538" w:type="dxa"/>
            <w:tcBorders>
              <w:tl2br w:val="nil"/>
              <w:tr2bl w:val="nil"/>
            </w:tcBorders>
            <w:vAlign w:val="center"/>
          </w:tcPr>
          <w:p w14:paraId="393FF234">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14:paraId="209F6660">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675DE940">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14:paraId="15B98DF8">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FDF25E4">
            <w:pPr>
              <w:jc w:val="center"/>
              <w:rPr>
                <w:rFonts w:hint="default" w:eastAsia="宋体"/>
                <w:sz w:val="21"/>
                <w:szCs w:val="21"/>
                <w:lang w:val="en-US" w:eastAsia="zh-CN"/>
              </w:rPr>
            </w:pPr>
            <w:r>
              <w:rPr>
                <w:rFonts w:hint="eastAsia" w:eastAsia="宋体"/>
                <w:sz w:val="21"/>
                <w:szCs w:val="21"/>
                <w:lang w:val="en-US" w:eastAsia="zh-CN"/>
              </w:rPr>
              <w:t>0.001</w:t>
            </w:r>
          </w:p>
        </w:tc>
      </w:tr>
      <w:tr w14:paraId="4111F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29" w:hRule="atLeast"/>
          <w:jc w:val="center"/>
        </w:trPr>
        <w:tc>
          <w:tcPr>
            <w:tcW w:w="1522" w:type="dxa"/>
            <w:vMerge w:val="continue"/>
            <w:tcBorders>
              <w:tl2br w:val="nil"/>
              <w:tr2bl w:val="nil"/>
            </w:tcBorders>
            <w:vAlign w:val="center"/>
          </w:tcPr>
          <w:p w14:paraId="14D5295C">
            <w:pPr>
              <w:jc w:val="center"/>
              <w:rPr>
                <w:rFonts w:eastAsia="宋体"/>
                <w:sz w:val="21"/>
                <w:szCs w:val="21"/>
              </w:rPr>
            </w:pPr>
          </w:p>
        </w:tc>
        <w:tc>
          <w:tcPr>
            <w:tcW w:w="1538" w:type="dxa"/>
            <w:tcBorders>
              <w:tl2br w:val="nil"/>
              <w:tr2bl w:val="nil"/>
            </w:tcBorders>
            <w:vAlign w:val="center"/>
          </w:tcPr>
          <w:p w14:paraId="2C51611F">
            <w:pPr>
              <w:adjustRightInd w:val="0"/>
              <w:snapToGrid w:val="0"/>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14:paraId="06C1D7C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30F2FD9A">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14:paraId="1921051D">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14:paraId="438B8C2A">
            <w:pPr>
              <w:jc w:val="center"/>
              <w:rPr>
                <w:rFonts w:hint="default" w:eastAsia="宋体"/>
                <w:sz w:val="21"/>
                <w:szCs w:val="21"/>
                <w:lang w:val="en-US" w:eastAsia="zh-CN"/>
              </w:rPr>
            </w:pPr>
            <w:r>
              <w:rPr>
                <w:rFonts w:hint="eastAsia" w:eastAsia="宋体"/>
                <w:sz w:val="21"/>
                <w:szCs w:val="21"/>
                <w:lang w:val="en-US" w:eastAsia="zh-CN"/>
              </w:rPr>
              <w:t>/</w:t>
            </w:r>
          </w:p>
        </w:tc>
      </w:tr>
      <w:tr w14:paraId="1AD87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29" w:hRule="atLeast"/>
          <w:jc w:val="center"/>
        </w:trPr>
        <w:tc>
          <w:tcPr>
            <w:tcW w:w="1522" w:type="dxa"/>
            <w:vMerge w:val="continue"/>
            <w:tcBorders>
              <w:tl2br w:val="nil"/>
              <w:tr2bl w:val="nil"/>
            </w:tcBorders>
            <w:vAlign w:val="center"/>
          </w:tcPr>
          <w:p w14:paraId="2E1ECB01">
            <w:pPr>
              <w:jc w:val="center"/>
              <w:rPr>
                <w:rFonts w:eastAsia="宋体"/>
                <w:sz w:val="21"/>
                <w:szCs w:val="21"/>
              </w:rPr>
            </w:pPr>
          </w:p>
        </w:tc>
        <w:tc>
          <w:tcPr>
            <w:tcW w:w="1538" w:type="dxa"/>
            <w:tcBorders>
              <w:tl2br w:val="nil"/>
              <w:tr2bl w:val="nil"/>
            </w:tcBorders>
            <w:vAlign w:val="center"/>
          </w:tcPr>
          <w:p w14:paraId="32DC53C3">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14:paraId="2239DC2A">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1249" w:type="dxa"/>
            <w:tcBorders>
              <w:tl2br w:val="nil"/>
              <w:tr2bl w:val="nil"/>
            </w:tcBorders>
            <w:vAlign w:val="center"/>
          </w:tcPr>
          <w:p w14:paraId="165E985F">
            <w:pPr>
              <w:jc w:val="center"/>
              <w:rPr>
                <w:rFonts w:hint="default" w:eastAsia="宋体"/>
                <w:sz w:val="21"/>
                <w:szCs w:val="21"/>
                <w:lang w:val="en-US" w:eastAsia="zh-CN"/>
              </w:rPr>
            </w:pPr>
            <w:r>
              <w:rPr>
                <w:rFonts w:hint="eastAsia" w:eastAsia="宋体"/>
                <w:sz w:val="21"/>
                <w:szCs w:val="21"/>
                <w:lang w:val="en-US" w:eastAsia="zh-CN"/>
              </w:rPr>
              <w:t>100</w:t>
            </w:r>
          </w:p>
        </w:tc>
        <w:tc>
          <w:tcPr>
            <w:tcW w:w="1761" w:type="dxa"/>
            <w:tcBorders>
              <w:tl2br w:val="nil"/>
              <w:tr2bl w:val="nil"/>
            </w:tcBorders>
            <w:vAlign w:val="center"/>
          </w:tcPr>
          <w:p w14:paraId="74F8CE3D">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7150F235">
            <w:pPr>
              <w:jc w:val="center"/>
              <w:rPr>
                <w:rFonts w:hint="default" w:eastAsia="宋体"/>
                <w:sz w:val="21"/>
                <w:szCs w:val="21"/>
                <w:lang w:val="en-US" w:eastAsia="zh-CN"/>
              </w:rPr>
            </w:pPr>
            <w:r>
              <w:rPr>
                <w:rFonts w:hint="eastAsia" w:eastAsia="宋体"/>
                <w:sz w:val="21"/>
                <w:szCs w:val="21"/>
                <w:lang w:val="en-US" w:eastAsia="zh-CN"/>
              </w:rPr>
              <w:t>0.0015</w:t>
            </w:r>
          </w:p>
        </w:tc>
      </w:tr>
      <w:tr w14:paraId="7ED9A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7637" w:type="dxa"/>
            <w:gridSpan w:val="5"/>
            <w:tcBorders>
              <w:tl2br w:val="nil"/>
              <w:tr2bl w:val="nil"/>
            </w:tcBorders>
            <w:vAlign w:val="center"/>
          </w:tcPr>
          <w:p w14:paraId="18864701">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626A9DB5">
            <w:pPr>
              <w:jc w:val="center"/>
              <w:rPr>
                <w:rFonts w:hint="default" w:eastAsia="宋体"/>
                <w:sz w:val="21"/>
                <w:szCs w:val="21"/>
                <w:lang w:val="en-US" w:eastAsia="zh-CN"/>
              </w:rPr>
            </w:pPr>
            <w:r>
              <w:rPr>
                <w:rFonts w:hint="eastAsia" w:eastAsia="宋体"/>
                <w:sz w:val="21"/>
                <w:szCs w:val="21"/>
                <w:lang w:val="en-US" w:eastAsia="zh-CN"/>
              </w:rPr>
              <w:t>0.039</w:t>
            </w:r>
          </w:p>
        </w:tc>
      </w:tr>
      <w:tr w14:paraId="57C74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restart"/>
            <w:tcBorders>
              <w:tl2br w:val="nil"/>
              <w:tr2bl w:val="nil"/>
            </w:tcBorders>
            <w:vAlign w:val="center"/>
          </w:tcPr>
          <w:p w14:paraId="10D3C659">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14:paraId="75AE5672">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14:paraId="38D126D1">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14:paraId="482E4C07">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1EB4C042">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47B60CAE">
            <w:pPr>
              <w:jc w:val="center"/>
              <w:rPr>
                <w:rFonts w:hint="default" w:eastAsia="宋体"/>
                <w:sz w:val="21"/>
                <w:szCs w:val="21"/>
                <w:lang w:val="en-US" w:eastAsia="zh-CN"/>
              </w:rPr>
            </w:pPr>
            <w:r>
              <w:rPr>
                <w:rFonts w:hint="eastAsia" w:eastAsia="宋体"/>
                <w:sz w:val="21"/>
                <w:szCs w:val="21"/>
                <w:lang w:val="en-US" w:eastAsia="zh-CN"/>
              </w:rPr>
              <w:t>0.0002</w:t>
            </w:r>
          </w:p>
        </w:tc>
      </w:tr>
      <w:tr w14:paraId="4ADF8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5186963D">
            <w:pPr>
              <w:jc w:val="center"/>
              <w:rPr>
                <w:rFonts w:eastAsia="宋体"/>
                <w:sz w:val="21"/>
                <w:szCs w:val="21"/>
              </w:rPr>
            </w:pPr>
          </w:p>
        </w:tc>
        <w:tc>
          <w:tcPr>
            <w:tcW w:w="1538" w:type="dxa"/>
            <w:tcBorders>
              <w:tl2br w:val="nil"/>
              <w:tr2bl w:val="nil"/>
            </w:tcBorders>
            <w:vAlign w:val="center"/>
          </w:tcPr>
          <w:p w14:paraId="25C658AA">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14:paraId="4287367B">
            <w:pPr>
              <w:jc w:val="center"/>
              <w:rPr>
                <w:rFonts w:eastAsia="宋体"/>
                <w:sz w:val="21"/>
                <w:szCs w:val="21"/>
              </w:rPr>
            </w:pPr>
            <w:r>
              <w:rPr>
                <w:rFonts w:hint="eastAsia" w:eastAsia="宋体"/>
                <w:sz w:val="21"/>
                <w:szCs w:val="21"/>
                <w:lang w:val="en-US" w:eastAsia="zh-CN"/>
              </w:rPr>
              <w:t>0.002t</w:t>
            </w:r>
          </w:p>
        </w:tc>
        <w:tc>
          <w:tcPr>
            <w:tcW w:w="1249" w:type="dxa"/>
            <w:tcBorders>
              <w:tl2br w:val="nil"/>
              <w:tr2bl w:val="nil"/>
            </w:tcBorders>
            <w:vAlign w:val="center"/>
          </w:tcPr>
          <w:p w14:paraId="79A4F206">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54E33714">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28F2A514">
            <w:pPr>
              <w:jc w:val="center"/>
              <w:rPr>
                <w:rFonts w:hint="default" w:eastAsia="宋体"/>
                <w:sz w:val="21"/>
                <w:szCs w:val="21"/>
                <w:lang w:val="en-US" w:eastAsia="zh-CN"/>
              </w:rPr>
            </w:pPr>
            <w:r>
              <w:rPr>
                <w:rFonts w:hint="eastAsia" w:eastAsia="宋体"/>
                <w:sz w:val="21"/>
                <w:szCs w:val="21"/>
                <w:lang w:val="en-US" w:eastAsia="zh-CN"/>
              </w:rPr>
              <w:t>0.00002</w:t>
            </w:r>
          </w:p>
        </w:tc>
      </w:tr>
      <w:tr w14:paraId="1AF7E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4BB64849">
            <w:pPr>
              <w:jc w:val="center"/>
              <w:rPr>
                <w:rFonts w:eastAsia="宋体"/>
                <w:sz w:val="21"/>
                <w:szCs w:val="21"/>
              </w:rPr>
            </w:pPr>
          </w:p>
        </w:tc>
        <w:tc>
          <w:tcPr>
            <w:tcW w:w="1538" w:type="dxa"/>
            <w:tcBorders>
              <w:tl2br w:val="nil"/>
              <w:tr2bl w:val="nil"/>
            </w:tcBorders>
            <w:vAlign w:val="center"/>
          </w:tcPr>
          <w:p w14:paraId="148A5310">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14:paraId="0C961D58">
            <w:pPr>
              <w:jc w:val="center"/>
              <w:rPr>
                <w:rFonts w:hint="default" w:eastAsia="宋体"/>
                <w:sz w:val="21"/>
                <w:szCs w:val="21"/>
                <w:lang w:val="en-US" w:eastAsia="zh-CN"/>
              </w:rPr>
            </w:pPr>
            <w:r>
              <w:rPr>
                <w:rFonts w:hint="eastAsia" w:eastAsia="宋体"/>
                <w:sz w:val="21"/>
                <w:szCs w:val="21"/>
                <w:lang w:val="en-US" w:eastAsia="zh-CN"/>
              </w:rPr>
              <w:t>0.06t</w:t>
            </w:r>
          </w:p>
        </w:tc>
        <w:tc>
          <w:tcPr>
            <w:tcW w:w="1249" w:type="dxa"/>
            <w:tcBorders>
              <w:tl2br w:val="nil"/>
              <w:tr2bl w:val="nil"/>
            </w:tcBorders>
            <w:vAlign w:val="center"/>
          </w:tcPr>
          <w:p w14:paraId="45C2AD56">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0E1CC084">
            <w:pPr>
              <w:jc w:val="center"/>
              <w:rPr>
                <w:rFonts w:eastAsia="宋体"/>
                <w:sz w:val="21"/>
                <w:szCs w:val="21"/>
              </w:rPr>
            </w:pPr>
            <w:r>
              <w:rPr>
                <w:rFonts w:hint="default" w:eastAsia="宋体"/>
                <w:sz w:val="21"/>
                <w:szCs w:val="21"/>
                <w:lang w:val="en-US"/>
              </w:rPr>
              <w:t>八</w:t>
            </w:r>
            <w:r>
              <w:rPr>
                <w:rFonts w:eastAsia="宋体"/>
                <w:sz w:val="21"/>
                <w:szCs w:val="21"/>
              </w:rPr>
              <w:t>（</w:t>
            </w:r>
            <w:r>
              <w:rPr>
                <w:rFonts w:hint="default" w:eastAsia="宋体"/>
                <w:sz w:val="21"/>
                <w:szCs w:val="21"/>
                <w:lang w:val="en-US"/>
              </w:rPr>
              <w:t>其他类物质及污染物</w:t>
            </w:r>
            <w:r>
              <w:rPr>
                <w:rFonts w:eastAsia="宋体"/>
                <w:sz w:val="21"/>
                <w:szCs w:val="21"/>
              </w:rPr>
              <w:t>）</w:t>
            </w:r>
          </w:p>
        </w:tc>
        <w:tc>
          <w:tcPr>
            <w:tcW w:w="1150" w:type="dxa"/>
            <w:tcBorders>
              <w:tl2br w:val="nil"/>
              <w:tr2bl w:val="nil"/>
            </w:tcBorders>
            <w:vAlign w:val="center"/>
          </w:tcPr>
          <w:p w14:paraId="4A052C5F">
            <w:pPr>
              <w:jc w:val="center"/>
              <w:rPr>
                <w:rFonts w:hint="default" w:eastAsia="宋体"/>
                <w:sz w:val="21"/>
                <w:szCs w:val="21"/>
                <w:lang w:val="en-US" w:eastAsia="zh-CN"/>
              </w:rPr>
            </w:pPr>
            <w:r>
              <w:rPr>
                <w:rFonts w:hint="eastAsia" w:eastAsia="宋体"/>
                <w:sz w:val="21"/>
                <w:szCs w:val="21"/>
                <w:lang w:val="en-US" w:eastAsia="zh-CN"/>
              </w:rPr>
              <w:t>0.0006</w:t>
            </w:r>
          </w:p>
        </w:tc>
      </w:tr>
      <w:tr w14:paraId="59A26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1D86B095">
            <w:pPr>
              <w:jc w:val="center"/>
              <w:rPr>
                <w:rFonts w:eastAsia="宋体"/>
                <w:sz w:val="21"/>
                <w:szCs w:val="21"/>
              </w:rPr>
            </w:pPr>
          </w:p>
        </w:tc>
        <w:tc>
          <w:tcPr>
            <w:tcW w:w="1538" w:type="dxa"/>
            <w:tcBorders>
              <w:tl2br w:val="nil"/>
              <w:tr2bl w:val="nil"/>
            </w:tcBorders>
            <w:vAlign w:val="center"/>
          </w:tcPr>
          <w:p w14:paraId="7E65F1B5">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14:paraId="528873E3">
            <w:pPr>
              <w:jc w:val="center"/>
              <w:rPr>
                <w:rFonts w:hint="default" w:eastAsia="宋体"/>
                <w:sz w:val="21"/>
                <w:szCs w:val="21"/>
                <w:lang w:val="en-US" w:eastAsia="zh-CN"/>
              </w:rPr>
            </w:pPr>
            <w:r>
              <w:rPr>
                <w:rFonts w:hint="eastAsia" w:eastAsia="宋体"/>
                <w:sz w:val="21"/>
                <w:szCs w:val="21"/>
                <w:lang w:val="en-US" w:eastAsia="zh-CN"/>
              </w:rPr>
              <w:t>0.05t</w:t>
            </w:r>
          </w:p>
        </w:tc>
        <w:tc>
          <w:tcPr>
            <w:tcW w:w="1249" w:type="dxa"/>
            <w:tcBorders>
              <w:tl2br w:val="nil"/>
              <w:tr2bl w:val="nil"/>
            </w:tcBorders>
            <w:vAlign w:val="center"/>
          </w:tcPr>
          <w:p w14:paraId="74075673">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20AC2046">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25A65374">
            <w:pPr>
              <w:jc w:val="center"/>
              <w:rPr>
                <w:rFonts w:hint="default" w:eastAsia="宋体"/>
                <w:sz w:val="21"/>
                <w:szCs w:val="21"/>
                <w:lang w:val="en-US" w:eastAsia="zh-CN"/>
              </w:rPr>
            </w:pPr>
            <w:r>
              <w:rPr>
                <w:rFonts w:hint="eastAsia" w:eastAsia="宋体"/>
                <w:sz w:val="21"/>
                <w:szCs w:val="21"/>
                <w:lang w:val="en-US" w:eastAsia="zh-CN"/>
              </w:rPr>
              <w:t>0.0005</w:t>
            </w:r>
          </w:p>
        </w:tc>
      </w:tr>
      <w:tr w14:paraId="4DB5D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388BA5B0">
            <w:pPr>
              <w:jc w:val="center"/>
              <w:rPr>
                <w:rFonts w:eastAsia="宋体"/>
                <w:sz w:val="21"/>
                <w:szCs w:val="21"/>
              </w:rPr>
            </w:pPr>
          </w:p>
        </w:tc>
        <w:tc>
          <w:tcPr>
            <w:tcW w:w="1538" w:type="dxa"/>
            <w:tcBorders>
              <w:tl2br w:val="nil"/>
              <w:tr2bl w:val="nil"/>
            </w:tcBorders>
            <w:vAlign w:val="center"/>
          </w:tcPr>
          <w:p w14:paraId="453F4AC6">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14:paraId="08A552B7">
            <w:pPr>
              <w:jc w:val="center"/>
              <w:rPr>
                <w:rFonts w:hint="eastAsia" w:eastAsia="宋体"/>
                <w:sz w:val="21"/>
                <w:szCs w:val="21"/>
                <w:lang w:eastAsia="zh-CN"/>
              </w:rPr>
            </w:pPr>
            <w:r>
              <w:rPr>
                <w:rFonts w:hint="eastAsia" w:eastAsia="宋体"/>
                <w:sz w:val="21"/>
                <w:szCs w:val="21"/>
                <w:lang w:val="en-US" w:eastAsia="zh-CN"/>
              </w:rPr>
              <w:t>0.004t</w:t>
            </w:r>
          </w:p>
        </w:tc>
        <w:tc>
          <w:tcPr>
            <w:tcW w:w="1249" w:type="dxa"/>
            <w:tcBorders>
              <w:tl2br w:val="nil"/>
              <w:tr2bl w:val="nil"/>
            </w:tcBorders>
            <w:vAlign w:val="center"/>
          </w:tcPr>
          <w:p w14:paraId="1EBD3D70">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14:paraId="269C69D2">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2377C245">
            <w:pPr>
              <w:jc w:val="center"/>
              <w:rPr>
                <w:rFonts w:hint="default" w:eastAsia="宋体"/>
                <w:sz w:val="21"/>
                <w:szCs w:val="21"/>
                <w:lang w:val="en-US" w:eastAsia="zh-CN"/>
              </w:rPr>
            </w:pPr>
            <w:r>
              <w:rPr>
                <w:rFonts w:hint="eastAsia" w:eastAsia="宋体"/>
                <w:sz w:val="21"/>
                <w:szCs w:val="21"/>
                <w:lang w:val="en-US" w:eastAsia="zh-CN"/>
              </w:rPr>
              <w:t>0.00004</w:t>
            </w:r>
          </w:p>
        </w:tc>
      </w:tr>
      <w:tr w14:paraId="3A510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2D1B97ED">
            <w:pPr>
              <w:jc w:val="center"/>
              <w:rPr>
                <w:rFonts w:eastAsia="宋体"/>
                <w:sz w:val="21"/>
                <w:szCs w:val="21"/>
              </w:rPr>
            </w:pPr>
          </w:p>
        </w:tc>
        <w:tc>
          <w:tcPr>
            <w:tcW w:w="1538" w:type="dxa"/>
            <w:tcBorders>
              <w:tl2br w:val="nil"/>
              <w:tr2bl w:val="nil"/>
            </w:tcBorders>
            <w:vAlign w:val="center"/>
          </w:tcPr>
          <w:p w14:paraId="330F44EC">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14:paraId="18ACEB06">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14:paraId="7315374A">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14:paraId="3FE9FB50">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14:paraId="11A89867">
            <w:pPr>
              <w:jc w:val="center"/>
              <w:rPr>
                <w:rFonts w:hint="default" w:eastAsia="宋体"/>
                <w:sz w:val="21"/>
                <w:szCs w:val="21"/>
                <w:lang w:val="en-US" w:eastAsia="zh-CN"/>
              </w:rPr>
            </w:pPr>
            <w:r>
              <w:rPr>
                <w:rFonts w:hint="eastAsia" w:eastAsia="宋体"/>
                <w:sz w:val="21"/>
                <w:szCs w:val="21"/>
                <w:lang w:val="en-US" w:eastAsia="zh-CN"/>
              </w:rPr>
              <w:t>/</w:t>
            </w:r>
          </w:p>
        </w:tc>
      </w:tr>
      <w:tr w14:paraId="385EB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620E3B28">
            <w:pPr>
              <w:jc w:val="center"/>
              <w:rPr>
                <w:rFonts w:eastAsia="宋体"/>
                <w:sz w:val="21"/>
                <w:szCs w:val="21"/>
              </w:rPr>
            </w:pPr>
          </w:p>
        </w:tc>
        <w:tc>
          <w:tcPr>
            <w:tcW w:w="1538" w:type="dxa"/>
            <w:tcBorders>
              <w:tl2br w:val="nil"/>
              <w:tr2bl w:val="nil"/>
            </w:tcBorders>
            <w:vAlign w:val="center"/>
          </w:tcPr>
          <w:p w14:paraId="511900D7">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14:paraId="71AFF042">
            <w:pPr>
              <w:jc w:val="center"/>
              <w:rPr>
                <w:rFonts w:hint="default" w:eastAsia="宋体"/>
                <w:sz w:val="21"/>
                <w:szCs w:val="21"/>
                <w:lang w:val="en-US" w:eastAsia="zh-CN"/>
              </w:rPr>
            </w:pPr>
            <w:r>
              <w:rPr>
                <w:rFonts w:hint="eastAsia" w:eastAsia="宋体"/>
                <w:sz w:val="21"/>
                <w:szCs w:val="21"/>
                <w:lang w:val="en-US" w:eastAsia="zh-CN"/>
              </w:rPr>
              <w:t>0.005t</w:t>
            </w:r>
          </w:p>
        </w:tc>
        <w:tc>
          <w:tcPr>
            <w:tcW w:w="1249" w:type="dxa"/>
            <w:tcBorders>
              <w:tl2br w:val="nil"/>
              <w:tr2bl w:val="nil"/>
            </w:tcBorders>
            <w:vAlign w:val="center"/>
          </w:tcPr>
          <w:p w14:paraId="2A5F1B02">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1761" w:type="dxa"/>
            <w:tcBorders>
              <w:tl2br w:val="nil"/>
              <w:tr2bl w:val="nil"/>
            </w:tcBorders>
            <w:vAlign w:val="center"/>
          </w:tcPr>
          <w:p w14:paraId="5BAD07E3">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38CF2C40">
            <w:pPr>
              <w:jc w:val="center"/>
              <w:rPr>
                <w:rFonts w:hint="default" w:eastAsia="宋体"/>
                <w:sz w:val="21"/>
                <w:szCs w:val="21"/>
                <w:lang w:val="en-US" w:eastAsia="zh-CN"/>
              </w:rPr>
            </w:pPr>
            <w:r>
              <w:rPr>
                <w:rFonts w:hint="eastAsia" w:eastAsia="宋体"/>
                <w:sz w:val="21"/>
                <w:szCs w:val="21"/>
                <w:lang w:val="en-US" w:eastAsia="zh-CN"/>
              </w:rPr>
              <w:t>0.00005</w:t>
            </w:r>
          </w:p>
        </w:tc>
      </w:tr>
      <w:tr w14:paraId="075F7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7637" w:type="dxa"/>
            <w:gridSpan w:val="5"/>
            <w:tcBorders>
              <w:tl2br w:val="nil"/>
              <w:tr2bl w:val="nil"/>
            </w:tcBorders>
            <w:vAlign w:val="center"/>
          </w:tcPr>
          <w:p w14:paraId="250C16D2">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60D8B876">
            <w:pPr>
              <w:jc w:val="center"/>
              <w:rPr>
                <w:rFonts w:hint="default" w:eastAsia="宋体"/>
                <w:sz w:val="21"/>
                <w:szCs w:val="21"/>
                <w:lang w:val="en-US" w:eastAsia="zh-CN"/>
              </w:rPr>
            </w:pPr>
            <w:r>
              <w:rPr>
                <w:rFonts w:hint="eastAsia" w:eastAsia="宋体"/>
                <w:sz w:val="21"/>
                <w:szCs w:val="21"/>
                <w:lang w:val="en-US" w:eastAsia="zh-CN"/>
              </w:rPr>
              <w:t>0.00141</w:t>
            </w:r>
          </w:p>
        </w:tc>
      </w:tr>
      <w:tr w14:paraId="6C5EB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restart"/>
            <w:tcBorders>
              <w:tl2br w:val="nil"/>
              <w:tr2bl w:val="nil"/>
            </w:tcBorders>
            <w:vAlign w:val="center"/>
          </w:tcPr>
          <w:p w14:paraId="06F6F115">
            <w:pPr>
              <w:jc w:val="center"/>
              <w:rPr>
                <w:rFonts w:eastAsia="宋体"/>
                <w:sz w:val="21"/>
                <w:szCs w:val="21"/>
              </w:rPr>
            </w:pPr>
            <w:r>
              <w:rPr>
                <w:rFonts w:eastAsia="宋体"/>
                <w:sz w:val="21"/>
                <w:szCs w:val="21"/>
              </w:rPr>
              <w:t>危废仓库</w:t>
            </w:r>
          </w:p>
        </w:tc>
        <w:tc>
          <w:tcPr>
            <w:tcW w:w="1538" w:type="dxa"/>
            <w:tcBorders>
              <w:tl2br w:val="nil"/>
              <w:tr2bl w:val="nil"/>
            </w:tcBorders>
            <w:vAlign w:val="center"/>
          </w:tcPr>
          <w:p w14:paraId="5990BBA6">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废活性炭</w:t>
            </w:r>
          </w:p>
        </w:tc>
        <w:tc>
          <w:tcPr>
            <w:tcW w:w="1567" w:type="dxa"/>
            <w:tcBorders>
              <w:tl2br w:val="nil"/>
              <w:tr2bl w:val="nil"/>
            </w:tcBorders>
            <w:vAlign w:val="center"/>
          </w:tcPr>
          <w:p w14:paraId="63DD8499">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4D7D1DC6">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14:paraId="6483C615">
            <w:pPr>
              <w:jc w:val="center"/>
              <w:rPr>
                <w:rFonts w:eastAsia="宋体"/>
                <w:sz w:val="21"/>
                <w:szCs w:val="21"/>
              </w:rPr>
            </w:pPr>
            <w:r>
              <w:rPr>
                <w:rFonts w:eastAsia="宋体"/>
                <w:sz w:val="21"/>
                <w:szCs w:val="21"/>
                <w:highlight w:val="none"/>
              </w:rPr>
              <w:t>八（其他类物质及污染物）</w:t>
            </w:r>
          </w:p>
        </w:tc>
        <w:tc>
          <w:tcPr>
            <w:tcW w:w="1150" w:type="dxa"/>
            <w:tcBorders>
              <w:tl2br w:val="nil"/>
              <w:tr2bl w:val="nil"/>
            </w:tcBorders>
            <w:vAlign w:val="center"/>
          </w:tcPr>
          <w:p w14:paraId="2CD25611">
            <w:pPr>
              <w:jc w:val="center"/>
              <w:rPr>
                <w:rFonts w:hint="default" w:eastAsia="宋体"/>
                <w:sz w:val="21"/>
                <w:szCs w:val="21"/>
                <w:lang w:val="en-US" w:eastAsia="zh-CN"/>
              </w:rPr>
            </w:pPr>
            <w:r>
              <w:rPr>
                <w:rFonts w:hint="eastAsia" w:eastAsia="宋体"/>
                <w:sz w:val="21"/>
                <w:szCs w:val="21"/>
                <w:lang w:val="en-US" w:eastAsia="zh-CN"/>
              </w:rPr>
              <w:t>0.01</w:t>
            </w:r>
          </w:p>
        </w:tc>
      </w:tr>
      <w:tr w14:paraId="69428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68E69293">
            <w:pPr>
              <w:jc w:val="center"/>
              <w:rPr>
                <w:rFonts w:eastAsia="宋体"/>
                <w:sz w:val="21"/>
                <w:szCs w:val="21"/>
              </w:rPr>
            </w:pPr>
          </w:p>
        </w:tc>
        <w:tc>
          <w:tcPr>
            <w:tcW w:w="1538" w:type="dxa"/>
            <w:tcBorders>
              <w:tl2br w:val="nil"/>
              <w:tr2bl w:val="nil"/>
            </w:tcBorders>
            <w:vAlign w:val="center"/>
          </w:tcPr>
          <w:p w14:paraId="57F68BAD">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废包装桶</w:t>
            </w:r>
          </w:p>
        </w:tc>
        <w:tc>
          <w:tcPr>
            <w:tcW w:w="1567" w:type="dxa"/>
            <w:tcBorders>
              <w:tl2br w:val="nil"/>
              <w:tr2bl w:val="nil"/>
            </w:tcBorders>
            <w:vAlign w:val="center"/>
          </w:tcPr>
          <w:p w14:paraId="5F892EC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43479EC5">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14:paraId="3B820F83">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4F4067A7">
            <w:pPr>
              <w:jc w:val="center"/>
              <w:rPr>
                <w:rFonts w:hint="default" w:eastAsia="宋体"/>
                <w:sz w:val="21"/>
                <w:szCs w:val="21"/>
                <w:lang w:val="en-US" w:eastAsia="zh-CN"/>
              </w:rPr>
            </w:pPr>
            <w:r>
              <w:rPr>
                <w:rFonts w:hint="eastAsia" w:eastAsia="宋体"/>
                <w:sz w:val="21"/>
                <w:szCs w:val="21"/>
                <w:lang w:val="en-US" w:eastAsia="zh-CN"/>
              </w:rPr>
              <w:t>0.0006</w:t>
            </w:r>
          </w:p>
        </w:tc>
      </w:tr>
      <w:tr w14:paraId="703FB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73A355BB">
            <w:pPr>
              <w:jc w:val="center"/>
              <w:rPr>
                <w:rFonts w:eastAsia="宋体"/>
                <w:sz w:val="21"/>
                <w:szCs w:val="21"/>
              </w:rPr>
            </w:pPr>
          </w:p>
        </w:tc>
        <w:tc>
          <w:tcPr>
            <w:tcW w:w="1538" w:type="dxa"/>
            <w:tcBorders>
              <w:tl2br w:val="nil"/>
              <w:tr2bl w:val="nil"/>
            </w:tcBorders>
            <w:vAlign w:val="center"/>
          </w:tcPr>
          <w:p w14:paraId="172D9F20">
            <w:pPr>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底漆打磨灰渣</w:t>
            </w:r>
          </w:p>
        </w:tc>
        <w:tc>
          <w:tcPr>
            <w:tcW w:w="1567" w:type="dxa"/>
            <w:tcBorders>
              <w:tl2br w:val="nil"/>
              <w:tr2bl w:val="nil"/>
            </w:tcBorders>
            <w:vAlign w:val="center"/>
          </w:tcPr>
          <w:p w14:paraId="1A3C451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0.04</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341804FB">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14:paraId="5640DD0B">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3381655E">
            <w:pPr>
              <w:jc w:val="center"/>
              <w:rPr>
                <w:rFonts w:hint="default" w:eastAsia="宋体"/>
                <w:sz w:val="21"/>
                <w:szCs w:val="21"/>
                <w:lang w:val="en-US" w:eastAsia="zh-CN"/>
              </w:rPr>
            </w:pPr>
            <w:r>
              <w:rPr>
                <w:rFonts w:hint="eastAsia" w:eastAsia="宋体"/>
                <w:sz w:val="21"/>
                <w:szCs w:val="21"/>
                <w:lang w:val="en-US" w:eastAsia="zh-CN"/>
              </w:rPr>
              <w:t>0.0008</w:t>
            </w:r>
          </w:p>
        </w:tc>
      </w:tr>
      <w:tr w14:paraId="2A68C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0A656852">
            <w:pPr>
              <w:jc w:val="center"/>
              <w:rPr>
                <w:rFonts w:eastAsia="宋体"/>
                <w:sz w:val="21"/>
                <w:szCs w:val="21"/>
              </w:rPr>
            </w:pPr>
          </w:p>
        </w:tc>
        <w:tc>
          <w:tcPr>
            <w:tcW w:w="1538" w:type="dxa"/>
            <w:tcBorders>
              <w:tl2br w:val="nil"/>
              <w:tr2bl w:val="nil"/>
            </w:tcBorders>
            <w:vAlign w:val="center"/>
          </w:tcPr>
          <w:p w14:paraId="61017ED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漆渣、气浮渣</w:t>
            </w:r>
          </w:p>
        </w:tc>
        <w:tc>
          <w:tcPr>
            <w:tcW w:w="1567" w:type="dxa"/>
            <w:tcBorders>
              <w:tl2br w:val="nil"/>
              <w:tr2bl w:val="nil"/>
            </w:tcBorders>
            <w:vAlign w:val="center"/>
          </w:tcPr>
          <w:p w14:paraId="0C36A62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3B49B2A4">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14:paraId="58A21951">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39259E82">
            <w:pPr>
              <w:jc w:val="center"/>
              <w:rPr>
                <w:rFonts w:hint="default" w:eastAsia="宋体"/>
                <w:sz w:val="21"/>
                <w:szCs w:val="21"/>
                <w:lang w:val="en-US" w:eastAsia="zh-CN"/>
              </w:rPr>
            </w:pPr>
            <w:r>
              <w:rPr>
                <w:rFonts w:hint="eastAsia" w:eastAsia="宋体"/>
                <w:sz w:val="21"/>
                <w:szCs w:val="21"/>
                <w:lang w:val="en-US" w:eastAsia="zh-CN"/>
              </w:rPr>
              <w:t>0.063</w:t>
            </w:r>
          </w:p>
        </w:tc>
      </w:tr>
      <w:tr w14:paraId="6C04A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1522" w:type="dxa"/>
            <w:vMerge w:val="continue"/>
            <w:tcBorders>
              <w:tl2br w:val="nil"/>
              <w:tr2bl w:val="nil"/>
            </w:tcBorders>
            <w:vAlign w:val="center"/>
          </w:tcPr>
          <w:p w14:paraId="46A85F7D">
            <w:pPr>
              <w:jc w:val="center"/>
              <w:rPr>
                <w:rFonts w:eastAsia="宋体"/>
                <w:sz w:val="21"/>
                <w:szCs w:val="21"/>
              </w:rPr>
            </w:pPr>
          </w:p>
        </w:tc>
        <w:tc>
          <w:tcPr>
            <w:tcW w:w="1538" w:type="dxa"/>
            <w:tcBorders>
              <w:tl2br w:val="nil"/>
              <w:tr2bl w:val="nil"/>
            </w:tcBorders>
            <w:vAlign w:val="center"/>
          </w:tcPr>
          <w:p w14:paraId="32981B4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含油废水</w:t>
            </w:r>
          </w:p>
        </w:tc>
        <w:tc>
          <w:tcPr>
            <w:tcW w:w="1567" w:type="dxa"/>
            <w:tcBorders>
              <w:tl2br w:val="nil"/>
              <w:tr2bl w:val="nil"/>
            </w:tcBorders>
            <w:vAlign w:val="center"/>
          </w:tcPr>
          <w:p w14:paraId="14E014D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eastAsia" w:eastAsia="宋体" w:cs="Times New Roman"/>
                <w:b w:val="0"/>
                <w:bCs/>
                <w:color w:val="auto"/>
                <w:kern w:val="2"/>
                <w:sz w:val="21"/>
                <w:szCs w:val="21"/>
                <w:highlight w:val="none"/>
                <w:lang w:val="en-US" w:eastAsia="zh-CN" w:bidi="ar-SA"/>
              </w:rPr>
              <w:t>t</w:t>
            </w:r>
          </w:p>
        </w:tc>
        <w:tc>
          <w:tcPr>
            <w:tcW w:w="1249" w:type="dxa"/>
            <w:tcBorders>
              <w:tl2br w:val="nil"/>
              <w:tr2bl w:val="nil"/>
            </w:tcBorders>
            <w:vAlign w:val="center"/>
          </w:tcPr>
          <w:p w14:paraId="2C2998A7">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14:paraId="0F1230C6">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78AECB14">
            <w:pPr>
              <w:jc w:val="center"/>
              <w:rPr>
                <w:rFonts w:hint="default" w:eastAsia="宋体"/>
                <w:sz w:val="21"/>
                <w:szCs w:val="21"/>
                <w:lang w:val="en-US" w:eastAsia="zh-CN"/>
              </w:rPr>
            </w:pPr>
            <w:r>
              <w:rPr>
                <w:rFonts w:hint="eastAsia" w:eastAsia="宋体"/>
                <w:sz w:val="21"/>
                <w:szCs w:val="21"/>
                <w:lang w:val="en-US" w:eastAsia="zh-CN"/>
              </w:rPr>
              <w:t>0.00005</w:t>
            </w:r>
          </w:p>
        </w:tc>
      </w:tr>
      <w:tr w14:paraId="7A8A6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813" w:type="dxa"/>
          <w:trHeight w:val="284" w:hRule="atLeast"/>
          <w:jc w:val="center"/>
        </w:trPr>
        <w:tc>
          <w:tcPr>
            <w:tcW w:w="7637" w:type="dxa"/>
            <w:gridSpan w:val="5"/>
            <w:tcBorders>
              <w:tl2br w:val="nil"/>
              <w:tr2bl w:val="nil"/>
            </w:tcBorders>
            <w:vAlign w:val="center"/>
          </w:tcPr>
          <w:p w14:paraId="20BF3C07">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77F50FD4">
            <w:pPr>
              <w:jc w:val="center"/>
              <w:rPr>
                <w:rFonts w:hint="default" w:eastAsia="宋体"/>
                <w:sz w:val="21"/>
                <w:szCs w:val="21"/>
                <w:lang w:val="en-US" w:eastAsia="zh-CN"/>
              </w:rPr>
            </w:pPr>
            <w:r>
              <w:rPr>
                <w:rFonts w:hint="eastAsia" w:eastAsia="宋体"/>
                <w:sz w:val="21"/>
                <w:szCs w:val="21"/>
                <w:lang w:val="en-US" w:eastAsia="zh-CN"/>
              </w:rPr>
              <w:t>0.07445</w:t>
            </w:r>
          </w:p>
        </w:tc>
      </w:tr>
    </w:tbl>
    <w:p w14:paraId="3A8E1F29">
      <w:pPr>
        <w:adjustRightInd w:val="0"/>
        <w:snapToGrid w:val="0"/>
        <w:spacing w:line="500" w:lineRule="exact"/>
        <w:ind w:firstLine="480" w:firstLineChars="200"/>
        <w:rPr>
          <w:rFonts w:eastAsia="宋体"/>
        </w:rPr>
      </w:pPr>
      <w:r>
        <w:rPr>
          <w:rFonts w:eastAsia="宋体"/>
        </w:rPr>
        <w:t>根据上述计算，公司涉气风险物质数量与临界量比值为</w:t>
      </w:r>
      <w:r>
        <w:rPr>
          <w:rFonts w:hint="eastAsia" w:eastAsia="宋体"/>
        </w:rPr>
        <w:t>Q=</w:t>
      </w:r>
      <w:r>
        <w:rPr>
          <w:rFonts w:hint="eastAsia" w:eastAsia="宋体"/>
          <w:lang w:val="en-US" w:eastAsia="zh-CN"/>
        </w:rPr>
        <w:t>0.07445</w:t>
      </w:r>
      <w:r>
        <w:rPr>
          <w:rFonts w:eastAsia="宋体"/>
          <w:color w:val="000000" w:themeColor="text1"/>
          <w14:textFill>
            <w14:solidFill>
              <w14:schemeClr w14:val="tx1"/>
            </w14:solidFill>
          </w14:textFill>
        </w:rPr>
        <w:t>，Q＜1，</w:t>
      </w:r>
      <w:r>
        <w:rPr>
          <w:rFonts w:eastAsia="宋体"/>
        </w:rPr>
        <w:t>直接评为一般环境风险等级Q0。</w:t>
      </w:r>
    </w:p>
    <w:p w14:paraId="6E66A4A3">
      <w:pPr>
        <w:pStyle w:val="5"/>
        <w:adjustRightInd w:val="0"/>
        <w:snapToGrid w:val="0"/>
        <w:spacing w:line="500" w:lineRule="exact"/>
        <w:jc w:val="left"/>
        <w:rPr>
          <w:rFonts w:eastAsia="宋体"/>
          <w:color w:val="000000" w:themeColor="text1"/>
          <w14:textFill>
            <w14:solidFill>
              <w14:schemeClr w14:val="tx1"/>
            </w14:solidFill>
          </w14:textFill>
        </w:rPr>
      </w:pPr>
      <w:bookmarkStart w:id="308" w:name="_Toc8209"/>
      <w:bookmarkStart w:id="309" w:name="_Toc818"/>
      <w:bookmarkStart w:id="310" w:name="_Toc4575"/>
      <w:bookmarkStart w:id="311" w:name="_TOC_250020"/>
      <w:r>
        <w:rPr>
          <w:rFonts w:hint="eastAsia" w:eastAsia="宋体"/>
          <w:color w:val="000000" w:themeColor="text1"/>
          <w14:textFill>
            <w14:solidFill>
              <w14:schemeClr w14:val="tx1"/>
            </w14:solidFill>
          </w14:textFill>
        </w:rPr>
        <w:t>7.1.2生产工艺过程与大气环境风险控制水平（M）评估</w:t>
      </w:r>
      <w:bookmarkEnd w:id="308"/>
      <w:bookmarkEnd w:id="309"/>
      <w:bookmarkEnd w:id="310"/>
    </w:p>
    <w:bookmarkEnd w:id="311"/>
    <w:p w14:paraId="0F00E905">
      <w:pPr>
        <w:pStyle w:val="13"/>
        <w:spacing w:after="0" w:line="500" w:lineRule="exact"/>
        <w:ind w:firstLine="480" w:firstLineChars="200"/>
        <w:rPr>
          <w:rFonts w:eastAsia="宋体"/>
        </w:rPr>
      </w:pPr>
      <w:r>
        <w:rPr>
          <w:rFonts w:eastAsia="宋体"/>
        </w:rPr>
        <w:t>采用评分法对企业生产工艺过程、大气环境风险防控措施及突发大气环境事</w:t>
      </w:r>
      <w:r>
        <w:rPr>
          <w:rFonts w:eastAsia="宋体"/>
          <w:spacing w:val="-8"/>
        </w:rPr>
        <w:t>件发生情况进行评估，将各项指标分值累加，确定企业生产工艺过程与大气环境</w:t>
      </w:r>
      <w:r>
        <w:rPr>
          <w:rFonts w:eastAsia="宋体"/>
        </w:rPr>
        <w:t>风险控制水平（M）。</w:t>
      </w:r>
    </w:p>
    <w:p w14:paraId="3FC07462">
      <w:pPr>
        <w:pStyle w:val="155"/>
        <w:numPr>
          <w:ilvl w:val="255"/>
          <w:numId w:val="0"/>
        </w:numPr>
        <w:tabs>
          <w:tab w:val="left" w:pos="1379"/>
        </w:tabs>
        <w:spacing w:line="500" w:lineRule="exact"/>
        <w:ind w:left="480" w:leftChars="200"/>
        <w:rPr>
          <w:rFonts w:eastAsia="宋体"/>
        </w:rPr>
      </w:pPr>
      <w:r>
        <w:rPr>
          <w:rFonts w:hint="eastAsia" w:eastAsia="宋体"/>
        </w:rPr>
        <w:t>（1）</w:t>
      </w:r>
      <w:r>
        <w:rPr>
          <w:rFonts w:eastAsia="宋体"/>
        </w:rPr>
        <w:t>生产工艺过程含有风险工艺和设备情况</w:t>
      </w:r>
    </w:p>
    <w:p w14:paraId="31B41340">
      <w:pPr>
        <w:pStyle w:val="13"/>
        <w:spacing w:after="0" w:line="500" w:lineRule="exact"/>
        <w:ind w:firstLine="480" w:firstLineChars="200"/>
        <w:rPr>
          <w:rFonts w:eastAsia="宋体"/>
        </w:rPr>
      </w:pPr>
      <w:r>
        <w:rPr>
          <w:rFonts w:eastAsia="宋体"/>
        </w:rPr>
        <w:t>从上文章节3.5.</w:t>
      </w:r>
      <w:r>
        <w:rPr>
          <w:rFonts w:hint="eastAsia" w:eastAsia="宋体"/>
        </w:rPr>
        <w:t>3</w:t>
      </w:r>
      <w:r>
        <w:rPr>
          <w:rFonts w:eastAsia="宋体"/>
        </w:rPr>
        <w:t>可知，企业生产工艺过程评分为</w:t>
      </w:r>
      <w:r>
        <w:rPr>
          <w:rFonts w:hint="eastAsia" w:eastAsia="宋体"/>
        </w:rPr>
        <w:t>5</w:t>
      </w:r>
      <w:r>
        <w:rPr>
          <w:rFonts w:eastAsia="宋体"/>
        </w:rPr>
        <w:t>分。</w:t>
      </w:r>
    </w:p>
    <w:p w14:paraId="7486FDDF">
      <w:pPr>
        <w:pStyle w:val="155"/>
        <w:numPr>
          <w:ilvl w:val="255"/>
          <w:numId w:val="0"/>
        </w:numPr>
        <w:tabs>
          <w:tab w:val="left" w:pos="1379"/>
        </w:tabs>
        <w:spacing w:line="500" w:lineRule="exact"/>
        <w:ind w:left="480" w:leftChars="200"/>
        <w:rPr>
          <w:rFonts w:eastAsia="宋体"/>
        </w:rPr>
      </w:pPr>
      <w:r>
        <w:rPr>
          <w:rFonts w:hint="eastAsia" w:eastAsia="宋体"/>
        </w:rPr>
        <w:t>（2）</w:t>
      </w:r>
      <w:r>
        <w:rPr>
          <w:rFonts w:eastAsia="宋体"/>
        </w:rPr>
        <w:t>大气环境风险防控措施及突发大气环境事件发生情况</w:t>
      </w:r>
    </w:p>
    <w:p w14:paraId="6D72259D">
      <w:pPr>
        <w:snapToGrid w:val="0"/>
        <w:spacing w:line="500" w:lineRule="exact"/>
        <w:rPr>
          <w:rFonts w:eastAsia="宋体"/>
        </w:rPr>
      </w:pPr>
      <w:r>
        <w:rPr>
          <w:rFonts w:eastAsia="宋体"/>
        </w:rPr>
        <w:t>公司大气环境风险防控措施与突发大气环境事件发生情况评估评估指标见7-2。对各项评估指标分别评分、计算总和，各项指标分值合计最高为70分。</w:t>
      </w:r>
    </w:p>
    <w:p w14:paraId="62A7DC24">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7-2大气</w:t>
      </w:r>
      <w:r>
        <w:rPr>
          <w:rFonts w:eastAsiaTheme="minorEastAsia"/>
          <w:b/>
          <w:color w:val="000000" w:themeColor="text1"/>
          <w14:textFill>
            <w14:solidFill>
              <w14:schemeClr w14:val="tx1"/>
            </w14:solidFill>
          </w14:textFill>
        </w:rPr>
        <w:t>环境风险防控措施与突发环境事件发生情况评估</w:t>
      </w:r>
    </w:p>
    <w:tbl>
      <w:tblPr>
        <w:tblStyle w:val="38"/>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36844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59E4E02D">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4B2D7F23">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06460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520ECD31">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2896" w:type="pct"/>
            <w:vAlign w:val="center"/>
          </w:tcPr>
          <w:p w14:paraId="64BBE4A2">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275" w:type="pct"/>
            <w:vAlign w:val="center"/>
          </w:tcPr>
          <w:p w14:paraId="74AC7588">
            <w:pPr>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1012" w:type="pct"/>
            <w:vAlign w:val="center"/>
          </w:tcPr>
          <w:p w14:paraId="55315975">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309" w:type="pct"/>
            <w:vAlign w:val="center"/>
          </w:tcPr>
          <w:p w14:paraId="134B0E9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260F7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00F113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5F5DD0A5">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（1）不涉及附录A中有毒有害气体的；或</w:t>
            </w:r>
          </w:p>
          <w:p w14:paraId="41C88C2E">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0B9609B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4BC578FE">
            <w:pP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36D1E6A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3B5B8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216A02B">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42B280A8">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37E70DD0">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5D0E579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0D820ECE">
            <w:pPr>
              <w:snapToGrid w:val="0"/>
              <w:jc w:val="center"/>
              <w:rPr>
                <w:rFonts w:eastAsiaTheme="minorEastAsia"/>
                <w:color w:val="000000" w:themeColor="text1"/>
                <w:sz w:val="21"/>
                <w:szCs w:val="21"/>
                <w14:textFill>
                  <w14:solidFill>
                    <w14:schemeClr w14:val="tx1"/>
                  </w14:solidFill>
                </w14:textFill>
              </w:rPr>
            </w:pPr>
          </w:p>
        </w:tc>
      </w:tr>
      <w:tr w14:paraId="0F9EC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19EF585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符合防护距离情况</w:t>
            </w:r>
          </w:p>
        </w:tc>
        <w:tc>
          <w:tcPr>
            <w:tcW w:w="2896" w:type="pct"/>
            <w:vAlign w:val="center"/>
          </w:tcPr>
          <w:p w14:paraId="12175437">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6728A127">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restart"/>
            <w:vAlign w:val="center"/>
          </w:tcPr>
          <w:p w14:paraId="2D7DC82A">
            <w:pPr>
              <w:widowControl/>
              <w:rPr>
                <w:rFonts w:eastAsiaTheme="minorEastAsia"/>
                <w:color w:val="000000" w:themeColor="text1"/>
                <w:sz w:val="21"/>
                <w:szCs w:val="21"/>
                <w14:textFill>
                  <w14:solidFill>
                    <w14:schemeClr w14:val="tx1"/>
                  </w14:solidFill>
                </w14:textFill>
              </w:rPr>
            </w:pPr>
            <w:r>
              <w:rPr>
                <w:rFonts w:hint="eastAsia" w:eastAsia="宋体"/>
                <w:kern w:val="0"/>
                <w:sz w:val="21"/>
                <w:szCs w:val="21"/>
              </w:rPr>
              <w:t>防护距离内无敏感目标</w:t>
            </w:r>
          </w:p>
        </w:tc>
        <w:tc>
          <w:tcPr>
            <w:tcW w:w="309" w:type="pct"/>
            <w:vMerge w:val="restart"/>
            <w:vAlign w:val="center"/>
          </w:tcPr>
          <w:p w14:paraId="22D5DA5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F5CF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1FCAF82">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64379307">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58FBFB6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w:t>
            </w:r>
          </w:p>
        </w:tc>
        <w:tc>
          <w:tcPr>
            <w:tcW w:w="1012" w:type="pct"/>
            <w:vMerge w:val="continue"/>
            <w:vAlign w:val="center"/>
          </w:tcPr>
          <w:p w14:paraId="3E51E298">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8CC0E8D">
            <w:pPr>
              <w:snapToGrid w:val="0"/>
              <w:jc w:val="center"/>
              <w:rPr>
                <w:rFonts w:eastAsiaTheme="minorEastAsia"/>
                <w:color w:val="000000" w:themeColor="text1"/>
                <w:sz w:val="21"/>
                <w:szCs w:val="21"/>
                <w14:textFill>
                  <w14:solidFill>
                    <w14:schemeClr w14:val="tx1"/>
                  </w14:solidFill>
                </w14:textFill>
              </w:rPr>
            </w:pPr>
          </w:p>
        </w:tc>
      </w:tr>
      <w:tr w14:paraId="28557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7F6FEF86">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5A14520B">
            <w:pPr>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20DF7815">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012" w:type="pct"/>
            <w:vMerge w:val="restart"/>
            <w:vAlign w:val="center"/>
          </w:tcPr>
          <w:p w14:paraId="08A711C9">
            <w:pPr>
              <w:widowControl/>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734590BE">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8AA3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4A3D6111">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19F294E3">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35A4C8EC">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15</w:t>
            </w:r>
          </w:p>
        </w:tc>
        <w:tc>
          <w:tcPr>
            <w:tcW w:w="1012" w:type="pct"/>
            <w:vMerge w:val="continue"/>
            <w:vAlign w:val="center"/>
          </w:tcPr>
          <w:p w14:paraId="43607B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2D1FD861">
            <w:pPr>
              <w:snapToGrid w:val="0"/>
              <w:jc w:val="center"/>
              <w:rPr>
                <w:rFonts w:eastAsiaTheme="minorEastAsia"/>
                <w:color w:val="000000" w:themeColor="text1"/>
                <w:sz w:val="21"/>
                <w:szCs w:val="21"/>
                <w14:textFill>
                  <w14:solidFill>
                    <w14:schemeClr w14:val="tx1"/>
                  </w14:solidFill>
                </w14:textFill>
              </w:rPr>
            </w:pPr>
          </w:p>
        </w:tc>
      </w:tr>
      <w:tr w14:paraId="09E4C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FB9E645">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36834285">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30E61FB9">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012" w:type="pct"/>
            <w:vMerge w:val="continue"/>
            <w:vAlign w:val="center"/>
          </w:tcPr>
          <w:p w14:paraId="605B9C4F">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3E2B7820">
            <w:pPr>
              <w:snapToGrid w:val="0"/>
              <w:jc w:val="center"/>
              <w:rPr>
                <w:rFonts w:eastAsiaTheme="minorEastAsia"/>
                <w:color w:val="000000" w:themeColor="text1"/>
                <w:sz w:val="21"/>
                <w:szCs w:val="21"/>
                <w14:textFill>
                  <w14:solidFill>
                    <w14:schemeClr w14:val="tx1"/>
                  </w14:solidFill>
                </w14:textFill>
              </w:rPr>
            </w:pPr>
          </w:p>
        </w:tc>
      </w:tr>
      <w:tr w14:paraId="28DE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73BBC6DC">
            <w:pPr>
              <w:snapToGrid w:val="0"/>
              <w:jc w:val="center"/>
              <w:rPr>
                <w:rFonts w:eastAsiaTheme="minorEastAsia"/>
                <w:color w:val="000000" w:themeColor="text1"/>
                <w:sz w:val="21"/>
                <w:szCs w:val="21"/>
                <w14:textFill>
                  <w14:solidFill>
                    <w14:schemeClr w14:val="tx1"/>
                  </w14:solidFill>
                </w14:textFill>
              </w:rPr>
            </w:pPr>
          </w:p>
        </w:tc>
        <w:tc>
          <w:tcPr>
            <w:tcW w:w="2896" w:type="pct"/>
            <w:vAlign w:val="center"/>
          </w:tcPr>
          <w:p w14:paraId="08A1FD2D">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3F22C081">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1012" w:type="pct"/>
            <w:vMerge w:val="continue"/>
            <w:vAlign w:val="center"/>
          </w:tcPr>
          <w:p w14:paraId="7A63B493">
            <w:pPr>
              <w:snapToGrid w:val="0"/>
              <w:jc w:val="center"/>
              <w:rPr>
                <w:rFonts w:eastAsiaTheme="minorEastAsia"/>
                <w:color w:val="000000" w:themeColor="text1"/>
                <w:sz w:val="21"/>
                <w:szCs w:val="21"/>
                <w14:textFill>
                  <w14:solidFill>
                    <w14:schemeClr w14:val="tx1"/>
                  </w14:solidFill>
                </w14:textFill>
              </w:rPr>
            </w:pPr>
          </w:p>
        </w:tc>
        <w:tc>
          <w:tcPr>
            <w:tcW w:w="309" w:type="pct"/>
            <w:vMerge w:val="continue"/>
            <w:vAlign w:val="center"/>
          </w:tcPr>
          <w:p w14:paraId="4AEE6FB8">
            <w:pPr>
              <w:snapToGrid w:val="0"/>
              <w:jc w:val="center"/>
              <w:rPr>
                <w:rFonts w:eastAsiaTheme="minorEastAsia"/>
                <w:color w:val="000000" w:themeColor="text1"/>
                <w:sz w:val="21"/>
                <w:szCs w:val="21"/>
                <w14:textFill>
                  <w14:solidFill>
                    <w14:schemeClr w14:val="tx1"/>
                  </w14:solidFill>
                </w14:textFill>
              </w:rPr>
            </w:pPr>
          </w:p>
        </w:tc>
      </w:tr>
    </w:tbl>
    <w:p w14:paraId="5DFE3628">
      <w:pPr>
        <w:pStyle w:val="13"/>
        <w:spacing w:after="0" w:line="500" w:lineRule="exact"/>
        <w:ind w:firstLine="480" w:firstLineChars="200"/>
        <w:rPr>
          <w:rFonts w:eastAsia="宋体"/>
        </w:rPr>
      </w:pPr>
      <w:r>
        <w:rPr>
          <w:rFonts w:eastAsia="宋体"/>
        </w:rPr>
        <w:t>从上表可知，得分为0分。</w:t>
      </w:r>
    </w:p>
    <w:p w14:paraId="33B1A2C4">
      <w:pPr>
        <w:pStyle w:val="155"/>
        <w:numPr>
          <w:ilvl w:val="255"/>
          <w:numId w:val="0"/>
        </w:numPr>
        <w:tabs>
          <w:tab w:val="left" w:pos="1379"/>
        </w:tabs>
        <w:spacing w:line="500" w:lineRule="exact"/>
        <w:ind w:firstLine="480"/>
        <w:rPr>
          <w:rFonts w:eastAsia="宋体"/>
        </w:rPr>
      </w:pPr>
      <w:r>
        <w:rPr>
          <w:rFonts w:eastAsia="宋体"/>
        </w:rPr>
        <w:t>（3）企业生产工艺过程与大气环境风险控制水平</w:t>
      </w:r>
    </w:p>
    <w:p w14:paraId="58706F3F">
      <w:pPr>
        <w:spacing w:line="500" w:lineRule="exact"/>
        <w:ind w:firstLine="440" w:firstLineChars="200"/>
        <w:rPr>
          <w:rFonts w:eastAsia="宋体"/>
        </w:rPr>
      </w:pPr>
      <w:r>
        <w:rPr>
          <w:rFonts w:eastAsia="宋体"/>
          <w:spacing w:val="-10"/>
        </w:rPr>
        <w:t>将企业生产工艺过程、大气环境风险防控措施及突发大气环境事件发生情况</w:t>
      </w:r>
      <w:r>
        <w:rPr>
          <w:rFonts w:eastAsia="宋体"/>
          <w:spacing w:val="-8"/>
        </w:rPr>
        <w:t>各项指标评估分值累加，得出生产工艺过程与大气环境风险控制水平值，按照表</w:t>
      </w:r>
      <w:r>
        <w:rPr>
          <w:rFonts w:eastAsia="宋体"/>
        </w:rPr>
        <w:t>7-3</w:t>
      </w:r>
      <w:r>
        <w:rPr>
          <w:rFonts w:eastAsia="宋体"/>
          <w:spacing w:val="-16"/>
        </w:rPr>
        <w:t>划分为</w:t>
      </w:r>
      <w:r>
        <w:rPr>
          <w:rFonts w:eastAsia="宋体"/>
        </w:rPr>
        <w:t>4个类型。</w:t>
      </w:r>
    </w:p>
    <w:p w14:paraId="1B991B6A">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7-3</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53EA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FB3E0A8">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4A87D3AF">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14061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52FBA015">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659981D">
            <w:pPr>
              <w:adjustRightInd w:val="0"/>
              <w:snapToGrid w:val="0"/>
              <w:jc w:val="center"/>
              <w:rPr>
                <w:rFonts w:eastAsia="宋体"/>
                <w:snapToGrid w:val="0"/>
                <w:kern w:val="0"/>
                <w:sz w:val="21"/>
                <w:szCs w:val="21"/>
              </w:rPr>
            </w:pPr>
            <w:r>
              <w:rPr>
                <w:rFonts w:eastAsia="宋体"/>
                <w:snapToGrid w:val="0"/>
                <w:kern w:val="0"/>
                <w:sz w:val="21"/>
                <w:szCs w:val="21"/>
              </w:rPr>
              <w:t>M1</w:t>
            </w:r>
          </w:p>
        </w:tc>
      </w:tr>
      <w:tr w14:paraId="13FEAE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5DF31BB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257170EF">
            <w:pPr>
              <w:adjustRightInd w:val="0"/>
              <w:snapToGrid w:val="0"/>
              <w:jc w:val="center"/>
              <w:rPr>
                <w:rFonts w:eastAsia="宋体"/>
                <w:snapToGrid w:val="0"/>
                <w:kern w:val="0"/>
                <w:sz w:val="21"/>
                <w:szCs w:val="21"/>
              </w:rPr>
            </w:pPr>
            <w:r>
              <w:rPr>
                <w:rFonts w:eastAsia="宋体"/>
                <w:snapToGrid w:val="0"/>
                <w:kern w:val="0"/>
                <w:sz w:val="21"/>
                <w:szCs w:val="21"/>
              </w:rPr>
              <w:t>M2</w:t>
            </w:r>
          </w:p>
        </w:tc>
      </w:tr>
      <w:tr w14:paraId="26838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7859D87B">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3A682E4C">
            <w:pPr>
              <w:adjustRightInd w:val="0"/>
              <w:snapToGrid w:val="0"/>
              <w:jc w:val="center"/>
              <w:rPr>
                <w:rFonts w:eastAsia="宋体"/>
                <w:snapToGrid w:val="0"/>
                <w:kern w:val="0"/>
                <w:sz w:val="21"/>
                <w:szCs w:val="21"/>
              </w:rPr>
            </w:pPr>
            <w:r>
              <w:rPr>
                <w:rFonts w:eastAsia="宋体"/>
                <w:snapToGrid w:val="0"/>
                <w:kern w:val="0"/>
                <w:sz w:val="21"/>
                <w:szCs w:val="21"/>
              </w:rPr>
              <w:t>M3</w:t>
            </w:r>
          </w:p>
        </w:tc>
      </w:tr>
      <w:tr w14:paraId="4DDB6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316A61FA">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49412A63">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48A1BA00">
      <w:pPr>
        <w:pStyle w:val="13"/>
        <w:spacing w:after="0" w:line="365" w:lineRule="auto"/>
        <w:ind w:firstLine="440" w:firstLineChars="200"/>
        <w:rPr>
          <w:rFonts w:eastAsia="宋体"/>
          <w:spacing w:val="-10"/>
        </w:rPr>
      </w:pPr>
      <w:r>
        <w:rPr>
          <w:rFonts w:eastAsia="宋体"/>
          <w:spacing w:val="-10"/>
        </w:rPr>
        <w:t>由上文可知，公司环境风险及其控制水平（M）现状得分为</w:t>
      </w:r>
      <w:r>
        <w:rPr>
          <w:rFonts w:hint="eastAsia" w:eastAsia="宋体"/>
          <w:spacing w:val="-10"/>
        </w:rPr>
        <w:t>5</w:t>
      </w:r>
      <w:r>
        <w:rPr>
          <w:rFonts w:eastAsia="宋体"/>
          <w:spacing w:val="-10"/>
        </w:rPr>
        <w:t>分，企业大气环境风险及其控制水平为M1类水平。</w:t>
      </w:r>
    </w:p>
    <w:p w14:paraId="3863B817">
      <w:pPr>
        <w:pStyle w:val="5"/>
        <w:adjustRightInd w:val="0"/>
        <w:snapToGrid w:val="0"/>
        <w:spacing w:line="500" w:lineRule="exact"/>
        <w:jc w:val="left"/>
        <w:rPr>
          <w:rFonts w:eastAsia="宋体"/>
          <w:color w:val="000000" w:themeColor="text1"/>
          <w14:textFill>
            <w14:solidFill>
              <w14:schemeClr w14:val="tx1"/>
            </w14:solidFill>
          </w14:textFill>
        </w:rPr>
      </w:pPr>
      <w:bookmarkStart w:id="312" w:name="7.1.3大气环境风险受体敏感程度（E）评估"/>
      <w:bookmarkEnd w:id="312"/>
      <w:bookmarkStart w:id="313" w:name="_Toc12402"/>
      <w:bookmarkStart w:id="314" w:name="_Toc24236"/>
      <w:bookmarkStart w:id="315" w:name="_Toc15903"/>
      <w:bookmarkStart w:id="316" w:name="_TOC_250019"/>
      <w:r>
        <w:rPr>
          <w:rFonts w:hint="eastAsia" w:eastAsia="宋体"/>
          <w:color w:val="000000" w:themeColor="text1"/>
          <w14:textFill>
            <w14:solidFill>
              <w14:schemeClr w14:val="tx1"/>
            </w14:solidFill>
          </w14:textFill>
        </w:rPr>
        <w:t>7.1.3大气环境风险受体敏感程度（E）评估</w:t>
      </w:r>
      <w:bookmarkEnd w:id="313"/>
      <w:bookmarkEnd w:id="314"/>
      <w:bookmarkEnd w:id="315"/>
    </w:p>
    <w:bookmarkEnd w:id="316"/>
    <w:p w14:paraId="09173705">
      <w:pPr>
        <w:pStyle w:val="13"/>
        <w:spacing w:after="0" w:line="500" w:lineRule="exact"/>
        <w:ind w:firstLine="440" w:firstLineChars="200"/>
        <w:rPr>
          <w:rFonts w:eastAsia="宋体"/>
          <w:spacing w:val="-10"/>
        </w:rPr>
      </w:pPr>
      <w:r>
        <w:rPr>
          <w:rFonts w:eastAsia="宋体"/>
          <w:spacing w:val="-10"/>
        </w:rPr>
        <w:t>大气环境风险受体敏感程度类型按照企业周边人口数进行划分。按照企业周边5公里或500米范围内人口数将大气环境风险受体敏感程度划分为类型1、类型2和类型3三种类型，分别以E1、E2和E3表示，见表7-4。</w:t>
      </w:r>
    </w:p>
    <w:p w14:paraId="77874ED9">
      <w:pPr>
        <w:pStyle w:val="13"/>
        <w:spacing w:after="0" w:line="500" w:lineRule="exact"/>
        <w:ind w:firstLine="440" w:firstLineChars="200"/>
        <w:rPr>
          <w:rFonts w:eastAsia="宋体"/>
          <w:spacing w:val="-10"/>
        </w:rPr>
      </w:pPr>
      <w:r>
        <w:rPr>
          <w:rFonts w:eastAsia="宋体"/>
          <w:spacing w:val="-10"/>
        </w:rPr>
        <w:t>大气环境风险受体敏感程度按类型1、类型2和类型3顺序依次降低。若企业周边存在多种敏感程度类型的大气环境风险受体，则按敏感程度高者确定企业大气环境风险受体敏感程度类型。</w:t>
      </w:r>
    </w:p>
    <w:p w14:paraId="6766B8EB">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7-4</w:t>
      </w:r>
      <w:r>
        <w:rPr>
          <w:rFonts w:eastAsiaTheme="minorEastAsia"/>
          <w:b/>
          <w:color w:val="000000" w:themeColor="text1"/>
          <w14:textFill>
            <w14:solidFill>
              <w14:schemeClr w14:val="tx1"/>
            </w14:solidFill>
          </w14:textFill>
        </w:rPr>
        <w:t>大气环境风险受体敏感程度划分</w:t>
      </w:r>
    </w:p>
    <w:tbl>
      <w:tblPr>
        <w:tblStyle w:val="3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6FDF3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D1ACC3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947097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56DAE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16324DB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21EB414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2A502DB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2A9C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57167B9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71677A0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51AE79F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0F64A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51480BC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3AAB1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6AD0AF8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41FE57C3">
      <w:pPr>
        <w:pStyle w:val="13"/>
        <w:spacing w:after="0" w:line="500" w:lineRule="exact"/>
        <w:ind w:firstLine="440" w:firstLineChars="200"/>
        <w:rPr>
          <w:rFonts w:eastAsia="宋体"/>
          <w:spacing w:val="-10"/>
        </w:rPr>
      </w:pPr>
      <w:r>
        <w:rPr>
          <w:rFonts w:eastAsia="宋体"/>
          <w:spacing w:val="-10"/>
        </w:rPr>
        <w:t>由章节3.2.1可知，</w:t>
      </w:r>
      <w:r>
        <w:rPr>
          <w:rFonts w:hint="eastAsia" w:eastAsia="宋体"/>
          <w:spacing w:val="-10"/>
        </w:rPr>
        <w:t>企业周边5公里内人口总数</w:t>
      </w:r>
      <w:r>
        <w:rPr>
          <w:rFonts w:eastAsia="宋体"/>
          <w:spacing w:val="-10"/>
        </w:rPr>
        <w:t>公司1万人以</w:t>
      </w:r>
      <w:r>
        <w:rPr>
          <w:rFonts w:hint="eastAsia" w:eastAsia="宋体"/>
          <w:spacing w:val="-10"/>
          <w:lang w:val="en-US" w:eastAsia="zh-CN"/>
        </w:rPr>
        <w:t>下</w:t>
      </w:r>
      <w:r>
        <w:rPr>
          <w:rFonts w:hint="eastAsia" w:eastAsia="宋体"/>
          <w:spacing w:val="-10"/>
        </w:rPr>
        <w:t>，</w:t>
      </w:r>
      <w:r>
        <w:rPr>
          <w:rFonts w:hint="eastAsia" w:eastAsia="宋体"/>
          <w:spacing w:val="-10"/>
          <w:lang w:val="en-US" w:eastAsia="zh-CN"/>
        </w:rPr>
        <w:t>但</w:t>
      </w:r>
      <w:r>
        <w:rPr>
          <w:rFonts w:hint="eastAsia" w:eastAsia="宋体"/>
          <w:spacing w:val="-10"/>
        </w:rPr>
        <w:t>企业周边</w:t>
      </w:r>
      <w:r>
        <w:rPr>
          <w:rFonts w:eastAsia="宋体"/>
          <w:spacing w:val="-10"/>
        </w:rPr>
        <w:t>500m范围内</w:t>
      </w:r>
      <w:r>
        <w:rPr>
          <w:rFonts w:hint="eastAsia" w:eastAsia="宋体"/>
          <w:spacing w:val="-10"/>
        </w:rPr>
        <w:t>总人数1000人以上</w:t>
      </w:r>
      <w:r>
        <w:rPr>
          <w:rFonts w:eastAsia="宋体"/>
          <w:spacing w:val="-10"/>
        </w:rPr>
        <w:t>，因此公司大气环境风险受体为类型</w:t>
      </w:r>
      <w:r>
        <w:rPr>
          <w:rFonts w:hint="eastAsia" w:eastAsia="宋体"/>
          <w:spacing w:val="-10"/>
        </w:rPr>
        <w:t>1</w:t>
      </w:r>
      <w:r>
        <w:rPr>
          <w:rFonts w:eastAsia="宋体"/>
          <w:spacing w:val="-10"/>
        </w:rPr>
        <w:t>（E</w:t>
      </w:r>
      <w:r>
        <w:rPr>
          <w:rFonts w:hint="eastAsia" w:eastAsia="宋体"/>
          <w:spacing w:val="-10"/>
        </w:rPr>
        <w:t>1</w:t>
      </w:r>
      <w:r>
        <w:rPr>
          <w:rFonts w:eastAsia="宋体"/>
          <w:spacing w:val="-10"/>
        </w:rPr>
        <w:t>）。</w:t>
      </w:r>
    </w:p>
    <w:p w14:paraId="103DBDA4">
      <w:pPr>
        <w:pStyle w:val="5"/>
        <w:adjustRightInd w:val="0"/>
        <w:snapToGrid w:val="0"/>
        <w:spacing w:line="500" w:lineRule="exact"/>
        <w:jc w:val="left"/>
        <w:rPr>
          <w:rFonts w:eastAsia="宋体"/>
          <w:color w:val="000000" w:themeColor="text1"/>
          <w14:textFill>
            <w14:solidFill>
              <w14:schemeClr w14:val="tx1"/>
            </w14:solidFill>
          </w14:textFill>
        </w:rPr>
      </w:pPr>
      <w:bookmarkStart w:id="317" w:name="_TOC_250018"/>
      <w:bookmarkEnd w:id="317"/>
      <w:bookmarkStart w:id="318" w:name="7.1.4突发大气环境事件风险等级确定"/>
      <w:bookmarkEnd w:id="318"/>
      <w:bookmarkStart w:id="319" w:name="_Toc1202"/>
      <w:bookmarkStart w:id="320" w:name="_Toc23652"/>
      <w:bookmarkStart w:id="321" w:name="_Toc5160"/>
      <w:r>
        <w:rPr>
          <w:rFonts w:hint="eastAsia" w:eastAsia="宋体"/>
          <w:color w:val="000000" w:themeColor="text1"/>
          <w14:textFill>
            <w14:solidFill>
              <w14:schemeClr w14:val="tx1"/>
            </w14:solidFill>
          </w14:textFill>
        </w:rPr>
        <w:t>7.1.4突发大气环境事件风险等级确定</w:t>
      </w:r>
      <w:bookmarkEnd w:id="319"/>
      <w:bookmarkEnd w:id="320"/>
      <w:bookmarkEnd w:id="321"/>
    </w:p>
    <w:p w14:paraId="429AE6DE">
      <w:pPr>
        <w:pStyle w:val="13"/>
        <w:spacing w:after="0" w:line="500" w:lineRule="exact"/>
        <w:ind w:firstLine="440" w:firstLineChars="200"/>
        <w:rPr>
          <w:rFonts w:eastAsia="宋体"/>
          <w:spacing w:val="-10"/>
        </w:rPr>
      </w:pPr>
      <w:r>
        <w:rPr>
          <w:rFonts w:eastAsia="宋体"/>
          <w:spacing w:val="-10"/>
        </w:rPr>
        <w:t>根据企业周边大气环境风险受体敏感程度（E）、涉气风险物质数量与临界量比值（Q）和生产工艺过程与大气环境风险控制水平（M），按照表7-5确定企业突发大气环境事件风险等级。</w:t>
      </w:r>
    </w:p>
    <w:p w14:paraId="78AFF618">
      <w:pPr>
        <w:pStyle w:val="13"/>
        <w:spacing w:after="0" w:line="500" w:lineRule="exact"/>
        <w:jc w:val="center"/>
        <w:rPr>
          <w:rFonts w:eastAsiaTheme="minorEastAsia"/>
          <w:spacing w:val="-10"/>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7-5企业突发环境事件风险分级矩阵表</w:t>
      </w:r>
    </w:p>
    <w:tbl>
      <w:tblPr>
        <w:tblStyle w:val="38"/>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0CCBB2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7A7EE330">
            <w:pPr>
              <w:pStyle w:val="142"/>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1DC113AB">
            <w:pPr>
              <w:pStyle w:val="142"/>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50CC36FF">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27F8F2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93A486C">
            <w:pPr>
              <w:jc w:val="center"/>
              <w:rPr>
                <w:sz w:val="2"/>
                <w:szCs w:val="2"/>
              </w:rPr>
            </w:pPr>
          </w:p>
        </w:tc>
        <w:tc>
          <w:tcPr>
            <w:tcW w:w="1843" w:type="dxa"/>
            <w:vMerge w:val="continue"/>
            <w:tcBorders>
              <w:tl2br w:val="nil"/>
              <w:tr2bl w:val="nil"/>
            </w:tcBorders>
            <w:vAlign w:val="center"/>
          </w:tcPr>
          <w:p w14:paraId="38DEE0F1">
            <w:pPr>
              <w:jc w:val="center"/>
              <w:rPr>
                <w:sz w:val="2"/>
                <w:szCs w:val="2"/>
              </w:rPr>
            </w:pPr>
          </w:p>
        </w:tc>
        <w:tc>
          <w:tcPr>
            <w:tcW w:w="1259" w:type="dxa"/>
            <w:tcBorders>
              <w:tl2br w:val="nil"/>
              <w:tr2bl w:val="nil"/>
            </w:tcBorders>
            <w:vAlign w:val="center"/>
          </w:tcPr>
          <w:p w14:paraId="790A59A3">
            <w:pPr>
              <w:pStyle w:val="142"/>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4D6E4ED">
            <w:pPr>
              <w:pStyle w:val="142"/>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1BDD1848">
            <w:pPr>
              <w:pStyle w:val="142"/>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3EBC519A">
            <w:pPr>
              <w:pStyle w:val="142"/>
              <w:rPr>
                <w:b/>
                <w:sz w:val="21"/>
              </w:rPr>
            </w:pPr>
            <w:r>
              <w:rPr>
                <w:rFonts w:ascii="Times New Roman" w:eastAsia="Times New Roman"/>
                <w:b/>
                <w:sz w:val="21"/>
              </w:rPr>
              <w:t>M4</w:t>
            </w:r>
            <w:r>
              <w:rPr>
                <w:b/>
                <w:sz w:val="21"/>
              </w:rPr>
              <w:t>类水平</w:t>
            </w:r>
          </w:p>
        </w:tc>
      </w:tr>
      <w:tr w14:paraId="7A35C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1BD19098">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6B2352B">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0EA7AD">
            <w:pPr>
              <w:pStyle w:val="142"/>
              <w:rPr>
                <w:sz w:val="21"/>
              </w:rPr>
            </w:pPr>
            <w:r>
              <w:rPr>
                <w:sz w:val="21"/>
              </w:rPr>
              <w:t>较大</w:t>
            </w:r>
          </w:p>
        </w:tc>
        <w:tc>
          <w:tcPr>
            <w:tcW w:w="1260" w:type="dxa"/>
            <w:tcBorders>
              <w:tl2br w:val="nil"/>
              <w:tr2bl w:val="nil"/>
            </w:tcBorders>
            <w:vAlign w:val="center"/>
          </w:tcPr>
          <w:p w14:paraId="25049B24">
            <w:pPr>
              <w:pStyle w:val="142"/>
              <w:rPr>
                <w:sz w:val="21"/>
              </w:rPr>
            </w:pPr>
            <w:r>
              <w:rPr>
                <w:sz w:val="21"/>
              </w:rPr>
              <w:t>较大</w:t>
            </w:r>
          </w:p>
        </w:tc>
        <w:tc>
          <w:tcPr>
            <w:tcW w:w="1259" w:type="dxa"/>
            <w:tcBorders>
              <w:tl2br w:val="nil"/>
              <w:tr2bl w:val="nil"/>
            </w:tcBorders>
            <w:vAlign w:val="center"/>
          </w:tcPr>
          <w:p w14:paraId="63B745FB">
            <w:pPr>
              <w:pStyle w:val="142"/>
              <w:rPr>
                <w:sz w:val="21"/>
              </w:rPr>
            </w:pPr>
            <w:r>
              <w:rPr>
                <w:sz w:val="21"/>
              </w:rPr>
              <w:t>重大</w:t>
            </w:r>
          </w:p>
        </w:tc>
        <w:tc>
          <w:tcPr>
            <w:tcW w:w="1260" w:type="dxa"/>
            <w:tcBorders>
              <w:tl2br w:val="nil"/>
              <w:tr2bl w:val="nil"/>
            </w:tcBorders>
            <w:vAlign w:val="center"/>
          </w:tcPr>
          <w:p w14:paraId="7C715E3E">
            <w:pPr>
              <w:pStyle w:val="142"/>
              <w:rPr>
                <w:sz w:val="21"/>
              </w:rPr>
            </w:pPr>
            <w:r>
              <w:rPr>
                <w:sz w:val="21"/>
              </w:rPr>
              <w:t>重大</w:t>
            </w:r>
          </w:p>
        </w:tc>
      </w:tr>
      <w:tr w14:paraId="2D5C7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2C7FE94">
            <w:pPr>
              <w:jc w:val="center"/>
              <w:rPr>
                <w:sz w:val="2"/>
                <w:szCs w:val="2"/>
              </w:rPr>
            </w:pPr>
          </w:p>
        </w:tc>
        <w:tc>
          <w:tcPr>
            <w:tcW w:w="1843" w:type="dxa"/>
            <w:tcBorders>
              <w:tl2br w:val="nil"/>
              <w:tr2bl w:val="nil"/>
            </w:tcBorders>
            <w:vAlign w:val="center"/>
          </w:tcPr>
          <w:p w14:paraId="426C2E69">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442F8EA7">
            <w:pPr>
              <w:pStyle w:val="142"/>
              <w:rPr>
                <w:sz w:val="21"/>
              </w:rPr>
            </w:pPr>
            <w:r>
              <w:rPr>
                <w:sz w:val="21"/>
              </w:rPr>
              <w:t>较大</w:t>
            </w:r>
          </w:p>
        </w:tc>
        <w:tc>
          <w:tcPr>
            <w:tcW w:w="1260" w:type="dxa"/>
            <w:tcBorders>
              <w:tl2br w:val="nil"/>
              <w:tr2bl w:val="nil"/>
            </w:tcBorders>
            <w:vAlign w:val="center"/>
          </w:tcPr>
          <w:p w14:paraId="7C6B2D58">
            <w:pPr>
              <w:pStyle w:val="142"/>
              <w:rPr>
                <w:sz w:val="21"/>
              </w:rPr>
            </w:pPr>
            <w:r>
              <w:rPr>
                <w:sz w:val="21"/>
              </w:rPr>
              <w:t>重大</w:t>
            </w:r>
          </w:p>
        </w:tc>
        <w:tc>
          <w:tcPr>
            <w:tcW w:w="1259" w:type="dxa"/>
            <w:tcBorders>
              <w:tl2br w:val="nil"/>
              <w:tr2bl w:val="nil"/>
            </w:tcBorders>
            <w:vAlign w:val="center"/>
          </w:tcPr>
          <w:p w14:paraId="6F898F26">
            <w:pPr>
              <w:pStyle w:val="142"/>
              <w:rPr>
                <w:sz w:val="21"/>
              </w:rPr>
            </w:pPr>
            <w:r>
              <w:rPr>
                <w:sz w:val="21"/>
              </w:rPr>
              <w:t>重大</w:t>
            </w:r>
          </w:p>
        </w:tc>
        <w:tc>
          <w:tcPr>
            <w:tcW w:w="1260" w:type="dxa"/>
            <w:tcBorders>
              <w:tl2br w:val="nil"/>
              <w:tr2bl w:val="nil"/>
            </w:tcBorders>
            <w:vAlign w:val="center"/>
          </w:tcPr>
          <w:p w14:paraId="0BC60A0A">
            <w:pPr>
              <w:pStyle w:val="142"/>
              <w:rPr>
                <w:sz w:val="21"/>
              </w:rPr>
            </w:pPr>
            <w:r>
              <w:rPr>
                <w:sz w:val="21"/>
              </w:rPr>
              <w:t>重大</w:t>
            </w:r>
          </w:p>
        </w:tc>
      </w:tr>
      <w:tr w14:paraId="327E53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62853519">
            <w:pPr>
              <w:jc w:val="center"/>
              <w:rPr>
                <w:sz w:val="2"/>
                <w:szCs w:val="2"/>
              </w:rPr>
            </w:pPr>
          </w:p>
        </w:tc>
        <w:tc>
          <w:tcPr>
            <w:tcW w:w="1843" w:type="dxa"/>
            <w:tcBorders>
              <w:tl2br w:val="nil"/>
              <w:tr2bl w:val="nil"/>
            </w:tcBorders>
            <w:vAlign w:val="center"/>
          </w:tcPr>
          <w:p w14:paraId="2571AE3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AF5D59B">
            <w:pPr>
              <w:pStyle w:val="142"/>
              <w:rPr>
                <w:sz w:val="21"/>
              </w:rPr>
            </w:pPr>
            <w:r>
              <w:rPr>
                <w:sz w:val="21"/>
              </w:rPr>
              <w:t>重大</w:t>
            </w:r>
          </w:p>
        </w:tc>
        <w:tc>
          <w:tcPr>
            <w:tcW w:w="1260" w:type="dxa"/>
            <w:tcBorders>
              <w:tl2br w:val="nil"/>
              <w:tr2bl w:val="nil"/>
            </w:tcBorders>
            <w:vAlign w:val="center"/>
          </w:tcPr>
          <w:p w14:paraId="5E8A736E">
            <w:pPr>
              <w:pStyle w:val="142"/>
              <w:rPr>
                <w:sz w:val="21"/>
              </w:rPr>
            </w:pPr>
            <w:r>
              <w:rPr>
                <w:sz w:val="21"/>
              </w:rPr>
              <w:t>重大</w:t>
            </w:r>
          </w:p>
        </w:tc>
        <w:tc>
          <w:tcPr>
            <w:tcW w:w="1259" w:type="dxa"/>
            <w:tcBorders>
              <w:tl2br w:val="nil"/>
              <w:tr2bl w:val="nil"/>
            </w:tcBorders>
            <w:vAlign w:val="center"/>
          </w:tcPr>
          <w:p w14:paraId="7D1B2F93">
            <w:pPr>
              <w:pStyle w:val="142"/>
              <w:rPr>
                <w:sz w:val="21"/>
              </w:rPr>
            </w:pPr>
            <w:r>
              <w:rPr>
                <w:sz w:val="21"/>
              </w:rPr>
              <w:t>重大</w:t>
            </w:r>
          </w:p>
        </w:tc>
        <w:tc>
          <w:tcPr>
            <w:tcW w:w="1260" w:type="dxa"/>
            <w:tcBorders>
              <w:tl2br w:val="nil"/>
              <w:tr2bl w:val="nil"/>
            </w:tcBorders>
            <w:vAlign w:val="center"/>
          </w:tcPr>
          <w:p w14:paraId="66F1B3EA">
            <w:pPr>
              <w:pStyle w:val="142"/>
              <w:rPr>
                <w:sz w:val="21"/>
              </w:rPr>
            </w:pPr>
            <w:r>
              <w:rPr>
                <w:sz w:val="21"/>
              </w:rPr>
              <w:t>重大</w:t>
            </w:r>
          </w:p>
        </w:tc>
      </w:tr>
      <w:tr w14:paraId="60D9E9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66A5A1EB">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06F1458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5C948528">
            <w:pPr>
              <w:pStyle w:val="142"/>
              <w:rPr>
                <w:sz w:val="21"/>
              </w:rPr>
            </w:pPr>
            <w:r>
              <w:rPr>
                <w:sz w:val="21"/>
              </w:rPr>
              <w:t>一般</w:t>
            </w:r>
          </w:p>
        </w:tc>
        <w:tc>
          <w:tcPr>
            <w:tcW w:w="1260" w:type="dxa"/>
            <w:tcBorders>
              <w:tl2br w:val="nil"/>
              <w:tr2bl w:val="nil"/>
            </w:tcBorders>
            <w:vAlign w:val="center"/>
          </w:tcPr>
          <w:p w14:paraId="54353AF2">
            <w:pPr>
              <w:pStyle w:val="142"/>
              <w:rPr>
                <w:sz w:val="21"/>
              </w:rPr>
            </w:pPr>
            <w:r>
              <w:rPr>
                <w:sz w:val="21"/>
              </w:rPr>
              <w:t>较大</w:t>
            </w:r>
          </w:p>
        </w:tc>
        <w:tc>
          <w:tcPr>
            <w:tcW w:w="1259" w:type="dxa"/>
            <w:tcBorders>
              <w:tl2br w:val="nil"/>
              <w:tr2bl w:val="nil"/>
            </w:tcBorders>
            <w:vAlign w:val="center"/>
          </w:tcPr>
          <w:p w14:paraId="41EDC02F">
            <w:pPr>
              <w:pStyle w:val="142"/>
              <w:rPr>
                <w:sz w:val="21"/>
              </w:rPr>
            </w:pPr>
            <w:r>
              <w:rPr>
                <w:sz w:val="21"/>
              </w:rPr>
              <w:t>较大</w:t>
            </w:r>
          </w:p>
        </w:tc>
        <w:tc>
          <w:tcPr>
            <w:tcW w:w="1260" w:type="dxa"/>
            <w:tcBorders>
              <w:tl2br w:val="nil"/>
              <w:tr2bl w:val="nil"/>
            </w:tcBorders>
            <w:vAlign w:val="center"/>
          </w:tcPr>
          <w:p w14:paraId="23E86207">
            <w:pPr>
              <w:pStyle w:val="142"/>
              <w:rPr>
                <w:sz w:val="21"/>
              </w:rPr>
            </w:pPr>
            <w:r>
              <w:rPr>
                <w:sz w:val="21"/>
              </w:rPr>
              <w:t>重大</w:t>
            </w:r>
          </w:p>
        </w:tc>
      </w:tr>
      <w:tr w14:paraId="3B22F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53730D63">
            <w:pPr>
              <w:jc w:val="center"/>
              <w:rPr>
                <w:sz w:val="2"/>
                <w:szCs w:val="2"/>
              </w:rPr>
            </w:pPr>
          </w:p>
        </w:tc>
        <w:tc>
          <w:tcPr>
            <w:tcW w:w="1843" w:type="dxa"/>
            <w:tcBorders>
              <w:tl2br w:val="nil"/>
              <w:tr2bl w:val="nil"/>
            </w:tcBorders>
            <w:vAlign w:val="center"/>
          </w:tcPr>
          <w:p w14:paraId="31FCB70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750D229">
            <w:pPr>
              <w:pStyle w:val="142"/>
              <w:rPr>
                <w:sz w:val="21"/>
              </w:rPr>
            </w:pPr>
            <w:r>
              <w:rPr>
                <w:sz w:val="21"/>
              </w:rPr>
              <w:t>较大</w:t>
            </w:r>
          </w:p>
        </w:tc>
        <w:tc>
          <w:tcPr>
            <w:tcW w:w="1260" w:type="dxa"/>
            <w:tcBorders>
              <w:tl2br w:val="nil"/>
              <w:tr2bl w:val="nil"/>
            </w:tcBorders>
            <w:vAlign w:val="center"/>
          </w:tcPr>
          <w:p w14:paraId="593B8E2F">
            <w:pPr>
              <w:pStyle w:val="142"/>
              <w:rPr>
                <w:sz w:val="21"/>
              </w:rPr>
            </w:pPr>
            <w:r>
              <w:rPr>
                <w:sz w:val="21"/>
              </w:rPr>
              <w:t>较大</w:t>
            </w:r>
          </w:p>
        </w:tc>
        <w:tc>
          <w:tcPr>
            <w:tcW w:w="1259" w:type="dxa"/>
            <w:tcBorders>
              <w:tl2br w:val="nil"/>
              <w:tr2bl w:val="nil"/>
            </w:tcBorders>
            <w:vAlign w:val="center"/>
          </w:tcPr>
          <w:p w14:paraId="73E75758">
            <w:pPr>
              <w:pStyle w:val="142"/>
              <w:rPr>
                <w:sz w:val="21"/>
              </w:rPr>
            </w:pPr>
            <w:r>
              <w:rPr>
                <w:sz w:val="21"/>
              </w:rPr>
              <w:t>重大</w:t>
            </w:r>
          </w:p>
        </w:tc>
        <w:tc>
          <w:tcPr>
            <w:tcW w:w="1260" w:type="dxa"/>
            <w:tcBorders>
              <w:tl2br w:val="nil"/>
              <w:tr2bl w:val="nil"/>
            </w:tcBorders>
            <w:vAlign w:val="center"/>
          </w:tcPr>
          <w:p w14:paraId="79149AF5">
            <w:pPr>
              <w:pStyle w:val="142"/>
              <w:rPr>
                <w:sz w:val="21"/>
              </w:rPr>
            </w:pPr>
            <w:r>
              <w:rPr>
                <w:sz w:val="21"/>
              </w:rPr>
              <w:t>重大</w:t>
            </w:r>
          </w:p>
        </w:tc>
      </w:tr>
      <w:tr w14:paraId="76306C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33316585">
            <w:pPr>
              <w:jc w:val="center"/>
              <w:rPr>
                <w:sz w:val="2"/>
                <w:szCs w:val="2"/>
              </w:rPr>
            </w:pPr>
          </w:p>
        </w:tc>
        <w:tc>
          <w:tcPr>
            <w:tcW w:w="1843" w:type="dxa"/>
            <w:tcBorders>
              <w:tl2br w:val="nil"/>
              <w:tr2bl w:val="nil"/>
            </w:tcBorders>
            <w:vAlign w:val="center"/>
          </w:tcPr>
          <w:p w14:paraId="08C60B05">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6DD62684">
            <w:pPr>
              <w:pStyle w:val="142"/>
              <w:rPr>
                <w:sz w:val="21"/>
              </w:rPr>
            </w:pPr>
            <w:r>
              <w:rPr>
                <w:sz w:val="21"/>
              </w:rPr>
              <w:t>较大</w:t>
            </w:r>
          </w:p>
        </w:tc>
        <w:tc>
          <w:tcPr>
            <w:tcW w:w="1260" w:type="dxa"/>
            <w:tcBorders>
              <w:tl2br w:val="nil"/>
              <w:tr2bl w:val="nil"/>
            </w:tcBorders>
            <w:vAlign w:val="center"/>
          </w:tcPr>
          <w:p w14:paraId="5ECFBC66">
            <w:pPr>
              <w:pStyle w:val="142"/>
              <w:rPr>
                <w:sz w:val="21"/>
              </w:rPr>
            </w:pPr>
            <w:r>
              <w:rPr>
                <w:sz w:val="21"/>
              </w:rPr>
              <w:t>重大</w:t>
            </w:r>
          </w:p>
        </w:tc>
        <w:tc>
          <w:tcPr>
            <w:tcW w:w="1259" w:type="dxa"/>
            <w:tcBorders>
              <w:tl2br w:val="nil"/>
              <w:tr2bl w:val="nil"/>
            </w:tcBorders>
            <w:vAlign w:val="center"/>
          </w:tcPr>
          <w:p w14:paraId="1336ADB4">
            <w:pPr>
              <w:pStyle w:val="142"/>
              <w:rPr>
                <w:sz w:val="21"/>
              </w:rPr>
            </w:pPr>
            <w:r>
              <w:rPr>
                <w:sz w:val="21"/>
              </w:rPr>
              <w:t>重大</w:t>
            </w:r>
          </w:p>
        </w:tc>
        <w:tc>
          <w:tcPr>
            <w:tcW w:w="1260" w:type="dxa"/>
            <w:tcBorders>
              <w:tl2br w:val="nil"/>
              <w:tr2bl w:val="nil"/>
            </w:tcBorders>
            <w:vAlign w:val="center"/>
          </w:tcPr>
          <w:p w14:paraId="7391CD92">
            <w:pPr>
              <w:pStyle w:val="142"/>
              <w:rPr>
                <w:sz w:val="21"/>
              </w:rPr>
            </w:pPr>
            <w:r>
              <w:rPr>
                <w:sz w:val="21"/>
              </w:rPr>
              <w:t>重大</w:t>
            </w:r>
          </w:p>
        </w:tc>
      </w:tr>
      <w:tr w14:paraId="3A1C55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DF5E439">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4D9F714A">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7B3B0746">
            <w:pPr>
              <w:pStyle w:val="142"/>
              <w:rPr>
                <w:sz w:val="21"/>
              </w:rPr>
            </w:pPr>
            <w:r>
              <w:rPr>
                <w:sz w:val="21"/>
              </w:rPr>
              <w:t>一般</w:t>
            </w:r>
          </w:p>
        </w:tc>
        <w:tc>
          <w:tcPr>
            <w:tcW w:w="1260" w:type="dxa"/>
            <w:tcBorders>
              <w:tl2br w:val="nil"/>
              <w:tr2bl w:val="nil"/>
            </w:tcBorders>
            <w:vAlign w:val="center"/>
          </w:tcPr>
          <w:p w14:paraId="4AD02A8A">
            <w:pPr>
              <w:pStyle w:val="142"/>
              <w:rPr>
                <w:sz w:val="21"/>
              </w:rPr>
            </w:pPr>
            <w:r>
              <w:rPr>
                <w:sz w:val="21"/>
              </w:rPr>
              <w:t>一般</w:t>
            </w:r>
          </w:p>
        </w:tc>
        <w:tc>
          <w:tcPr>
            <w:tcW w:w="1259" w:type="dxa"/>
            <w:tcBorders>
              <w:tl2br w:val="nil"/>
              <w:tr2bl w:val="nil"/>
            </w:tcBorders>
            <w:vAlign w:val="center"/>
          </w:tcPr>
          <w:p w14:paraId="5093317E">
            <w:pPr>
              <w:pStyle w:val="142"/>
              <w:rPr>
                <w:sz w:val="21"/>
              </w:rPr>
            </w:pPr>
            <w:r>
              <w:rPr>
                <w:sz w:val="21"/>
              </w:rPr>
              <w:t>较大</w:t>
            </w:r>
          </w:p>
        </w:tc>
        <w:tc>
          <w:tcPr>
            <w:tcW w:w="1260" w:type="dxa"/>
            <w:tcBorders>
              <w:tl2br w:val="nil"/>
              <w:tr2bl w:val="nil"/>
            </w:tcBorders>
            <w:vAlign w:val="center"/>
          </w:tcPr>
          <w:p w14:paraId="565EE7CE">
            <w:pPr>
              <w:pStyle w:val="142"/>
              <w:rPr>
                <w:sz w:val="21"/>
              </w:rPr>
            </w:pPr>
            <w:r>
              <w:rPr>
                <w:sz w:val="21"/>
              </w:rPr>
              <w:t>较大</w:t>
            </w:r>
          </w:p>
        </w:tc>
      </w:tr>
      <w:tr w14:paraId="49684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6107A98E">
            <w:pPr>
              <w:jc w:val="center"/>
              <w:rPr>
                <w:sz w:val="2"/>
                <w:szCs w:val="2"/>
              </w:rPr>
            </w:pPr>
          </w:p>
        </w:tc>
        <w:tc>
          <w:tcPr>
            <w:tcW w:w="1843" w:type="dxa"/>
            <w:tcBorders>
              <w:tl2br w:val="nil"/>
              <w:tr2bl w:val="nil"/>
            </w:tcBorders>
            <w:vAlign w:val="center"/>
          </w:tcPr>
          <w:p w14:paraId="5896E24A">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52727F0C">
            <w:pPr>
              <w:pStyle w:val="142"/>
              <w:rPr>
                <w:sz w:val="21"/>
              </w:rPr>
            </w:pPr>
            <w:r>
              <w:rPr>
                <w:sz w:val="21"/>
              </w:rPr>
              <w:t>一般</w:t>
            </w:r>
          </w:p>
        </w:tc>
        <w:tc>
          <w:tcPr>
            <w:tcW w:w="1260" w:type="dxa"/>
            <w:tcBorders>
              <w:tl2br w:val="nil"/>
              <w:tr2bl w:val="nil"/>
            </w:tcBorders>
            <w:vAlign w:val="center"/>
          </w:tcPr>
          <w:p w14:paraId="7D00E37A">
            <w:pPr>
              <w:pStyle w:val="142"/>
              <w:rPr>
                <w:sz w:val="21"/>
              </w:rPr>
            </w:pPr>
            <w:r>
              <w:rPr>
                <w:sz w:val="21"/>
              </w:rPr>
              <w:t>较大</w:t>
            </w:r>
          </w:p>
        </w:tc>
        <w:tc>
          <w:tcPr>
            <w:tcW w:w="1259" w:type="dxa"/>
            <w:tcBorders>
              <w:tl2br w:val="nil"/>
              <w:tr2bl w:val="nil"/>
            </w:tcBorders>
            <w:vAlign w:val="center"/>
          </w:tcPr>
          <w:p w14:paraId="150670DF">
            <w:pPr>
              <w:pStyle w:val="142"/>
              <w:rPr>
                <w:sz w:val="21"/>
              </w:rPr>
            </w:pPr>
            <w:r>
              <w:rPr>
                <w:sz w:val="21"/>
              </w:rPr>
              <w:t>较大</w:t>
            </w:r>
          </w:p>
        </w:tc>
        <w:tc>
          <w:tcPr>
            <w:tcW w:w="1260" w:type="dxa"/>
            <w:tcBorders>
              <w:tl2br w:val="nil"/>
              <w:tr2bl w:val="nil"/>
            </w:tcBorders>
            <w:vAlign w:val="center"/>
          </w:tcPr>
          <w:p w14:paraId="2AB59042">
            <w:pPr>
              <w:pStyle w:val="142"/>
              <w:rPr>
                <w:sz w:val="21"/>
              </w:rPr>
            </w:pPr>
            <w:r>
              <w:rPr>
                <w:sz w:val="21"/>
              </w:rPr>
              <w:t>重大</w:t>
            </w:r>
          </w:p>
        </w:tc>
      </w:tr>
      <w:tr w14:paraId="2B906E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4F06CA3">
            <w:pPr>
              <w:jc w:val="center"/>
              <w:rPr>
                <w:sz w:val="2"/>
                <w:szCs w:val="2"/>
              </w:rPr>
            </w:pPr>
          </w:p>
        </w:tc>
        <w:tc>
          <w:tcPr>
            <w:tcW w:w="1843" w:type="dxa"/>
            <w:tcBorders>
              <w:tl2br w:val="nil"/>
              <w:tr2bl w:val="nil"/>
            </w:tcBorders>
            <w:vAlign w:val="center"/>
          </w:tcPr>
          <w:p w14:paraId="3AD8D50D">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724B40C">
            <w:pPr>
              <w:pStyle w:val="142"/>
              <w:rPr>
                <w:sz w:val="21"/>
              </w:rPr>
            </w:pPr>
            <w:r>
              <w:rPr>
                <w:sz w:val="21"/>
              </w:rPr>
              <w:t>较大</w:t>
            </w:r>
          </w:p>
        </w:tc>
        <w:tc>
          <w:tcPr>
            <w:tcW w:w="1260" w:type="dxa"/>
            <w:tcBorders>
              <w:tl2br w:val="nil"/>
              <w:tr2bl w:val="nil"/>
            </w:tcBorders>
            <w:vAlign w:val="center"/>
          </w:tcPr>
          <w:p w14:paraId="042F7E47">
            <w:pPr>
              <w:pStyle w:val="142"/>
              <w:rPr>
                <w:sz w:val="21"/>
              </w:rPr>
            </w:pPr>
            <w:r>
              <w:rPr>
                <w:sz w:val="21"/>
              </w:rPr>
              <w:t>较大</w:t>
            </w:r>
          </w:p>
        </w:tc>
        <w:tc>
          <w:tcPr>
            <w:tcW w:w="1259" w:type="dxa"/>
            <w:tcBorders>
              <w:tl2br w:val="nil"/>
              <w:tr2bl w:val="nil"/>
            </w:tcBorders>
            <w:vAlign w:val="center"/>
          </w:tcPr>
          <w:p w14:paraId="0F2E0B0C">
            <w:pPr>
              <w:pStyle w:val="142"/>
              <w:rPr>
                <w:sz w:val="21"/>
              </w:rPr>
            </w:pPr>
            <w:r>
              <w:rPr>
                <w:sz w:val="21"/>
              </w:rPr>
              <w:t>重大</w:t>
            </w:r>
          </w:p>
        </w:tc>
        <w:tc>
          <w:tcPr>
            <w:tcW w:w="1260" w:type="dxa"/>
            <w:tcBorders>
              <w:tl2br w:val="nil"/>
              <w:tr2bl w:val="nil"/>
            </w:tcBorders>
            <w:vAlign w:val="center"/>
          </w:tcPr>
          <w:p w14:paraId="02C1D456">
            <w:pPr>
              <w:pStyle w:val="142"/>
              <w:rPr>
                <w:sz w:val="21"/>
              </w:rPr>
            </w:pPr>
            <w:r>
              <w:rPr>
                <w:sz w:val="21"/>
              </w:rPr>
              <w:t>重大</w:t>
            </w:r>
          </w:p>
        </w:tc>
      </w:tr>
    </w:tbl>
    <w:p w14:paraId="3253A9D1">
      <w:pPr>
        <w:pStyle w:val="5"/>
        <w:adjustRightInd w:val="0"/>
        <w:snapToGrid w:val="0"/>
        <w:spacing w:line="500" w:lineRule="exact"/>
        <w:jc w:val="left"/>
        <w:rPr>
          <w:rFonts w:eastAsia="宋体"/>
          <w:color w:val="000000" w:themeColor="text1"/>
          <w14:textFill>
            <w14:solidFill>
              <w14:schemeClr w14:val="tx1"/>
            </w14:solidFill>
          </w14:textFill>
        </w:rPr>
      </w:pPr>
      <w:bookmarkStart w:id="322" w:name="7.1.5突发大气环境事件风险等级表征"/>
      <w:bookmarkEnd w:id="322"/>
      <w:bookmarkStart w:id="323" w:name="_TOC_250017"/>
      <w:bookmarkEnd w:id="323"/>
      <w:bookmarkStart w:id="324" w:name="_Toc7690"/>
      <w:bookmarkStart w:id="325" w:name="_Toc32405"/>
      <w:bookmarkStart w:id="326" w:name="_Toc30454"/>
      <w:r>
        <w:rPr>
          <w:rFonts w:hint="eastAsia" w:eastAsia="宋体"/>
          <w:color w:val="000000" w:themeColor="text1"/>
          <w14:textFill>
            <w14:solidFill>
              <w14:schemeClr w14:val="tx1"/>
            </w14:solidFill>
          </w14:textFill>
        </w:rPr>
        <w:t>7.1.5突发大气环境事件风险等级表征</w:t>
      </w:r>
      <w:bookmarkEnd w:id="324"/>
      <w:bookmarkEnd w:id="325"/>
      <w:bookmarkEnd w:id="326"/>
    </w:p>
    <w:p w14:paraId="21BA0B3D">
      <w:pPr>
        <w:pStyle w:val="13"/>
        <w:spacing w:after="0" w:line="500" w:lineRule="exact"/>
        <w:ind w:firstLine="440" w:firstLineChars="200"/>
        <w:rPr>
          <w:rFonts w:eastAsia="宋体"/>
          <w:spacing w:val="-10"/>
        </w:rPr>
      </w:pPr>
      <w:r>
        <w:rPr>
          <w:rFonts w:eastAsia="宋体"/>
          <w:spacing w:val="-10"/>
        </w:rPr>
        <w:t>企业突发大气环境事件风险等级表征分为两种情况：</w:t>
      </w:r>
    </w:p>
    <w:p w14:paraId="0419EFAA">
      <w:pPr>
        <w:pStyle w:val="13"/>
        <w:numPr>
          <w:ilvl w:val="0"/>
          <w:numId w:val="8"/>
        </w:numPr>
        <w:spacing w:after="0" w:line="500" w:lineRule="exact"/>
        <w:ind w:left="0" w:firstLine="440" w:firstLineChars="200"/>
        <w:rPr>
          <w:rFonts w:eastAsia="宋体"/>
          <w:spacing w:val="-10"/>
        </w:rPr>
      </w:pPr>
      <w:r>
        <w:rPr>
          <w:rFonts w:hint="eastAsia" w:eastAsia="宋体"/>
          <w:spacing w:val="-10"/>
        </w:rPr>
        <w:t>（1）</w:t>
      </w:r>
      <w:r>
        <w:rPr>
          <w:rFonts w:eastAsia="宋体"/>
          <w:spacing w:val="-10"/>
        </w:rPr>
        <w:t>Q＜1时，企业突发大气环境事件风险等级表示为“一般-大气（Q0）”。</w:t>
      </w:r>
    </w:p>
    <w:p w14:paraId="125F9441">
      <w:pPr>
        <w:pStyle w:val="13"/>
        <w:spacing w:after="0" w:line="500" w:lineRule="exact"/>
        <w:ind w:firstLine="440" w:firstLineChars="200"/>
        <w:rPr>
          <w:rFonts w:eastAsia="宋体"/>
          <w:spacing w:val="-10"/>
        </w:rPr>
      </w:pPr>
      <w:r>
        <w:rPr>
          <w:rFonts w:hint="eastAsia" w:eastAsia="宋体"/>
          <w:spacing w:val="-10"/>
        </w:rPr>
        <w:t>（2）</w:t>
      </w:r>
      <w:r>
        <w:rPr>
          <w:rFonts w:eastAsia="宋体"/>
          <w:spacing w:val="-10"/>
        </w:rPr>
        <w:t>Q≥1时，企业突发大气环境事件风险等级表示为“环境风险等级-大气（Q水平-M类型-E类型）”。</w:t>
      </w:r>
    </w:p>
    <w:p w14:paraId="03CAB9CE">
      <w:pPr>
        <w:pStyle w:val="13"/>
        <w:spacing w:line="500" w:lineRule="exact"/>
        <w:ind w:firstLine="440" w:firstLineChars="200"/>
        <w:jc w:val="left"/>
        <w:rPr>
          <w:rFonts w:eastAsia="宋体"/>
          <w:spacing w:val="-10"/>
        </w:rPr>
      </w:pPr>
      <w:r>
        <w:rPr>
          <w:rFonts w:hint="eastAsia" w:eastAsia="宋体"/>
          <w:spacing w:val="-10"/>
          <w:lang w:eastAsia="zh-CN"/>
        </w:rPr>
        <w:t>南通名万家具有限公司</w:t>
      </w:r>
      <w:r>
        <w:rPr>
          <w:rFonts w:eastAsia="宋体"/>
          <w:spacing w:val="-10"/>
        </w:rPr>
        <w:t>Q＜1（Q0），因此大气风险等级表示为“一般-大气（Q0）”。</w:t>
      </w:r>
    </w:p>
    <w:p w14:paraId="081C1403">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327" w:name="_TOC_250016"/>
      <w:bookmarkEnd w:id="327"/>
      <w:bookmarkStart w:id="328" w:name="7.2企业突发水环境事件风险等级"/>
      <w:bookmarkEnd w:id="328"/>
      <w:bookmarkStart w:id="329" w:name="_Toc23797"/>
      <w:bookmarkStart w:id="330" w:name="_Toc14031"/>
      <w:bookmarkStart w:id="331" w:name="_Toc27596"/>
      <w:r>
        <w:rPr>
          <w:rFonts w:hint="eastAsia" w:eastAsia="宋体"/>
          <w:color w:val="000000" w:themeColor="text1"/>
          <w:sz w:val="24"/>
          <w:szCs w:val="24"/>
          <w14:textFill>
            <w14:solidFill>
              <w14:schemeClr w14:val="tx1"/>
            </w14:solidFill>
          </w14:textFill>
        </w:rPr>
        <w:t>7.2企业突发水环境事件风险等级</w:t>
      </w:r>
      <w:bookmarkEnd w:id="329"/>
      <w:bookmarkEnd w:id="330"/>
      <w:bookmarkEnd w:id="331"/>
    </w:p>
    <w:p w14:paraId="1D4BCEFA">
      <w:pPr>
        <w:pStyle w:val="5"/>
        <w:adjustRightInd w:val="0"/>
        <w:snapToGrid w:val="0"/>
        <w:spacing w:line="500" w:lineRule="exact"/>
        <w:jc w:val="left"/>
        <w:rPr>
          <w:rFonts w:eastAsia="宋体"/>
          <w:color w:val="000000" w:themeColor="text1"/>
          <w14:textFill>
            <w14:solidFill>
              <w14:schemeClr w14:val="tx1"/>
            </w14:solidFill>
          </w14:textFill>
        </w:rPr>
      </w:pPr>
      <w:bookmarkStart w:id="332" w:name="7.2.1涉水风险物质数量与临界量比值（Q）"/>
      <w:bookmarkEnd w:id="332"/>
      <w:bookmarkStart w:id="333" w:name="_Toc16147"/>
      <w:bookmarkStart w:id="334" w:name="_Toc14282"/>
      <w:bookmarkStart w:id="335" w:name="_Toc4502"/>
      <w:bookmarkStart w:id="336" w:name="_TOC_250015"/>
      <w:r>
        <w:rPr>
          <w:rFonts w:hint="eastAsia" w:eastAsia="宋体"/>
          <w:color w:val="000000" w:themeColor="text1"/>
          <w14:textFill>
            <w14:solidFill>
              <w14:schemeClr w14:val="tx1"/>
            </w14:solidFill>
          </w14:textFill>
        </w:rPr>
        <w:t>7.2.1涉水风险物质数量与临界值比值（Q）</w:t>
      </w:r>
      <w:bookmarkEnd w:id="333"/>
      <w:bookmarkEnd w:id="334"/>
      <w:bookmarkEnd w:id="335"/>
    </w:p>
    <w:bookmarkEnd w:id="336"/>
    <w:p w14:paraId="2CE9FAFB">
      <w:pPr>
        <w:pStyle w:val="13"/>
        <w:spacing w:after="0" w:line="500" w:lineRule="exact"/>
        <w:ind w:firstLine="440" w:firstLineChars="200"/>
        <w:jc w:val="left"/>
        <w:rPr>
          <w:rFonts w:eastAsia="宋体"/>
          <w:spacing w:val="-10"/>
        </w:rPr>
      </w:pPr>
      <w:r>
        <w:rPr>
          <w:rFonts w:eastAsia="宋体"/>
          <w:spacing w:val="-10"/>
        </w:rPr>
        <w:t>企业生产原料、成品、中间成品、副成品、催化剂、辅助生产物料、“三废”污染物等是否涉及水环境风险物质，计算涉水风险物质（混合或稀释的风险物质按其组分比例折算成纯物质）与其临界量的比值Q，计算方法同7.1.1部分。</w:t>
      </w:r>
    </w:p>
    <w:p w14:paraId="588D54C4">
      <w:pPr>
        <w:pStyle w:val="13"/>
        <w:spacing w:after="0" w:line="500" w:lineRule="exact"/>
        <w:ind w:firstLine="440" w:firstLineChars="200"/>
        <w:jc w:val="left"/>
      </w:pPr>
      <w:r>
        <w:rPr>
          <w:rFonts w:eastAsia="宋体"/>
          <w:spacing w:val="-10"/>
        </w:rPr>
        <w:t>涉水环境风险物质有</w:t>
      </w:r>
      <w:r>
        <w:rPr>
          <w:rFonts w:hint="eastAsia" w:eastAsia="宋体"/>
          <w:spacing w:val="-10"/>
        </w:rPr>
        <w:t>水性漆、</w:t>
      </w:r>
      <w:r>
        <w:rPr>
          <w:rFonts w:hint="eastAsia" w:eastAsia="宋体"/>
          <w:spacing w:val="-10"/>
          <w:lang w:val="en-US" w:eastAsia="zh-CN"/>
        </w:rPr>
        <w:t>危废</w:t>
      </w:r>
      <w:r>
        <w:rPr>
          <w:rFonts w:hint="eastAsia" w:eastAsia="宋体"/>
          <w:spacing w:val="-10"/>
        </w:rPr>
        <w:t>等</w:t>
      </w:r>
      <w:r>
        <w:rPr>
          <w:rFonts w:eastAsia="宋体"/>
          <w:spacing w:val="-10"/>
        </w:rPr>
        <w:t>，计算结果见表7-6。</w:t>
      </w:r>
    </w:p>
    <w:p w14:paraId="2B387A2A">
      <w:pPr>
        <w:pStyle w:val="13"/>
        <w:spacing w:after="0"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7-6</w:t>
      </w:r>
      <w:r>
        <w:rPr>
          <w:rFonts w:eastAsiaTheme="minorEastAsia"/>
          <w:b/>
          <w:color w:val="000000" w:themeColor="text1"/>
          <w14:textFill>
            <w14:solidFill>
              <w14:schemeClr w14:val="tx1"/>
            </w14:solidFill>
          </w14:textFill>
        </w:rPr>
        <w:t>企业主要涉水风险物质Q值计算一览表</w:t>
      </w:r>
    </w:p>
    <w:tbl>
      <w:tblPr>
        <w:tblStyle w:val="38"/>
        <w:tblW w:w="90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2"/>
        <w:gridCol w:w="1538"/>
        <w:gridCol w:w="1567"/>
        <w:gridCol w:w="1249"/>
        <w:gridCol w:w="1761"/>
        <w:gridCol w:w="1150"/>
      </w:tblGrid>
      <w:tr w14:paraId="784E1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390" w:hRule="atLeast"/>
          <w:jc w:val="center"/>
        </w:trPr>
        <w:tc>
          <w:tcPr>
            <w:tcW w:w="1522" w:type="dxa"/>
            <w:tcBorders>
              <w:tl2br w:val="nil"/>
              <w:tr2bl w:val="nil"/>
            </w:tcBorders>
            <w:vAlign w:val="center"/>
          </w:tcPr>
          <w:p w14:paraId="1D0F31FE">
            <w:pPr>
              <w:jc w:val="center"/>
              <w:rPr>
                <w:rFonts w:eastAsia="宋体"/>
                <w:b/>
                <w:sz w:val="21"/>
                <w:szCs w:val="21"/>
              </w:rPr>
            </w:pPr>
            <w:r>
              <w:rPr>
                <w:rFonts w:eastAsia="宋体"/>
                <w:b/>
                <w:sz w:val="21"/>
                <w:szCs w:val="21"/>
              </w:rPr>
              <w:t>环境风险单元</w:t>
            </w:r>
          </w:p>
        </w:tc>
        <w:tc>
          <w:tcPr>
            <w:tcW w:w="1538" w:type="dxa"/>
            <w:tcBorders>
              <w:tl2br w:val="nil"/>
              <w:tr2bl w:val="nil"/>
            </w:tcBorders>
            <w:vAlign w:val="center"/>
          </w:tcPr>
          <w:p w14:paraId="3959A483">
            <w:pPr>
              <w:jc w:val="center"/>
              <w:rPr>
                <w:rFonts w:eastAsia="宋体"/>
                <w:b/>
                <w:sz w:val="21"/>
                <w:szCs w:val="21"/>
              </w:rPr>
            </w:pPr>
            <w:r>
              <w:rPr>
                <w:rFonts w:eastAsia="宋体"/>
                <w:b/>
                <w:sz w:val="21"/>
                <w:szCs w:val="21"/>
              </w:rPr>
              <w:t>风险物质名称</w:t>
            </w:r>
          </w:p>
        </w:tc>
        <w:tc>
          <w:tcPr>
            <w:tcW w:w="1567" w:type="dxa"/>
            <w:tcBorders>
              <w:tl2br w:val="nil"/>
              <w:tr2bl w:val="nil"/>
            </w:tcBorders>
            <w:vAlign w:val="center"/>
          </w:tcPr>
          <w:p w14:paraId="068B6C46">
            <w:pPr>
              <w:jc w:val="center"/>
              <w:rPr>
                <w:rFonts w:eastAsia="宋体"/>
                <w:b/>
                <w:sz w:val="21"/>
                <w:szCs w:val="21"/>
              </w:rPr>
            </w:pPr>
            <w:r>
              <w:rPr>
                <w:rFonts w:eastAsia="宋体"/>
                <w:b/>
                <w:sz w:val="21"/>
                <w:szCs w:val="21"/>
              </w:rPr>
              <w:t>最大存在总量qi（t）</w:t>
            </w:r>
          </w:p>
        </w:tc>
        <w:tc>
          <w:tcPr>
            <w:tcW w:w="1249" w:type="dxa"/>
            <w:tcBorders>
              <w:tl2br w:val="nil"/>
              <w:tr2bl w:val="nil"/>
            </w:tcBorders>
            <w:vAlign w:val="center"/>
          </w:tcPr>
          <w:p w14:paraId="1A586316">
            <w:pPr>
              <w:jc w:val="center"/>
              <w:rPr>
                <w:rFonts w:eastAsia="宋体"/>
                <w:b/>
                <w:sz w:val="21"/>
                <w:szCs w:val="21"/>
              </w:rPr>
            </w:pPr>
            <w:r>
              <w:rPr>
                <w:rFonts w:eastAsia="宋体"/>
                <w:b/>
                <w:sz w:val="21"/>
                <w:szCs w:val="21"/>
              </w:rPr>
              <w:t>临界量Qi（t）</w:t>
            </w:r>
          </w:p>
        </w:tc>
        <w:tc>
          <w:tcPr>
            <w:tcW w:w="1761" w:type="dxa"/>
            <w:tcBorders>
              <w:tl2br w:val="nil"/>
              <w:tr2bl w:val="nil"/>
            </w:tcBorders>
            <w:vAlign w:val="center"/>
          </w:tcPr>
          <w:p w14:paraId="289F655F">
            <w:pPr>
              <w:jc w:val="center"/>
              <w:rPr>
                <w:rFonts w:eastAsia="宋体"/>
                <w:b/>
                <w:sz w:val="21"/>
                <w:szCs w:val="21"/>
              </w:rPr>
            </w:pPr>
            <w:r>
              <w:rPr>
                <w:rFonts w:eastAsia="宋体"/>
                <w:b/>
                <w:sz w:val="21"/>
                <w:szCs w:val="21"/>
                <w:highlight w:val="none"/>
              </w:rPr>
              <w:t>风险物质类别</w:t>
            </w:r>
          </w:p>
        </w:tc>
        <w:tc>
          <w:tcPr>
            <w:tcW w:w="1150" w:type="dxa"/>
            <w:tcBorders>
              <w:tl2br w:val="nil"/>
              <w:tr2bl w:val="nil"/>
            </w:tcBorders>
            <w:vAlign w:val="center"/>
          </w:tcPr>
          <w:p w14:paraId="66A9A514">
            <w:pPr>
              <w:jc w:val="center"/>
              <w:rPr>
                <w:rFonts w:eastAsia="宋体"/>
                <w:b/>
                <w:sz w:val="21"/>
                <w:szCs w:val="21"/>
              </w:rPr>
            </w:pPr>
            <w:r>
              <w:rPr>
                <w:rFonts w:eastAsia="宋体"/>
                <w:b/>
                <w:sz w:val="21"/>
                <w:szCs w:val="21"/>
              </w:rPr>
              <w:t>qi/Qi</w:t>
            </w:r>
          </w:p>
        </w:tc>
      </w:tr>
      <w:tr w14:paraId="50E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29" w:hRule="atLeast"/>
          <w:jc w:val="center"/>
        </w:trPr>
        <w:tc>
          <w:tcPr>
            <w:tcW w:w="1522" w:type="dxa"/>
            <w:vMerge w:val="restart"/>
            <w:tcBorders>
              <w:tl2br w:val="nil"/>
              <w:tr2bl w:val="nil"/>
            </w:tcBorders>
            <w:vAlign w:val="center"/>
          </w:tcPr>
          <w:p w14:paraId="46362755">
            <w:pPr>
              <w:jc w:val="center"/>
              <w:rPr>
                <w:rFonts w:eastAsia="宋体"/>
                <w:sz w:val="21"/>
                <w:szCs w:val="21"/>
              </w:rPr>
            </w:pPr>
            <w:r>
              <w:rPr>
                <w:rFonts w:hint="eastAsia" w:eastAsia="宋体"/>
                <w:sz w:val="21"/>
                <w:szCs w:val="21"/>
                <w:lang w:val="en-US" w:eastAsia="zh-CN"/>
              </w:rPr>
              <w:t>涂料</w:t>
            </w:r>
            <w:r>
              <w:rPr>
                <w:rFonts w:eastAsia="宋体"/>
                <w:sz w:val="21"/>
                <w:szCs w:val="21"/>
              </w:rPr>
              <w:t>仓库</w:t>
            </w:r>
          </w:p>
        </w:tc>
        <w:tc>
          <w:tcPr>
            <w:tcW w:w="1538" w:type="dxa"/>
            <w:tcBorders>
              <w:tl2br w:val="nil"/>
              <w:tr2bl w:val="nil"/>
            </w:tcBorders>
            <w:vAlign w:val="center"/>
          </w:tcPr>
          <w:p w14:paraId="6C0C01B8">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14:paraId="49EB1A2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0.06</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1CD65FBF">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0AEF727D">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29C4EF42">
            <w:pPr>
              <w:jc w:val="center"/>
              <w:rPr>
                <w:rFonts w:hint="default" w:eastAsia="宋体"/>
                <w:sz w:val="21"/>
                <w:szCs w:val="21"/>
                <w:lang w:val="en-US" w:eastAsia="zh-CN"/>
              </w:rPr>
            </w:pPr>
            <w:r>
              <w:rPr>
                <w:rFonts w:hint="eastAsia" w:eastAsia="宋体"/>
                <w:sz w:val="21"/>
                <w:szCs w:val="21"/>
                <w:lang w:val="en-US" w:eastAsia="zh-CN"/>
              </w:rPr>
              <w:t>0.006</w:t>
            </w:r>
          </w:p>
        </w:tc>
      </w:tr>
      <w:tr w14:paraId="39BA8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69" w:hRule="atLeast"/>
          <w:jc w:val="center"/>
        </w:trPr>
        <w:tc>
          <w:tcPr>
            <w:tcW w:w="1522" w:type="dxa"/>
            <w:vMerge w:val="continue"/>
            <w:tcBorders>
              <w:tl2br w:val="nil"/>
              <w:tr2bl w:val="nil"/>
            </w:tcBorders>
            <w:vAlign w:val="center"/>
          </w:tcPr>
          <w:p w14:paraId="40855D25">
            <w:pPr>
              <w:jc w:val="center"/>
              <w:rPr>
                <w:rFonts w:eastAsia="宋体"/>
                <w:sz w:val="21"/>
                <w:szCs w:val="21"/>
              </w:rPr>
            </w:pPr>
          </w:p>
        </w:tc>
        <w:tc>
          <w:tcPr>
            <w:tcW w:w="1538" w:type="dxa"/>
            <w:tcBorders>
              <w:tl2br w:val="nil"/>
              <w:tr2bl w:val="nil"/>
            </w:tcBorders>
            <w:vAlign w:val="center"/>
          </w:tcPr>
          <w:p w14:paraId="5FBA2653">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14:paraId="1213865E">
            <w:pPr>
              <w:spacing w:line="30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0E8D33F6">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rPr>
              <w:t>00</w:t>
            </w:r>
          </w:p>
        </w:tc>
        <w:tc>
          <w:tcPr>
            <w:tcW w:w="1761" w:type="dxa"/>
            <w:tcBorders>
              <w:tl2br w:val="nil"/>
              <w:tr2bl w:val="nil"/>
            </w:tcBorders>
            <w:vAlign w:val="center"/>
          </w:tcPr>
          <w:p w14:paraId="340C138D">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754C4852">
            <w:pPr>
              <w:jc w:val="center"/>
              <w:rPr>
                <w:rFonts w:hint="default" w:eastAsia="宋体"/>
                <w:sz w:val="21"/>
                <w:szCs w:val="21"/>
                <w:lang w:val="en-US" w:eastAsia="zh-CN"/>
              </w:rPr>
            </w:pPr>
            <w:r>
              <w:rPr>
                <w:rFonts w:hint="eastAsia" w:eastAsia="宋体"/>
                <w:sz w:val="21"/>
                <w:szCs w:val="21"/>
                <w:lang w:val="en-US" w:eastAsia="zh-CN"/>
              </w:rPr>
              <w:t>0.0005</w:t>
            </w:r>
          </w:p>
        </w:tc>
      </w:tr>
      <w:tr w14:paraId="7505A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339" w:hRule="atLeast"/>
          <w:jc w:val="center"/>
        </w:trPr>
        <w:tc>
          <w:tcPr>
            <w:tcW w:w="1522" w:type="dxa"/>
            <w:vMerge w:val="continue"/>
            <w:tcBorders>
              <w:tl2br w:val="nil"/>
              <w:tr2bl w:val="nil"/>
            </w:tcBorders>
            <w:vAlign w:val="center"/>
          </w:tcPr>
          <w:p w14:paraId="5B1F68C2">
            <w:pPr>
              <w:jc w:val="center"/>
              <w:rPr>
                <w:rFonts w:eastAsia="宋体"/>
                <w:sz w:val="21"/>
                <w:szCs w:val="21"/>
              </w:rPr>
            </w:pPr>
          </w:p>
        </w:tc>
        <w:tc>
          <w:tcPr>
            <w:tcW w:w="1538" w:type="dxa"/>
            <w:tcBorders>
              <w:tl2br w:val="nil"/>
              <w:tr2bl w:val="nil"/>
            </w:tcBorders>
            <w:vAlign w:val="center"/>
          </w:tcPr>
          <w:p w14:paraId="16CA12D7">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14:paraId="1EEFA8FD">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1.7</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6ECCB907">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0898F2A7">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09F4D1C2">
            <w:pPr>
              <w:jc w:val="center"/>
              <w:rPr>
                <w:rFonts w:hint="default" w:eastAsia="宋体"/>
                <w:sz w:val="21"/>
                <w:szCs w:val="21"/>
                <w:lang w:val="en-US" w:eastAsia="zh-CN"/>
              </w:rPr>
            </w:pPr>
            <w:r>
              <w:rPr>
                <w:rFonts w:hint="eastAsia" w:eastAsia="宋体"/>
                <w:sz w:val="21"/>
                <w:szCs w:val="21"/>
                <w:lang w:val="en-US" w:eastAsia="zh-CN"/>
              </w:rPr>
              <w:t>0.017</w:t>
            </w:r>
          </w:p>
        </w:tc>
      </w:tr>
      <w:tr w14:paraId="6F52E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90" w:hRule="atLeast"/>
          <w:jc w:val="center"/>
        </w:trPr>
        <w:tc>
          <w:tcPr>
            <w:tcW w:w="1522" w:type="dxa"/>
            <w:vMerge w:val="continue"/>
            <w:tcBorders>
              <w:tl2br w:val="nil"/>
              <w:tr2bl w:val="nil"/>
            </w:tcBorders>
            <w:vAlign w:val="center"/>
          </w:tcPr>
          <w:p w14:paraId="6A3A9B7C">
            <w:pPr>
              <w:jc w:val="center"/>
              <w:rPr>
                <w:rFonts w:eastAsia="宋体"/>
                <w:sz w:val="21"/>
                <w:szCs w:val="21"/>
              </w:rPr>
            </w:pPr>
          </w:p>
        </w:tc>
        <w:tc>
          <w:tcPr>
            <w:tcW w:w="1538" w:type="dxa"/>
            <w:tcBorders>
              <w:tl2br w:val="nil"/>
              <w:tr2bl w:val="nil"/>
            </w:tcBorders>
            <w:vAlign w:val="center"/>
          </w:tcPr>
          <w:p w14:paraId="210EFC56">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14:paraId="0B76D5B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7F329519">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41BAEB16">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01BF586">
            <w:pPr>
              <w:jc w:val="center"/>
              <w:rPr>
                <w:rFonts w:hint="default" w:eastAsia="宋体"/>
                <w:sz w:val="21"/>
                <w:szCs w:val="21"/>
                <w:lang w:val="en-US" w:eastAsia="zh-CN"/>
              </w:rPr>
            </w:pPr>
            <w:r>
              <w:rPr>
                <w:rFonts w:hint="eastAsia" w:eastAsia="宋体"/>
                <w:sz w:val="21"/>
                <w:szCs w:val="21"/>
                <w:lang w:val="en-US" w:eastAsia="zh-CN"/>
              </w:rPr>
              <w:t>0.013</w:t>
            </w:r>
          </w:p>
        </w:tc>
      </w:tr>
      <w:tr w14:paraId="2CA42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29" w:hRule="atLeast"/>
          <w:jc w:val="center"/>
        </w:trPr>
        <w:tc>
          <w:tcPr>
            <w:tcW w:w="1522" w:type="dxa"/>
            <w:vMerge w:val="continue"/>
            <w:tcBorders>
              <w:tl2br w:val="nil"/>
              <w:tr2bl w:val="nil"/>
            </w:tcBorders>
            <w:vAlign w:val="center"/>
          </w:tcPr>
          <w:p w14:paraId="75D1421A">
            <w:pPr>
              <w:jc w:val="center"/>
              <w:rPr>
                <w:rFonts w:eastAsia="宋体"/>
                <w:sz w:val="21"/>
                <w:szCs w:val="21"/>
              </w:rPr>
            </w:pPr>
          </w:p>
        </w:tc>
        <w:tc>
          <w:tcPr>
            <w:tcW w:w="1538" w:type="dxa"/>
            <w:tcBorders>
              <w:tl2br w:val="nil"/>
              <w:tr2bl w:val="nil"/>
            </w:tcBorders>
            <w:vAlign w:val="center"/>
          </w:tcPr>
          <w:p w14:paraId="54ABE190">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14:paraId="251BB9D9">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17FB1493">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14:paraId="2DFB18AD">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4F30553D">
            <w:pPr>
              <w:jc w:val="center"/>
              <w:rPr>
                <w:rFonts w:hint="default" w:eastAsia="宋体"/>
                <w:sz w:val="21"/>
                <w:szCs w:val="21"/>
                <w:lang w:val="en-US" w:eastAsia="zh-CN"/>
              </w:rPr>
            </w:pPr>
            <w:r>
              <w:rPr>
                <w:rFonts w:hint="eastAsia" w:eastAsia="宋体"/>
                <w:sz w:val="21"/>
                <w:szCs w:val="21"/>
                <w:lang w:val="en-US" w:eastAsia="zh-CN"/>
              </w:rPr>
              <w:t>0.001</w:t>
            </w:r>
          </w:p>
        </w:tc>
      </w:tr>
      <w:tr w14:paraId="23A2D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29" w:hRule="atLeast"/>
          <w:jc w:val="center"/>
        </w:trPr>
        <w:tc>
          <w:tcPr>
            <w:tcW w:w="1522" w:type="dxa"/>
            <w:vMerge w:val="continue"/>
            <w:tcBorders>
              <w:tl2br w:val="nil"/>
              <w:tr2bl w:val="nil"/>
            </w:tcBorders>
            <w:vAlign w:val="center"/>
          </w:tcPr>
          <w:p w14:paraId="3E068527">
            <w:pPr>
              <w:jc w:val="center"/>
              <w:rPr>
                <w:rFonts w:eastAsia="宋体"/>
                <w:sz w:val="21"/>
                <w:szCs w:val="21"/>
              </w:rPr>
            </w:pPr>
          </w:p>
        </w:tc>
        <w:tc>
          <w:tcPr>
            <w:tcW w:w="1538" w:type="dxa"/>
            <w:tcBorders>
              <w:tl2br w:val="nil"/>
              <w:tr2bl w:val="nil"/>
            </w:tcBorders>
            <w:vAlign w:val="center"/>
          </w:tcPr>
          <w:p w14:paraId="4A8DB2F7">
            <w:pPr>
              <w:adjustRightInd w:val="0"/>
              <w:snapToGrid w:val="0"/>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14:paraId="1D126570">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0.05</w:t>
            </w:r>
            <w:r>
              <w:rPr>
                <w:rFonts w:hint="default" w:ascii="Times New Roman" w:hAnsi="Times New Roman" w:cs="Times New Roman"/>
                <w:color w:val="auto"/>
                <w:sz w:val="21"/>
                <w:szCs w:val="21"/>
                <w:highlight w:val="none"/>
              </w:rPr>
              <w:t>t</w:t>
            </w:r>
          </w:p>
        </w:tc>
        <w:tc>
          <w:tcPr>
            <w:tcW w:w="1249" w:type="dxa"/>
            <w:tcBorders>
              <w:tl2br w:val="nil"/>
              <w:tr2bl w:val="nil"/>
            </w:tcBorders>
            <w:vAlign w:val="center"/>
          </w:tcPr>
          <w:p w14:paraId="0F356B31">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14:paraId="678EF0F0">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14:paraId="33F3C021">
            <w:pPr>
              <w:jc w:val="center"/>
              <w:rPr>
                <w:rFonts w:hint="default" w:eastAsia="宋体"/>
                <w:sz w:val="21"/>
                <w:szCs w:val="21"/>
                <w:lang w:val="en-US" w:eastAsia="zh-CN"/>
              </w:rPr>
            </w:pPr>
            <w:r>
              <w:rPr>
                <w:rFonts w:hint="eastAsia" w:eastAsia="宋体"/>
                <w:sz w:val="21"/>
                <w:szCs w:val="21"/>
                <w:lang w:val="en-US" w:eastAsia="zh-CN"/>
              </w:rPr>
              <w:t>/</w:t>
            </w:r>
          </w:p>
        </w:tc>
      </w:tr>
      <w:tr w14:paraId="6BB09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29" w:hRule="atLeast"/>
          <w:jc w:val="center"/>
        </w:trPr>
        <w:tc>
          <w:tcPr>
            <w:tcW w:w="1522" w:type="dxa"/>
            <w:vMerge w:val="continue"/>
            <w:tcBorders>
              <w:tl2br w:val="nil"/>
              <w:tr2bl w:val="nil"/>
            </w:tcBorders>
            <w:vAlign w:val="center"/>
          </w:tcPr>
          <w:p w14:paraId="28875651">
            <w:pPr>
              <w:jc w:val="center"/>
              <w:rPr>
                <w:rFonts w:eastAsia="宋体"/>
                <w:sz w:val="21"/>
                <w:szCs w:val="21"/>
              </w:rPr>
            </w:pPr>
          </w:p>
        </w:tc>
        <w:tc>
          <w:tcPr>
            <w:tcW w:w="1538" w:type="dxa"/>
            <w:tcBorders>
              <w:tl2br w:val="nil"/>
              <w:tr2bl w:val="nil"/>
            </w:tcBorders>
            <w:vAlign w:val="center"/>
          </w:tcPr>
          <w:p w14:paraId="4FD09F34">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14:paraId="48CAF3A6">
            <w:pPr>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0.15t</w:t>
            </w:r>
          </w:p>
        </w:tc>
        <w:tc>
          <w:tcPr>
            <w:tcW w:w="1249" w:type="dxa"/>
            <w:tcBorders>
              <w:tl2br w:val="nil"/>
              <w:tr2bl w:val="nil"/>
            </w:tcBorders>
            <w:vAlign w:val="center"/>
          </w:tcPr>
          <w:p w14:paraId="7C3D34AE">
            <w:pPr>
              <w:jc w:val="center"/>
              <w:rPr>
                <w:rFonts w:hint="default" w:eastAsia="宋体"/>
                <w:sz w:val="21"/>
                <w:szCs w:val="21"/>
                <w:lang w:val="en-US" w:eastAsia="zh-CN"/>
              </w:rPr>
            </w:pPr>
            <w:r>
              <w:rPr>
                <w:rFonts w:hint="eastAsia" w:eastAsia="宋体"/>
                <w:sz w:val="21"/>
                <w:szCs w:val="21"/>
                <w:lang w:val="en-US" w:eastAsia="zh-CN"/>
              </w:rPr>
              <w:t>100</w:t>
            </w:r>
          </w:p>
        </w:tc>
        <w:tc>
          <w:tcPr>
            <w:tcW w:w="1761" w:type="dxa"/>
            <w:tcBorders>
              <w:tl2br w:val="nil"/>
              <w:tr2bl w:val="nil"/>
            </w:tcBorders>
            <w:vAlign w:val="center"/>
          </w:tcPr>
          <w:p w14:paraId="79CAE910">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4A5EA925">
            <w:pPr>
              <w:jc w:val="center"/>
              <w:rPr>
                <w:rFonts w:hint="default" w:eastAsia="宋体"/>
                <w:sz w:val="21"/>
                <w:szCs w:val="21"/>
                <w:lang w:val="en-US" w:eastAsia="zh-CN"/>
              </w:rPr>
            </w:pPr>
            <w:r>
              <w:rPr>
                <w:rFonts w:hint="eastAsia" w:eastAsia="宋体"/>
                <w:sz w:val="21"/>
                <w:szCs w:val="21"/>
                <w:lang w:val="en-US" w:eastAsia="zh-CN"/>
              </w:rPr>
              <w:t>0.0015</w:t>
            </w:r>
          </w:p>
        </w:tc>
      </w:tr>
      <w:tr w14:paraId="2856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7637" w:type="dxa"/>
            <w:gridSpan w:val="5"/>
            <w:tcBorders>
              <w:tl2br w:val="nil"/>
              <w:tr2bl w:val="nil"/>
            </w:tcBorders>
            <w:vAlign w:val="center"/>
          </w:tcPr>
          <w:p w14:paraId="676FA332">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04B8D3A8">
            <w:pPr>
              <w:jc w:val="center"/>
              <w:rPr>
                <w:rFonts w:hint="default" w:eastAsia="宋体"/>
                <w:sz w:val="21"/>
                <w:szCs w:val="21"/>
                <w:lang w:val="en-US" w:eastAsia="zh-CN"/>
              </w:rPr>
            </w:pPr>
            <w:r>
              <w:rPr>
                <w:rFonts w:hint="eastAsia" w:eastAsia="宋体"/>
                <w:sz w:val="21"/>
                <w:szCs w:val="21"/>
                <w:lang w:val="en-US" w:eastAsia="zh-CN"/>
              </w:rPr>
              <w:t>0.039</w:t>
            </w:r>
          </w:p>
        </w:tc>
      </w:tr>
      <w:tr w14:paraId="62BF0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restart"/>
            <w:tcBorders>
              <w:tl2br w:val="nil"/>
              <w:tr2bl w:val="nil"/>
            </w:tcBorders>
            <w:vAlign w:val="center"/>
          </w:tcPr>
          <w:p w14:paraId="487F3E84">
            <w:pPr>
              <w:jc w:val="center"/>
              <w:rPr>
                <w:rFonts w:eastAsia="宋体"/>
                <w:sz w:val="21"/>
                <w:szCs w:val="21"/>
              </w:rPr>
            </w:pPr>
            <w:r>
              <w:rPr>
                <w:rFonts w:eastAsia="宋体"/>
                <w:sz w:val="21"/>
                <w:szCs w:val="21"/>
              </w:rPr>
              <w:t>生产车间</w:t>
            </w:r>
          </w:p>
        </w:tc>
        <w:tc>
          <w:tcPr>
            <w:tcW w:w="1538" w:type="dxa"/>
            <w:tcBorders>
              <w:tl2br w:val="nil"/>
              <w:tr2bl w:val="nil"/>
            </w:tcBorders>
            <w:vAlign w:val="center"/>
          </w:tcPr>
          <w:p w14:paraId="08FCC35A">
            <w:pPr>
              <w:jc w:val="center"/>
              <w:rPr>
                <w:rFonts w:hint="eastAsia" w:ascii="宋体" w:hAnsi="宋体" w:eastAsia="宋体" w:cs="宋体"/>
                <w:b w:val="0"/>
                <w:bCs/>
                <w:color w:val="auto"/>
                <w:kern w:val="2"/>
                <w:sz w:val="21"/>
                <w:szCs w:val="21"/>
                <w:highlight w:val="none"/>
                <w:lang w:val="zh-CN" w:eastAsia="zh-CN" w:bidi="ar-SA"/>
              </w:rPr>
            </w:pPr>
            <w:r>
              <w:rPr>
                <w:rFonts w:hint="eastAsia" w:ascii="宋体" w:eastAsia="宋体" w:cs="宋体"/>
                <w:color w:val="auto"/>
                <w:sz w:val="21"/>
                <w:szCs w:val="21"/>
                <w:highlight w:val="none"/>
                <w:lang w:val="en-US" w:eastAsia="zh-CN"/>
              </w:rPr>
              <w:t>白乳胶</w:t>
            </w:r>
          </w:p>
        </w:tc>
        <w:tc>
          <w:tcPr>
            <w:tcW w:w="1567" w:type="dxa"/>
            <w:tcBorders>
              <w:tl2br w:val="nil"/>
              <w:tr2bl w:val="nil"/>
            </w:tcBorders>
            <w:vAlign w:val="center"/>
          </w:tcPr>
          <w:p w14:paraId="6B9ACE87">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14:paraId="28F947C0">
            <w:pPr>
              <w:jc w:val="center"/>
              <w:rPr>
                <w:rFonts w:eastAsia="宋体"/>
                <w:sz w:val="21"/>
                <w:szCs w:val="21"/>
              </w:rPr>
            </w:pPr>
            <w:r>
              <w:rPr>
                <w:rFonts w:eastAsia="宋体"/>
                <w:sz w:val="21"/>
                <w:szCs w:val="21"/>
              </w:rPr>
              <w:t>10</w:t>
            </w:r>
          </w:p>
        </w:tc>
        <w:tc>
          <w:tcPr>
            <w:tcW w:w="1761" w:type="dxa"/>
            <w:tcBorders>
              <w:tl2br w:val="nil"/>
              <w:tr2bl w:val="nil"/>
            </w:tcBorders>
            <w:vAlign w:val="center"/>
          </w:tcPr>
          <w:p w14:paraId="68BE18E3">
            <w:pPr>
              <w:jc w:val="center"/>
              <w:rPr>
                <w:rFonts w:eastAsia="宋体"/>
                <w:sz w:val="21"/>
                <w:szCs w:val="21"/>
              </w:rPr>
            </w:pPr>
            <w:r>
              <w:rPr>
                <w:rFonts w:eastAsia="宋体"/>
                <w:sz w:val="21"/>
                <w:szCs w:val="21"/>
              </w:rPr>
              <w:t>三（有毒液态物质）</w:t>
            </w:r>
          </w:p>
        </w:tc>
        <w:tc>
          <w:tcPr>
            <w:tcW w:w="1150" w:type="dxa"/>
            <w:tcBorders>
              <w:tl2br w:val="nil"/>
              <w:tr2bl w:val="nil"/>
            </w:tcBorders>
            <w:vAlign w:val="center"/>
          </w:tcPr>
          <w:p w14:paraId="77C952F9">
            <w:pPr>
              <w:jc w:val="center"/>
              <w:rPr>
                <w:rFonts w:hint="default" w:eastAsia="宋体"/>
                <w:sz w:val="21"/>
                <w:szCs w:val="21"/>
                <w:lang w:val="en-US" w:eastAsia="zh-CN"/>
              </w:rPr>
            </w:pPr>
            <w:r>
              <w:rPr>
                <w:rFonts w:hint="eastAsia" w:eastAsia="宋体"/>
                <w:sz w:val="21"/>
                <w:szCs w:val="21"/>
                <w:lang w:val="en-US" w:eastAsia="zh-CN"/>
              </w:rPr>
              <w:t>0.0002</w:t>
            </w:r>
          </w:p>
        </w:tc>
      </w:tr>
      <w:tr w14:paraId="5D42A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59B83DBE">
            <w:pPr>
              <w:jc w:val="center"/>
              <w:rPr>
                <w:rFonts w:eastAsia="宋体"/>
                <w:sz w:val="21"/>
                <w:szCs w:val="21"/>
              </w:rPr>
            </w:pPr>
          </w:p>
        </w:tc>
        <w:tc>
          <w:tcPr>
            <w:tcW w:w="1538" w:type="dxa"/>
            <w:tcBorders>
              <w:tl2br w:val="nil"/>
              <w:tr2bl w:val="nil"/>
            </w:tcBorders>
            <w:vAlign w:val="center"/>
          </w:tcPr>
          <w:p w14:paraId="3E183C03">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海绵胶</w:t>
            </w:r>
          </w:p>
        </w:tc>
        <w:tc>
          <w:tcPr>
            <w:tcW w:w="1567" w:type="dxa"/>
            <w:tcBorders>
              <w:tl2br w:val="nil"/>
              <w:tr2bl w:val="nil"/>
            </w:tcBorders>
            <w:vAlign w:val="center"/>
          </w:tcPr>
          <w:p w14:paraId="22E310AA">
            <w:pPr>
              <w:jc w:val="center"/>
              <w:rPr>
                <w:rFonts w:eastAsia="宋体"/>
                <w:sz w:val="21"/>
                <w:szCs w:val="21"/>
              </w:rPr>
            </w:pPr>
            <w:r>
              <w:rPr>
                <w:rFonts w:hint="eastAsia" w:eastAsia="宋体"/>
                <w:sz w:val="21"/>
                <w:szCs w:val="21"/>
                <w:lang w:val="en-US" w:eastAsia="zh-CN"/>
              </w:rPr>
              <w:t>0.002t</w:t>
            </w:r>
          </w:p>
        </w:tc>
        <w:tc>
          <w:tcPr>
            <w:tcW w:w="1249" w:type="dxa"/>
            <w:tcBorders>
              <w:tl2br w:val="nil"/>
              <w:tr2bl w:val="nil"/>
            </w:tcBorders>
            <w:vAlign w:val="center"/>
          </w:tcPr>
          <w:p w14:paraId="3F8ADE4A">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58A10157">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338B037A">
            <w:pPr>
              <w:jc w:val="center"/>
              <w:rPr>
                <w:rFonts w:hint="default" w:eastAsia="宋体"/>
                <w:sz w:val="21"/>
                <w:szCs w:val="21"/>
                <w:lang w:val="en-US" w:eastAsia="zh-CN"/>
              </w:rPr>
            </w:pPr>
            <w:r>
              <w:rPr>
                <w:rFonts w:hint="eastAsia" w:eastAsia="宋体"/>
                <w:sz w:val="21"/>
                <w:szCs w:val="21"/>
                <w:lang w:val="en-US" w:eastAsia="zh-CN"/>
              </w:rPr>
              <w:t>0.00002</w:t>
            </w:r>
          </w:p>
        </w:tc>
      </w:tr>
      <w:tr w14:paraId="6E310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3EC63A31">
            <w:pPr>
              <w:jc w:val="center"/>
              <w:rPr>
                <w:rFonts w:eastAsia="宋体"/>
                <w:sz w:val="21"/>
                <w:szCs w:val="21"/>
              </w:rPr>
            </w:pPr>
          </w:p>
        </w:tc>
        <w:tc>
          <w:tcPr>
            <w:tcW w:w="1538" w:type="dxa"/>
            <w:tcBorders>
              <w:tl2br w:val="nil"/>
              <w:tr2bl w:val="nil"/>
            </w:tcBorders>
            <w:vAlign w:val="center"/>
          </w:tcPr>
          <w:p w14:paraId="651DCAD0">
            <w:pPr>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水性底漆</w:t>
            </w:r>
          </w:p>
        </w:tc>
        <w:tc>
          <w:tcPr>
            <w:tcW w:w="1567" w:type="dxa"/>
            <w:tcBorders>
              <w:tl2br w:val="nil"/>
              <w:tr2bl w:val="nil"/>
            </w:tcBorders>
            <w:vAlign w:val="center"/>
          </w:tcPr>
          <w:p w14:paraId="29057D4B">
            <w:pPr>
              <w:jc w:val="center"/>
              <w:rPr>
                <w:rFonts w:hint="default" w:eastAsia="宋体"/>
                <w:sz w:val="21"/>
                <w:szCs w:val="21"/>
                <w:lang w:val="en-US" w:eastAsia="zh-CN"/>
              </w:rPr>
            </w:pPr>
            <w:r>
              <w:rPr>
                <w:rFonts w:hint="eastAsia" w:eastAsia="宋体"/>
                <w:sz w:val="21"/>
                <w:szCs w:val="21"/>
                <w:lang w:val="en-US" w:eastAsia="zh-CN"/>
              </w:rPr>
              <w:t>0.06t</w:t>
            </w:r>
          </w:p>
        </w:tc>
        <w:tc>
          <w:tcPr>
            <w:tcW w:w="1249" w:type="dxa"/>
            <w:tcBorders>
              <w:tl2br w:val="nil"/>
              <w:tr2bl w:val="nil"/>
            </w:tcBorders>
            <w:vAlign w:val="center"/>
          </w:tcPr>
          <w:p w14:paraId="0ECAB2B1">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1EB3332C">
            <w:pPr>
              <w:jc w:val="center"/>
              <w:rPr>
                <w:rFonts w:eastAsia="宋体"/>
                <w:sz w:val="21"/>
                <w:szCs w:val="21"/>
              </w:rPr>
            </w:pPr>
            <w:r>
              <w:rPr>
                <w:rFonts w:hint="default" w:eastAsia="宋体"/>
                <w:sz w:val="21"/>
                <w:szCs w:val="21"/>
                <w:lang w:val="en-US"/>
              </w:rPr>
              <w:t>八</w:t>
            </w:r>
            <w:r>
              <w:rPr>
                <w:rFonts w:eastAsia="宋体"/>
                <w:sz w:val="21"/>
                <w:szCs w:val="21"/>
              </w:rPr>
              <w:t>（</w:t>
            </w:r>
            <w:r>
              <w:rPr>
                <w:rFonts w:hint="default" w:eastAsia="宋体"/>
                <w:sz w:val="21"/>
                <w:szCs w:val="21"/>
                <w:lang w:val="en-US"/>
              </w:rPr>
              <w:t>其他类物质及污染物</w:t>
            </w:r>
            <w:r>
              <w:rPr>
                <w:rFonts w:eastAsia="宋体"/>
                <w:sz w:val="21"/>
                <w:szCs w:val="21"/>
              </w:rPr>
              <w:t>）</w:t>
            </w:r>
          </w:p>
        </w:tc>
        <w:tc>
          <w:tcPr>
            <w:tcW w:w="1150" w:type="dxa"/>
            <w:tcBorders>
              <w:tl2br w:val="nil"/>
              <w:tr2bl w:val="nil"/>
            </w:tcBorders>
            <w:vAlign w:val="center"/>
          </w:tcPr>
          <w:p w14:paraId="231AFA56">
            <w:pPr>
              <w:jc w:val="center"/>
              <w:rPr>
                <w:rFonts w:hint="default" w:eastAsia="宋体"/>
                <w:sz w:val="21"/>
                <w:szCs w:val="21"/>
                <w:lang w:val="en-US" w:eastAsia="zh-CN"/>
              </w:rPr>
            </w:pPr>
            <w:r>
              <w:rPr>
                <w:rFonts w:hint="eastAsia" w:eastAsia="宋体"/>
                <w:sz w:val="21"/>
                <w:szCs w:val="21"/>
                <w:lang w:val="en-US" w:eastAsia="zh-CN"/>
              </w:rPr>
              <w:t>0.0006</w:t>
            </w:r>
          </w:p>
        </w:tc>
      </w:tr>
      <w:tr w14:paraId="39D11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1BB627BD">
            <w:pPr>
              <w:jc w:val="center"/>
              <w:rPr>
                <w:rFonts w:eastAsia="宋体"/>
                <w:sz w:val="21"/>
                <w:szCs w:val="21"/>
              </w:rPr>
            </w:pPr>
          </w:p>
        </w:tc>
        <w:tc>
          <w:tcPr>
            <w:tcW w:w="1538" w:type="dxa"/>
            <w:tcBorders>
              <w:tl2br w:val="nil"/>
              <w:tr2bl w:val="nil"/>
            </w:tcBorders>
            <w:vAlign w:val="center"/>
          </w:tcPr>
          <w:p w14:paraId="399E7C01">
            <w:pPr>
              <w:jc w:val="center"/>
              <w:rPr>
                <w:rFonts w:hint="eastAsia" w:ascii="宋体" w:hAnsi="宋体" w:eastAsia="宋体" w:cs="宋体"/>
                <w:b w:val="0"/>
                <w:bCs/>
                <w:color w:val="auto"/>
                <w:spacing w:val="4"/>
                <w:kern w:val="0"/>
                <w:sz w:val="21"/>
                <w:szCs w:val="21"/>
                <w:highlight w:val="none"/>
                <w:lang w:val="zh-CN" w:eastAsia="zh-CN" w:bidi="ar-SA"/>
              </w:rPr>
            </w:pPr>
            <w:r>
              <w:rPr>
                <w:rFonts w:hint="eastAsia" w:ascii="宋体" w:eastAsia="宋体" w:cs="宋体"/>
                <w:color w:val="auto"/>
                <w:sz w:val="21"/>
                <w:szCs w:val="21"/>
                <w:highlight w:val="none"/>
                <w:lang w:val="en-US" w:eastAsia="zh-CN"/>
              </w:rPr>
              <w:t>水性面漆</w:t>
            </w:r>
          </w:p>
        </w:tc>
        <w:tc>
          <w:tcPr>
            <w:tcW w:w="1567" w:type="dxa"/>
            <w:tcBorders>
              <w:tl2br w:val="nil"/>
              <w:tr2bl w:val="nil"/>
            </w:tcBorders>
            <w:vAlign w:val="center"/>
          </w:tcPr>
          <w:p w14:paraId="33CEAF36">
            <w:pPr>
              <w:jc w:val="center"/>
              <w:rPr>
                <w:rFonts w:hint="default" w:eastAsia="宋体"/>
                <w:sz w:val="21"/>
                <w:szCs w:val="21"/>
                <w:lang w:val="en-US" w:eastAsia="zh-CN"/>
              </w:rPr>
            </w:pPr>
            <w:r>
              <w:rPr>
                <w:rFonts w:hint="eastAsia" w:eastAsia="宋体"/>
                <w:sz w:val="21"/>
                <w:szCs w:val="21"/>
                <w:lang w:val="en-US" w:eastAsia="zh-CN"/>
              </w:rPr>
              <w:t>0.05t</w:t>
            </w:r>
          </w:p>
        </w:tc>
        <w:tc>
          <w:tcPr>
            <w:tcW w:w="1249" w:type="dxa"/>
            <w:tcBorders>
              <w:tl2br w:val="nil"/>
              <w:tr2bl w:val="nil"/>
            </w:tcBorders>
            <w:vAlign w:val="center"/>
          </w:tcPr>
          <w:p w14:paraId="2AC570C1">
            <w:pPr>
              <w:jc w:val="center"/>
              <w:rPr>
                <w:rFonts w:eastAsia="宋体"/>
                <w:sz w:val="21"/>
                <w:szCs w:val="21"/>
              </w:rPr>
            </w:pPr>
            <w:r>
              <w:rPr>
                <w:rFonts w:hint="eastAsia" w:eastAsia="宋体"/>
                <w:sz w:val="21"/>
                <w:szCs w:val="21"/>
                <w:lang w:val="en-US" w:eastAsia="zh-CN"/>
              </w:rPr>
              <w:t>1</w:t>
            </w:r>
            <w:r>
              <w:rPr>
                <w:rFonts w:hint="default" w:eastAsia="宋体"/>
                <w:sz w:val="21"/>
                <w:szCs w:val="21"/>
                <w:lang w:val="en-US"/>
              </w:rPr>
              <w:t>0</w:t>
            </w:r>
            <w:r>
              <w:rPr>
                <w:rFonts w:eastAsia="宋体"/>
                <w:sz w:val="21"/>
                <w:szCs w:val="21"/>
              </w:rPr>
              <w:t>0</w:t>
            </w:r>
          </w:p>
        </w:tc>
        <w:tc>
          <w:tcPr>
            <w:tcW w:w="1761" w:type="dxa"/>
            <w:tcBorders>
              <w:tl2br w:val="nil"/>
              <w:tr2bl w:val="nil"/>
            </w:tcBorders>
            <w:vAlign w:val="center"/>
          </w:tcPr>
          <w:p w14:paraId="23D59987">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722FE7CB">
            <w:pPr>
              <w:jc w:val="center"/>
              <w:rPr>
                <w:rFonts w:hint="default" w:eastAsia="宋体"/>
                <w:sz w:val="21"/>
                <w:szCs w:val="21"/>
                <w:lang w:val="en-US" w:eastAsia="zh-CN"/>
              </w:rPr>
            </w:pPr>
            <w:r>
              <w:rPr>
                <w:rFonts w:hint="eastAsia" w:eastAsia="宋体"/>
                <w:sz w:val="21"/>
                <w:szCs w:val="21"/>
                <w:lang w:val="en-US" w:eastAsia="zh-CN"/>
              </w:rPr>
              <w:t>0.0005</w:t>
            </w:r>
          </w:p>
        </w:tc>
      </w:tr>
      <w:tr w14:paraId="3AB17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10AE003F">
            <w:pPr>
              <w:jc w:val="center"/>
              <w:rPr>
                <w:rFonts w:eastAsia="宋体"/>
                <w:sz w:val="21"/>
                <w:szCs w:val="21"/>
              </w:rPr>
            </w:pPr>
          </w:p>
        </w:tc>
        <w:tc>
          <w:tcPr>
            <w:tcW w:w="1538" w:type="dxa"/>
            <w:tcBorders>
              <w:tl2br w:val="nil"/>
              <w:tr2bl w:val="nil"/>
            </w:tcBorders>
            <w:vAlign w:val="center"/>
          </w:tcPr>
          <w:p w14:paraId="3A83487B">
            <w:pPr>
              <w:jc w:val="center"/>
              <w:rPr>
                <w:rFonts w:hint="default"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固化剂</w:t>
            </w:r>
          </w:p>
        </w:tc>
        <w:tc>
          <w:tcPr>
            <w:tcW w:w="1567" w:type="dxa"/>
            <w:tcBorders>
              <w:tl2br w:val="nil"/>
              <w:tr2bl w:val="nil"/>
            </w:tcBorders>
            <w:vAlign w:val="center"/>
          </w:tcPr>
          <w:p w14:paraId="3374B032">
            <w:pPr>
              <w:jc w:val="center"/>
              <w:rPr>
                <w:rFonts w:hint="eastAsia" w:eastAsia="宋体"/>
                <w:sz w:val="21"/>
                <w:szCs w:val="21"/>
                <w:lang w:eastAsia="zh-CN"/>
              </w:rPr>
            </w:pPr>
            <w:r>
              <w:rPr>
                <w:rFonts w:hint="eastAsia" w:eastAsia="宋体"/>
                <w:sz w:val="21"/>
                <w:szCs w:val="21"/>
                <w:lang w:val="en-US" w:eastAsia="zh-CN"/>
              </w:rPr>
              <w:t>0.004t</w:t>
            </w:r>
          </w:p>
        </w:tc>
        <w:tc>
          <w:tcPr>
            <w:tcW w:w="1249" w:type="dxa"/>
            <w:tcBorders>
              <w:tl2br w:val="nil"/>
              <w:tr2bl w:val="nil"/>
            </w:tcBorders>
            <w:vAlign w:val="center"/>
          </w:tcPr>
          <w:p w14:paraId="0122C11B">
            <w:pPr>
              <w:jc w:val="center"/>
              <w:rPr>
                <w:rFonts w:hint="default" w:eastAsia="宋体"/>
                <w:sz w:val="21"/>
                <w:szCs w:val="21"/>
                <w:lang w:val="en-US" w:eastAsia="zh-CN"/>
              </w:rPr>
            </w:pPr>
            <w:r>
              <w:rPr>
                <w:rFonts w:hint="eastAsia" w:eastAsia="宋体"/>
                <w:sz w:val="21"/>
                <w:szCs w:val="21"/>
                <w:lang w:val="en-US" w:eastAsia="zh-CN"/>
              </w:rPr>
              <w:t>1</w:t>
            </w:r>
            <w:r>
              <w:rPr>
                <w:rFonts w:hint="default" w:eastAsia="宋体"/>
                <w:sz w:val="21"/>
                <w:szCs w:val="21"/>
                <w:lang w:val="en-US" w:eastAsia="zh-CN"/>
              </w:rPr>
              <w:t>0</w:t>
            </w:r>
            <w:r>
              <w:rPr>
                <w:rFonts w:hint="eastAsia" w:eastAsia="宋体"/>
                <w:sz w:val="21"/>
                <w:szCs w:val="21"/>
                <w:lang w:val="en-US" w:eastAsia="zh-CN"/>
              </w:rPr>
              <w:t>0</w:t>
            </w:r>
          </w:p>
        </w:tc>
        <w:tc>
          <w:tcPr>
            <w:tcW w:w="1761" w:type="dxa"/>
            <w:tcBorders>
              <w:tl2br w:val="nil"/>
              <w:tr2bl w:val="nil"/>
            </w:tcBorders>
            <w:vAlign w:val="center"/>
          </w:tcPr>
          <w:p w14:paraId="0A68BDD6">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1BC3C3A9">
            <w:pPr>
              <w:jc w:val="center"/>
              <w:rPr>
                <w:rFonts w:hint="default" w:eastAsia="宋体"/>
                <w:sz w:val="21"/>
                <w:szCs w:val="21"/>
                <w:lang w:val="en-US" w:eastAsia="zh-CN"/>
              </w:rPr>
            </w:pPr>
            <w:r>
              <w:rPr>
                <w:rFonts w:hint="eastAsia" w:eastAsia="宋体"/>
                <w:sz w:val="21"/>
                <w:szCs w:val="21"/>
                <w:lang w:val="en-US" w:eastAsia="zh-CN"/>
              </w:rPr>
              <w:t>0.00004</w:t>
            </w:r>
          </w:p>
        </w:tc>
      </w:tr>
      <w:tr w14:paraId="6C941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5CAAB706">
            <w:pPr>
              <w:jc w:val="center"/>
              <w:rPr>
                <w:rFonts w:eastAsia="宋体"/>
                <w:sz w:val="21"/>
                <w:szCs w:val="21"/>
              </w:rPr>
            </w:pPr>
          </w:p>
        </w:tc>
        <w:tc>
          <w:tcPr>
            <w:tcW w:w="1538" w:type="dxa"/>
            <w:tcBorders>
              <w:tl2br w:val="nil"/>
              <w:tr2bl w:val="nil"/>
            </w:tcBorders>
            <w:vAlign w:val="center"/>
          </w:tcPr>
          <w:p w14:paraId="183BB0C1">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色浆</w:t>
            </w:r>
          </w:p>
        </w:tc>
        <w:tc>
          <w:tcPr>
            <w:tcW w:w="1567" w:type="dxa"/>
            <w:tcBorders>
              <w:tl2br w:val="nil"/>
              <w:tr2bl w:val="nil"/>
            </w:tcBorders>
            <w:vAlign w:val="center"/>
          </w:tcPr>
          <w:p w14:paraId="1ADB0948">
            <w:pPr>
              <w:jc w:val="center"/>
              <w:rPr>
                <w:rFonts w:hint="default" w:eastAsia="宋体"/>
                <w:sz w:val="21"/>
                <w:szCs w:val="21"/>
                <w:lang w:val="en-US" w:eastAsia="zh-CN"/>
              </w:rPr>
            </w:pPr>
            <w:r>
              <w:rPr>
                <w:rFonts w:hint="eastAsia" w:eastAsia="宋体"/>
                <w:sz w:val="21"/>
                <w:szCs w:val="21"/>
                <w:lang w:val="en-US" w:eastAsia="zh-CN"/>
              </w:rPr>
              <w:t>0.002t</w:t>
            </w:r>
          </w:p>
        </w:tc>
        <w:tc>
          <w:tcPr>
            <w:tcW w:w="1249" w:type="dxa"/>
            <w:tcBorders>
              <w:tl2br w:val="nil"/>
              <w:tr2bl w:val="nil"/>
            </w:tcBorders>
            <w:vAlign w:val="center"/>
          </w:tcPr>
          <w:p w14:paraId="46520C7D">
            <w:pPr>
              <w:jc w:val="center"/>
              <w:rPr>
                <w:rFonts w:hint="default" w:eastAsia="宋体"/>
                <w:sz w:val="21"/>
                <w:szCs w:val="21"/>
                <w:lang w:val="en-US" w:eastAsia="zh-CN"/>
              </w:rPr>
            </w:pPr>
            <w:r>
              <w:rPr>
                <w:rFonts w:hint="eastAsia" w:eastAsia="宋体"/>
                <w:sz w:val="21"/>
                <w:szCs w:val="21"/>
                <w:lang w:val="en-US" w:eastAsia="zh-CN"/>
              </w:rPr>
              <w:t>/</w:t>
            </w:r>
          </w:p>
        </w:tc>
        <w:tc>
          <w:tcPr>
            <w:tcW w:w="1761" w:type="dxa"/>
            <w:tcBorders>
              <w:tl2br w:val="nil"/>
              <w:tr2bl w:val="nil"/>
            </w:tcBorders>
            <w:vAlign w:val="center"/>
          </w:tcPr>
          <w:p w14:paraId="6F9F1631">
            <w:pPr>
              <w:jc w:val="center"/>
              <w:rPr>
                <w:rFonts w:hint="eastAsia" w:eastAsia="宋体"/>
                <w:sz w:val="21"/>
                <w:szCs w:val="21"/>
                <w:lang w:eastAsia="zh-CN"/>
              </w:rPr>
            </w:pPr>
            <w:r>
              <w:rPr>
                <w:rFonts w:hint="eastAsia" w:eastAsia="宋体"/>
                <w:sz w:val="21"/>
                <w:szCs w:val="21"/>
                <w:lang w:val="en-US" w:eastAsia="zh-CN"/>
              </w:rPr>
              <w:t>/</w:t>
            </w:r>
          </w:p>
        </w:tc>
        <w:tc>
          <w:tcPr>
            <w:tcW w:w="1150" w:type="dxa"/>
            <w:tcBorders>
              <w:tl2br w:val="nil"/>
              <w:tr2bl w:val="nil"/>
            </w:tcBorders>
            <w:vAlign w:val="center"/>
          </w:tcPr>
          <w:p w14:paraId="62D2BED2">
            <w:pPr>
              <w:jc w:val="center"/>
              <w:rPr>
                <w:rFonts w:hint="default" w:eastAsia="宋体"/>
                <w:sz w:val="21"/>
                <w:szCs w:val="21"/>
                <w:lang w:val="en-US" w:eastAsia="zh-CN"/>
              </w:rPr>
            </w:pPr>
            <w:r>
              <w:rPr>
                <w:rFonts w:hint="eastAsia" w:eastAsia="宋体"/>
                <w:sz w:val="21"/>
                <w:szCs w:val="21"/>
                <w:lang w:val="en-US" w:eastAsia="zh-CN"/>
              </w:rPr>
              <w:t>/</w:t>
            </w:r>
          </w:p>
        </w:tc>
      </w:tr>
      <w:tr w14:paraId="112E6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4B0722C9">
            <w:pPr>
              <w:jc w:val="center"/>
              <w:rPr>
                <w:rFonts w:eastAsia="宋体"/>
                <w:sz w:val="21"/>
                <w:szCs w:val="21"/>
              </w:rPr>
            </w:pPr>
          </w:p>
        </w:tc>
        <w:tc>
          <w:tcPr>
            <w:tcW w:w="1538" w:type="dxa"/>
            <w:tcBorders>
              <w:tl2br w:val="nil"/>
              <w:tr2bl w:val="nil"/>
            </w:tcBorders>
            <w:vAlign w:val="center"/>
          </w:tcPr>
          <w:p w14:paraId="4AFE29EC">
            <w:pPr>
              <w:spacing w:line="240" w:lineRule="auto"/>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腻子粉</w:t>
            </w:r>
          </w:p>
        </w:tc>
        <w:tc>
          <w:tcPr>
            <w:tcW w:w="1567" w:type="dxa"/>
            <w:tcBorders>
              <w:tl2br w:val="nil"/>
              <w:tr2bl w:val="nil"/>
            </w:tcBorders>
            <w:vAlign w:val="center"/>
          </w:tcPr>
          <w:p w14:paraId="31DCC26B">
            <w:pPr>
              <w:jc w:val="center"/>
              <w:rPr>
                <w:rFonts w:hint="default" w:eastAsia="宋体"/>
                <w:sz w:val="21"/>
                <w:szCs w:val="21"/>
                <w:lang w:val="en-US" w:eastAsia="zh-CN"/>
              </w:rPr>
            </w:pPr>
            <w:r>
              <w:rPr>
                <w:rFonts w:hint="eastAsia" w:eastAsia="宋体"/>
                <w:sz w:val="21"/>
                <w:szCs w:val="21"/>
                <w:lang w:val="en-US" w:eastAsia="zh-CN"/>
              </w:rPr>
              <w:t>0.005t</w:t>
            </w:r>
          </w:p>
        </w:tc>
        <w:tc>
          <w:tcPr>
            <w:tcW w:w="1249" w:type="dxa"/>
            <w:tcBorders>
              <w:tl2br w:val="nil"/>
              <w:tr2bl w:val="nil"/>
            </w:tcBorders>
            <w:vAlign w:val="center"/>
          </w:tcPr>
          <w:p w14:paraId="43B91382">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100</w:t>
            </w:r>
          </w:p>
        </w:tc>
        <w:tc>
          <w:tcPr>
            <w:tcW w:w="1761" w:type="dxa"/>
            <w:tcBorders>
              <w:tl2br w:val="nil"/>
              <w:tr2bl w:val="nil"/>
            </w:tcBorders>
            <w:vAlign w:val="center"/>
          </w:tcPr>
          <w:p w14:paraId="23C576B6">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7791B440">
            <w:pPr>
              <w:jc w:val="center"/>
              <w:rPr>
                <w:rFonts w:hint="default" w:eastAsia="宋体"/>
                <w:sz w:val="21"/>
                <w:szCs w:val="21"/>
                <w:lang w:val="en-US" w:eastAsia="zh-CN"/>
              </w:rPr>
            </w:pPr>
            <w:r>
              <w:rPr>
                <w:rFonts w:hint="eastAsia" w:eastAsia="宋体"/>
                <w:sz w:val="21"/>
                <w:szCs w:val="21"/>
                <w:lang w:val="en-US" w:eastAsia="zh-CN"/>
              </w:rPr>
              <w:t>0.00005</w:t>
            </w:r>
          </w:p>
        </w:tc>
      </w:tr>
      <w:tr w14:paraId="78163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7637" w:type="dxa"/>
            <w:gridSpan w:val="5"/>
            <w:tcBorders>
              <w:tl2br w:val="nil"/>
              <w:tr2bl w:val="nil"/>
            </w:tcBorders>
            <w:vAlign w:val="center"/>
          </w:tcPr>
          <w:p w14:paraId="5303D8B9">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1BB02DEC">
            <w:pPr>
              <w:jc w:val="center"/>
              <w:rPr>
                <w:rFonts w:hint="default" w:eastAsia="宋体"/>
                <w:sz w:val="21"/>
                <w:szCs w:val="21"/>
                <w:lang w:val="en-US" w:eastAsia="zh-CN"/>
              </w:rPr>
            </w:pPr>
            <w:r>
              <w:rPr>
                <w:rFonts w:hint="eastAsia" w:eastAsia="宋体"/>
                <w:sz w:val="21"/>
                <w:szCs w:val="21"/>
                <w:lang w:val="en-US" w:eastAsia="zh-CN"/>
              </w:rPr>
              <w:t>0.00141</w:t>
            </w:r>
          </w:p>
        </w:tc>
      </w:tr>
      <w:tr w14:paraId="44ED7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restart"/>
            <w:tcBorders>
              <w:tl2br w:val="nil"/>
              <w:tr2bl w:val="nil"/>
            </w:tcBorders>
            <w:vAlign w:val="center"/>
          </w:tcPr>
          <w:p w14:paraId="59A8F248">
            <w:pPr>
              <w:jc w:val="center"/>
              <w:rPr>
                <w:rFonts w:eastAsia="宋体"/>
                <w:sz w:val="21"/>
                <w:szCs w:val="21"/>
              </w:rPr>
            </w:pPr>
            <w:r>
              <w:rPr>
                <w:rFonts w:eastAsia="宋体"/>
                <w:sz w:val="21"/>
                <w:szCs w:val="21"/>
              </w:rPr>
              <w:t>危废仓库</w:t>
            </w:r>
          </w:p>
        </w:tc>
        <w:tc>
          <w:tcPr>
            <w:tcW w:w="1538" w:type="dxa"/>
            <w:tcBorders>
              <w:tl2br w:val="nil"/>
              <w:tr2bl w:val="nil"/>
            </w:tcBorders>
            <w:vAlign w:val="center"/>
          </w:tcPr>
          <w:p w14:paraId="0317F827">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废活性炭</w:t>
            </w:r>
          </w:p>
        </w:tc>
        <w:tc>
          <w:tcPr>
            <w:tcW w:w="1567" w:type="dxa"/>
            <w:tcBorders>
              <w:tl2br w:val="nil"/>
              <w:tr2bl w:val="nil"/>
            </w:tcBorders>
            <w:vAlign w:val="center"/>
          </w:tcPr>
          <w:p w14:paraId="1F7E1826">
            <w:pPr>
              <w:widowControl w:val="0"/>
              <w:spacing w:line="240" w:lineRule="auto"/>
              <w:ind w:left="0" w:leftChars="0" w:firstLine="0" w:firstLineChars="0"/>
              <w:jc w:val="center"/>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5</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1559FB57">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14:paraId="0AB00A03">
            <w:pPr>
              <w:jc w:val="center"/>
              <w:rPr>
                <w:rFonts w:eastAsia="宋体"/>
                <w:sz w:val="21"/>
                <w:szCs w:val="21"/>
              </w:rPr>
            </w:pPr>
            <w:r>
              <w:rPr>
                <w:rFonts w:eastAsia="宋体"/>
                <w:sz w:val="21"/>
                <w:szCs w:val="21"/>
                <w:highlight w:val="none"/>
              </w:rPr>
              <w:t>八（其他类物质及污染物）</w:t>
            </w:r>
          </w:p>
        </w:tc>
        <w:tc>
          <w:tcPr>
            <w:tcW w:w="1150" w:type="dxa"/>
            <w:tcBorders>
              <w:tl2br w:val="nil"/>
              <w:tr2bl w:val="nil"/>
            </w:tcBorders>
            <w:vAlign w:val="center"/>
          </w:tcPr>
          <w:p w14:paraId="4973B22D">
            <w:pPr>
              <w:jc w:val="center"/>
              <w:rPr>
                <w:rFonts w:hint="default" w:eastAsia="宋体"/>
                <w:sz w:val="21"/>
                <w:szCs w:val="21"/>
                <w:lang w:val="en-US" w:eastAsia="zh-CN"/>
              </w:rPr>
            </w:pPr>
            <w:r>
              <w:rPr>
                <w:rFonts w:hint="eastAsia" w:eastAsia="宋体"/>
                <w:sz w:val="21"/>
                <w:szCs w:val="21"/>
                <w:lang w:val="en-US" w:eastAsia="zh-CN"/>
              </w:rPr>
              <w:t>0.01</w:t>
            </w:r>
          </w:p>
        </w:tc>
      </w:tr>
      <w:tr w14:paraId="013E1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0794B9AB">
            <w:pPr>
              <w:jc w:val="center"/>
              <w:rPr>
                <w:rFonts w:eastAsia="宋体"/>
                <w:sz w:val="21"/>
                <w:szCs w:val="21"/>
              </w:rPr>
            </w:pPr>
          </w:p>
        </w:tc>
        <w:tc>
          <w:tcPr>
            <w:tcW w:w="1538" w:type="dxa"/>
            <w:tcBorders>
              <w:tl2br w:val="nil"/>
              <w:tr2bl w:val="nil"/>
            </w:tcBorders>
            <w:vAlign w:val="center"/>
          </w:tcPr>
          <w:p w14:paraId="406C9FCA">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废包装桶</w:t>
            </w:r>
          </w:p>
        </w:tc>
        <w:tc>
          <w:tcPr>
            <w:tcW w:w="1567" w:type="dxa"/>
            <w:tcBorders>
              <w:tl2br w:val="nil"/>
              <w:tr2bl w:val="nil"/>
            </w:tcBorders>
            <w:vAlign w:val="center"/>
          </w:tcPr>
          <w:p w14:paraId="234348E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5E204227">
            <w:pPr>
              <w:jc w:val="center"/>
              <w:rPr>
                <w:rFonts w:eastAsia="宋体"/>
                <w:sz w:val="21"/>
                <w:szCs w:val="21"/>
              </w:rPr>
            </w:pPr>
            <w:r>
              <w:rPr>
                <w:rFonts w:hint="eastAsia" w:eastAsia="宋体"/>
                <w:sz w:val="21"/>
                <w:szCs w:val="21"/>
                <w:lang w:val="en-US" w:eastAsia="zh-CN"/>
              </w:rPr>
              <w:t>50</w:t>
            </w:r>
          </w:p>
        </w:tc>
        <w:tc>
          <w:tcPr>
            <w:tcW w:w="1761" w:type="dxa"/>
            <w:tcBorders>
              <w:tl2br w:val="nil"/>
              <w:tr2bl w:val="nil"/>
            </w:tcBorders>
            <w:vAlign w:val="center"/>
          </w:tcPr>
          <w:p w14:paraId="64842A71">
            <w:pPr>
              <w:jc w:val="center"/>
              <w:rPr>
                <w:rFonts w:eastAsia="宋体"/>
                <w:sz w:val="21"/>
                <w:szCs w:val="21"/>
              </w:rPr>
            </w:pPr>
            <w:r>
              <w:rPr>
                <w:rFonts w:eastAsia="宋体"/>
                <w:sz w:val="21"/>
                <w:szCs w:val="21"/>
              </w:rPr>
              <w:t>八（其他类物质及污染物）</w:t>
            </w:r>
          </w:p>
        </w:tc>
        <w:tc>
          <w:tcPr>
            <w:tcW w:w="1150" w:type="dxa"/>
            <w:tcBorders>
              <w:tl2br w:val="nil"/>
              <w:tr2bl w:val="nil"/>
            </w:tcBorders>
            <w:vAlign w:val="center"/>
          </w:tcPr>
          <w:p w14:paraId="2319E7D8">
            <w:pPr>
              <w:jc w:val="center"/>
              <w:rPr>
                <w:rFonts w:hint="default" w:eastAsia="宋体"/>
                <w:sz w:val="21"/>
                <w:szCs w:val="21"/>
                <w:lang w:val="en-US" w:eastAsia="zh-CN"/>
              </w:rPr>
            </w:pPr>
            <w:r>
              <w:rPr>
                <w:rFonts w:hint="eastAsia" w:eastAsia="宋体"/>
                <w:sz w:val="21"/>
                <w:szCs w:val="21"/>
                <w:lang w:val="en-US" w:eastAsia="zh-CN"/>
              </w:rPr>
              <w:t>0.0006</w:t>
            </w:r>
          </w:p>
        </w:tc>
      </w:tr>
      <w:tr w14:paraId="510E8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7AAC3EE7">
            <w:pPr>
              <w:jc w:val="center"/>
              <w:rPr>
                <w:rFonts w:eastAsia="宋体"/>
                <w:sz w:val="21"/>
                <w:szCs w:val="21"/>
              </w:rPr>
            </w:pPr>
          </w:p>
        </w:tc>
        <w:tc>
          <w:tcPr>
            <w:tcW w:w="1538" w:type="dxa"/>
            <w:tcBorders>
              <w:tl2br w:val="nil"/>
              <w:tr2bl w:val="nil"/>
            </w:tcBorders>
            <w:vAlign w:val="center"/>
          </w:tcPr>
          <w:p w14:paraId="1AB9AD02">
            <w:pPr>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底漆打磨灰渣</w:t>
            </w:r>
          </w:p>
        </w:tc>
        <w:tc>
          <w:tcPr>
            <w:tcW w:w="1567" w:type="dxa"/>
            <w:tcBorders>
              <w:tl2br w:val="nil"/>
              <w:tr2bl w:val="nil"/>
            </w:tcBorders>
            <w:vAlign w:val="center"/>
          </w:tcPr>
          <w:p w14:paraId="6A44110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0.04</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12C89681">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14:paraId="643AF876">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62BB2673">
            <w:pPr>
              <w:jc w:val="center"/>
              <w:rPr>
                <w:rFonts w:hint="default" w:eastAsia="宋体"/>
                <w:sz w:val="21"/>
                <w:szCs w:val="21"/>
                <w:lang w:val="en-US" w:eastAsia="zh-CN"/>
              </w:rPr>
            </w:pPr>
            <w:r>
              <w:rPr>
                <w:rFonts w:hint="eastAsia" w:eastAsia="宋体"/>
                <w:sz w:val="21"/>
                <w:szCs w:val="21"/>
                <w:lang w:val="en-US" w:eastAsia="zh-CN"/>
              </w:rPr>
              <w:t>0.0008</w:t>
            </w:r>
          </w:p>
        </w:tc>
      </w:tr>
      <w:tr w14:paraId="6A148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5415DEAF">
            <w:pPr>
              <w:jc w:val="center"/>
              <w:rPr>
                <w:rFonts w:eastAsia="宋体"/>
                <w:sz w:val="21"/>
                <w:szCs w:val="21"/>
              </w:rPr>
            </w:pPr>
          </w:p>
        </w:tc>
        <w:tc>
          <w:tcPr>
            <w:tcW w:w="1538" w:type="dxa"/>
            <w:tcBorders>
              <w:tl2br w:val="nil"/>
              <w:tr2bl w:val="nil"/>
            </w:tcBorders>
            <w:vAlign w:val="center"/>
          </w:tcPr>
          <w:p w14:paraId="622A0C5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漆渣、气浮渣</w:t>
            </w:r>
          </w:p>
        </w:tc>
        <w:tc>
          <w:tcPr>
            <w:tcW w:w="1567" w:type="dxa"/>
            <w:tcBorders>
              <w:tl2br w:val="nil"/>
              <w:tr2bl w:val="nil"/>
            </w:tcBorders>
            <w:vAlign w:val="center"/>
          </w:tcPr>
          <w:p w14:paraId="19CE36A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w:t>
            </w:r>
            <w:r>
              <w:rPr>
                <w:rFonts w:hint="default" w:ascii="Times New Roman" w:hAnsi="Times New Roman" w:eastAsia="宋体" w:cs="Times New Roman"/>
                <w:b w:val="0"/>
                <w:bCs/>
                <w:color w:val="auto"/>
                <w:sz w:val="21"/>
                <w:szCs w:val="21"/>
                <w:highlight w:val="none"/>
              </w:rPr>
              <w:t>t</w:t>
            </w:r>
          </w:p>
        </w:tc>
        <w:tc>
          <w:tcPr>
            <w:tcW w:w="1249" w:type="dxa"/>
            <w:tcBorders>
              <w:tl2br w:val="nil"/>
              <w:tr2bl w:val="nil"/>
            </w:tcBorders>
            <w:vAlign w:val="center"/>
          </w:tcPr>
          <w:p w14:paraId="6606D355">
            <w:pPr>
              <w:jc w:val="center"/>
              <w:rPr>
                <w:rFonts w:hint="default" w:eastAsia="宋体"/>
                <w:sz w:val="21"/>
                <w:szCs w:val="21"/>
                <w:lang w:val="en-US" w:eastAsia="zh-CN"/>
              </w:rPr>
            </w:pPr>
            <w:r>
              <w:rPr>
                <w:rFonts w:hint="eastAsia" w:eastAsia="宋体"/>
                <w:sz w:val="21"/>
                <w:szCs w:val="21"/>
                <w:lang w:val="en-US" w:eastAsia="zh-CN"/>
              </w:rPr>
              <w:t>50</w:t>
            </w:r>
          </w:p>
        </w:tc>
        <w:tc>
          <w:tcPr>
            <w:tcW w:w="1761" w:type="dxa"/>
            <w:tcBorders>
              <w:tl2br w:val="nil"/>
              <w:tr2bl w:val="nil"/>
            </w:tcBorders>
            <w:vAlign w:val="center"/>
          </w:tcPr>
          <w:p w14:paraId="2ED55A3C">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2FDB460F">
            <w:pPr>
              <w:jc w:val="center"/>
              <w:rPr>
                <w:rFonts w:hint="default" w:eastAsia="宋体"/>
                <w:sz w:val="21"/>
                <w:szCs w:val="21"/>
                <w:lang w:val="en-US" w:eastAsia="zh-CN"/>
              </w:rPr>
            </w:pPr>
            <w:r>
              <w:rPr>
                <w:rFonts w:hint="eastAsia" w:eastAsia="宋体"/>
                <w:sz w:val="21"/>
                <w:szCs w:val="21"/>
                <w:lang w:val="en-US" w:eastAsia="zh-CN"/>
              </w:rPr>
              <w:t>0.063</w:t>
            </w:r>
          </w:p>
        </w:tc>
      </w:tr>
      <w:tr w14:paraId="4B078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1522" w:type="dxa"/>
            <w:vMerge w:val="continue"/>
            <w:tcBorders>
              <w:tl2br w:val="nil"/>
              <w:tr2bl w:val="nil"/>
            </w:tcBorders>
            <w:vAlign w:val="center"/>
          </w:tcPr>
          <w:p w14:paraId="4604E437">
            <w:pPr>
              <w:jc w:val="center"/>
              <w:rPr>
                <w:rFonts w:eastAsia="宋体"/>
                <w:sz w:val="21"/>
                <w:szCs w:val="21"/>
              </w:rPr>
            </w:pPr>
          </w:p>
        </w:tc>
        <w:tc>
          <w:tcPr>
            <w:tcW w:w="1538" w:type="dxa"/>
            <w:tcBorders>
              <w:tl2br w:val="nil"/>
              <w:tr2bl w:val="nil"/>
            </w:tcBorders>
            <w:vAlign w:val="center"/>
          </w:tcPr>
          <w:p w14:paraId="49BBB0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含油废水</w:t>
            </w:r>
          </w:p>
        </w:tc>
        <w:tc>
          <w:tcPr>
            <w:tcW w:w="1567" w:type="dxa"/>
            <w:tcBorders>
              <w:tl2br w:val="nil"/>
              <w:tr2bl w:val="nil"/>
            </w:tcBorders>
            <w:vAlign w:val="center"/>
          </w:tcPr>
          <w:p w14:paraId="2086352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0.0025</w:t>
            </w:r>
            <w:r>
              <w:rPr>
                <w:rFonts w:hint="eastAsia" w:eastAsia="宋体" w:cs="Times New Roman"/>
                <w:b w:val="0"/>
                <w:bCs/>
                <w:color w:val="auto"/>
                <w:kern w:val="2"/>
                <w:sz w:val="21"/>
                <w:szCs w:val="21"/>
                <w:highlight w:val="none"/>
                <w:lang w:val="en-US" w:eastAsia="zh-CN" w:bidi="ar-SA"/>
              </w:rPr>
              <w:t>t</w:t>
            </w:r>
          </w:p>
        </w:tc>
        <w:tc>
          <w:tcPr>
            <w:tcW w:w="1249" w:type="dxa"/>
            <w:tcBorders>
              <w:tl2br w:val="nil"/>
              <w:tr2bl w:val="nil"/>
            </w:tcBorders>
            <w:vAlign w:val="center"/>
          </w:tcPr>
          <w:p w14:paraId="6FFFD1F0">
            <w:pPr>
              <w:jc w:val="center"/>
              <w:rPr>
                <w:rFonts w:hint="eastAsia" w:ascii="Times New Roman" w:hAnsi="Times New Roman" w:eastAsia="宋体" w:cs="Times New Roman"/>
                <w:kern w:val="2"/>
                <w:sz w:val="21"/>
                <w:szCs w:val="21"/>
                <w:lang w:val="en-US" w:eastAsia="zh-CN" w:bidi="ar-SA"/>
              </w:rPr>
            </w:pPr>
            <w:r>
              <w:rPr>
                <w:rFonts w:hint="eastAsia" w:eastAsia="宋体"/>
                <w:sz w:val="21"/>
                <w:szCs w:val="21"/>
                <w:lang w:val="en-US" w:eastAsia="zh-CN"/>
              </w:rPr>
              <w:t>50</w:t>
            </w:r>
          </w:p>
        </w:tc>
        <w:tc>
          <w:tcPr>
            <w:tcW w:w="1761" w:type="dxa"/>
            <w:tcBorders>
              <w:tl2br w:val="nil"/>
              <w:tr2bl w:val="nil"/>
            </w:tcBorders>
            <w:vAlign w:val="center"/>
          </w:tcPr>
          <w:p w14:paraId="2A2267AE">
            <w:pPr>
              <w:jc w:val="center"/>
              <w:rPr>
                <w:rFonts w:ascii="Times New Roman" w:hAnsi="Times New Roman" w:eastAsia="宋体" w:cs="Times New Roman"/>
                <w:kern w:val="2"/>
                <w:sz w:val="21"/>
                <w:szCs w:val="21"/>
                <w:lang w:val="en-US" w:eastAsia="zh-CN" w:bidi="ar-SA"/>
              </w:rPr>
            </w:pPr>
            <w:r>
              <w:rPr>
                <w:rFonts w:eastAsia="宋体"/>
                <w:sz w:val="21"/>
                <w:szCs w:val="21"/>
              </w:rPr>
              <w:t>八（其他类物质及污染物）</w:t>
            </w:r>
          </w:p>
        </w:tc>
        <w:tc>
          <w:tcPr>
            <w:tcW w:w="1150" w:type="dxa"/>
            <w:tcBorders>
              <w:tl2br w:val="nil"/>
              <w:tr2bl w:val="nil"/>
            </w:tcBorders>
            <w:vAlign w:val="center"/>
          </w:tcPr>
          <w:p w14:paraId="33D6ABC0">
            <w:pPr>
              <w:jc w:val="center"/>
              <w:rPr>
                <w:rFonts w:hint="default" w:eastAsia="宋体"/>
                <w:sz w:val="21"/>
                <w:szCs w:val="21"/>
                <w:lang w:val="en-US" w:eastAsia="zh-CN"/>
              </w:rPr>
            </w:pPr>
            <w:r>
              <w:rPr>
                <w:rFonts w:hint="eastAsia" w:eastAsia="宋体"/>
                <w:sz w:val="21"/>
                <w:szCs w:val="21"/>
                <w:lang w:val="en-US" w:eastAsia="zh-CN"/>
              </w:rPr>
              <w:t>0.00005</w:t>
            </w:r>
          </w:p>
        </w:tc>
      </w:tr>
      <w:tr w14:paraId="77CAC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wAfter w:w="236" w:type="dxa"/>
          <w:trHeight w:val="284" w:hRule="atLeast"/>
          <w:jc w:val="center"/>
        </w:trPr>
        <w:tc>
          <w:tcPr>
            <w:tcW w:w="7637" w:type="dxa"/>
            <w:gridSpan w:val="5"/>
            <w:tcBorders>
              <w:tl2br w:val="nil"/>
              <w:tr2bl w:val="nil"/>
            </w:tcBorders>
            <w:vAlign w:val="center"/>
          </w:tcPr>
          <w:p w14:paraId="37AF7C06">
            <w:pPr>
              <w:jc w:val="center"/>
              <w:rPr>
                <w:rFonts w:eastAsia="宋体"/>
                <w:sz w:val="21"/>
                <w:szCs w:val="21"/>
              </w:rPr>
            </w:pPr>
            <w:r>
              <w:rPr>
                <w:rFonts w:eastAsia="宋体"/>
                <w:sz w:val="21"/>
                <w:szCs w:val="21"/>
              </w:rPr>
              <w:t>ΣQi/qi</w:t>
            </w:r>
          </w:p>
        </w:tc>
        <w:tc>
          <w:tcPr>
            <w:tcW w:w="1150" w:type="dxa"/>
            <w:tcBorders>
              <w:tl2br w:val="nil"/>
              <w:tr2bl w:val="nil"/>
            </w:tcBorders>
            <w:vAlign w:val="center"/>
          </w:tcPr>
          <w:p w14:paraId="5ECBD4BE">
            <w:pPr>
              <w:jc w:val="center"/>
              <w:rPr>
                <w:rFonts w:hint="default" w:eastAsia="宋体"/>
                <w:sz w:val="21"/>
                <w:szCs w:val="21"/>
                <w:lang w:val="en-US" w:eastAsia="zh-CN"/>
              </w:rPr>
            </w:pPr>
            <w:r>
              <w:rPr>
                <w:rFonts w:hint="eastAsia" w:eastAsia="宋体"/>
                <w:sz w:val="21"/>
                <w:szCs w:val="21"/>
                <w:lang w:val="en-US" w:eastAsia="zh-CN"/>
              </w:rPr>
              <w:t>0.07445</w:t>
            </w:r>
          </w:p>
        </w:tc>
      </w:tr>
    </w:tbl>
    <w:p w14:paraId="01D22450">
      <w:pPr>
        <w:pStyle w:val="18"/>
        <w:numPr>
          <w:ilvl w:val="-1"/>
          <w:numId w:val="0"/>
        </w:numPr>
        <w:ind w:left="0" w:firstLine="0"/>
      </w:pPr>
    </w:p>
    <w:p w14:paraId="65A0C9ED">
      <w:pPr>
        <w:pStyle w:val="13"/>
        <w:spacing w:after="0" w:line="500" w:lineRule="exact"/>
        <w:ind w:firstLine="480" w:firstLineChars="200"/>
        <w:jc w:val="left"/>
        <w:rPr>
          <w:rFonts w:eastAsia="宋体"/>
          <w:spacing w:val="-10"/>
        </w:rPr>
      </w:pPr>
      <w:r>
        <w:rPr>
          <w:rFonts w:eastAsia="宋体"/>
        </w:rPr>
        <w:t>根据上述计算，公司涉</w:t>
      </w:r>
      <w:r>
        <w:rPr>
          <w:rFonts w:hint="eastAsia" w:eastAsia="宋体"/>
          <w:lang w:val="en-US" w:eastAsia="zh-CN"/>
        </w:rPr>
        <w:t>水</w:t>
      </w:r>
      <w:r>
        <w:rPr>
          <w:rFonts w:eastAsia="宋体"/>
        </w:rPr>
        <w:t>风险物质数量与临界量比值为</w:t>
      </w:r>
      <w:r>
        <w:rPr>
          <w:rFonts w:hint="eastAsia" w:eastAsia="宋体"/>
        </w:rPr>
        <w:t>Q=</w:t>
      </w:r>
      <w:r>
        <w:rPr>
          <w:rFonts w:hint="eastAsia" w:eastAsia="宋体"/>
          <w:lang w:val="en-US" w:eastAsia="zh-CN"/>
        </w:rPr>
        <w:t>0.07445</w:t>
      </w:r>
      <w:r>
        <w:rPr>
          <w:rFonts w:eastAsia="宋体"/>
          <w:color w:val="000000" w:themeColor="text1"/>
          <w14:textFill>
            <w14:solidFill>
              <w14:schemeClr w14:val="tx1"/>
            </w14:solidFill>
          </w14:textFill>
        </w:rPr>
        <w:t>，Q＜1，</w:t>
      </w:r>
      <w:r>
        <w:rPr>
          <w:rFonts w:eastAsia="宋体"/>
        </w:rPr>
        <w:t>直接评为一般环境风险等级Q0。</w:t>
      </w:r>
    </w:p>
    <w:p w14:paraId="1D15863B">
      <w:pPr>
        <w:pStyle w:val="5"/>
        <w:adjustRightInd w:val="0"/>
        <w:snapToGrid w:val="0"/>
        <w:spacing w:line="500" w:lineRule="exact"/>
        <w:jc w:val="left"/>
        <w:rPr>
          <w:rFonts w:eastAsia="宋体"/>
          <w:color w:val="000000" w:themeColor="text1"/>
          <w14:textFill>
            <w14:solidFill>
              <w14:schemeClr w14:val="tx1"/>
            </w14:solidFill>
          </w14:textFill>
        </w:rPr>
      </w:pPr>
      <w:bookmarkStart w:id="337" w:name="7.2.2生产工艺过程与水环境风险控制水平（M）评估"/>
      <w:bookmarkEnd w:id="337"/>
      <w:bookmarkStart w:id="338" w:name="_Toc30523"/>
      <w:bookmarkStart w:id="339" w:name="_Toc3360"/>
      <w:bookmarkStart w:id="340" w:name="_Toc23938"/>
      <w:bookmarkStart w:id="341" w:name="_TOC_250014"/>
      <w:r>
        <w:rPr>
          <w:rFonts w:hint="eastAsia" w:eastAsia="宋体"/>
          <w:color w:val="000000" w:themeColor="text1"/>
          <w14:textFill>
            <w14:solidFill>
              <w14:schemeClr w14:val="tx1"/>
            </w14:solidFill>
          </w14:textFill>
        </w:rPr>
        <w:t>7.2.2生产工艺过程与水环境风险控制水平（M）评估</w:t>
      </w:r>
      <w:bookmarkEnd w:id="338"/>
      <w:bookmarkEnd w:id="339"/>
      <w:bookmarkEnd w:id="340"/>
    </w:p>
    <w:bookmarkEnd w:id="341"/>
    <w:p w14:paraId="744B4797">
      <w:pPr>
        <w:pStyle w:val="13"/>
        <w:spacing w:after="0" w:line="500" w:lineRule="exact"/>
        <w:ind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采用评分法对企业生产工艺过程、水环境风险防控措施及突发水环境事件发生情况进行评估，将各项分值累加，确定企业生产工艺过程与水环境风险控制水平（M）。</w:t>
      </w:r>
    </w:p>
    <w:p w14:paraId="148B1147">
      <w:pPr>
        <w:pStyle w:val="13"/>
        <w:numPr>
          <w:ilvl w:val="255"/>
          <w:numId w:val="0"/>
        </w:numPr>
        <w:spacing w:after="0" w:line="500" w:lineRule="exact"/>
        <w:ind w:left="480" w:leftChars="200"/>
        <w:jc w:val="left"/>
        <w:rPr>
          <w:rFonts w:eastAsia="宋体"/>
          <w:spacing w:val="-10"/>
        </w:rPr>
      </w:pPr>
      <w:r>
        <w:rPr>
          <w:rFonts w:hint="eastAsia" w:eastAsia="宋体"/>
          <w:spacing w:val="-10"/>
        </w:rPr>
        <w:t>（1）</w:t>
      </w:r>
      <w:r>
        <w:rPr>
          <w:rFonts w:eastAsia="宋体"/>
          <w:spacing w:val="-10"/>
        </w:rPr>
        <w:t>生产工艺过程含有风险工艺和设备情况</w:t>
      </w:r>
    </w:p>
    <w:p w14:paraId="2E8FB8D8">
      <w:pPr>
        <w:pStyle w:val="13"/>
        <w:spacing w:after="0" w:line="500" w:lineRule="exact"/>
        <w:ind w:firstLine="440" w:firstLineChars="200"/>
        <w:jc w:val="left"/>
        <w:rPr>
          <w:rFonts w:eastAsia="宋体"/>
          <w:spacing w:val="-10"/>
        </w:rPr>
      </w:pPr>
      <w:r>
        <w:rPr>
          <w:rFonts w:eastAsia="宋体"/>
          <w:spacing w:val="-10"/>
        </w:rPr>
        <w:t>从上文章节3.5.</w:t>
      </w:r>
      <w:r>
        <w:rPr>
          <w:rFonts w:hint="eastAsia" w:eastAsia="宋体"/>
          <w:spacing w:val="-10"/>
        </w:rPr>
        <w:t>3</w:t>
      </w:r>
      <w:r>
        <w:rPr>
          <w:rFonts w:eastAsia="宋体"/>
          <w:spacing w:val="-10"/>
        </w:rPr>
        <w:t>可知，企业生产工艺过程评分为</w:t>
      </w:r>
      <w:r>
        <w:rPr>
          <w:rFonts w:hint="eastAsia" w:eastAsia="宋体"/>
          <w:spacing w:val="-10"/>
        </w:rPr>
        <w:t>5</w:t>
      </w:r>
      <w:r>
        <w:rPr>
          <w:rFonts w:eastAsia="宋体"/>
          <w:spacing w:val="-10"/>
        </w:rPr>
        <w:t>分。</w:t>
      </w:r>
    </w:p>
    <w:p w14:paraId="6A2D5BAB">
      <w:pPr>
        <w:pStyle w:val="13"/>
        <w:numPr>
          <w:ilvl w:val="255"/>
          <w:numId w:val="0"/>
        </w:numPr>
        <w:spacing w:after="0" w:line="500" w:lineRule="exact"/>
        <w:ind w:left="480" w:leftChars="200"/>
        <w:jc w:val="left"/>
        <w:rPr>
          <w:rFonts w:eastAsia="宋体"/>
          <w:spacing w:val="-10"/>
        </w:rPr>
      </w:pPr>
      <w:r>
        <w:rPr>
          <w:rFonts w:hint="eastAsia" w:eastAsia="宋体"/>
          <w:spacing w:val="-10"/>
        </w:rPr>
        <w:t>（2）</w:t>
      </w:r>
      <w:r>
        <w:rPr>
          <w:rFonts w:eastAsia="宋体"/>
          <w:spacing w:val="-10"/>
        </w:rPr>
        <w:t>水环境风险防控措施及突发水环境事件发生情况</w:t>
      </w:r>
    </w:p>
    <w:p w14:paraId="6E8A4033">
      <w:pPr>
        <w:pStyle w:val="13"/>
        <w:spacing w:after="0" w:line="500" w:lineRule="exact"/>
        <w:ind w:firstLine="440" w:firstLineChars="200"/>
        <w:jc w:val="left"/>
      </w:pPr>
      <w:r>
        <w:rPr>
          <w:rFonts w:eastAsia="宋体"/>
          <w:spacing w:val="-10"/>
        </w:rPr>
        <w:t>公司水环境风险防控措施与突发水环境事件发生情况评估评估指标见7-7。对各项评估指标分别评分、计算总和，各项指标分值合计最高为70分。</w:t>
      </w:r>
    </w:p>
    <w:p w14:paraId="4199FE04">
      <w:pPr>
        <w:spacing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64BCA25A">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7-7</w:t>
      </w:r>
      <w:r>
        <w:rPr>
          <w:rFonts w:eastAsiaTheme="minorEastAsia"/>
          <w:b/>
          <w:color w:val="000000" w:themeColor="text1"/>
          <w14:textFill>
            <w14:solidFill>
              <w14:schemeClr w14:val="tx1"/>
            </w14:solidFill>
          </w14:textFill>
        </w:rPr>
        <w:t>企业水环境风险防控措施及突发水环境事件发生情况评估</w:t>
      </w:r>
    </w:p>
    <w:tbl>
      <w:tblPr>
        <w:tblStyle w:val="38"/>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16629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EE930ED">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252699B7">
            <w:pPr>
              <w:autoSpaceDE w:val="0"/>
              <w:autoSpaceDN w:val="0"/>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4BB3F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63BF6A1B">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评估指标</w:t>
            </w:r>
          </w:p>
        </w:tc>
        <w:tc>
          <w:tcPr>
            <w:tcW w:w="7376" w:type="dxa"/>
            <w:vAlign w:val="center"/>
          </w:tcPr>
          <w:p w14:paraId="4AD43813">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540" w:type="dxa"/>
            <w:vAlign w:val="center"/>
          </w:tcPr>
          <w:p w14:paraId="0999BC11">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4188" w:type="dxa"/>
            <w:vAlign w:val="center"/>
          </w:tcPr>
          <w:p w14:paraId="03C96D8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612" w:type="dxa"/>
            <w:vAlign w:val="center"/>
          </w:tcPr>
          <w:p w14:paraId="59D526B6">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r>
      <w:tr w14:paraId="71B4A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5FDA8474">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截流措施</w:t>
            </w:r>
          </w:p>
        </w:tc>
        <w:tc>
          <w:tcPr>
            <w:tcW w:w="7376" w:type="dxa"/>
            <w:vAlign w:val="center"/>
          </w:tcPr>
          <w:p w14:paraId="62AAA2D4">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（1）环境风险单元设防渗漏、防腐蚀、防截流措施；且</w:t>
            </w:r>
          </w:p>
          <w:p w14:paraId="1592EAC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eastAsiaTheme="minorEastAsia"/>
                <w:color w:val="000000" w:themeColor="text1"/>
                <w:sz w:val="21"/>
                <w:szCs w:val="21"/>
                <w14:textFill>
                  <w14:solidFill>
                    <w14:schemeClr w14:val="tx1"/>
                  </w14:solidFill>
                </w14:textFill>
              </w:rPr>
              <w:t>废</w:t>
            </w:r>
            <w:r>
              <w:rPr>
                <w:rFonts w:eastAsiaTheme="minorEastAsia"/>
                <w:color w:val="000000" w:themeColor="text1"/>
                <w:sz w:val="21"/>
                <w:szCs w:val="21"/>
                <w14:textFill>
                  <w14:solidFill>
                    <w14:schemeClr w14:val="tx1"/>
                  </w14:solidFill>
                </w14:textFill>
              </w:rPr>
              <w:t>水排放缓冲池或污</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系统的阀门打开；且</w:t>
            </w:r>
          </w:p>
          <w:p w14:paraId="508BD73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07122E5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B2AFA5D">
            <w:pPr>
              <w:autoSpaceDE w:val="0"/>
              <w:autoSpaceDN w:val="0"/>
              <w:adjustRightInd w:val="0"/>
              <w:snapToGrid w:val="0"/>
              <w:jc w:val="left"/>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①各个环境风险单元设防渗漏、防腐蚀、防淋溶、防流失措施；</w:t>
            </w:r>
          </w:p>
          <w:p w14:paraId="38EC7DF0">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0104B41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ED6C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284B14C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1D6F0C5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A04E21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55C1053">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6F70AB4">
            <w:pPr>
              <w:adjustRightInd w:val="0"/>
              <w:snapToGrid w:val="0"/>
              <w:jc w:val="center"/>
              <w:rPr>
                <w:rFonts w:eastAsiaTheme="minorEastAsia"/>
                <w:color w:val="000000" w:themeColor="text1"/>
                <w:sz w:val="21"/>
                <w:szCs w:val="21"/>
                <w14:textFill>
                  <w14:solidFill>
                    <w14:schemeClr w14:val="tx1"/>
                  </w14:solidFill>
                </w14:textFill>
              </w:rPr>
            </w:pPr>
          </w:p>
        </w:tc>
      </w:tr>
      <w:tr w14:paraId="1A4F0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291171B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事故废水收集措施</w:t>
            </w:r>
          </w:p>
        </w:tc>
        <w:tc>
          <w:tcPr>
            <w:tcW w:w="7376" w:type="dxa"/>
            <w:vAlign w:val="center"/>
          </w:tcPr>
          <w:p w14:paraId="5767A84D">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5628B12F">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5BEC13EE">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（3）通过协议单位或自建管线，能将所收集废水送至厂区内</w:t>
            </w:r>
            <w:r>
              <w:rPr>
                <w:rFonts w:hint="eastAsia" w:eastAsiaTheme="minorEastAsia"/>
                <w:color w:val="000000" w:themeColor="text1"/>
                <w:sz w:val="21"/>
                <w:szCs w:val="21"/>
                <w:lang w:eastAsia="zh-CN"/>
                <w14:textFill>
                  <w14:solidFill>
                    <w14:schemeClr w14:val="tx1"/>
                  </w14:solidFill>
                </w14:textFill>
              </w:rPr>
              <w:t>回用水设施</w:t>
            </w:r>
            <w:r>
              <w:rPr>
                <w:rFonts w:eastAsiaTheme="minorEastAsia"/>
                <w:color w:val="000000" w:themeColor="text1"/>
                <w:sz w:val="21"/>
                <w:szCs w:val="21"/>
                <w14:textFill>
                  <w14:solidFill>
                    <w14:schemeClr w14:val="tx1"/>
                  </w14:solidFill>
                </w14:textFill>
              </w:rPr>
              <w:t>处理</w:t>
            </w:r>
          </w:p>
        </w:tc>
        <w:tc>
          <w:tcPr>
            <w:tcW w:w="540" w:type="dxa"/>
            <w:vAlign w:val="center"/>
          </w:tcPr>
          <w:p w14:paraId="5EFB1C1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55323B8">
            <w:pPr>
              <w:snapToGrid w:val="0"/>
              <w:rPr>
                <w:rFonts w:eastAsiaTheme="minorEastAsia"/>
                <w:color w:val="000000" w:themeColor="text1"/>
                <w:kern w:val="0"/>
                <w:sz w:val="21"/>
                <w:szCs w:val="21"/>
                <w:vertAlign w:val="superscript"/>
                <w14:textFill>
                  <w14:solidFill>
                    <w14:schemeClr w14:val="tx1"/>
                  </w14:solidFill>
                </w14:textFill>
              </w:rPr>
            </w:pPr>
            <w:r>
              <w:rPr>
                <w:rFonts w:eastAsiaTheme="minorEastAsia"/>
                <w:color w:val="000000" w:themeColor="text1"/>
                <w:sz w:val="21"/>
                <w:szCs w:val="21"/>
                <w14:textFill>
                  <w14:solidFill>
                    <w14:schemeClr w14:val="tx1"/>
                  </w14:solidFill>
                </w14:textFill>
              </w:rPr>
              <w:t>（1）</w:t>
            </w:r>
            <w:r>
              <w:rPr>
                <w:rFonts w:eastAsiaTheme="minorEastAsia"/>
                <w:color w:val="000000" w:themeColor="text1"/>
                <w:kern w:val="0"/>
                <w:sz w:val="21"/>
                <w:szCs w:val="21"/>
                <w14:textFill>
                  <w14:solidFill>
                    <w14:schemeClr w14:val="tx1"/>
                  </w14:solidFill>
                </w14:textFill>
              </w:rPr>
              <w:t>公司</w:t>
            </w:r>
            <w:r>
              <w:rPr>
                <w:rFonts w:hint="eastAsia" w:eastAsiaTheme="minorEastAsia"/>
                <w:color w:val="000000" w:themeColor="text1"/>
                <w:kern w:val="0"/>
                <w:sz w:val="21"/>
                <w:szCs w:val="21"/>
                <w14:textFill>
                  <w14:solidFill>
                    <w14:schemeClr w14:val="tx1"/>
                  </w14:solidFill>
                </w14:textFill>
              </w:rPr>
              <w:t>设</w:t>
            </w:r>
            <w:r>
              <w:rPr>
                <w:rFonts w:hint="eastAsia" w:eastAsiaTheme="minorEastAsia"/>
                <w:color w:val="000000" w:themeColor="text1"/>
                <w:kern w:val="0"/>
                <w:sz w:val="21"/>
                <w:szCs w:val="21"/>
                <w:highlight w:val="none"/>
                <w14:textFill>
                  <w14:solidFill>
                    <w14:schemeClr w14:val="tx1"/>
                  </w14:solidFill>
                </w14:textFill>
              </w:rPr>
              <w:t>置</w:t>
            </w:r>
            <w:r>
              <w:rPr>
                <w:rFonts w:hint="eastAsia" w:eastAsiaTheme="minorEastAsia"/>
                <w:color w:val="000000" w:themeColor="text1"/>
                <w:kern w:val="0"/>
                <w:sz w:val="21"/>
                <w:szCs w:val="21"/>
                <w:highlight w:val="none"/>
                <w:lang w:val="en-US" w:eastAsia="zh-CN"/>
                <w14:textFill>
                  <w14:solidFill>
                    <w14:schemeClr w14:val="tx1"/>
                  </w14:solidFill>
                </w14:textFill>
              </w:rPr>
              <w:t>110</w:t>
            </w:r>
            <w:r>
              <w:rPr>
                <w:rFonts w:hint="eastAsia" w:eastAsiaTheme="minorEastAsia"/>
                <w:color w:val="000000" w:themeColor="text1"/>
                <w:kern w:val="0"/>
                <w:sz w:val="21"/>
                <w:szCs w:val="21"/>
                <w:highlight w:val="none"/>
                <w14:textFill>
                  <w14:solidFill>
                    <w14:schemeClr w14:val="tx1"/>
                  </w14:solidFill>
                </w14:textFill>
              </w:rPr>
              <w:t>m</w:t>
            </w:r>
            <w:r>
              <w:rPr>
                <w:rFonts w:hint="eastAsia" w:eastAsiaTheme="minorEastAsia"/>
                <w:color w:val="000000" w:themeColor="text1"/>
                <w:kern w:val="0"/>
                <w:sz w:val="21"/>
                <w:szCs w:val="21"/>
                <w:highlight w:val="none"/>
                <w:vertAlign w:val="superscript"/>
                <w14:textFill>
                  <w14:solidFill>
                    <w14:schemeClr w14:val="tx1"/>
                  </w14:solidFill>
                </w14:textFill>
              </w:rPr>
              <w:t>3</w:t>
            </w:r>
            <w:r>
              <w:rPr>
                <w:rFonts w:eastAsiaTheme="minorEastAsia"/>
                <w:color w:val="000000" w:themeColor="text1"/>
                <w:kern w:val="0"/>
                <w:sz w:val="21"/>
                <w:szCs w:val="21"/>
                <w:highlight w:val="none"/>
                <w14:textFill>
                  <w14:solidFill>
                    <w14:schemeClr w14:val="tx1"/>
                  </w14:solidFill>
                </w14:textFill>
              </w:rPr>
              <w:t>事</w:t>
            </w:r>
            <w:r>
              <w:rPr>
                <w:rFonts w:eastAsiaTheme="minorEastAsia"/>
                <w:color w:val="000000" w:themeColor="text1"/>
                <w:kern w:val="0"/>
                <w:sz w:val="21"/>
                <w:szCs w:val="21"/>
                <w14:textFill>
                  <w14:solidFill>
                    <w14:schemeClr w14:val="tx1"/>
                  </w14:solidFill>
                </w14:textFill>
              </w:rPr>
              <w:t>故应急池</w:t>
            </w:r>
            <w:r>
              <w:rPr>
                <w:rFonts w:hint="eastAsia" w:eastAsiaTheme="minorEastAsia"/>
                <w:color w:val="000000" w:themeColor="text1"/>
                <w:kern w:val="0"/>
                <w:sz w:val="21"/>
                <w:szCs w:val="21"/>
                <w14:textFill>
                  <w14:solidFill>
                    <w14:schemeClr w14:val="tx1"/>
                  </w14:solidFill>
                </w14:textFill>
              </w:rPr>
              <w:t>。</w:t>
            </w:r>
          </w:p>
          <w:p w14:paraId="60D52F96">
            <w:pPr>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（2）事故应急事池位置合理，各区域废水</w:t>
            </w:r>
            <w:r>
              <w:rPr>
                <w:rFonts w:hint="eastAsia" w:eastAsiaTheme="minorEastAsia"/>
                <w:color w:val="000000" w:themeColor="text1"/>
                <w:sz w:val="21"/>
                <w:szCs w:val="21"/>
                <w14:textFill>
                  <w14:solidFill>
                    <w14:schemeClr w14:val="tx1"/>
                  </w14:solidFill>
                </w14:textFill>
              </w:rPr>
              <w:t>可自流</w:t>
            </w:r>
            <w:r>
              <w:rPr>
                <w:rFonts w:eastAsiaTheme="minorEastAsia"/>
                <w:color w:val="000000" w:themeColor="text1"/>
                <w:sz w:val="21"/>
                <w:szCs w:val="21"/>
                <w14:textFill>
                  <w14:solidFill>
                    <w14:schemeClr w14:val="tx1"/>
                  </w14:solidFill>
                </w14:textFill>
              </w:rPr>
              <w:t>进事故池内</w:t>
            </w:r>
          </w:p>
          <w:p w14:paraId="46A220C6">
            <w:pPr>
              <w:adjustRightInd w:val="0"/>
              <w:snapToGrid w:val="0"/>
              <w:jc w:val="left"/>
              <w:rPr>
                <w:rFonts w:eastAsiaTheme="minorEastAsia"/>
                <w:color w:val="000000" w:themeColor="text1"/>
                <w:sz w:val="21"/>
                <w:szCs w:val="21"/>
                <w14:textFill>
                  <w14:solidFill>
                    <w14:schemeClr w14:val="tx1"/>
                  </w14:solidFill>
                </w14:textFill>
              </w:rPr>
            </w:pPr>
          </w:p>
        </w:tc>
        <w:tc>
          <w:tcPr>
            <w:tcW w:w="612" w:type="dxa"/>
            <w:vMerge w:val="restart"/>
            <w:vAlign w:val="center"/>
          </w:tcPr>
          <w:p w14:paraId="47EAA0FF">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5EC17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6D70399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5389FB6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66C718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2240F1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7BAD0AF">
            <w:pPr>
              <w:adjustRightInd w:val="0"/>
              <w:snapToGrid w:val="0"/>
              <w:jc w:val="center"/>
              <w:rPr>
                <w:rFonts w:eastAsiaTheme="minorEastAsia"/>
                <w:color w:val="000000" w:themeColor="text1"/>
                <w:sz w:val="21"/>
                <w:szCs w:val="21"/>
                <w14:textFill>
                  <w14:solidFill>
                    <w14:schemeClr w14:val="tx1"/>
                  </w14:solidFill>
                </w14:textFill>
              </w:rPr>
            </w:pPr>
          </w:p>
        </w:tc>
      </w:tr>
      <w:tr w14:paraId="006E9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6DC1AFB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FF4910">
            <w:pPr>
              <w:autoSpaceDE w:val="0"/>
              <w:autoSpaceDN w:val="0"/>
              <w:adjustRightInd w:val="0"/>
              <w:snapToGrid w:val="0"/>
              <w:ind w:right="38" w:rightChars="16"/>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（1）不涉及清净废水</w:t>
            </w:r>
            <w:r>
              <w:rPr>
                <w:rFonts w:hint="eastAsia" w:eastAsiaTheme="minorEastAsia"/>
                <w:color w:val="000000" w:themeColor="text1"/>
                <w:sz w:val="21"/>
                <w:szCs w:val="21"/>
                <w14:textFill>
                  <w14:solidFill>
                    <w14:schemeClr w14:val="tx1"/>
                  </w14:solidFill>
                </w14:textFill>
              </w:rPr>
              <w:t>；或</w:t>
            </w:r>
          </w:p>
          <w:p w14:paraId="538F2993">
            <w:pPr>
              <w:autoSpaceDE w:val="0"/>
              <w:autoSpaceDN w:val="0"/>
              <w:adjustRightInd w:val="0"/>
              <w:snapToGrid w:val="0"/>
              <w:ind w:right="38" w:rightChars="16"/>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（2）厂区内清净废水均可排入废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系统；或清污分流，且清净废水系统具有下述所有措施：</w:t>
            </w:r>
          </w:p>
          <w:p w14:paraId="4294488F">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具有收集受污染的清净废水</w:t>
            </w:r>
            <w:r>
              <w:rPr>
                <w:rFonts w:hint="eastAsia" w:eastAsiaTheme="minorEastAsia"/>
                <w:color w:val="000000" w:themeColor="text1"/>
                <w:spacing w:val="-4"/>
                <w:sz w:val="21"/>
                <w:szCs w:val="21"/>
                <w14:textFill>
                  <w14:solidFill>
                    <w14:schemeClr w14:val="tx1"/>
                  </w14:solidFill>
                </w14:textFill>
              </w:rPr>
              <w:t>的缓冲池</w:t>
            </w:r>
            <w:r>
              <w:rPr>
                <w:rFonts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70ACE2EE">
            <w:pPr>
              <w:autoSpaceDE w:val="0"/>
              <w:autoSpaceDN w:val="0"/>
              <w:adjustRightInd w:val="0"/>
              <w:snapToGrid w:val="0"/>
              <w:ind w:firstLine="105" w:firstLineChars="5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36470D2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119FC9A6">
            <w:pPr>
              <w:autoSpaceDE w:val="0"/>
              <w:autoSpaceDN w:val="0"/>
              <w:adjustRightInd w:val="0"/>
              <w:snapToGrid w:val="0"/>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不涉及清净废水。</w:t>
            </w:r>
          </w:p>
        </w:tc>
        <w:tc>
          <w:tcPr>
            <w:tcW w:w="612" w:type="dxa"/>
            <w:vMerge w:val="restart"/>
            <w:vAlign w:val="center"/>
          </w:tcPr>
          <w:p w14:paraId="0E94ECDC">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07787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3A765BB">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292A90F8">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318F564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31655EA0">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1288B75C">
            <w:pPr>
              <w:adjustRightInd w:val="0"/>
              <w:snapToGrid w:val="0"/>
              <w:jc w:val="center"/>
              <w:rPr>
                <w:rFonts w:eastAsiaTheme="minorEastAsia"/>
                <w:color w:val="000000" w:themeColor="text1"/>
                <w:sz w:val="21"/>
                <w:szCs w:val="21"/>
                <w14:textFill>
                  <w14:solidFill>
                    <w14:schemeClr w14:val="tx1"/>
                  </w14:solidFill>
                </w14:textFill>
              </w:rPr>
            </w:pPr>
          </w:p>
        </w:tc>
      </w:tr>
      <w:tr w14:paraId="54DBD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0D2CCA1">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153C441">
            <w:pPr>
              <w:autoSpaceDE w:val="0"/>
              <w:autoSpaceDN w:val="0"/>
              <w:adjustRightInd w:val="0"/>
              <w:snapToGrid w:val="0"/>
              <w:jc w:val="left"/>
              <w:rPr>
                <w:rFonts w:eastAsiaTheme="minorEastAsia"/>
                <w:color w:val="000000" w:themeColor="text1"/>
                <w:sz w:val="21"/>
                <w:szCs w:val="21"/>
                <w:highlight w:val="yellow"/>
                <w14:textFill>
                  <w14:solidFill>
                    <w14:schemeClr w14:val="tx1"/>
                  </w14:solidFill>
                </w14:textFill>
              </w:rPr>
            </w:pPr>
            <w:r>
              <w:rPr>
                <w:rFonts w:eastAsiaTheme="minorEastAsia"/>
                <w:color w:val="000000" w:themeColor="text1"/>
                <w:sz w:val="21"/>
                <w:szCs w:val="21"/>
                <w14:textFill>
                  <w14:solidFill>
                    <w14:schemeClr w14:val="tx1"/>
                  </w14:solidFill>
                </w14:textFill>
              </w:rPr>
              <w:t>（1）厂区内雨水均进入废</w:t>
            </w:r>
            <w:r>
              <w:rPr>
                <w:rFonts w:hint="eastAsia" w:eastAsiaTheme="minorEastAsia"/>
                <w:color w:val="000000" w:themeColor="text1"/>
                <w:sz w:val="21"/>
                <w:szCs w:val="21"/>
                <w14:textFill>
                  <w14:solidFill>
                    <w14:schemeClr w14:val="tx1"/>
                  </w14:solidFill>
                </w14:textFill>
              </w:rPr>
              <w:t>水处理</w:t>
            </w:r>
            <w:r>
              <w:rPr>
                <w:rFonts w:eastAsiaTheme="minorEastAsia"/>
                <w:color w:val="000000" w:themeColor="text1"/>
                <w:sz w:val="21"/>
                <w:szCs w:val="21"/>
                <w14:textFill>
                  <w14:solidFill>
                    <w14:schemeClr w14:val="tx1"/>
                  </w14:solidFill>
                </w14:textFill>
              </w:rPr>
              <w:t>系统；或雨污分流，且雨</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排水系统具有下述所有措施：</w:t>
            </w:r>
          </w:p>
          <w:p w14:paraId="697A784C">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具有收集初期雨水的收集池或雨水监控池；池出水管上设置切断阀，正常情况下阀门关闭，防止受污染的雨水外排；池内设有提升设施或通过自流，能将所</w:t>
            </w:r>
            <w:r>
              <w:rPr>
                <w:rFonts w:hint="eastAsia" w:eastAsiaTheme="minorEastAsia"/>
                <w:color w:val="000000" w:themeColor="text1"/>
                <w:spacing w:val="-4"/>
                <w:sz w:val="21"/>
                <w:szCs w:val="21"/>
                <w14:textFill>
                  <w14:solidFill>
                    <w14:schemeClr w14:val="tx1"/>
                  </w14:solidFill>
                </w14:textFill>
              </w:rPr>
              <w:t>收</w:t>
            </w:r>
            <w:r>
              <w:rPr>
                <w:rFonts w:eastAsiaTheme="minorEastAsia"/>
                <w:color w:val="000000" w:themeColor="text1"/>
                <w:spacing w:val="-4"/>
                <w:sz w:val="21"/>
                <w:szCs w:val="21"/>
                <w14:textFill>
                  <w14:solidFill>
                    <w14:schemeClr w14:val="tx1"/>
                  </w14:solidFill>
                </w14:textFill>
              </w:rPr>
              <w:t>集物送至厂区内</w:t>
            </w:r>
            <w:r>
              <w:rPr>
                <w:rFonts w:hint="eastAsia" w:eastAsiaTheme="minorEastAsia"/>
                <w:color w:val="000000" w:themeColor="text1"/>
                <w:spacing w:val="-4"/>
                <w:sz w:val="21"/>
                <w:szCs w:val="21"/>
                <w:lang w:eastAsia="zh-CN"/>
                <w14:textFill>
                  <w14:solidFill>
                    <w14:schemeClr w14:val="tx1"/>
                  </w14:solidFill>
                </w14:textFill>
              </w:rPr>
              <w:t>回用水设施</w:t>
            </w:r>
            <w:r>
              <w:rPr>
                <w:rFonts w:eastAsiaTheme="minorEastAsia"/>
                <w:color w:val="000000" w:themeColor="text1"/>
                <w:spacing w:val="-4"/>
                <w:sz w:val="21"/>
                <w:szCs w:val="21"/>
                <w14:textFill>
                  <w14:solidFill>
                    <w14:schemeClr w14:val="tx1"/>
                  </w14:solidFill>
                </w14:textFill>
              </w:rPr>
              <w:t>处理；</w:t>
            </w:r>
          </w:p>
          <w:p w14:paraId="3CAC2AA1">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190BC154">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0EDD19B3">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3B8CC4AE">
            <w:pPr>
              <w:keepNext/>
              <w:keepLines/>
            </w:pPr>
            <w:bookmarkStart w:id="342" w:name="_Toc16736"/>
            <w:r>
              <w:rPr>
                <w:rFonts w:eastAsiaTheme="minorEastAsia"/>
                <w:color w:val="000000" w:themeColor="text1"/>
                <w:spacing w:val="-4"/>
                <w:sz w:val="21"/>
                <w:szCs w:val="21"/>
                <w14:textFill>
                  <w14:solidFill>
                    <w14:schemeClr w14:val="tx1"/>
                  </w14:solidFill>
                </w14:textFill>
              </w:rPr>
              <w:t>厂区内雨污分流，</w:t>
            </w:r>
            <w:r>
              <w:rPr>
                <w:rFonts w:hint="eastAsia" w:eastAsiaTheme="minorEastAsia"/>
                <w:color w:val="000000" w:themeColor="text1"/>
                <w:spacing w:val="-4"/>
                <w:sz w:val="21"/>
                <w:szCs w:val="21"/>
                <w14:textFill>
                  <w14:solidFill>
                    <w14:schemeClr w14:val="tx1"/>
                  </w14:solidFill>
                </w14:textFill>
              </w:rPr>
              <w:t>但无雨水收集池</w:t>
            </w:r>
            <w:bookmarkEnd w:id="342"/>
          </w:p>
        </w:tc>
        <w:tc>
          <w:tcPr>
            <w:tcW w:w="612" w:type="dxa"/>
            <w:vMerge w:val="restart"/>
            <w:vAlign w:val="center"/>
          </w:tcPr>
          <w:p w14:paraId="53CC1778">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r w14:paraId="2E702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4" w:hRule="atLeast"/>
        </w:trPr>
        <w:tc>
          <w:tcPr>
            <w:tcW w:w="1101" w:type="dxa"/>
            <w:vMerge w:val="continue"/>
            <w:vAlign w:val="center"/>
          </w:tcPr>
          <w:p w14:paraId="16A0946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0E6042F2">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不符合上述要求的。</w:t>
            </w:r>
          </w:p>
        </w:tc>
        <w:tc>
          <w:tcPr>
            <w:tcW w:w="540" w:type="dxa"/>
            <w:vAlign w:val="center"/>
          </w:tcPr>
          <w:p w14:paraId="27B4417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4FE2DD41">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77CF8100">
            <w:pPr>
              <w:adjustRightInd w:val="0"/>
              <w:snapToGrid w:val="0"/>
              <w:jc w:val="center"/>
              <w:rPr>
                <w:rFonts w:eastAsiaTheme="minorEastAsia"/>
                <w:color w:val="000000" w:themeColor="text1"/>
                <w:sz w:val="21"/>
                <w:szCs w:val="21"/>
                <w14:textFill>
                  <w14:solidFill>
                    <w14:schemeClr w14:val="tx1"/>
                  </w14:solidFill>
                </w14:textFill>
              </w:rPr>
            </w:pPr>
          </w:p>
        </w:tc>
      </w:tr>
      <w:tr w14:paraId="3CB56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0E599B80">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生产废</w:t>
            </w:r>
            <w:r>
              <w:rPr>
                <w:rFonts w:hint="eastAsia" w:eastAsiaTheme="minorEastAsia"/>
                <w:color w:val="000000" w:themeColor="text1"/>
                <w:sz w:val="21"/>
                <w:szCs w:val="21"/>
                <w14:textFill>
                  <w14:solidFill>
                    <w14:schemeClr w14:val="tx1"/>
                  </w14:solidFill>
                </w14:textFill>
              </w:rPr>
              <w:t>水</w:t>
            </w:r>
            <w:r>
              <w:rPr>
                <w:rFonts w:eastAsiaTheme="minorEastAsia"/>
                <w:color w:val="000000" w:themeColor="text1"/>
                <w:sz w:val="21"/>
                <w:szCs w:val="21"/>
                <w14:textFill>
                  <w14:solidFill>
                    <w14:schemeClr w14:val="tx1"/>
                  </w14:solidFill>
                </w14:textFill>
              </w:rPr>
              <w:t>公司系统风险防控措施</w:t>
            </w:r>
          </w:p>
        </w:tc>
        <w:tc>
          <w:tcPr>
            <w:tcW w:w="7376" w:type="dxa"/>
            <w:vAlign w:val="center"/>
          </w:tcPr>
          <w:p w14:paraId="02D71974">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（1）无生产废水产生或外排；或</w:t>
            </w:r>
          </w:p>
          <w:p w14:paraId="50AB2303">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（2）有废水外排时：</w:t>
            </w:r>
          </w:p>
          <w:p w14:paraId="3BEC592F">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①</w:t>
            </w:r>
            <w:r>
              <w:rPr>
                <w:rFonts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1B04C0E8">
            <w:pPr>
              <w:autoSpaceDE w:val="0"/>
              <w:autoSpaceDN w:val="0"/>
              <w:adjustRightInd w:val="0"/>
              <w:snapToGrid w:val="0"/>
              <w:ind w:right="38" w:rightChars="16"/>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②</w:t>
            </w:r>
            <w:r>
              <w:rPr>
                <w:rFonts w:eastAsiaTheme="minorEastAsia"/>
                <w:color w:val="000000" w:themeColor="text1"/>
                <w:sz w:val="21"/>
                <w:szCs w:val="21"/>
                <w14:textFill>
                  <w14:solidFill>
                    <w14:schemeClr w14:val="tx1"/>
                  </w14:solidFill>
                </w14:textFill>
              </w:rPr>
              <w:t>生产废水排放前设监控池，能够将不合格废水送废公司设施处理；</w:t>
            </w:r>
          </w:p>
          <w:p w14:paraId="48B8D511">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3B457DF6">
            <w:pPr>
              <w:autoSpaceDE w:val="0"/>
              <w:autoSpaceDN w:val="0"/>
              <w:adjustRightInd w:val="0"/>
              <w:snapToGrid w:val="0"/>
              <w:ind w:right="38" w:rightChars="16"/>
              <w:rPr>
                <w:rFonts w:eastAsiaTheme="minor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w:t>
            </w:r>
            <w:r>
              <w:rPr>
                <w:rFonts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7AF93048">
            <w:pPr>
              <w:autoSpaceDE w:val="0"/>
              <w:autoSpaceDN w:val="0"/>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792617CE">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1FA01A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40EE3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4AD85AD2">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28DE6A">
            <w:pPr>
              <w:adjustRightInd w:val="0"/>
              <w:snapToGrid w:val="0"/>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64A6C5F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continue"/>
            <w:vAlign w:val="center"/>
          </w:tcPr>
          <w:p w14:paraId="535C03C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4521E994">
            <w:pPr>
              <w:adjustRightInd w:val="0"/>
              <w:snapToGrid w:val="0"/>
              <w:jc w:val="center"/>
              <w:rPr>
                <w:rFonts w:eastAsiaTheme="minorEastAsia"/>
                <w:color w:val="000000" w:themeColor="text1"/>
                <w:sz w:val="21"/>
                <w:szCs w:val="21"/>
                <w14:textFill>
                  <w14:solidFill>
                    <w14:schemeClr w14:val="tx1"/>
                  </w14:solidFill>
                </w14:textFill>
              </w:rPr>
            </w:pPr>
          </w:p>
        </w:tc>
      </w:tr>
      <w:tr w14:paraId="123C4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34C0C59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废水排放去向</w:t>
            </w:r>
          </w:p>
        </w:tc>
        <w:tc>
          <w:tcPr>
            <w:tcW w:w="7376" w:type="dxa"/>
            <w:vAlign w:val="center"/>
          </w:tcPr>
          <w:p w14:paraId="10A996A3">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无生产废水产生或外排</w:t>
            </w:r>
          </w:p>
        </w:tc>
        <w:tc>
          <w:tcPr>
            <w:tcW w:w="540" w:type="dxa"/>
            <w:vAlign w:val="center"/>
          </w:tcPr>
          <w:p w14:paraId="1BD6DD9A">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00AC0EB7">
            <w:pPr>
              <w:autoSpaceDE w:val="0"/>
              <w:autoSpaceDN w:val="0"/>
              <w:adjustRightInd w:val="0"/>
              <w:snapToGrid w:val="0"/>
              <w:jc w:val="left"/>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企业无生产废水外排</w:t>
            </w:r>
            <w:r>
              <w:rPr>
                <w:rFonts w:eastAsiaTheme="minorEastAsia"/>
                <w:color w:val="000000" w:themeColor="text1"/>
                <w:sz w:val="21"/>
                <w:szCs w:val="21"/>
                <w14:textFill>
                  <w14:solidFill>
                    <w14:schemeClr w14:val="tx1"/>
                  </w14:solidFill>
                </w14:textFill>
              </w:rPr>
              <w:t>。</w:t>
            </w:r>
          </w:p>
        </w:tc>
        <w:tc>
          <w:tcPr>
            <w:tcW w:w="612" w:type="dxa"/>
            <w:vMerge w:val="restart"/>
            <w:vAlign w:val="center"/>
          </w:tcPr>
          <w:p w14:paraId="1A247EE7">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w:t>
            </w:r>
          </w:p>
        </w:tc>
      </w:tr>
      <w:tr w14:paraId="7C07A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7D7548">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42E478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（1）依法获取污水排入排水管网许可，进入城镇污公司厂；或</w:t>
            </w:r>
          </w:p>
          <w:p w14:paraId="0021571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（2）进去工业废水集中处理厂，或</w:t>
            </w:r>
          </w:p>
          <w:p w14:paraId="53B8DD6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（3）进入其他单位</w:t>
            </w:r>
          </w:p>
        </w:tc>
        <w:tc>
          <w:tcPr>
            <w:tcW w:w="540" w:type="dxa"/>
            <w:vAlign w:val="center"/>
          </w:tcPr>
          <w:p w14:paraId="5958796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281F7F6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4D519D4">
            <w:pPr>
              <w:adjustRightInd w:val="0"/>
              <w:snapToGrid w:val="0"/>
              <w:jc w:val="center"/>
              <w:rPr>
                <w:rFonts w:eastAsiaTheme="minorEastAsia"/>
                <w:color w:val="000000" w:themeColor="text1"/>
                <w:sz w:val="21"/>
                <w:szCs w:val="21"/>
                <w14:textFill>
                  <w14:solidFill>
                    <w14:schemeClr w14:val="tx1"/>
                  </w14:solidFill>
                </w14:textFill>
              </w:rPr>
            </w:pPr>
          </w:p>
        </w:tc>
      </w:tr>
      <w:tr w14:paraId="2A4F8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293ADBB9">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74996EBB">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（1）直接进入海域或进入江、河、湖、库等水环境；或</w:t>
            </w:r>
          </w:p>
          <w:p w14:paraId="5519D948">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（2）进入城市下水道再进入江、河、湖、库或再进入海域；或</w:t>
            </w:r>
          </w:p>
          <w:p w14:paraId="71D5EFC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（3）未依法取得污水排入排水管网许可，进入城镇污公司厂；或</w:t>
            </w:r>
          </w:p>
          <w:p w14:paraId="79FB553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BCF00B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12</w:t>
            </w:r>
          </w:p>
        </w:tc>
        <w:tc>
          <w:tcPr>
            <w:tcW w:w="4188" w:type="dxa"/>
            <w:vMerge w:val="continue"/>
            <w:vAlign w:val="center"/>
          </w:tcPr>
          <w:p w14:paraId="4C4EF4A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5032031">
            <w:pPr>
              <w:adjustRightInd w:val="0"/>
              <w:snapToGrid w:val="0"/>
              <w:jc w:val="center"/>
              <w:rPr>
                <w:rFonts w:eastAsiaTheme="minorEastAsia"/>
                <w:color w:val="000000" w:themeColor="text1"/>
                <w:sz w:val="21"/>
                <w:szCs w:val="21"/>
                <w14:textFill>
                  <w14:solidFill>
                    <w14:schemeClr w14:val="tx1"/>
                  </w14:solidFill>
                </w14:textFill>
              </w:rPr>
            </w:pPr>
          </w:p>
        </w:tc>
      </w:tr>
      <w:tr w14:paraId="761D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17DB332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厂区危险废物环境管理</w:t>
            </w:r>
          </w:p>
        </w:tc>
        <w:tc>
          <w:tcPr>
            <w:tcW w:w="7376" w:type="dxa"/>
            <w:vAlign w:val="center"/>
          </w:tcPr>
          <w:p w14:paraId="066302E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（1）不涉及危险废物的；或</w:t>
            </w:r>
          </w:p>
          <w:p w14:paraId="6E14C611">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A58B62D">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restart"/>
            <w:vAlign w:val="center"/>
          </w:tcPr>
          <w:p w14:paraId="521CBB44">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根据现场调查，企业危险废物具体防控措施如下：</w:t>
            </w:r>
            <w:bookmarkStart w:id="362" w:name="_GoBack"/>
            <w:bookmarkEnd w:id="362"/>
          </w:p>
          <w:p w14:paraId="3DCDCC36">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（1）危险废物采用封闭厂房堆放，做到防风、防雨、防晒的要求。</w:t>
            </w:r>
          </w:p>
          <w:p w14:paraId="0580F469">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（2）各类危险废物按照性质进行分类堆放，并预留了搬运通道。</w:t>
            </w:r>
          </w:p>
          <w:p w14:paraId="1B0ED705">
            <w:pPr>
              <w:widowControl/>
              <w:adjustRightInd w:val="0"/>
              <w:snapToGrid w:val="0"/>
              <w:jc w:val="left"/>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36092A8F">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5A320A1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D732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8A9F47C">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684EE10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5143D60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4188" w:type="dxa"/>
            <w:vMerge w:val="continue"/>
            <w:vAlign w:val="center"/>
          </w:tcPr>
          <w:p w14:paraId="7241EA0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5DD6ADFD">
            <w:pPr>
              <w:adjustRightInd w:val="0"/>
              <w:snapToGrid w:val="0"/>
              <w:jc w:val="center"/>
              <w:rPr>
                <w:rFonts w:eastAsiaTheme="minorEastAsia"/>
                <w:color w:val="000000" w:themeColor="text1"/>
                <w:sz w:val="21"/>
                <w:szCs w:val="21"/>
                <w14:textFill>
                  <w14:solidFill>
                    <w14:schemeClr w14:val="tx1"/>
                  </w14:solidFill>
                </w14:textFill>
              </w:rPr>
            </w:pPr>
          </w:p>
        </w:tc>
      </w:tr>
      <w:tr w14:paraId="2C8DB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5FF65DB8">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568BDE97">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FB1B54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4188" w:type="dxa"/>
            <w:vMerge w:val="restart"/>
            <w:vAlign w:val="center"/>
          </w:tcPr>
          <w:p w14:paraId="48767985">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5E57C0B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28D52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8C0ABB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394E7A9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356B8BF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4188" w:type="dxa"/>
            <w:vMerge w:val="continue"/>
            <w:vAlign w:val="center"/>
          </w:tcPr>
          <w:p w14:paraId="44BD71BA">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FAB3AC5">
            <w:pPr>
              <w:adjustRightInd w:val="0"/>
              <w:snapToGrid w:val="0"/>
              <w:jc w:val="center"/>
              <w:rPr>
                <w:rFonts w:eastAsiaTheme="minorEastAsia"/>
                <w:color w:val="000000" w:themeColor="text1"/>
                <w:sz w:val="21"/>
                <w:szCs w:val="21"/>
                <w14:textFill>
                  <w14:solidFill>
                    <w14:schemeClr w14:val="tx1"/>
                  </w14:solidFill>
                </w14:textFill>
              </w:rPr>
            </w:pPr>
          </w:p>
        </w:tc>
      </w:tr>
      <w:tr w14:paraId="5891C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0" w:hRule="atLeast"/>
        </w:trPr>
        <w:tc>
          <w:tcPr>
            <w:tcW w:w="1101" w:type="dxa"/>
            <w:vMerge w:val="continue"/>
            <w:vAlign w:val="center"/>
          </w:tcPr>
          <w:p w14:paraId="1FA3357E">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AF85E7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7B2354C1">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4188" w:type="dxa"/>
            <w:vMerge w:val="continue"/>
            <w:vAlign w:val="center"/>
          </w:tcPr>
          <w:p w14:paraId="77B5B475">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69E82DAE">
            <w:pPr>
              <w:adjustRightInd w:val="0"/>
              <w:snapToGrid w:val="0"/>
              <w:jc w:val="center"/>
              <w:rPr>
                <w:rFonts w:eastAsiaTheme="minorEastAsia"/>
                <w:color w:val="000000" w:themeColor="text1"/>
                <w:sz w:val="21"/>
                <w:szCs w:val="21"/>
                <w14:textFill>
                  <w14:solidFill>
                    <w14:schemeClr w14:val="tx1"/>
                  </w14:solidFill>
                </w14:textFill>
              </w:rPr>
            </w:pPr>
          </w:p>
        </w:tc>
      </w:tr>
      <w:tr w14:paraId="2DE7B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190DCB47">
            <w:pPr>
              <w:adjustRightInd w:val="0"/>
              <w:snapToGrid w:val="0"/>
              <w:jc w:val="center"/>
              <w:rPr>
                <w:rFonts w:eastAsiaTheme="minorEastAsia"/>
                <w:color w:val="000000" w:themeColor="text1"/>
                <w:sz w:val="21"/>
                <w:szCs w:val="21"/>
                <w14:textFill>
                  <w14:solidFill>
                    <w14:schemeClr w14:val="tx1"/>
                  </w14:solidFill>
                </w14:textFill>
              </w:rPr>
            </w:pPr>
          </w:p>
        </w:tc>
        <w:tc>
          <w:tcPr>
            <w:tcW w:w="7376" w:type="dxa"/>
            <w:vAlign w:val="center"/>
          </w:tcPr>
          <w:p w14:paraId="42C671A3">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60F1172E">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4188" w:type="dxa"/>
            <w:vMerge w:val="continue"/>
            <w:vAlign w:val="center"/>
          </w:tcPr>
          <w:p w14:paraId="2204AF7C">
            <w:pPr>
              <w:adjustRightInd w:val="0"/>
              <w:snapToGrid w:val="0"/>
              <w:jc w:val="center"/>
              <w:rPr>
                <w:rFonts w:eastAsiaTheme="minorEastAsia"/>
                <w:color w:val="000000" w:themeColor="text1"/>
                <w:sz w:val="21"/>
                <w:szCs w:val="21"/>
                <w14:textFill>
                  <w14:solidFill>
                    <w14:schemeClr w14:val="tx1"/>
                  </w14:solidFill>
                </w14:textFill>
              </w:rPr>
            </w:pPr>
          </w:p>
        </w:tc>
        <w:tc>
          <w:tcPr>
            <w:tcW w:w="612" w:type="dxa"/>
            <w:vMerge w:val="continue"/>
            <w:vAlign w:val="center"/>
          </w:tcPr>
          <w:p w14:paraId="0D0F2BB7">
            <w:pPr>
              <w:adjustRightInd w:val="0"/>
              <w:snapToGrid w:val="0"/>
              <w:jc w:val="center"/>
              <w:rPr>
                <w:rFonts w:eastAsiaTheme="minorEastAsia"/>
                <w:color w:val="000000" w:themeColor="text1"/>
                <w:sz w:val="21"/>
                <w:szCs w:val="21"/>
                <w14:textFill>
                  <w14:solidFill>
                    <w14:schemeClr w14:val="tx1"/>
                  </w14:solidFill>
                </w14:textFill>
              </w:rPr>
            </w:pPr>
          </w:p>
        </w:tc>
      </w:tr>
      <w:tr w14:paraId="03A6E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0" w:hRule="atLeast"/>
        </w:trPr>
        <w:tc>
          <w:tcPr>
            <w:tcW w:w="9017" w:type="dxa"/>
            <w:gridSpan w:val="3"/>
            <w:vAlign w:val="center"/>
          </w:tcPr>
          <w:p w14:paraId="4B73FA39">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188" w:type="dxa"/>
            <w:vAlign w:val="center"/>
          </w:tcPr>
          <w:p w14:paraId="4B03147B">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612" w:type="dxa"/>
            <w:vAlign w:val="center"/>
          </w:tcPr>
          <w:p w14:paraId="31F49AFB">
            <w:pPr>
              <w:adjustRightInd w:val="0"/>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8</w:t>
            </w:r>
          </w:p>
        </w:tc>
      </w:tr>
    </w:tbl>
    <w:p w14:paraId="543E2BE0">
      <w:pPr>
        <w:pStyle w:val="13"/>
        <w:spacing w:before="8"/>
        <w:rPr>
          <w:sz w:val="12"/>
        </w:rPr>
      </w:pPr>
    </w:p>
    <w:p w14:paraId="660C8C41">
      <w:pPr>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6FE893A7">
      <w:pPr>
        <w:pStyle w:val="13"/>
        <w:spacing w:line="20" w:lineRule="exact"/>
        <w:ind w:left="129"/>
        <w:rPr>
          <w:sz w:val="2"/>
        </w:rPr>
      </w:pPr>
    </w:p>
    <w:p w14:paraId="309E5C3F">
      <w:pPr>
        <w:pStyle w:val="13"/>
        <w:numPr>
          <w:ilvl w:val="255"/>
          <w:numId w:val="0"/>
        </w:numPr>
        <w:spacing w:after="0" w:line="500" w:lineRule="exact"/>
        <w:ind w:left="480" w:leftChars="200"/>
        <w:jc w:val="left"/>
        <w:rPr>
          <w:rFonts w:eastAsia="宋体"/>
          <w:spacing w:val="-10"/>
        </w:rPr>
      </w:pPr>
      <w:r>
        <w:rPr>
          <w:rFonts w:hint="eastAsia" w:eastAsia="宋体"/>
          <w:spacing w:val="-10"/>
        </w:rPr>
        <w:t>（4）企业生产工艺过程与大气环境风险控制水平</w:t>
      </w:r>
    </w:p>
    <w:p w14:paraId="6AF66CE2">
      <w:pPr>
        <w:pStyle w:val="13"/>
        <w:spacing w:after="0" w:line="500" w:lineRule="exact"/>
        <w:ind w:firstLine="440" w:firstLineChars="200"/>
        <w:jc w:val="left"/>
        <w:rPr>
          <w:rFonts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将企业生产工艺过程、水环境风险防控措施及突发水环境事件发生情况各项指标评估分值累加，得出生产工艺过程与大气环境风险控制水平值，按照表7-8划分为4个类型。</w:t>
      </w:r>
    </w:p>
    <w:p w14:paraId="09D4D667">
      <w:pPr>
        <w:adjustRightInd w:val="0"/>
        <w:snapToGrid w:val="0"/>
        <w:spacing w:line="500" w:lineRule="exact"/>
        <w:jc w:val="center"/>
        <w:rPr>
          <w:rFonts w:eastAsia="宋体"/>
          <w:snapToGrid w:val="0"/>
          <w:kern w:val="0"/>
        </w:rPr>
      </w:pPr>
      <w:r>
        <w:rPr>
          <w:rFonts w:eastAsia="宋体"/>
          <w:b/>
          <w:bCs/>
          <w:snapToGrid w:val="0"/>
          <w:kern w:val="0"/>
        </w:rPr>
        <w:t>表</w:t>
      </w:r>
      <w:r>
        <w:rPr>
          <w:rFonts w:hint="eastAsia" w:eastAsia="宋体"/>
          <w:b/>
          <w:bCs/>
          <w:snapToGrid w:val="0"/>
          <w:kern w:val="0"/>
        </w:rPr>
        <w:t>7-8</w:t>
      </w:r>
      <w:r>
        <w:rPr>
          <w:rFonts w:eastAsia="宋体"/>
          <w:b/>
          <w:bCs/>
          <w:snapToGrid w:val="0"/>
          <w:kern w:val="0"/>
        </w:rPr>
        <w:t>企业生产工艺过程与环境风险控制水平对照表</w:t>
      </w:r>
    </w:p>
    <w:tbl>
      <w:tblPr>
        <w:tblStyle w:val="38"/>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58A5A3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740B7CB9">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生产工艺过程与环境风险控制水平值(M)</w:t>
            </w:r>
          </w:p>
        </w:tc>
        <w:tc>
          <w:tcPr>
            <w:tcW w:w="2459" w:type="pct"/>
            <w:tcBorders>
              <w:tl2br w:val="nil"/>
              <w:tr2bl w:val="nil"/>
            </w:tcBorders>
            <w:vAlign w:val="center"/>
          </w:tcPr>
          <w:p w14:paraId="27801971">
            <w:pPr>
              <w:adjustRightInd w:val="0"/>
              <w:snapToGrid w:val="0"/>
              <w:jc w:val="center"/>
              <w:rPr>
                <w:rFonts w:eastAsia="宋体"/>
                <w:bCs/>
                <w:snapToGrid w:val="0"/>
                <w:kern w:val="0"/>
                <w:sz w:val="21"/>
                <w:szCs w:val="21"/>
              </w:rPr>
            </w:pPr>
            <w:r>
              <w:rPr>
                <w:rFonts w:eastAsia="宋体"/>
                <w:bCs/>
                <w:snapToGrid w:val="0"/>
                <w:kern w:val="0"/>
                <w:sz w:val="21"/>
                <w:szCs w:val="21"/>
              </w:rPr>
              <w:t>生产工艺过程与环境风险及其控制水平</w:t>
            </w:r>
          </w:p>
        </w:tc>
      </w:tr>
      <w:tr w14:paraId="4B102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7840990A">
            <w:pPr>
              <w:adjustRightInd w:val="0"/>
              <w:snapToGrid w:val="0"/>
              <w:jc w:val="center"/>
              <w:rPr>
                <w:rFonts w:eastAsia="宋体"/>
                <w:snapToGrid w:val="0"/>
                <w:kern w:val="0"/>
                <w:sz w:val="21"/>
                <w:szCs w:val="21"/>
              </w:rPr>
            </w:pPr>
            <w:r>
              <w:rPr>
                <w:rFonts w:eastAsia="宋体"/>
                <w:snapToGrid w:val="0"/>
                <w:kern w:val="0"/>
                <w:sz w:val="21"/>
                <w:szCs w:val="21"/>
              </w:rPr>
              <w:t>M＜25</w:t>
            </w:r>
          </w:p>
        </w:tc>
        <w:tc>
          <w:tcPr>
            <w:tcW w:w="2459" w:type="pct"/>
            <w:tcBorders>
              <w:tl2br w:val="nil"/>
              <w:tr2bl w:val="nil"/>
            </w:tcBorders>
            <w:shd w:val="clear" w:color="auto" w:fill="FFFFFF" w:themeFill="background1"/>
            <w:vAlign w:val="center"/>
          </w:tcPr>
          <w:p w14:paraId="43D2EB89">
            <w:pPr>
              <w:adjustRightInd w:val="0"/>
              <w:snapToGrid w:val="0"/>
              <w:jc w:val="center"/>
              <w:rPr>
                <w:rFonts w:eastAsia="宋体"/>
                <w:snapToGrid w:val="0"/>
                <w:kern w:val="0"/>
                <w:sz w:val="21"/>
                <w:szCs w:val="21"/>
              </w:rPr>
            </w:pPr>
            <w:r>
              <w:rPr>
                <w:rFonts w:eastAsia="宋体"/>
                <w:snapToGrid w:val="0"/>
                <w:kern w:val="0"/>
                <w:sz w:val="21"/>
                <w:szCs w:val="21"/>
              </w:rPr>
              <w:t>M1</w:t>
            </w:r>
          </w:p>
        </w:tc>
      </w:tr>
      <w:tr w14:paraId="3EBC54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0676BA7F">
            <w:pPr>
              <w:adjustRightInd w:val="0"/>
              <w:snapToGrid w:val="0"/>
              <w:jc w:val="center"/>
              <w:rPr>
                <w:rFonts w:eastAsia="宋体"/>
                <w:snapToGrid w:val="0"/>
                <w:kern w:val="0"/>
                <w:sz w:val="21"/>
                <w:szCs w:val="21"/>
              </w:rPr>
            </w:pPr>
            <w:r>
              <w:rPr>
                <w:rFonts w:eastAsia="宋体"/>
                <w:snapToGrid w:val="0"/>
                <w:kern w:val="0"/>
                <w:sz w:val="21"/>
                <w:szCs w:val="21"/>
              </w:rPr>
              <w:t>25≤M＜45</w:t>
            </w:r>
          </w:p>
        </w:tc>
        <w:tc>
          <w:tcPr>
            <w:tcW w:w="2459" w:type="pct"/>
            <w:tcBorders>
              <w:tl2br w:val="nil"/>
              <w:tr2bl w:val="nil"/>
            </w:tcBorders>
            <w:shd w:val="clear" w:color="auto" w:fill="auto"/>
            <w:vAlign w:val="center"/>
          </w:tcPr>
          <w:p w14:paraId="097B6D59">
            <w:pPr>
              <w:adjustRightInd w:val="0"/>
              <w:snapToGrid w:val="0"/>
              <w:jc w:val="center"/>
              <w:rPr>
                <w:rFonts w:eastAsia="宋体"/>
                <w:snapToGrid w:val="0"/>
                <w:kern w:val="0"/>
                <w:sz w:val="21"/>
                <w:szCs w:val="21"/>
              </w:rPr>
            </w:pPr>
            <w:r>
              <w:rPr>
                <w:rFonts w:eastAsia="宋体"/>
                <w:snapToGrid w:val="0"/>
                <w:kern w:val="0"/>
                <w:sz w:val="21"/>
                <w:szCs w:val="21"/>
              </w:rPr>
              <w:t>M2</w:t>
            </w:r>
          </w:p>
        </w:tc>
      </w:tr>
      <w:tr w14:paraId="6A9AD2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62F46C5">
            <w:pPr>
              <w:adjustRightInd w:val="0"/>
              <w:snapToGrid w:val="0"/>
              <w:jc w:val="center"/>
              <w:rPr>
                <w:rFonts w:eastAsia="宋体"/>
                <w:snapToGrid w:val="0"/>
                <w:kern w:val="0"/>
                <w:sz w:val="21"/>
                <w:szCs w:val="21"/>
              </w:rPr>
            </w:pPr>
            <w:r>
              <w:rPr>
                <w:rFonts w:eastAsia="宋体"/>
                <w:snapToGrid w:val="0"/>
                <w:kern w:val="0"/>
                <w:sz w:val="21"/>
                <w:szCs w:val="21"/>
              </w:rPr>
              <w:t>45≤M＜60</w:t>
            </w:r>
          </w:p>
        </w:tc>
        <w:tc>
          <w:tcPr>
            <w:tcW w:w="2459" w:type="pct"/>
            <w:tcBorders>
              <w:tl2br w:val="nil"/>
              <w:tr2bl w:val="nil"/>
            </w:tcBorders>
            <w:vAlign w:val="center"/>
          </w:tcPr>
          <w:p w14:paraId="5EDF36FE">
            <w:pPr>
              <w:adjustRightInd w:val="0"/>
              <w:snapToGrid w:val="0"/>
              <w:jc w:val="center"/>
              <w:rPr>
                <w:rFonts w:eastAsia="宋体"/>
                <w:snapToGrid w:val="0"/>
                <w:kern w:val="0"/>
                <w:sz w:val="21"/>
                <w:szCs w:val="21"/>
              </w:rPr>
            </w:pPr>
            <w:r>
              <w:rPr>
                <w:rFonts w:eastAsia="宋体"/>
                <w:snapToGrid w:val="0"/>
                <w:kern w:val="0"/>
                <w:sz w:val="21"/>
                <w:szCs w:val="21"/>
              </w:rPr>
              <w:t>M3</w:t>
            </w:r>
          </w:p>
        </w:tc>
      </w:tr>
      <w:tr w14:paraId="12E66B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67054B3">
            <w:pPr>
              <w:adjustRightInd w:val="0"/>
              <w:snapToGrid w:val="0"/>
              <w:jc w:val="center"/>
              <w:rPr>
                <w:rFonts w:eastAsia="宋体"/>
                <w:snapToGrid w:val="0"/>
                <w:kern w:val="0"/>
                <w:sz w:val="21"/>
                <w:szCs w:val="21"/>
              </w:rPr>
            </w:pPr>
            <w:r>
              <w:rPr>
                <w:rFonts w:eastAsia="宋体"/>
                <w:snapToGrid w:val="0"/>
                <w:kern w:val="0"/>
                <w:sz w:val="21"/>
                <w:szCs w:val="21"/>
              </w:rPr>
              <w:t>M≥60</w:t>
            </w:r>
          </w:p>
        </w:tc>
        <w:tc>
          <w:tcPr>
            <w:tcW w:w="2459" w:type="pct"/>
            <w:tcBorders>
              <w:tl2br w:val="nil"/>
              <w:tr2bl w:val="nil"/>
            </w:tcBorders>
            <w:vAlign w:val="center"/>
          </w:tcPr>
          <w:p w14:paraId="64F49C99">
            <w:pPr>
              <w:adjustRightInd w:val="0"/>
              <w:snapToGrid w:val="0"/>
              <w:jc w:val="center"/>
              <w:rPr>
                <w:rFonts w:eastAsia="宋体"/>
                <w:snapToGrid w:val="0"/>
                <w:kern w:val="0"/>
                <w:sz w:val="21"/>
                <w:szCs w:val="21"/>
              </w:rPr>
            </w:pPr>
            <w:r>
              <w:rPr>
                <w:rFonts w:eastAsia="宋体"/>
                <w:snapToGrid w:val="0"/>
                <w:kern w:val="0"/>
                <w:sz w:val="21"/>
                <w:szCs w:val="21"/>
              </w:rPr>
              <w:t>M4</w:t>
            </w:r>
          </w:p>
        </w:tc>
      </w:tr>
    </w:tbl>
    <w:p w14:paraId="0E01568B">
      <w:pPr>
        <w:pStyle w:val="13"/>
        <w:spacing w:after="0" w:line="500" w:lineRule="exact"/>
        <w:ind w:firstLine="440" w:firstLineChars="200"/>
        <w:jc w:val="left"/>
        <w:rPr>
          <w:rFonts w:eastAsia="宋体"/>
          <w:spacing w:val="-10"/>
        </w:rPr>
      </w:pPr>
      <w:r>
        <w:rPr>
          <w:rFonts w:hint="eastAsia" w:eastAsia="宋体"/>
          <w:spacing w:val="-10"/>
        </w:rPr>
        <w:t>由上文可知，公司环境风险及其控制水平（M）现状得分13分，企业环境风险及其控制水平为M1类水平。</w:t>
      </w:r>
    </w:p>
    <w:p w14:paraId="69423B4A">
      <w:pPr>
        <w:pStyle w:val="5"/>
        <w:adjustRightInd w:val="0"/>
        <w:snapToGrid w:val="0"/>
        <w:spacing w:line="500" w:lineRule="exact"/>
        <w:jc w:val="left"/>
        <w:rPr>
          <w:rFonts w:eastAsia="宋体"/>
          <w:color w:val="000000" w:themeColor="text1"/>
          <w14:textFill>
            <w14:solidFill>
              <w14:schemeClr w14:val="tx1"/>
            </w14:solidFill>
          </w14:textFill>
        </w:rPr>
      </w:pPr>
      <w:bookmarkStart w:id="343" w:name="7.2.3水环境风险受体敏感程度（E）评估"/>
      <w:bookmarkEnd w:id="343"/>
      <w:bookmarkStart w:id="344" w:name="_Toc9044"/>
      <w:bookmarkStart w:id="345" w:name="_Toc17676"/>
      <w:bookmarkStart w:id="346" w:name="_Toc4249"/>
      <w:bookmarkStart w:id="347" w:name="_TOC_250013"/>
      <w:r>
        <w:rPr>
          <w:rFonts w:hint="eastAsia" w:eastAsia="宋体"/>
          <w:color w:val="000000" w:themeColor="text1"/>
          <w14:textFill>
            <w14:solidFill>
              <w14:schemeClr w14:val="tx1"/>
            </w14:solidFill>
          </w14:textFill>
        </w:rPr>
        <w:t>7.2.3水环境风险受体敏感程度（E）评估</w:t>
      </w:r>
      <w:bookmarkEnd w:id="344"/>
      <w:bookmarkEnd w:id="345"/>
      <w:bookmarkEnd w:id="346"/>
    </w:p>
    <w:bookmarkEnd w:id="347"/>
    <w:p w14:paraId="5C22C4C4">
      <w:pPr>
        <w:pStyle w:val="13"/>
        <w:spacing w:after="0" w:line="500" w:lineRule="exact"/>
        <w:ind w:firstLine="440" w:firstLineChars="200"/>
        <w:jc w:val="left"/>
        <w:rPr>
          <w:rFonts w:eastAsia="宋体"/>
          <w:spacing w:val="-10"/>
        </w:rPr>
      </w:pPr>
      <w:r>
        <w:rPr>
          <w:rFonts w:hint="eastAsia" w:eastAsia="宋体"/>
          <w:spacing w:val="-10"/>
        </w:rPr>
        <w:t>按照水环境风险受体敏感程度，同时考虑河流跨界的情况和可能造成土壤污染的情况，将水环境风险受体敏感程度类型划分为类型1、类型2和类型3，分别以E1、E2和E3表示，见表7-9。</w:t>
      </w:r>
    </w:p>
    <w:p w14:paraId="7D52FAF2">
      <w:pPr>
        <w:pStyle w:val="13"/>
        <w:spacing w:after="0" w:line="500" w:lineRule="exact"/>
        <w:ind w:firstLine="440" w:firstLineChars="200"/>
        <w:jc w:val="left"/>
        <w:rPr>
          <w:rFonts w:eastAsia="宋体"/>
          <w:spacing w:val="-10"/>
        </w:rPr>
      </w:pPr>
      <w:r>
        <w:rPr>
          <w:rFonts w:hint="eastAsia" w:eastAsia="宋体"/>
          <w:spacing w:val="-10"/>
        </w:rPr>
        <w:t>水环境风险受体敏感程度按类型1、类型2和类型3顺序依次降低。若企业周边存在多种敏感程度类型的水环境风险受体，则按敏感程度高者确定企业水环境风险受体敏感程度类型。</w:t>
      </w:r>
    </w:p>
    <w:p w14:paraId="645DD2F8">
      <w:pPr>
        <w:snapToGrid w:val="0"/>
        <w:spacing w:line="500" w:lineRule="exact"/>
        <w:jc w:val="center"/>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表</w:t>
      </w:r>
      <w:r>
        <w:rPr>
          <w:rFonts w:hint="eastAsia" w:eastAsiaTheme="minorEastAsia"/>
          <w:b/>
          <w:color w:val="000000" w:themeColor="text1"/>
          <w14:textFill>
            <w14:solidFill>
              <w14:schemeClr w14:val="tx1"/>
            </w14:solidFill>
          </w14:textFill>
        </w:rPr>
        <w:t>7-9</w:t>
      </w:r>
      <w:r>
        <w:rPr>
          <w:rFonts w:eastAsiaTheme="minorEastAsia"/>
          <w:b/>
          <w:color w:val="000000" w:themeColor="text1"/>
          <w14:textFill>
            <w14:solidFill>
              <w14:schemeClr w14:val="tx1"/>
            </w14:solidFill>
          </w14:textFill>
        </w:rPr>
        <w:t>水环境风险受体敏感程度类型划分</w:t>
      </w:r>
    </w:p>
    <w:tbl>
      <w:tblPr>
        <w:tblStyle w:val="38"/>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1FA5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576CE6E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35B4114">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94A5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50F1572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612806BD">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4779DA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0059C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0E1A667F">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B2BF90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3F524F4C">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34B1812">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40DC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6B48027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1578A23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7C67C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2E4CD89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5F4AC198">
      <w:pPr>
        <w:spacing w:line="500" w:lineRule="exact"/>
        <w:ind w:firstLine="422" w:firstLineChars="200"/>
        <w:jc w:val="left"/>
        <w:rPr>
          <w:rFonts w:eastAsia="宋体"/>
          <w:b/>
          <w:bCs/>
          <w:sz w:val="21"/>
        </w:rPr>
      </w:pPr>
      <w:r>
        <w:rPr>
          <w:rFonts w:eastAsia="宋体"/>
          <w:b/>
          <w:bCs/>
          <w:sz w:val="21"/>
        </w:rPr>
        <w:t>注：本表中规定的距离范围以到各类水环境保护目标或保护区域的边界为准</w:t>
      </w:r>
    </w:p>
    <w:p w14:paraId="5C8661C9">
      <w:pPr>
        <w:pStyle w:val="13"/>
        <w:spacing w:after="0" w:line="500" w:lineRule="exact"/>
        <w:ind w:firstLine="480" w:firstLineChars="200"/>
        <w:jc w:val="left"/>
        <w:rPr>
          <w:rFonts w:eastAsia="宋体"/>
          <w:spacing w:val="-10"/>
        </w:rPr>
      </w:pPr>
      <w:r>
        <w:rPr>
          <w:rFonts w:hint="eastAsia" w:eastAsia="宋体"/>
          <w:bCs/>
        </w:rPr>
        <w:t>公司</w:t>
      </w:r>
      <w:r>
        <w:rPr>
          <w:rFonts w:eastAsia="宋体"/>
        </w:rPr>
        <w:t>雨污水排口下游10公里内</w:t>
      </w:r>
      <w:r>
        <w:rPr>
          <w:rFonts w:hint="eastAsia" w:eastAsia="宋体"/>
          <w:lang w:val="en-US" w:eastAsia="zh-CN"/>
        </w:rPr>
        <w:t>有基本农田保护区</w:t>
      </w:r>
      <w:r>
        <w:rPr>
          <w:rFonts w:eastAsia="宋体"/>
        </w:rPr>
        <w:t>，因此环境风险受体划分为类型</w:t>
      </w:r>
      <w:r>
        <w:rPr>
          <w:rFonts w:hint="eastAsia" w:eastAsia="宋体"/>
          <w:lang w:val="en-US" w:eastAsia="zh-CN"/>
        </w:rPr>
        <w:t>2</w:t>
      </w:r>
      <w:r>
        <w:rPr>
          <w:rFonts w:eastAsia="宋体"/>
        </w:rPr>
        <w:t>（E</w:t>
      </w:r>
      <w:r>
        <w:rPr>
          <w:rFonts w:hint="eastAsia" w:eastAsia="宋体"/>
          <w:lang w:val="en-US" w:eastAsia="zh-CN"/>
        </w:rPr>
        <w:t>2</w:t>
      </w:r>
      <w:r>
        <w:rPr>
          <w:rFonts w:eastAsia="宋体"/>
        </w:rPr>
        <w:t>）</w:t>
      </w:r>
      <w:r>
        <w:rPr>
          <w:rFonts w:hint="eastAsia" w:eastAsia="宋体"/>
          <w:spacing w:val="-10"/>
        </w:rPr>
        <w:t>。</w:t>
      </w:r>
    </w:p>
    <w:p w14:paraId="19F85643">
      <w:pPr>
        <w:pStyle w:val="5"/>
        <w:adjustRightInd w:val="0"/>
        <w:snapToGrid w:val="0"/>
        <w:spacing w:line="500" w:lineRule="exact"/>
        <w:jc w:val="left"/>
        <w:rPr>
          <w:rFonts w:eastAsia="宋体"/>
          <w:color w:val="000000" w:themeColor="text1"/>
          <w14:textFill>
            <w14:solidFill>
              <w14:schemeClr w14:val="tx1"/>
            </w14:solidFill>
          </w14:textFill>
        </w:rPr>
      </w:pPr>
      <w:bookmarkStart w:id="348" w:name="_Toc28884"/>
      <w:bookmarkStart w:id="349" w:name="_Toc857"/>
      <w:bookmarkStart w:id="350" w:name="_Toc18805"/>
      <w:r>
        <w:rPr>
          <w:rFonts w:hint="eastAsia" w:eastAsia="宋体"/>
          <w:color w:val="000000" w:themeColor="text1"/>
          <w14:textFill>
            <w14:solidFill>
              <w14:schemeClr w14:val="tx1"/>
            </w14:solidFill>
          </w14:textFill>
        </w:rPr>
        <w:t>7.2.4突发水环境事件风险等级确定</w:t>
      </w:r>
      <w:bookmarkEnd w:id="348"/>
      <w:bookmarkEnd w:id="349"/>
      <w:bookmarkEnd w:id="350"/>
    </w:p>
    <w:p w14:paraId="3CF985DA">
      <w:pPr>
        <w:adjustRightInd w:val="0"/>
        <w:snapToGrid w:val="0"/>
        <w:spacing w:line="500" w:lineRule="exact"/>
        <w:ind w:firstLine="480" w:firstLineChars="200"/>
        <w:rPr>
          <w:rFonts w:eastAsia="宋体"/>
        </w:rPr>
      </w:pPr>
      <w:r>
        <w:rPr>
          <w:rFonts w:eastAsia="宋体"/>
        </w:rPr>
        <w:t>根据企业周边水环境风险受体敏感程度（E）、涉气/水风险物质数量与临界量比值（Q）和生产工艺过程与大气/水环境风险控制水平（M），分别确定企业突发大气/水环境事件风险等级。</w:t>
      </w:r>
    </w:p>
    <w:p w14:paraId="6C701445">
      <w:pPr>
        <w:widowControl/>
        <w:jc w:val="center"/>
      </w:pPr>
      <w:r>
        <w:rPr>
          <w:rFonts w:eastAsia="宋体"/>
        </w:rPr>
        <w:t>表7-1</w:t>
      </w:r>
      <w:r>
        <w:rPr>
          <w:rFonts w:hint="eastAsia" w:eastAsia="宋体"/>
        </w:rPr>
        <w:t>0</w:t>
      </w:r>
      <w:r>
        <w:rPr>
          <w:rFonts w:eastAsia="宋体"/>
        </w:rPr>
        <w:t>企业突发环境事件风险分级矩阵表</w:t>
      </w:r>
    </w:p>
    <w:tbl>
      <w:tblPr>
        <w:tblStyle w:val="38"/>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3CDC2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722BB774">
            <w:pPr>
              <w:pStyle w:val="142"/>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579FE1E6">
            <w:pPr>
              <w:pStyle w:val="142"/>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394A4497">
            <w:pPr>
              <w:pStyle w:val="142"/>
              <w:rPr>
                <w:b/>
                <w:sz w:val="21"/>
              </w:rPr>
            </w:pPr>
            <w:r>
              <w:rPr>
                <w:b/>
                <w:sz w:val="21"/>
              </w:rPr>
              <w:t>生产工艺过程与环境风险控制水平（</w:t>
            </w:r>
            <w:r>
              <w:rPr>
                <w:rFonts w:ascii="Times New Roman" w:eastAsia="Times New Roman"/>
                <w:b/>
                <w:sz w:val="21"/>
              </w:rPr>
              <w:t>M</w:t>
            </w:r>
            <w:r>
              <w:rPr>
                <w:b/>
                <w:sz w:val="21"/>
              </w:rPr>
              <w:t>）</w:t>
            </w:r>
          </w:p>
        </w:tc>
      </w:tr>
      <w:tr w14:paraId="46F078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0AC9AAB6">
            <w:pPr>
              <w:jc w:val="center"/>
              <w:rPr>
                <w:sz w:val="2"/>
                <w:szCs w:val="2"/>
              </w:rPr>
            </w:pPr>
          </w:p>
        </w:tc>
        <w:tc>
          <w:tcPr>
            <w:tcW w:w="1114" w:type="pct"/>
            <w:vMerge w:val="continue"/>
            <w:tcBorders>
              <w:tl2br w:val="nil"/>
              <w:tr2bl w:val="nil"/>
            </w:tcBorders>
            <w:vAlign w:val="center"/>
          </w:tcPr>
          <w:p w14:paraId="3A933836">
            <w:pPr>
              <w:jc w:val="center"/>
              <w:rPr>
                <w:sz w:val="2"/>
                <w:szCs w:val="2"/>
              </w:rPr>
            </w:pPr>
          </w:p>
        </w:tc>
        <w:tc>
          <w:tcPr>
            <w:tcW w:w="761" w:type="pct"/>
            <w:tcBorders>
              <w:tl2br w:val="nil"/>
              <w:tr2bl w:val="nil"/>
            </w:tcBorders>
            <w:vAlign w:val="center"/>
          </w:tcPr>
          <w:p w14:paraId="7D15738F">
            <w:pPr>
              <w:pStyle w:val="142"/>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309CCEEE">
            <w:pPr>
              <w:pStyle w:val="142"/>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6F2D452D">
            <w:pPr>
              <w:pStyle w:val="142"/>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04C5516C">
            <w:pPr>
              <w:pStyle w:val="142"/>
              <w:rPr>
                <w:b/>
                <w:sz w:val="21"/>
              </w:rPr>
            </w:pPr>
            <w:r>
              <w:rPr>
                <w:rFonts w:ascii="Times New Roman" w:eastAsia="Times New Roman"/>
                <w:b/>
                <w:sz w:val="21"/>
              </w:rPr>
              <w:t>M4</w:t>
            </w:r>
            <w:r>
              <w:rPr>
                <w:b/>
                <w:sz w:val="21"/>
              </w:rPr>
              <w:t>类水平</w:t>
            </w:r>
          </w:p>
        </w:tc>
      </w:tr>
      <w:tr w14:paraId="05F422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359F4077">
            <w:pPr>
              <w:pStyle w:val="142"/>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69FA824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2D95C19">
            <w:pPr>
              <w:pStyle w:val="142"/>
              <w:rPr>
                <w:sz w:val="21"/>
              </w:rPr>
            </w:pPr>
            <w:r>
              <w:rPr>
                <w:sz w:val="21"/>
              </w:rPr>
              <w:t>较大</w:t>
            </w:r>
          </w:p>
        </w:tc>
        <w:tc>
          <w:tcPr>
            <w:tcW w:w="762" w:type="pct"/>
            <w:tcBorders>
              <w:tl2br w:val="nil"/>
              <w:tr2bl w:val="nil"/>
            </w:tcBorders>
            <w:vAlign w:val="center"/>
          </w:tcPr>
          <w:p w14:paraId="4A872CDC">
            <w:pPr>
              <w:pStyle w:val="142"/>
              <w:rPr>
                <w:sz w:val="21"/>
              </w:rPr>
            </w:pPr>
            <w:r>
              <w:rPr>
                <w:sz w:val="21"/>
              </w:rPr>
              <w:t>较大</w:t>
            </w:r>
          </w:p>
        </w:tc>
        <w:tc>
          <w:tcPr>
            <w:tcW w:w="761" w:type="pct"/>
            <w:tcBorders>
              <w:tl2br w:val="nil"/>
              <w:tr2bl w:val="nil"/>
            </w:tcBorders>
            <w:vAlign w:val="center"/>
          </w:tcPr>
          <w:p w14:paraId="2BF64283">
            <w:pPr>
              <w:pStyle w:val="142"/>
              <w:rPr>
                <w:sz w:val="21"/>
              </w:rPr>
            </w:pPr>
            <w:r>
              <w:rPr>
                <w:sz w:val="21"/>
              </w:rPr>
              <w:t>重大</w:t>
            </w:r>
          </w:p>
        </w:tc>
        <w:tc>
          <w:tcPr>
            <w:tcW w:w="762" w:type="pct"/>
            <w:tcBorders>
              <w:tl2br w:val="nil"/>
              <w:tr2bl w:val="nil"/>
            </w:tcBorders>
            <w:vAlign w:val="center"/>
          </w:tcPr>
          <w:p w14:paraId="785C323F">
            <w:pPr>
              <w:pStyle w:val="142"/>
              <w:rPr>
                <w:sz w:val="21"/>
              </w:rPr>
            </w:pPr>
            <w:r>
              <w:rPr>
                <w:sz w:val="21"/>
              </w:rPr>
              <w:t>重大</w:t>
            </w:r>
          </w:p>
        </w:tc>
      </w:tr>
      <w:tr w14:paraId="2337B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7F915A3">
            <w:pPr>
              <w:jc w:val="center"/>
              <w:rPr>
                <w:sz w:val="2"/>
                <w:szCs w:val="2"/>
              </w:rPr>
            </w:pPr>
          </w:p>
        </w:tc>
        <w:tc>
          <w:tcPr>
            <w:tcW w:w="1114" w:type="pct"/>
            <w:tcBorders>
              <w:tl2br w:val="nil"/>
              <w:tr2bl w:val="nil"/>
            </w:tcBorders>
            <w:vAlign w:val="center"/>
          </w:tcPr>
          <w:p w14:paraId="23613F15">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2819C0A4">
            <w:pPr>
              <w:pStyle w:val="142"/>
              <w:rPr>
                <w:sz w:val="21"/>
              </w:rPr>
            </w:pPr>
            <w:r>
              <w:rPr>
                <w:sz w:val="21"/>
              </w:rPr>
              <w:t>较大</w:t>
            </w:r>
          </w:p>
        </w:tc>
        <w:tc>
          <w:tcPr>
            <w:tcW w:w="762" w:type="pct"/>
            <w:tcBorders>
              <w:tl2br w:val="nil"/>
              <w:tr2bl w:val="nil"/>
            </w:tcBorders>
            <w:vAlign w:val="center"/>
          </w:tcPr>
          <w:p w14:paraId="44BBC5DA">
            <w:pPr>
              <w:pStyle w:val="142"/>
              <w:rPr>
                <w:sz w:val="21"/>
              </w:rPr>
            </w:pPr>
            <w:r>
              <w:rPr>
                <w:sz w:val="21"/>
              </w:rPr>
              <w:t>重大</w:t>
            </w:r>
          </w:p>
        </w:tc>
        <w:tc>
          <w:tcPr>
            <w:tcW w:w="761" w:type="pct"/>
            <w:tcBorders>
              <w:tl2br w:val="nil"/>
              <w:tr2bl w:val="nil"/>
            </w:tcBorders>
            <w:vAlign w:val="center"/>
          </w:tcPr>
          <w:p w14:paraId="4CC2039E">
            <w:pPr>
              <w:pStyle w:val="142"/>
              <w:rPr>
                <w:sz w:val="21"/>
              </w:rPr>
            </w:pPr>
            <w:r>
              <w:rPr>
                <w:sz w:val="21"/>
              </w:rPr>
              <w:t>重大</w:t>
            </w:r>
          </w:p>
        </w:tc>
        <w:tc>
          <w:tcPr>
            <w:tcW w:w="762" w:type="pct"/>
            <w:tcBorders>
              <w:tl2br w:val="nil"/>
              <w:tr2bl w:val="nil"/>
            </w:tcBorders>
            <w:vAlign w:val="center"/>
          </w:tcPr>
          <w:p w14:paraId="46E07482">
            <w:pPr>
              <w:pStyle w:val="142"/>
              <w:rPr>
                <w:sz w:val="21"/>
              </w:rPr>
            </w:pPr>
            <w:r>
              <w:rPr>
                <w:sz w:val="21"/>
              </w:rPr>
              <w:t>重大</w:t>
            </w:r>
          </w:p>
        </w:tc>
      </w:tr>
      <w:tr w14:paraId="25641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2CE5FB7">
            <w:pPr>
              <w:jc w:val="center"/>
              <w:rPr>
                <w:sz w:val="2"/>
                <w:szCs w:val="2"/>
              </w:rPr>
            </w:pPr>
          </w:p>
        </w:tc>
        <w:tc>
          <w:tcPr>
            <w:tcW w:w="1114" w:type="pct"/>
            <w:tcBorders>
              <w:tl2br w:val="nil"/>
              <w:tr2bl w:val="nil"/>
            </w:tcBorders>
            <w:vAlign w:val="center"/>
          </w:tcPr>
          <w:p w14:paraId="6D7C78F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74F1EBE1">
            <w:pPr>
              <w:pStyle w:val="142"/>
              <w:rPr>
                <w:sz w:val="21"/>
              </w:rPr>
            </w:pPr>
            <w:r>
              <w:rPr>
                <w:sz w:val="21"/>
              </w:rPr>
              <w:t>重大</w:t>
            </w:r>
          </w:p>
        </w:tc>
        <w:tc>
          <w:tcPr>
            <w:tcW w:w="762" w:type="pct"/>
            <w:tcBorders>
              <w:tl2br w:val="nil"/>
              <w:tr2bl w:val="nil"/>
            </w:tcBorders>
            <w:vAlign w:val="center"/>
          </w:tcPr>
          <w:p w14:paraId="5BF052FC">
            <w:pPr>
              <w:pStyle w:val="142"/>
              <w:rPr>
                <w:sz w:val="21"/>
              </w:rPr>
            </w:pPr>
            <w:r>
              <w:rPr>
                <w:sz w:val="21"/>
              </w:rPr>
              <w:t>重大</w:t>
            </w:r>
          </w:p>
        </w:tc>
        <w:tc>
          <w:tcPr>
            <w:tcW w:w="761" w:type="pct"/>
            <w:tcBorders>
              <w:tl2br w:val="nil"/>
              <w:tr2bl w:val="nil"/>
            </w:tcBorders>
            <w:vAlign w:val="center"/>
          </w:tcPr>
          <w:p w14:paraId="31799DF8">
            <w:pPr>
              <w:pStyle w:val="142"/>
              <w:rPr>
                <w:sz w:val="21"/>
              </w:rPr>
            </w:pPr>
            <w:r>
              <w:rPr>
                <w:sz w:val="21"/>
              </w:rPr>
              <w:t>重大</w:t>
            </w:r>
          </w:p>
        </w:tc>
        <w:tc>
          <w:tcPr>
            <w:tcW w:w="762" w:type="pct"/>
            <w:tcBorders>
              <w:tl2br w:val="nil"/>
              <w:tr2bl w:val="nil"/>
            </w:tcBorders>
            <w:vAlign w:val="center"/>
          </w:tcPr>
          <w:p w14:paraId="4CE31AA3">
            <w:pPr>
              <w:pStyle w:val="142"/>
              <w:rPr>
                <w:sz w:val="21"/>
              </w:rPr>
            </w:pPr>
            <w:r>
              <w:rPr>
                <w:sz w:val="21"/>
              </w:rPr>
              <w:t>重大</w:t>
            </w:r>
          </w:p>
        </w:tc>
      </w:tr>
      <w:tr w14:paraId="5F191F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1E019C62">
            <w:pPr>
              <w:pStyle w:val="142"/>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5816F223">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02928CD8">
            <w:pPr>
              <w:pStyle w:val="142"/>
              <w:rPr>
                <w:sz w:val="21"/>
              </w:rPr>
            </w:pPr>
            <w:r>
              <w:rPr>
                <w:sz w:val="21"/>
              </w:rPr>
              <w:t>一般</w:t>
            </w:r>
          </w:p>
        </w:tc>
        <w:tc>
          <w:tcPr>
            <w:tcW w:w="762" w:type="pct"/>
            <w:tcBorders>
              <w:tl2br w:val="nil"/>
              <w:tr2bl w:val="nil"/>
            </w:tcBorders>
            <w:vAlign w:val="center"/>
          </w:tcPr>
          <w:p w14:paraId="1F8BE934">
            <w:pPr>
              <w:pStyle w:val="142"/>
              <w:rPr>
                <w:sz w:val="21"/>
              </w:rPr>
            </w:pPr>
            <w:r>
              <w:rPr>
                <w:sz w:val="21"/>
              </w:rPr>
              <w:t>较大</w:t>
            </w:r>
          </w:p>
        </w:tc>
        <w:tc>
          <w:tcPr>
            <w:tcW w:w="761" w:type="pct"/>
            <w:tcBorders>
              <w:tl2br w:val="nil"/>
              <w:tr2bl w:val="nil"/>
            </w:tcBorders>
            <w:vAlign w:val="center"/>
          </w:tcPr>
          <w:p w14:paraId="6210B425">
            <w:pPr>
              <w:pStyle w:val="142"/>
              <w:rPr>
                <w:sz w:val="21"/>
              </w:rPr>
            </w:pPr>
            <w:r>
              <w:rPr>
                <w:sz w:val="21"/>
              </w:rPr>
              <w:t>较大</w:t>
            </w:r>
          </w:p>
        </w:tc>
        <w:tc>
          <w:tcPr>
            <w:tcW w:w="762" w:type="pct"/>
            <w:tcBorders>
              <w:tl2br w:val="nil"/>
              <w:tr2bl w:val="nil"/>
            </w:tcBorders>
            <w:vAlign w:val="center"/>
          </w:tcPr>
          <w:p w14:paraId="2C234A4C">
            <w:pPr>
              <w:pStyle w:val="142"/>
              <w:rPr>
                <w:sz w:val="21"/>
              </w:rPr>
            </w:pPr>
            <w:r>
              <w:rPr>
                <w:sz w:val="21"/>
              </w:rPr>
              <w:t>重大</w:t>
            </w:r>
          </w:p>
        </w:tc>
      </w:tr>
      <w:tr w14:paraId="39BE6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5D07B749">
            <w:pPr>
              <w:jc w:val="center"/>
              <w:rPr>
                <w:sz w:val="2"/>
                <w:szCs w:val="2"/>
              </w:rPr>
            </w:pPr>
          </w:p>
        </w:tc>
        <w:tc>
          <w:tcPr>
            <w:tcW w:w="1114" w:type="pct"/>
            <w:tcBorders>
              <w:tl2br w:val="nil"/>
              <w:tr2bl w:val="nil"/>
            </w:tcBorders>
            <w:vAlign w:val="center"/>
          </w:tcPr>
          <w:p w14:paraId="2F654F7F">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06154704">
            <w:pPr>
              <w:pStyle w:val="142"/>
              <w:rPr>
                <w:sz w:val="21"/>
              </w:rPr>
            </w:pPr>
            <w:r>
              <w:rPr>
                <w:sz w:val="21"/>
              </w:rPr>
              <w:t>较大</w:t>
            </w:r>
          </w:p>
        </w:tc>
        <w:tc>
          <w:tcPr>
            <w:tcW w:w="762" w:type="pct"/>
            <w:tcBorders>
              <w:tl2br w:val="nil"/>
              <w:tr2bl w:val="nil"/>
            </w:tcBorders>
            <w:vAlign w:val="center"/>
          </w:tcPr>
          <w:p w14:paraId="23A85CEE">
            <w:pPr>
              <w:pStyle w:val="142"/>
              <w:rPr>
                <w:sz w:val="21"/>
              </w:rPr>
            </w:pPr>
            <w:r>
              <w:rPr>
                <w:sz w:val="21"/>
              </w:rPr>
              <w:t>较大</w:t>
            </w:r>
          </w:p>
        </w:tc>
        <w:tc>
          <w:tcPr>
            <w:tcW w:w="761" w:type="pct"/>
            <w:tcBorders>
              <w:tl2br w:val="nil"/>
              <w:tr2bl w:val="nil"/>
            </w:tcBorders>
            <w:vAlign w:val="center"/>
          </w:tcPr>
          <w:p w14:paraId="772A6070">
            <w:pPr>
              <w:pStyle w:val="142"/>
              <w:rPr>
                <w:sz w:val="21"/>
              </w:rPr>
            </w:pPr>
            <w:r>
              <w:rPr>
                <w:sz w:val="21"/>
              </w:rPr>
              <w:t>重大</w:t>
            </w:r>
          </w:p>
        </w:tc>
        <w:tc>
          <w:tcPr>
            <w:tcW w:w="762" w:type="pct"/>
            <w:tcBorders>
              <w:tl2br w:val="nil"/>
              <w:tr2bl w:val="nil"/>
            </w:tcBorders>
            <w:vAlign w:val="center"/>
          </w:tcPr>
          <w:p w14:paraId="2EBEBD00">
            <w:pPr>
              <w:pStyle w:val="142"/>
              <w:rPr>
                <w:sz w:val="21"/>
              </w:rPr>
            </w:pPr>
            <w:r>
              <w:rPr>
                <w:sz w:val="21"/>
              </w:rPr>
              <w:t>重大</w:t>
            </w:r>
          </w:p>
        </w:tc>
      </w:tr>
      <w:tr w14:paraId="42A5CB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11FA2EF">
            <w:pPr>
              <w:jc w:val="center"/>
              <w:rPr>
                <w:sz w:val="2"/>
                <w:szCs w:val="2"/>
              </w:rPr>
            </w:pPr>
          </w:p>
        </w:tc>
        <w:tc>
          <w:tcPr>
            <w:tcW w:w="1114" w:type="pct"/>
            <w:tcBorders>
              <w:tl2br w:val="nil"/>
              <w:tr2bl w:val="nil"/>
            </w:tcBorders>
            <w:vAlign w:val="center"/>
          </w:tcPr>
          <w:p w14:paraId="097AD497">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3AF9E59A">
            <w:pPr>
              <w:pStyle w:val="142"/>
              <w:rPr>
                <w:sz w:val="21"/>
              </w:rPr>
            </w:pPr>
            <w:r>
              <w:rPr>
                <w:sz w:val="21"/>
              </w:rPr>
              <w:t>较大</w:t>
            </w:r>
          </w:p>
        </w:tc>
        <w:tc>
          <w:tcPr>
            <w:tcW w:w="762" w:type="pct"/>
            <w:tcBorders>
              <w:tl2br w:val="nil"/>
              <w:tr2bl w:val="nil"/>
            </w:tcBorders>
            <w:vAlign w:val="center"/>
          </w:tcPr>
          <w:p w14:paraId="4F1BDCB1">
            <w:pPr>
              <w:pStyle w:val="142"/>
              <w:rPr>
                <w:sz w:val="21"/>
              </w:rPr>
            </w:pPr>
            <w:r>
              <w:rPr>
                <w:sz w:val="21"/>
              </w:rPr>
              <w:t>重大</w:t>
            </w:r>
          </w:p>
        </w:tc>
        <w:tc>
          <w:tcPr>
            <w:tcW w:w="761" w:type="pct"/>
            <w:tcBorders>
              <w:tl2br w:val="nil"/>
              <w:tr2bl w:val="nil"/>
            </w:tcBorders>
            <w:vAlign w:val="center"/>
          </w:tcPr>
          <w:p w14:paraId="7AFB25EF">
            <w:pPr>
              <w:pStyle w:val="142"/>
              <w:rPr>
                <w:sz w:val="21"/>
              </w:rPr>
            </w:pPr>
            <w:r>
              <w:rPr>
                <w:sz w:val="21"/>
              </w:rPr>
              <w:t>重大</w:t>
            </w:r>
          </w:p>
        </w:tc>
        <w:tc>
          <w:tcPr>
            <w:tcW w:w="762" w:type="pct"/>
            <w:tcBorders>
              <w:tl2br w:val="nil"/>
              <w:tr2bl w:val="nil"/>
            </w:tcBorders>
            <w:vAlign w:val="center"/>
          </w:tcPr>
          <w:p w14:paraId="7D66E62D">
            <w:pPr>
              <w:pStyle w:val="142"/>
              <w:rPr>
                <w:sz w:val="21"/>
              </w:rPr>
            </w:pPr>
            <w:r>
              <w:rPr>
                <w:sz w:val="21"/>
              </w:rPr>
              <w:t>重大</w:t>
            </w:r>
          </w:p>
        </w:tc>
      </w:tr>
      <w:tr w14:paraId="3719F3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7D577ECD">
            <w:pPr>
              <w:pStyle w:val="142"/>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FC4ECC1">
            <w:pPr>
              <w:pStyle w:val="142"/>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735F7E10">
            <w:pPr>
              <w:pStyle w:val="142"/>
              <w:rPr>
                <w:sz w:val="21"/>
              </w:rPr>
            </w:pPr>
            <w:r>
              <w:rPr>
                <w:sz w:val="21"/>
              </w:rPr>
              <w:t>一般</w:t>
            </w:r>
          </w:p>
        </w:tc>
        <w:tc>
          <w:tcPr>
            <w:tcW w:w="762" w:type="pct"/>
            <w:tcBorders>
              <w:tl2br w:val="nil"/>
              <w:tr2bl w:val="nil"/>
            </w:tcBorders>
            <w:vAlign w:val="center"/>
          </w:tcPr>
          <w:p w14:paraId="037C6EE1">
            <w:pPr>
              <w:pStyle w:val="142"/>
              <w:rPr>
                <w:sz w:val="21"/>
              </w:rPr>
            </w:pPr>
            <w:r>
              <w:rPr>
                <w:sz w:val="21"/>
              </w:rPr>
              <w:t>一般</w:t>
            </w:r>
          </w:p>
        </w:tc>
        <w:tc>
          <w:tcPr>
            <w:tcW w:w="761" w:type="pct"/>
            <w:tcBorders>
              <w:tl2br w:val="nil"/>
              <w:tr2bl w:val="nil"/>
            </w:tcBorders>
            <w:vAlign w:val="center"/>
          </w:tcPr>
          <w:p w14:paraId="7D7969BB">
            <w:pPr>
              <w:pStyle w:val="142"/>
              <w:rPr>
                <w:sz w:val="21"/>
              </w:rPr>
            </w:pPr>
            <w:r>
              <w:rPr>
                <w:sz w:val="21"/>
              </w:rPr>
              <w:t>较大</w:t>
            </w:r>
          </w:p>
        </w:tc>
        <w:tc>
          <w:tcPr>
            <w:tcW w:w="762" w:type="pct"/>
            <w:tcBorders>
              <w:tl2br w:val="nil"/>
              <w:tr2bl w:val="nil"/>
            </w:tcBorders>
            <w:vAlign w:val="center"/>
          </w:tcPr>
          <w:p w14:paraId="62EC72F7">
            <w:pPr>
              <w:pStyle w:val="142"/>
              <w:rPr>
                <w:sz w:val="21"/>
              </w:rPr>
            </w:pPr>
            <w:r>
              <w:rPr>
                <w:sz w:val="21"/>
              </w:rPr>
              <w:t>较大</w:t>
            </w:r>
          </w:p>
        </w:tc>
      </w:tr>
      <w:tr w14:paraId="64F36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36D88EFE">
            <w:pPr>
              <w:jc w:val="center"/>
              <w:rPr>
                <w:sz w:val="2"/>
                <w:szCs w:val="2"/>
              </w:rPr>
            </w:pPr>
          </w:p>
        </w:tc>
        <w:tc>
          <w:tcPr>
            <w:tcW w:w="1114" w:type="pct"/>
            <w:tcBorders>
              <w:tl2br w:val="nil"/>
              <w:tr2bl w:val="nil"/>
            </w:tcBorders>
            <w:vAlign w:val="center"/>
          </w:tcPr>
          <w:p w14:paraId="078296F1">
            <w:pPr>
              <w:pStyle w:val="142"/>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7358288A">
            <w:pPr>
              <w:pStyle w:val="142"/>
              <w:rPr>
                <w:sz w:val="21"/>
              </w:rPr>
            </w:pPr>
            <w:r>
              <w:rPr>
                <w:sz w:val="21"/>
              </w:rPr>
              <w:t>一般</w:t>
            </w:r>
          </w:p>
        </w:tc>
        <w:tc>
          <w:tcPr>
            <w:tcW w:w="762" w:type="pct"/>
            <w:tcBorders>
              <w:tl2br w:val="nil"/>
              <w:tr2bl w:val="nil"/>
            </w:tcBorders>
            <w:vAlign w:val="center"/>
          </w:tcPr>
          <w:p w14:paraId="7D0349D6">
            <w:pPr>
              <w:pStyle w:val="142"/>
              <w:rPr>
                <w:sz w:val="21"/>
              </w:rPr>
            </w:pPr>
            <w:r>
              <w:rPr>
                <w:sz w:val="21"/>
              </w:rPr>
              <w:t>较大</w:t>
            </w:r>
          </w:p>
        </w:tc>
        <w:tc>
          <w:tcPr>
            <w:tcW w:w="761" w:type="pct"/>
            <w:tcBorders>
              <w:tl2br w:val="nil"/>
              <w:tr2bl w:val="nil"/>
            </w:tcBorders>
            <w:vAlign w:val="center"/>
          </w:tcPr>
          <w:p w14:paraId="094CD545">
            <w:pPr>
              <w:pStyle w:val="142"/>
              <w:rPr>
                <w:sz w:val="21"/>
              </w:rPr>
            </w:pPr>
            <w:r>
              <w:rPr>
                <w:sz w:val="21"/>
              </w:rPr>
              <w:t>较大</w:t>
            </w:r>
          </w:p>
        </w:tc>
        <w:tc>
          <w:tcPr>
            <w:tcW w:w="762" w:type="pct"/>
            <w:tcBorders>
              <w:tl2br w:val="nil"/>
              <w:tr2bl w:val="nil"/>
            </w:tcBorders>
            <w:vAlign w:val="center"/>
          </w:tcPr>
          <w:p w14:paraId="02C22292">
            <w:pPr>
              <w:pStyle w:val="142"/>
              <w:rPr>
                <w:sz w:val="21"/>
              </w:rPr>
            </w:pPr>
            <w:r>
              <w:rPr>
                <w:sz w:val="21"/>
              </w:rPr>
              <w:t>重大</w:t>
            </w:r>
          </w:p>
        </w:tc>
      </w:tr>
      <w:tr w14:paraId="2732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690A3852">
            <w:pPr>
              <w:jc w:val="center"/>
              <w:rPr>
                <w:sz w:val="2"/>
                <w:szCs w:val="2"/>
              </w:rPr>
            </w:pPr>
          </w:p>
        </w:tc>
        <w:tc>
          <w:tcPr>
            <w:tcW w:w="1114" w:type="pct"/>
            <w:tcBorders>
              <w:tl2br w:val="nil"/>
              <w:tr2bl w:val="nil"/>
            </w:tcBorders>
            <w:vAlign w:val="center"/>
          </w:tcPr>
          <w:p w14:paraId="49531EA6">
            <w:pPr>
              <w:pStyle w:val="142"/>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358DF12">
            <w:pPr>
              <w:pStyle w:val="142"/>
              <w:rPr>
                <w:sz w:val="21"/>
              </w:rPr>
            </w:pPr>
            <w:r>
              <w:rPr>
                <w:sz w:val="21"/>
              </w:rPr>
              <w:t>较大</w:t>
            </w:r>
          </w:p>
        </w:tc>
        <w:tc>
          <w:tcPr>
            <w:tcW w:w="762" w:type="pct"/>
            <w:tcBorders>
              <w:tl2br w:val="nil"/>
              <w:tr2bl w:val="nil"/>
            </w:tcBorders>
            <w:vAlign w:val="center"/>
          </w:tcPr>
          <w:p w14:paraId="362E5F19">
            <w:pPr>
              <w:pStyle w:val="142"/>
              <w:rPr>
                <w:sz w:val="21"/>
              </w:rPr>
            </w:pPr>
            <w:r>
              <w:rPr>
                <w:sz w:val="21"/>
              </w:rPr>
              <w:t>较大</w:t>
            </w:r>
          </w:p>
        </w:tc>
        <w:tc>
          <w:tcPr>
            <w:tcW w:w="761" w:type="pct"/>
            <w:tcBorders>
              <w:tl2br w:val="nil"/>
              <w:tr2bl w:val="nil"/>
            </w:tcBorders>
            <w:vAlign w:val="center"/>
          </w:tcPr>
          <w:p w14:paraId="378528D7">
            <w:pPr>
              <w:pStyle w:val="142"/>
              <w:rPr>
                <w:sz w:val="21"/>
              </w:rPr>
            </w:pPr>
            <w:r>
              <w:rPr>
                <w:sz w:val="21"/>
              </w:rPr>
              <w:t>重大</w:t>
            </w:r>
          </w:p>
        </w:tc>
        <w:tc>
          <w:tcPr>
            <w:tcW w:w="762" w:type="pct"/>
            <w:tcBorders>
              <w:tl2br w:val="nil"/>
              <w:tr2bl w:val="nil"/>
            </w:tcBorders>
            <w:vAlign w:val="center"/>
          </w:tcPr>
          <w:p w14:paraId="7873ADF3">
            <w:pPr>
              <w:pStyle w:val="142"/>
              <w:rPr>
                <w:sz w:val="21"/>
              </w:rPr>
            </w:pPr>
            <w:r>
              <w:rPr>
                <w:sz w:val="21"/>
              </w:rPr>
              <w:t>重大</w:t>
            </w:r>
          </w:p>
        </w:tc>
      </w:tr>
    </w:tbl>
    <w:p w14:paraId="0263E0D7">
      <w:pPr>
        <w:widowControl/>
        <w:jc w:val="center"/>
      </w:pPr>
    </w:p>
    <w:p w14:paraId="6DCCB9F5">
      <w:pPr>
        <w:pStyle w:val="5"/>
        <w:adjustRightInd w:val="0"/>
        <w:snapToGrid w:val="0"/>
        <w:spacing w:line="500" w:lineRule="exact"/>
        <w:jc w:val="left"/>
        <w:rPr>
          <w:rFonts w:hint="eastAsia" w:eastAsia="宋体"/>
          <w:color w:val="000000" w:themeColor="text1"/>
          <w:lang w:eastAsia="zh-CN"/>
          <w14:textFill>
            <w14:solidFill>
              <w14:schemeClr w14:val="tx1"/>
            </w14:solidFill>
          </w14:textFill>
        </w:rPr>
      </w:pPr>
      <w:bookmarkStart w:id="351" w:name="_Toc11255"/>
      <w:bookmarkStart w:id="352" w:name="_Toc6239"/>
      <w:bookmarkStart w:id="353" w:name="_Toc11428"/>
      <w:bookmarkStart w:id="354" w:name="_Toc402776227"/>
      <w:r>
        <w:rPr>
          <w:rFonts w:hint="eastAsia" w:eastAsia="宋体"/>
          <w:color w:val="000000" w:themeColor="text1"/>
          <w14:textFill>
            <w14:solidFill>
              <w14:schemeClr w14:val="tx1"/>
            </w14:solidFill>
          </w14:textFill>
        </w:rPr>
        <w:t>7.2.5突发水环境事件风险等级表征</w:t>
      </w:r>
      <w:bookmarkEnd w:id="351"/>
      <w:bookmarkEnd w:id="352"/>
      <w:bookmarkEnd w:id="353"/>
    </w:p>
    <w:p w14:paraId="717872BD">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企业突发</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环境事件风险等级表征分为两种情况：</w:t>
      </w:r>
    </w:p>
    <w:p w14:paraId="45A354F4">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p>
    <w:p w14:paraId="7A736312">
      <w:pPr>
        <w:adjustRightInd w:val="0"/>
        <w:snapToGrid w:val="0"/>
        <w:spacing w:line="500" w:lineRule="exact"/>
        <w:ind w:firstLine="480" w:firstLineChars="200"/>
        <w:rPr>
          <w:rFonts w:hint="eastAsia" w:eastAsia="宋体"/>
          <w:color w:val="000000" w:themeColor="text1"/>
          <w:lang w:eastAsia="zh-CN"/>
          <w14:textFill>
            <w14:solidFill>
              <w14:schemeClr w14:val="tx1"/>
            </w14:solidFill>
          </w14:textFill>
        </w:rPr>
      </w:pPr>
      <w:r>
        <w:rPr>
          <w:rFonts w:eastAsia="宋体"/>
          <w:color w:val="000000" w:themeColor="text1"/>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eastAsia="宋体"/>
          <w:color w:val="000000" w:themeColor="text1"/>
          <w14:textFill>
            <w14:solidFill>
              <w14:schemeClr w14:val="tx1"/>
            </w14:solidFill>
          </w14:textFill>
        </w:rPr>
        <w:t>环境事件风险等级表示为“环境风险等级-</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（Q水平-M类型-E类型）”。</w:t>
      </w:r>
    </w:p>
    <w:p w14:paraId="36B6BE30">
      <w:pPr>
        <w:adjustRightInd w:val="0"/>
        <w:snapToGrid w:val="0"/>
        <w:spacing w:line="500" w:lineRule="exact"/>
        <w:ind w:firstLine="480" w:firstLineChars="200"/>
      </w:pPr>
      <w:r>
        <w:rPr>
          <w:rFonts w:hint="eastAsia" w:eastAsia="宋体"/>
          <w:color w:val="000000" w:themeColor="text1"/>
          <w:lang w:eastAsia="zh-CN"/>
          <w14:textFill>
            <w14:solidFill>
              <w14:schemeClr w14:val="tx1"/>
            </w14:solidFill>
          </w14:textFill>
        </w:rPr>
        <w:t>南通名万家具有限公司</w:t>
      </w:r>
      <w:r>
        <w:rPr>
          <w:rFonts w:eastAsia="宋体"/>
          <w:color w:val="000000" w:themeColor="text1"/>
          <w14:textFill>
            <w14:solidFill>
              <w14:schemeClr w14:val="tx1"/>
            </w14:solidFill>
          </w14:textFill>
        </w:rPr>
        <w:t>Q＜1（Q0），因此水风险等级</w:t>
      </w:r>
      <w:r>
        <w:rPr>
          <w:rFonts w:hint="eastAsia" w:eastAsia="宋体"/>
          <w:color w:val="000000" w:themeColor="text1"/>
          <w14:textFill>
            <w14:solidFill>
              <w14:schemeClr w14:val="tx1"/>
            </w14:solidFill>
          </w14:textFill>
        </w:rPr>
        <w:t>表示</w:t>
      </w:r>
      <w:r>
        <w:rPr>
          <w:rFonts w:eastAsia="宋体"/>
          <w:color w:val="000000" w:themeColor="text1"/>
          <w14:textFill>
            <w14:solidFill>
              <w14:schemeClr w14:val="tx1"/>
            </w14:solidFill>
          </w14:textFill>
        </w:rPr>
        <w:t>为</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一般-</w:t>
      </w:r>
      <w:r>
        <w:rPr>
          <w:rFonts w:hint="eastAsia" w:eastAsia="宋体"/>
          <w:color w:val="000000" w:themeColor="text1"/>
          <w14:textFill>
            <w14:solidFill>
              <w14:schemeClr w14:val="tx1"/>
            </w14:solidFill>
          </w14:textFill>
        </w:rPr>
        <w:t>水</w:t>
      </w:r>
      <w:r>
        <w:rPr>
          <w:rFonts w:eastAsia="宋体"/>
          <w:color w:val="000000" w:themeColor="text1"/>
          <w14:textFill>
            <w14:solidFill>
              <w14:schemeClr w14:val="tx1"/>
            </w14:solidFill>
          </w14:textFill>
        </w:rPr>
        <w:t>（Q0）</w:t>
      </w:r>
      <w:r>
        <w:rPr>
          <w:rFonts w:hint="eastAsia" w:eastAsia="宋体"/>
          <w:color w:val="000000" w:themeColor="text1"/>
          <w14:textFill>
            <w14:solidFill>
              <w14:schemeClr w14:val="tx1"/>
            </w14:solidFill>
          </w14:textFill>
        </w:rPr>
        <w:t>”</w:t>
      </w:r>
      <w:r>
        <w:rPr>
          <w:rFonts w:eastAsia="宋体"/>
          <w:color w:val="000000" w:themeColor="text1"/>
          <w14:textFill>
            <w14:solidFill>
              <w14:schemeClr w14:val="tx1"/>
            </w14:solidFill>
          </w14:textFill>
        </w:rPr>
        <w:t>。</w:t>
      </w:r>
    </w:p>
    <w:bookmarkEnd w:id="354"/>
    <w:p w14:paraId="7969EB53">
      <w:pPr>
        <w:pStyle w:val="3"/>
        <w:adjustRightInd w:val="0"/>
        <w:snapToGrid w:val="0"/>
        <w:spacing w:line="500" w:lineRule="exact"/>
        <w:jc w:val="left"/>
        <w:rPr>
          <w:rFonts w:eastAsia="宋体"/>
          <w:color w:val="000000" w:themeColor="text1"/>
          <w:sz w:val="24"/>
          <w:szCs w:val="24"/>
          <w14:textFill>
            <w14:solidFill>
              <w14:schemeClr w14:val="tx1"/>
            </w14:solidFill>
          </w14:textFill>
        </w:rPr>
      </w:pPr>
      <w:bookmarkStart w:id="355" w:name="_Toc27337"/>
      <w:bookmarkStart w:id="356" w:name="_Toc6943"/>
      <w:bookmarkStart w:id="357" w:name="_Toc534722046"/>
      <w:bookmarkStart w:id="358" w:name="_Toc535516089"/>
      <w:bookmarkStart w:id="359" w:name="_Toc16652"/>
      <w:bookmarkStart w:id="360" w:name="_Toc12771"/>
      <w:r>
        <w:rPr>
          <w:rFonts w:hint="eastAsia" w:eastAsia="宋体"/>
          <w:color w:val="000000" w:themeColor="text1"/>
          <w:sz w:val="24"/>
          <w:szCs w:val="24"/>
          <w14:textFill>
            <w14:solidFill>
              <w14:schemeClr w14:val="tx1"/>
            </w14:solidFill>
          </w14:textFill>
        </w:rPr>
        <w:t>7.3风险等级调整</w:t>
      </w:r>
      <w:bookmarkEnd w:id="355"/>
      <w:bookmarkEnd w:id="356"/>
      <w:bookmarkEnd w:id="357"/>
      <w:bookmarkEnd w:id="358"/>
      <w:bookmarkEnd w:id="359"/>
      <w:bookmarkEnd w:id="360"/>
    </w:p>
    <w:p w14:paraId="28021BA7">
      <w:pPr>
        <w:adjustRightInd w:val="0"/>
        <w:snapToGrid w:val="0"/>
        <w:spacing w:line="500" w:lineRule="exact"/>
        <w:ind w:firstLine="480" w:firstLineChars="200"/>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w:t>
      </w:r>
      <w:r>
        <w:rPr>
          <w:rFonts w:hint="eastAsia" w:ascii="宋体" w:hAnsi="宋体" w:eastAsia="宋体" w:cs="宋体"/>
          <w:snapToGrid w:val="0"/>
          <w:color w:val="000000" w:themeColor="text1"/>
          <w:kern w:val="0"/>
          <w:lang w:eastAsia="zh-CN"/>
          <w14:textFill>
            <w14:solidFill>
              <w14:schemeClr w14:val="tx1"/>
            </w14:solidFill>
          </w14:textFill>
        </w:rPr>
        <w:t>企业突发环境事件风险分级方法</w:t>
      </w:r>
      <w:r>
        <w:rPr>
          <w:rFonts w:eastAsia="宋体"/>
          <w:snapToGrid w:val="0"/>
          <w:color w:val="000000" w:themeColor="text1"/>
          <w:kern w:val="0"/>
          <w14:textFill>
            <w14:solidFill>
              <w14:schemeClr w14:val="tx1"/>
            </w14:solidFill>
          </w14:textFill>
        </w:rPr>
        <w:t>》（HJ941-2018）要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E19ED8">
      <w:pPr>
        <w:adjustRightInd w:val="0"/>
        <w:snapToGrid w:val="0"/>
        <w:spacing w:line="500" w:lineRule="exact"/>
        <w:ind w:firstLine="480" w:firstLineChars="200"/>
        <w:rPr>
          <w:rFonts w:eastAsia="宋体"/>
        </w:rPr>
      </w:pPr>
      <w:r>
        <w:rPr>
          <w:rFonts w:eastAsia="宋体"/>
          <w:snapToGrid w:val="0"/>
          <w:kern w:val="0"/>
        </w:rPr>
        <w:t>通过上述分析</w:t>
      </w:r>
      <w:r>
        <w:rPr>
          <w:rFonts w:eastAsia="宋体"/>
        </w:rPr>
        <w:t>，公司突发环境事件风险等级为：</w:t>
      </w:r>
      <w:bookmarkStart w:id="361" w:name="_Hlk5802374"/>
      <w:r>
        <w:rPr>
          <w:rFonts w:eastAsia="宋体"/>
          <w:b/>
        </w:rPr>
        <w:t>一般［一般-大气（Q0）+一般-水（Q</w:t>
      </w:r>
      <w:r>
        <w:rPr>
          <w:rFonts w:hint="eastAsia" w:eastAsia="宋体"/>
          <w:b/>
        </w:rPr>
        <w:t>0</w:t>
      </w:r>
      <w:r>
        <w:rPr>
          <w:rFonts w:eastAsia="宋体"/>
          <w:b/>
        </w:rPr>
        <w:t>）］</w:t>
      </w:r>
      <w:r>
        <w:rPr>
          <w:rFonts w:eastAsia="宋体"/>
        </w:rPr>
        <w:t>。</w:t>
      </w:r>
      <w:bookmarkEnd w:id="361"/>
    </w:p>
    <w:p w14:paraId="439D8015">
      <w:pPr>
        <w:adjustRightInd w:val="0"/>
        <w:snapToGrid w:val="0"/>
        <w:spacing w:line="500" w:lineRule="exact"/>
        <w:ind w:firstLine="480" w:firstLineChars="200"/>
        <w:rPr>
          <w:rFonts w:ascii="宋体" w:hAnsi="宋体" w:eastAsia="宋体" w:cs="宋体"/>
        </w:rPr>
      </w:pPr>
      <w:r>
        <w:rPr>
          <w:rFonts w:eastAsia="宋体"/>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p>
    <w:bookmarkEnd w:id="1"/>
    <w:bookmarkEnd w:id="2"/>
    <w:bookmarkEnd w:id="296"/>
    <w:p w14:paraId="07270D83">
      <w:pPr>
        <w:rPr>
          <w:rFonts w:ascii="宋体" w:hAnsi="宋体" w:eastAsia="宋体" w:cs="宋体"/>
        </w:rPr>
      </w:pPr>
    </w:p>
    <w:p w14:paraId="1EF60117"/>
    <w:p w14:paraId="58C68F60"/>
    <w:p w14:paraId="26AD4A93"/>
    <w:p w14:paraId="6EFE98C9"/>
    <w:p w14:paraId="627DD906"/>
    <w:p w14:paraId="149EA8A3"/>
    <w:p w14:paraId="499F8933"/>
    <w:p w14:paraId="70FC667F"/>
    <w:p w14:paraId="290D91DF"/>
    <w:p w14:paraId="7C769F4F"/>
    <w:p w14:paraId="5ADA5E09"/>
    <w:p w14:paraId="57B125CE"/>
    <w:p w14:paraId="43113720"/>
    <w:p w14:paraId="2CFC63C5"/>
    <w:p w14:paraId="019CF262"/>
    <w:p w14:paraId="628718D9"/>
    <w:p w14:paraId="60E3488E"/>
    <w:p w14:paraId="47EE3784"/>
    <w:p w14:paraId="481045D1"/>
    <w:p w14:paraId="1DD1F54C"/>
    <w:p w14:paraId="0B5EEAD8"/>
    <w:p w14:paraId="522FFFFF"/>
    <w:p w14:paraId="17BB70EE"/>
    <w:p w14:paraId="7546517E"/>
    <w:p w14:paraId="469AE65A"/>
    <w:p w14:paraId="271554A6"/>
    <w:p w14:paraId="75322B14"/>
    <w:p w14:paraId="7E00A96F"/>
    <w:p w14:paraId="12AD6544"/>
    <w:p w14:paraId="76C9DD19"/>
    <w:p w14:paraId="65B8CDC1"/>
    <w:p w14:paraId="65F32356"/>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5BBF">
    <w:pPr>
      <w:pStyle w:val="23"/>
      <w:framePr w:wrap="around" w:vAnchor="text" w:hAnchor="margin" w:xAlign="center" w:y="1"/>
      <w:rPr>
        <w:rStyle w:val="42"/>
      </w:rPr>
    </w:pPr>
    <w:r>
      <w:fldChar w:fldCharType="begin"/>
    </w:r>
    <w:r>
      <w:rPr>
        <w:rStyle w:val="42"/>
      </w:rPr>
      <w:instrText xml:space="preserve">PAGE  </w:instrText>
    </w:r>
    <w:r>
      <w:fldChar w:fldCharType="end"/>
    </w:r>
  </w:p>
  <w:p w14:paraId="3D99997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8CDC">
    <w:pPr>
      <w:pStyle w:val="23"/>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80AB">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619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3F8BB570">
                    <w:pPr>
                      <w:spacing w:before="12"/>
                      <w:ind w:left="40"/>
                      <w:jc w:val="left"/>
                      <w:rPr>
                        <w:sz w:val="18"/>
                      </w:rPr>
                    </w:pP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FCC">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3120;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274B548B">
                    <w:pPr>
                      <w:spacing w:before="12"/>
                      <w:ind w:left="40"/>
                      <w:jc w:val="left"/>
                      <w:rPr>
                        <w:sz w:val="18"/>
                      </w:rPr>
                    </w:pP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BCAB">
    <w:pPr>
      <w:pStyle w:val="1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2096;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4295AF83">
                    <w:pPr>
                      <w:spacing w:before="12"/>
                      <w:ind w:left="40"/>
                      <w:jc w:val="left"/>
                      <w:rPr>
                        <w:sz w:val="18"/>
                      </w:rPr>
                    </w:pPr>
                    <w:r>
                      <w:fldChar w:fldCharType="begin"/>
                    </w:r>
                    <w:r>
                      <w:rPr>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4F0E">
    <w:pPr>
      <w:pStyle w:val="1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0048;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5A778383">
                    <w:pPr>
                      <w:spacing w:before="12"/>
                      <w:ind w:left="40"/>
                      <w:jc w:val="left"/>
                      <w:rPr>
                        <w:sz w:val="18"/>
                      </w:rPr>
                    </w:pPr>
                    <w:r>
                      <w:fldChar w:fldCharType="begin"/>
                    </w:r>
                    <w:r>
                      <w:rPr>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6CC1">
    <w:pPr>
      <w:pStyle w:val="23"/>
      <w:framePr w:wrap="around" w:vAnchor="text" w:hAnchor="margin" w:xAlign="center" w:y="1"/>
      <w:rPr>
        <w:rStyle w:val="42"/>
      </w:rPr>
    </w:pPr>
    <w:r>
      <w:fldChar w:fldCharType="begin"/>
    </w:r>
    <w:r>
      <w:rPr>
        <w:rStyle w:val="42"/>
      </w:rPr>
      <w:instrText xml:space="preserve">PAGE  </w:instrText>
    </w:r>
    <w:r>
      <w:fldChar w:fldCharType="end"/>
    </w:r>
  </w:p>
  <w:p w14:paraId="2E72828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0F94">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640A">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958">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2B03">
    <w:pPr>
      <w:pStyle w:val="24"/>
      <w:rPr>
        <w:rFonts w:ascii="仿宋" w:hAnsi="仿宋" w:eastAsia="仿宋"/>
      </w:rPr>
    </w:pPr>
    <w:r>
      <w:rPr>
        <w:rFonts w:hint="eastAsia" w:ascii="仿宋" w:hAnsi="仿宋" w:eastAsia="仿宋"/>
        <w:lang w:eastAsia="zh-CN"/>
      </w:rPr>
      <w:t>南通名万家具有限公司</w:t>
    </w:r>
    <w:r>
      <w:rPr>
        <w:rFonts w:hint="eastAsia" w:ascii="仿宋" w:hAnsi="仿宋" w:eastAsia="仿宋"/>
      </w:rPr>
      <w:t>突发环境事件风险评估报告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C45ED"/>
    <w:multiLevelType w:val="singleLevel"/>
    <w:tmpl w:val="8DBC45ED"/>
    <w:lvl w:ilvl="0" w:tentative="0">
      <w:start w:val="1"/>
      <w:numFmt w:val="decimal"/>
      <w:suff w:val="nothing"/>
      <w:lvlText w:val="（%1）"/>
      <w:lvlJc w:val="left"/>
    </w:lvl>
  </w:abstractNum>
  <w:abstractNum w:abstractNumId="1">
    <w:nsid w:val="92D00AF6"/>
    <w:multiLevelType w:val="singleLevel"/>
    <w:tmpl w:val="92D00AF6"/>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2">
    <w:nsid w:val="A1A00297"/>
    <w:multiLevelType w:val="singleLevel"/>
    <w:tmpl w:val="A1A00297"/>
    <w:lvl w:ilvl="0" w:tentative="0">
      <w:start w:val="1"/>
      <w:numFmt w:val="decimal"/>
      <w:suff w:val="nothing"/>
      <w:lvlText w:val="%1、"/>
      <w:lvlJc w:val="left"/>
    </w:lvl>
  </w:abstractNum>
  <w:abstractNum w:abstractNumId="3">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4">
    <w:nsid w:val="CC07C0A9"/>
    <w:multiLevelType w:val="singleLevel"/>
    <w:tmpl w:val="CC07C0A9"/>
    <w:lvl w:ilvl="0" w:tentative="0">
      <w:start w:val="1"/>
      <w:numFmt w:val="decimal"/>
      <w:suff w:val="nothing"/>
      <w:lvlText w:val="（%1）"/>
      <w:lvlJc w:val="left"/>
    </w:lvl>
  </w:abstractNum>
  <w:abstractNum w:abstractNumId="5">
    <w:nsid w:val="EC931113"/>
    <w:multiLevelType w:val="singleLevel"/>
    <w:tmpl w:val="EC931113"/>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7">
    <w:nsid w:val="594B169E"/>
    <w:multiLevelType w:val="singleLevel"/>
    <w:tmpl w:val="594B169E"/>
    <w:lvl w:ilvl="0" w:tentative="0">
      <w:start w:val="2"/>
      <w:numFmt w:val="decimal"/>
      <w:suff w:val="nothing"/>
      <w:lvlText w:val="（%1）"/>
      <w:lvlJc w:val="left"/>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2A27"/>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192"/>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4EC"/>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324"/>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878D1"/>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5151"/>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1E6"/>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0A29DC"/>
    <w:rsid w:val="01135705"/>
    <w:rsid w:val="01390BCC"/>
    <w:rsid w:val="015651CB"/>
    <w:rsid w:val="015C4234"/>
    <w:rsid w:val="01666558"/>
    <w:rsid w:val="017632CF"/>
    <w:rsid w:val="01951891"/>
    <w:rsid w:val="0196004B"/>
    <w:rsid w:val="01F319A2"/>
    <w:rsid w:val="01F44222"/>
    <w:rsid w:val="020021E6"/>
    <w:rsid w:val="02010A8E"/>
    <w:rsid w:val="020236B3"/>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300DA"/>
    <w:rsid w:val="036B611E"/>
    <w:rsid w:val="03A11FB8"/>
    <w:rsid w:val="03B460E6"/>
    <w:rsid w:val="03BD711C"/>
    <w:rsid w:val="03E05B99"/>
    <w:rsid w:val="03ED0B73"/>
    <w:rsid w:val="03F826EF"/>
    <w:rsid w:val="040D4647"/>
    <w:rsid w:val="04193F84"/>
    <w:rsid w:val="041C1EA4"/>
    <w:rsid w:val="045D37F5"/>
    <w:rsid w:val="04910518"/>
    <w:rsid w:val="04C22816"/>
    <w:rsid w:val="04C82992"/>
    <w:rsid w:val="04E62E18"/>
    <w:rsid w:val="04F507E0"/>
    <w:rsid w:val="04FD3DB2"/>
    <w:rsid w:val="0502151A"/>
    <w:rsid w:val="05125682"/>
    <w:rsid w:val="052E4D55"/>
    <w:rsid w:val="053E54C2"/>
    <w:rsid w:val="054260F9"/>
    <w:rsid w:val="057335C1"/>
    <w:rsid w:val="058B5B44"/>
    <w:rsid w:val="05B21A86"/>
    <w:rsid w:val="05B54D02"/>
    <w:rsid w:val="05FF342F"/>
    <w:rsid w:val="06144F13"/>
    <w:rsid w:val="06347FAA"/>
    <w:rsid w:val="06840B3B"/>
    <w:rsid w:val="0687353C"/>
    <w:rsid w:val="068F461C"/>
    <w:rsid w:val="06A03611"/>
    <w:rsid w:val="06AD3DF6"/>
    <w:rsid w:val="06B548C2"/>
    <w:rsid w:val="06CB77F8"/>
    <w:rsid w:val="06D94A2A"/>
    <w:rsid w:val="07001C9F"/>
    <w:rsid w:val="0772152F"/>
    <w:rsid w:val="07840838"/>
    <w:rsid w:val="07A6120A"/>
    <w:rsid w:val="07B635D8"/>
    <w:rsid w:val="07E33BE5"/>
    <w:rsid w:val="07EC2DF4"/>
    <w:rsid w:val="08073233"/>
    <w:rsid w:val="080A092D"/>
    <w:rsid w:val="08766E28"/>
    <w:rsid w:val="088968DD"/>
    <w:rsid w:val="088C4FBB"/>
    <w:rsid w:val="089A2375"/>
    <w:rsid w:val="08AC03F8"/>
    <w:rsid w:val="08D27E05"/>
    <w:rsid w:val="08DF1AA3"/>
    <w:rsid w:val="08E26E3A"/>
    <w:rsid w:val="08EF4796"/>
    <w:rsid w:val="08F63846"/>
    <w:rsid w:val="090F4267"/>
    <w:rsid w:val="091308EE"/>
    <w:rsid w:val="09130EA8"/>
    <w:rsid w:val="09440A55"/>
    <w:rsid w:val="095A2C3D"/>
    <w:rsid w:val="096716D2"/>
    <w:rsid w:val="09752731"/>
    <w:rsid w:val="09793867"/>
    <w:rsid w:val="097B1990"/>
    <w:rsid w:val="09912DB6"/>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E8794C"/>
    <w:rsid w:val="0B224DC6"/>
    <w:rsid w:val="0B2A1067"/>
    <w:rsid w:val="0B3D000D"/>
    <w:rsid w:val="0B521208"/>
    <w:rsid w:val="0B8352AD"/>
    <w:rsid w:val="0B847AD1"/>
    <w:rsid w:val="0B997C9E"/>
    <w:rsid w:val="0BA25756"/>
    <w:rsid w:val="0BE0373D"/>
    <w:rsid w:val="0C0606C9"/>
    <w:rsid w:val="0C610511"/>
    <w:rsid w:val="0C6403F1"/>
    <w:rsid w:val="0CA668E9"/>
    <w:rsid w:val="0CBC7E52"/>
    <w:rsid w:val="0CC9509F"/>
    <w:rsid w:val="0CD4732C"/>
    <w:rsid w:val="0D044A13"/>
    <w:rsid w:val="0D1060C8"/>
    <w:rsid w:val="0D163B1B"/>
    <w:rsid w:val="0D2F10B2"/>
    <w:rsid w:val="0D4E5218"/>
    <w:rsid w:val="0D600B32"/>
    <w:rsid w:val="0D652DDF"/>
    <w:rsid w:val="0D69372A"/>
    <w:rsid w:val="0D90063E"/>
    <w:rsid w:val="0DA55244"/>
    <w:rsid w:val="0DC40639"/>
    <w:rsid w:val="0DE37DAB"/>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297BF6"/>
    <w:rsid w:val="10496292"/>
    <w:rsid w:val="105A4DF7"/>
    <w:rsid w:val="10E41AA8"/>
    <w:rsid w:val="10E50428"/>
    <w:rsid w:val="10F13271"/>
    <w:rsid w:val="110A4333"/>
    <w:rsid w:val="1118155D"/>
    <w:rsid w:val="11587417"/>
    <w:rsid w:val="119254E8"/>
    <w:rsid w:val="119C3D87"/>
    <w:rsid w:val="11B86C8E"/>
    <w:rsid w:val="11DC2678"/>
    <w:rsid w:val="11F37AAF"/>
    <w:rsid w:val="1231505F"/>
    <w:rsid w:val="12490C1A"/>
    <w:rsid w:val="126A3E6B"/>
    <w:rsid w:val="126C326A"/>
    <w:rsid w:val="12815AEB"/>
    <w:rsid w:val="12C337DE"/>
    <w:rsid w:val="13017C14"/>
    <w:rsid w:val="13083EAD"/>
    <w:rsid w:val="13215E10"/>
    <w:rsid w:val="13283DEC"/>
    <w:rsid w:val="13544C3F"/>
    <w:rsid w:val="135F0B15"/>
    <w:rsid w:val="13634DDD"/>
    <w:rsid w:val="13856446"/>
    <w:rsid w:val="138A08E0"/>
    <w:rsid w:val="1396747A"/>
    <w:rsid w:val="13A3130F"/>
    <w:rsid w:val="13E82F19"/>
    <w:rsid w:val="13EE3A98"/>
    <w:rsid w:val="14010C77"/>
    <w:rsid w:val="140356B0"/>
    <w:rsid w:val="141D30BE"/>
    <w:rsid w:val="142E79C5"/>
    <w:rsid w:val="14587E57"/>
    <w:rsid w:val="14741441"/>
    <w:rsid w:val="14BB1C9F"/>
    <w:rsid w:val="14EE552B"/>
    <w:rsid w:val="15094C5D"/>
    <w:rsid w:val="150B2021"/>
    <w:rsid w:val="15316317"/>
    <w:rsid w:val="155906E9"/>
    <w:rsid w:val="156247B4"/>
    <w:rsid w:val="1570752D"/>
    <w:rsid w:val="15770229"/>
    <w:rsid w:val="158826C2"/>
    <w:rsid w:val="15AF273C"/>
    <w:rsid w:val="15B14CD7"/>
    <w:rsid w:val="15D07525"/>
    <w:rsid w:val="15E2544F"/>
    <w:rsid w:val="1600098F"/>
    <w:rsid w:val="160E0B58"/>
    <w:rsid w:val="162776F9"/>
    <w:rsid w:val="165A62EF"/>
    <w:rsid w:val="165B5E1A"/>
    <w:rsid w:val="16606B1D"/>
    <w:rsid w:val="16620A0C"/>
    <w:rsid w:val="16745DD3"/>
    <w:rsid w:val="16846772"/>
    <w:rsid w:val="16DD0CDF"/>
    <w:rsid w:val="16E377B7"/>
    <w:rsid w:val="16EE4C4E"/>
    <w:rsid w:val="16FA509C"/>
    <w:rsid w:val="17072B4C"/>
    <w:rsid w:val="170D12AB"/>
    <w:rsid w:val="171A3ED5"/>
    <w:rsid w:val="17205BE7"/>
    <w:rsid w:val="1724221D"/>
    <w:rsid w:val="17465AAA"/>
    <w:rsid w:val="17503104"/>
    <w:rsid w:val="17505D4E"/>
    <w:rsid w:val="17783BE3"/>
    <w:rsid w:val="1779628A"/>
    <w:rsid w:val="17815854"/>
    <w:rsid w:val="17925175"/>
    <w:rsid w:val="17C01CAC"/>
    <w:rsid w:val="17E37BDB"/>
    <w:rsid w:val="17EF3F70"/>
    <w:rsid w:val="17F142A9"/>
    <w:rsid w:val="18063F3F"/>
    <w:rsid w:val="180A4E9A"/>
    <w:rsid w:val="180D7251"/>
    <w:rsid w:val="182A52EE"/>
    <w:rsid w:val="188D5D73"/>
    <w:rsid w:val="189169E3"/>
    <w:rsid w:val="18925E68"/>
    <w:rsid w:val="18A66EE8"/>
    <w:rsid w:val="18A95603"/>
    <w:rsid w:val="18B164AA"/>
    <w:rsid w:val="18D314AE"/>
    <w:rsid w:val="18D32768"/>
    <w:rsid w:val="190A363B"/>
    <w:rsid w:val="190D75D7"/>
    <w:rsid w:val="19127E89"/>
    <w:rsid w:val="193D60D8"/>
    <w:rsid w:val="195329B1"/>
    <w:rsid w:val="19550A6E"/>
    <w:rsid w:val="1960212B"/>
    <w:rsid w:val="196E31B2"/>
    <w:rsid w:val="19B060A9"/>
    <w:rsid w:val="19B51C74"/>
    <w:rsid w:val="19B94B48"/>
    <w:rsid w:val="19DA77B2"/>
    <w:rsid w:val="19E6067F"/>
    <w:rsid w:val="19FB6F0E"/>
    <w:rsid w:val="1A26411C"/>
    <w:rsid w:val="1A93172C"/>
    <w:rsid w:val="1A9F6FC9"/>
    <w:rsid w:val="1ADD5F89"/>
    <w:rsid w:val="1AE2457F"/>
    <w:rsid w:val="1B284842"/>
    <w:rsid w:val="1B2D3FA1"/>
    <w:rsid w:val="1B761192"/>
    <w:rsid w:val="1BB644AB"/>
    <w:rsid w:val="1BD64C8E"/>
    <w:rsid w:val="1BE21A22"/>
    <w:rsid w:val="1BEF6945"/>
    <w:rsid w:val="1C080F58"/>
    <w:rsid w:val="1C314E69"/>
    <w:rsid w:val="1C526C57"/>
    <w:rsid w:val="1C89589E"/>
    <w:rsid w:val="1CAC2742"/>
    <w:rsid w:val="1CBA6476"/>
    <w:rsid w:val="1CE263F6"/>
    <w:rsid w:val="1CEB63B0"/>
    <w:rsid w:val="1D00452D"/>
    <w:rsid w:val="1D085BCA"/>
    <w:rsid w:val="1D0C33F7"/>
    <w:rsid w:val="1D301CD2"/>
    <w:rsid w:val="1D3D0078"/>
    <w:rsid w:val="1D5645F1"/>
    <w:rsid w:val="1D6C1236"/>
    <w:rsid w:val="1D7D6E22"/>
    <w:rsid w:val="1D8E222D"/>
    <w:rsid w:val="1D937159"/>
    <w:rsid w:val="1DCB56F0"/>
    <w:rsid w:val="1DCF0410"/>
    <w:rsid w:val="1DEA1774"/>
    <w:rsid w:val="1E132454"/>
    <w:rsid w:val="1E1A0346"/>
    <w:rsid w:val="1E592455"/>
    <w:rsid w:val="1E687CCB"/>
    <w:rsid w:val="1E827766"/>
    <w:rsid w:val="1ED33B65"/>
    <w:rsid w:val="1EE91E3A"/>
    <w:rsid w:val="1EF36B56"/>
    <w:rsid w:val="1EFD4A3C"/>
    <w:rsid w:val="1F254DB3"/>
    <w:rsid w:val="1F302632"/>
    <w:rsid w:val="1F5E3452"/>
    <w:rsid w:val="1F627CDB"/>
    <w:rsid w:val="1F6E5430"/>
    <w:rsid w:val="1F813E90"/>
    <w:rsid w:val="1F814CE7"/>
    <w:rsid w:val="1F8877F4"/>
    <w:rsid w:val="1F9E7C4F"/>
    <w:rsid w:val="1FAB150A"/>
    <w:rsid w:val="1FBC46FD"/>
    <w:rsid w:val="1FBD4AD7"/>
    <w:rsid w:val="1FCC3129"/>
    <w:rsid w:val="1FEA11D0"/>
    <w:rsid w:val="2007660D"/>
    <w:rsid w:val="202371A4"/>
    <w:rsid w:val="20265D36"/>
    <w:rsid w:val="20316401"/>
    <w:rsid w:val="20596293"/>
    <w:rsid w:val="207634F3"/>
    <w:rsid w:val="207E788B"/>
    <w:rsid w:val="20AE4CDA"/>
    <w:rsid w:val="20C77F50"/>
    <w:rsid w:val="20D672A3"/>
    <w:rsid w:val="20EF1DAA"/>
    <w:rsid w:val="20F8426A"/>
    <w:rsid w:val="20FA635E"/>
    <w:rsid w:val="21054C3D"/>
    <w:rsid w:val="214D78C2"/>
    <w:rsid w:val="21696E53"/>
    <w:rsid w:val="21825951"/>
    <w:rsid w:val="21D13511"/>
    <w:rsid w:val="21F6317C"/>
    <w:rsid w:val="21FC43D6"/>
    <w:rsid w:val="2216596C"/>
    <w:rsid w:val="22203CFA"/>
    <w:rsid w:val="222B79BE"/>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E541A0"/>
    <w:rsid w:val="23EC6A96"/>
    <w:rsid w:val="23FE4070"/>
    <w:rsid w:val="243214AC"/>
    <w:rsid w:val="244E1D75"/>
    <w:rsid w:val="24647AE7"/>
    <w:rsid w:val="24861ACA"/>
    <w:rsid w:val="248A0D43"/>
    <w:rsid w:val="24B5637E"/>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806B74"/>
    <w:rsid w:val="268F36B5"/>
    <w:rsid w:val="26B11F2B"/>
    <w:rsid w:val="26D65E39"/>
    <w:rsid w:val="27040920"/>
    <w:rsid w:val="27104899"/>
    <w:rsid w:val="271F4A33"/>
    <w:rsid w:val="27231852"/>
    <w:rsid w:val="273947A8"/>
    <w:rsid w:val="27AD4773"/>
    <w:rsid w:val="27C91384"/>
    <w:rsid w:val="27D668C5"/>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BF5862"/>
    <w:rsid w:val="29CB3010"/>
    <w:rsid w:val="29E037B8"/>
    <w:rsid w:val="2A2121D6"/>
    <w:rsid w:val="2A3A45AD"/>
    <w:rsid w:val="2A540D79"/>
    <w:rsid w:val="2A7E6B46"/>
    <w:rsid w:val="2A906A52"/>
    <w:rsid w:val="2AAB41E7"/>
    <w:rsid w:val="2AB12EA9"/>
    <w:rsid w:val="2AB63832"/>
    <w:rsid w:val="2ABB6723"/>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83F86"/>
    <w:rsid w:val="2BDC39E5"/>
    <w:rsid w:val="2BE64890"/>
    <w:rsid w:val="2C1E6B55"/>
    <w:rsid w:val="2C36072E"/>
    <w:rsid w:val="2C376167"/>
    <w:rsid w:val="2C44722F"/>
    <w:rsid w:val="2C974BF3"/>
    <w:rsid w:val="2CAD724B"/>
    <w:rsid w:val="2CE61358"/>
    <w:rsid w:val="2CFE4FF5"/>
    <w:rsid w:val="2CFF170E"/>
    <w:rsid w:val="2D0205FD"/>
    <w:rsid w:val="2D052134"/>
    <w:rsid w:val="2D111B87"/>
    <w:rsid w:val="2D167DF1"/>
    <w:rsid w:val="2D52454B"/>
    <w:rsid w:val="2D8728DE"/>
    <w:rsid w:val="2DA4532F"/>
    <w:rsid w:val="2DBC7251"/>
    <w:rsid w:val="2DBF4931"/>
    <w:rsid w:val="2DD87A75"/>
    <w:rsid w:val="2DF424CA"/>
    <w:rsid w:val="2DFC4B6C"/>
    <w:rsid w:val="2DFC5C0B"/>
    <w:rsid w:val="2E0E2C84"/>
    <w:rsid w:val="2E394E25"/>
    <w:rsid w:val="2E556993"/>
    <w:rsid w:val="2E59454D"/>
    <w:rsid w:val="2E8B30FF"/>
    <w:rsid w:val="2EAB2BF5"/>
    <w:rsid w:val="2EAD2E4C"/>
    <w:rsid w:val="2EC24664"/>
    <w:rsid w:val="2EEA2C98"/>
    <w:rsid w:val="2EF02780"/>
    <w:rsid w:val="2F051999"/>
    <w:rsid w:val="2F0543B1"/>
    <w:rsid w:val="2F066B65"/>
    <w:rsid w:val="2F2347D9"/>
    <w:rsid w:val="2F332883"/>
    <w:rsid w:val="2F3A598B"/>
    <w:rsid w:val="2F3F1261"/>
    <w:rsid w:val="2F554CA2"/>
    <w:rsid w:val="2F596F0E"/>
    <w:rsid w:val="2F7505A7"/>
    <w:rsid w:val="2F861641"/>
    <w:rsid w:val="2FC0598F"/>
    <w:rsid w:val="2FD55BB1"/>
    <w:rsid w:val="30020D67"/>
    <w:rsid w:val="300800B8"/>
    <w:rsid w:val="30225FF8"/>
    <w:rsid w:val="30327F7C"/>
    <w:rsid w:val="303A5CBE"/>
    <w:rsid w:val="304A074B"/>
    <w:rsid w:val="305019D6"/>
    <w:rsid w:val="306929CC"/>
    <w:rsid w:val="307D56A8"/>
    <w:rsid w:val="308D375F"/>
    <w:rsid w:val="30913CD1"/>
    <w:rsid w:val="30BF5C4B"/>
    <w:rsid w:val="30C07829"/>
    <w:rsid w:val="30C67684"/>
    <w:rsid w:val="30CE6CD3"/>
    <w:rsid w:val="30F566E1"/>
    <w:rsid w:val="30F93BFA"/>
    <w:rsid w:val="3122767C"/>
    <w:rsid w:val="31286FBC"/>
    <w:rsid w:val="3137341C"/>
    <w:rsid w:val="314F2144"/>
    <w:rsid w:val="315E2A05"/>
    <w:rsid w:val="316664D7"/>
    <w:rsid w:val="316B7CCB"/>
    <w:rsid w:val="316D2FA8"/>
    <w:rsid w:val="31C72DF5"/>
    <w:rsid w:val="31DB0C31"/>
    <w:rsid w:val="31FB7623"/>
    <w:rsid w:val="324C57A9"/>
    <w:rsid w:val="32614C75"/>
    <w:rsid w:val="32815CBA"/>
    <w:rsid w:val="328C713B"/>
    <w:rsid w:val="32951F6D"/>
    <w:rsid w:val="329E72C7"/>
    <w:rsid w:val="32A6032C"/>
    <w:rsid w:val="32AC17D7"/>
    <w:rsid w:val="32C26BEC"/>
    <w:rsid w:val="32C47621"/>
    <w:rsid w:val="33121F64"/>
    <w:rsid w:val="33143EED"/>
    <w:rsid w:val="334255F4"/>
    <w:rsid w:val="337C4435"/>
    <w:rsid w:val="33880EEF"/>
    <w:rsid w:val="33C32C8F"/>
    <w:rsid w:val="33C75BC6"/>
    <w:rsid w:val="33F42EE9"/>
    <w:rsid w:val="33F74503"/>
    <w:rsid w:val="33F848B7"/>
    <w:rsid w:val="341772D9"/>
    <w:rsid w:val="343A01EC"/>
    <w:rsid w:val="343F6199"/>
    <w:rsid w:val="34843873"/>
    <w:rsid w:val="34B06097"/>
    <w:rsid w:val="34D25746"/>
    <w:rsid w:val="3546112B"/>
    <w:rsid w:val="35501D28"/>
    <w:rsid w:val="3575771D"/>
    <w:rsid w:val="35C0683A"/>
    <w:rsid w:val="35EC1514"/>
    <w:rsid w:val="363E0752"/>
    <w:rsid w:val="364361AA"/>
    <w:rsid w:val="3645702F"/>
    <w:rsid w:val="36573DB1"/>
    <w:rsid w:val="36585E53"/>
    <w:rsid w:val="366F6D31"/>
    <w:rsid w:val="36871C73"/>
    <w:rsid w:val="36F17277"/>
    <w:rsid w:val="37016216"/>
    <w:rsid w:val="37055AD0"/>
    <w:rsid w:val="37121810"/>
    <w:rsid w:val="371E410C"/>
    <w:rsid w:val="372D1800"/>
    <w:rsid w:val="3735522D"/>
    <w:rsid w:val="374F3DD7"/>
    <w:rsid w:val="375F706D"/>
    <w:rsid w:val="376932B2"/>
    <w:rsid w:val="376F0CE2"/>
    <w:rsid w:val="37844799"/>
    <w:rsid w:val="37905FFF"/>
    <w:rsid w:val="37AC4983"/>
    <w:rsid w:val="37AF432A"/>
    <w:rsid w:val="37B31F85"/>
    <w:rsid w:val="37B87D95"/>
    <w:rsid w:val="37E65331"/>
    <w:rsid w:val="38224022"/>
    <w:rsid w:val="3860298E"/>
    <w:rsid w:val="38863971"/>
    <w:rsid w:val="38923D3A"/>
    <w:rsid w:val="389D1318"/>
    <w:rsid w:val="38A504D3"/>
    <w:rsid w:val="38E5618A"/>
    <w:rsid w:val="391F0993"/>
    <w:rsid w:val="393C4E1A"/>
    <w:rsid w:val="39467F6B"/>
    <w:rsid w:val="394A4223"/>
    <w:rsid w:val="39602492"/>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BB532B"/>
    <w:rsid w:val="3AC16F61"/>
    <w:rsid w:val="3AEC0481"/>
    <w:rsid w:val="3AF50C27"/>
    <w:rsid w:val="3AFB35FA"/>
    <w:rsid w:val="3B1558D1"/>
    <w:rsid w:val="3B383BC4"/>
    <w:rsid w:val="3B3865EE"/>
    <w:rsid w:val="3B3918BC"/>
    <w:rsid w:val="3B54246C"/>
    <w:rsid w:val="3BA52A51"/>
    <w:rsid w:val="3BB056E6"/>
    <w:rsid w:val="3BC5559F"/>
    <w:rsid w:val="3BCF0513"/>
    <w:rsid w:val="3BD03C0A"/>
    <w:rsid w:val="3BEB0215"/>
    <w:rsid w:val="3C0B3935"/>
    <w:rsid w:val="3C2639EF"/>
    <w:rsid w:val="3C3976F6"/>
    <w:rsid w:val="3C3E4D7A"/>
    <w:rsid w:val="3C53257C"/>
    <w:rsid w:val="3C5F3F6B"/>
    <w:rsid w:val="3C6C64DA"/>
    <w:rsid w:val="3C723DB5"/>
    <w:rsid w:val="3CBE720A"/>
    <w:rsid w:val="3CBF3D1B"/>
    <w:rsid w:val="3CC54C0A"/>
    <w:rsid w:val="3CE14232"/>
    <w:rsid w:val="3CE300AA"/>
    <w:rsid w:val="3CFF0F0A"/>
    <w:rsid w:val="3D193084"/>
    <w:rsid w:val="3D364D81"/>
    <w:rsid w:val="3D374A0B"/>
    <w:rsid w:val="3D3C286A"/>
    <w:rsid w:val="3D572BF0"/>
    <w:rsid w:val="3D5F56B5"/>
    <w:rsid w:val="3DA83D0A"/>
    <w:rsid w:val="3DC95E64"/>
    <w:rsid w:val="3DD20B6C"/>
    <w:rsid w:val="3DDD4B2B"/>
    <w:rsid w:val="3DE11D43"/>
    <w:rsid w:val="3E0A46F6"/>
    <w:rsid w:val="3E204CE3"/>
    <w:rsid w:val="3E2231DF"/>
    <w:rsid w:val="3E3143FD"/>
    <w:rsid w:val="3E3914AB"/>
    <w:rsid w:val="3E47171B"/>
    <w:rsid w:val="3E62523C"/>
    <w:rsid w:val="3E6560C0"/>
    <w:rsid w:val="3E790550"/>
    <w:rsid w:val="3E933053"/>
    <w:rsid w:val="3EB34B10"/>
    <w:rsid w:val="3EB97E84"/>
    <w:rsid w:val="3EC10D7D"/>
    <w:rsid w:val="3EC66B2E"/>
    <w:rsid w:val="3ECB3B4A"/>
    <w:rsid w:val="3EEA65C3"/>
    <w:rsid w:val="3F0804FF"/>
    <w:rsid w:val="3F137F44"/>
    <w:rsid w:val="3F1C7AA1"/>
    <w:rsid w:val="3F253896"/>
    <w:rsid w:val="3F396B2A"/>
    <w:rsid w:val="3F456499"/>
    <w:rsid w:val="3F495B03"/>
    <w:rsid w:val="3F4F2A01"/>
    <w:rsid w:val="3F94017C"/>
    <w:rsid w:val="3FAB729B"/>
    <w:rsid w:val="3FC879D5"/>
    <w:rsid w:val="3FC928A4"/>
    <w:rsid w:val="3FFB0D98"/>
    <w:rsid w:val="3FFE0267"/>
    <w:rsid w:val="402C4DF9"/>
    <w:rsid w:val="40427BD5"/>
    <w:rsid w:val="40553718"/>
    <w:rsid w:val="40553BBD"/>
    <w:rsid w:val="407F77F4"/>
    <w:rsid w:val="40905D53"/>
    <w:rsid w:val="40932C0F"/>
    <w:rsid w:val="409723EF"/>
    <w:rsid w:val="40C854ED"/>
    <w:rsid w:val="40C92324"/>
    <w:rsid w:val="40F50ED0"/>
    <w:rsid w:val="40FF4477"/>
    <w:rsid w:val="412E6E5A"/>
    <w:rsid w:val="413F001C"/>
    <w:rsid w:val="4154495F"/>
    <w:rsid w:val="415C0B59"/>
    <w:rsid w:val="41834159"/>
    <w:rsid w:val="418A72E4"/>
    <w:rsid w:val="41A907FD"/>
    <w:rsid w:val="41C458B1"/>
    <w:rsid w:val="41D34D41"/>
    <w:rsid w:val="42167845"/>
    <w:rsid w:val="42341EC6"/>
    <w:rsid w:val="423C7F07"/>
    <w:rsid w:val="42554B5E"/>
    <w:rsid w:val="42652706"/>
    <w:rsid w:val="42672BE1"/>
    <w:rsid w:val="4287046B"/>
    <w:rsid w:val="42AA6321"/>
    <w:rsid w:val="42BA4D90"/>
    <w:rsid w:val="42C149A3"/>
    <w:rsid w:val="42E172A2"/>
    <w:rsid w:val="42EA799C"/>
    <w:rsid w:val="431E58A5"/>
    <w:rsid w:val="432B7898"/>
    <w:rsid w:val="433E1001"/>
    <w:rsid w:val="434D5B39"/>
    <w:rsid w:val="43656B48"/>
    <w:rsid w:val="43776D56"/>
    <w:rsid w:val="43780CB2"/>
    <w:rsid w:val="439B1895"/>
    <w:rsid w:val="43A763AF"/>
    <w:rsid w:val="43B637EA"/>
    <w:rsid w:val="43B6787E"/>
    <w:rsid w:val="43CB3A74"/>
    <w:rsid w:val="43EA3450"/>
    <w:rsid w:val="43F3642E"/>
    <w:rsid w:val="44001119"/>
    <w:rsid w:val="445F7654"/>
    <w:rsid w:val="447F6556"/>
    <w:rsid w:val="449F1494"/>
    <w:rsid w:val="44AC3DE0"/>
    <w:rsid w:val="44CA7D5F"/>
    <w:rsid w:val="44EA6F68"/>
    <w:rsid w:val="45111DC2"/>
    <w:rsid w:val="452303E7"/>
    <w:rsid w:val="45332881"/>
    <w:rsid w:val="45AD136E"/>
    <w:rsid w:val="45B217F4"/>
    <w:rsid w:val="460E66D2"/>
    <w:rsid w:val="461B516D"/>
    <w:rsid w:val="462C31F9"/>
    <w:rsid w:val="4633108F"/>
    <w:rsid w:val="463915B4"/>
    <w:rsid w:val="46676552"/>
    <w:rsid w:val="467872A0"/>
    <w:rsid w:val="46803CA1"/>
    <w:rsid w:val="46804220"/>
    <w:rsid w:val="469E2915"/>
    <w:rsid w:val="46B73022"/>
    <w:rsid w:val="46C6580A"/>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9D2B6A"/>
    <w:rsid w:val="48AF1A2C"/>
    <w:rsid w:val="48C02F86"/>
    <w:rsid w:val="48C926EA"/>
    <w:rsid w:val="48DA1AF1"/>
    <w:rsid w:val="493966A3"/>
    <w:rsid w:val="49573279"/>
    <w:rsid w:val="495E5E4C"/>
    <w:rsid w:val="49BE68A4"/>
    <w:rsid w:val="49CA3159"/>
    <w:rsid w:val="49E54E4D"/>
    <w:rsid w:val="4A567E57"/>
    <w:rsid w:val="4A573A86"/>
    <w:rsid w:val="4A946C3A"/>
    <w:rsid w:val="4AAB71D8"/>
    <w:rsid w:val="4ABA3692"/>
    <w:rsid w:val="4ABE09B1"/>
    <w:rsid w:val="4AC64C9B"/>
    <w:rsid w:val="4AC95A6A"/>
    <w:rsid w:val="4ACB19E7"/>
    <w:rsid w:val="4B000CAC"/>
    <w:rsid w:val="4B022A13"/>
    <w:rsid w:val="4B2B05A4"/>
    <w:rsid w:val="4B353CB6"/>
    <w:rsid w:val="4B467083"/>
    <w:rsid w:val="4B651038"/>
    <w:rsid w:val="4B6B75E9"/>
    <w:rsid w:val="4B7E47FB"/>
    <w:rsid w:val="4B7E4935"/>
    <w:rsid w:val="4B8054BF"/>
    <w:rsid w:val="4B885624"/>
    <w:rsid w:val="4B8D0A5E"/>
    <w:rsid w:val="4BB70DBC"/>
    <w:rsid w:val="4BC92FA9"/>
    <w:rsid w:val="4BD7705A"/>
    <w:rsid w:val="4BE83D28"/>
    <w:rsid w:val="4C3752D5"/>
    <w:rsid w:val="4C3F2C68"/>
    <w:rsid w:val="4C78193D"/>
    <w:rsid w:val="4C8229F4"/>
    <w:rsid w:val="4CA76AC5"/>
    <w:rsid w:val="4CF10FC1"/>
    <w:rsid w:val="4CF82CB6"/>
    <w:rsid w:val="4D124768"/>
    <w:rsid w:val="4D264F17"/>
    <w:rsid w:val="4D2B0086"/>
    <w:rsid w:val="4D2E4497"/>
    <w:rsid w:val="4D40640B"/>
    <w:rsid w:val="4D4F6924"/>
    <w:rsid w:val="4D6A60AC"/>
    <w:rsid w:val="4D8D1DA4"/>
    <w:rsid w:val="4DC32AA3"/>
    <w:rsid w:val="4E0803D6"/>
    <w:rsid w:val="4E0B07C7"/>
    <w:rsid w:val="4E2D23E1"/>
    <w:rsid w:val="4E324336"/>
    <w:rsid w:val="4E490F71"/>
    <w:rsid w:val="4E9C6DB8"/>
    <w:rsid w:val="4EC23EAE"/>
    <w:rsid w:val="4F192B86"/>
    <w:rsid w:val="4F1E3B41"/>
    <w:rsid w:val="4F1F0560"/>
    <w:rsid w:val="4F28290F"/>
    <w:rsid w:val="4F543C53"/>
    <w:rsid w:val="4F8B35E0"/>
    <w:rsid w:val="4F9E734F"/>
    <w:rsid w:val="4FA61BE4"/>
    <w:rsid w:val="4FD67DC7"/>
    <w:rsid w:val="500269F8"/>
    <w:rsid w:val="50267B2F"/>
    <w:rsid w:val="503B2047"/>
    <w:rsid w:val="505D17E0"/>
    <w:rsid w:val="50941D07"/>
    <w:rsid w:val="50974C0C"/>
    <w:rsid w:val="50981A6E"/>
    <w:rsid w:val="509E7747"/>
    <w:rsid w:val="50A82BEE"/>
    <w:rsid w:val="50B53652"/>
    <w:rsid w:val="50B57780"/>
    <w:rsid w:val="50C51293"/>
    <w:rsid w:val="50CE4F37"/>
    <w:rsid w:val="51183E3E"/>
    <w:rsid w:val="512A2805"/>
    <w:rsid w:val="51340528"/>
    <w:rsid w:val="5151408F"/>
    <w:rsid w:val="517133B1"/>
    <w:rsid w:val="51743E58"/>
    <w:rsid w:val="51D5580D"/>
    <w:rsid w:val="51EC090F"/>
    <w:rsid w:val="521B7772"/>
    <w:rsid w:val="52251994"/>
    <w:rsid w:val="5233351C"/>
    <w:rsid w:val="52560348"/>
    <w:rsid w:val="52632802"/>
    <w:rsid w:val="527B077E"/>
    <w:rsid w:val="52A069FF"/>
    <w:rsid w:val="52AE24B8"/>
    <w:rsid w:val="52D65847"/>
    <w:rsid w:val="52E3483D"/>
    <w:rsid w:val="531C02C3"/>
    <w:rsid w:val="531C21C9"/>
    <w:rsid w:val="532E28B8"/>
    <w:rsid w:val="533471AB"/>
    <w:rsid w:val="534D6808"/>
    <w:rsid w:val="5359629E"/>
    <w:rsid w:val="536B671A"/>
    <w:rsid w:val="53896791"/>
    <w:rsid w:val="53A01641"/>
    <w:rsid w:val="53A47420"/>
    <w:rsid w:val="53B5288A"/>
    <w:rsid w:val="53BA18F2"/>
    <w:rsid w:val="53C102A5"/>
    <w:rsid w:val="53D732AC"/>
    <w:rsid w:val="54013224"/>
    <w:rsid w:val="54082164"/>
    <w:rsid w:val="5422570E"/>
    <w:rsid w:val="54396A35"/>
    <w:rsid w:val="543C34A3"/>
    <w:rsid w:val="54493A26"/>
    <w:rsid w:val="545E6E35"/>
    <w:rsid w:val="54822EB0"/>
    <w:rsid w:val="54933E92"/>
    <w:rsid w:val="54B11725"/>
    <w:rsid w:val="54B45976"/>
    <w:rsid w:val="54C8391A"/>
    <w:rsid w:val="54D14F51"/>
    <w:rsid w:val="5507301C"/>
    <w:rsid w:val="5512548F"/>
    <w:rsid w:val="554A6AC3"/>
    <w:rsid w:val="554C0C46"/>
    <w:rsid w:val="55831706"/>
    <w:rsid w:val="55862A34"/>
    <w:rsid w:val="55896CEB"/>
    <w:rsid w:val="558E2AF7"/>
    <w:rsid w:val="55A00563"/>
    <w:rsid w:val="55A241E9"/>
    <w:rsid w:val="55AB0A8B"/>
    <w:rsid w:val="55B654BC"/>
    <w:rsid w:val="55E34263"/>
    <w:rsid w:val="55E77811"/>
    <w:rsid w:val="55F67FAE"/>
    <w:rsid w:val="5646016B"/>
    <w:rsid w:val="565A207E"/>
    <w:rsid w:val="566C6470"/>
    <w:rsid w:val="56904833"/>
    <w:rsid w:val="56B47A9C"/>
    <w:rsid w:val="56C03C97"/>
    <w:rsid w:val="56D24578"/>
    <w:rsid w:val="56DB0CD7"/>
    <w:rsid w:val="56DE503C"/>
    <w:rsid w:val="5708640C"/>
    <w:rsid w:val="5712053B"/>
    <w:rsid w:val="574079C4"/>
    <w:rsid w:val="574B0EE7"/>
    <w:rsid w:val="57603878"/>
    <w:rsid w:val="576F318D"/>
    <w:rsid w:val="57831D16"/>
    <w:rsid w:val="57832510"/>
    <w:rsid w:val="57851087"/>
    <w:rsid w:val="57B43DA0"/>
    <w:rsid w:val="57CC6606"/>
    <w:rsid w:val="58075C53"/>
    <w:rsid w:val="5838442C"/>
    <w:rsid w:val="58694A68"/>
    <w:rsid w:val="58736030"/>
    <w:rsid w:val="588A06AC"/>
    <w:rsid w:val="588A0DE3"/>
    <w:rsid w:val="5899246A"/>
    <w:rsid w:val="58A27144"/>
    <w:rsid w:val="58CC23A5"/>
    <w:rsid w:val="58E078FA"/>
    <w:rsid w:val="58F5045B"/>
    <w:rsid w:val="58FB7812"/>
    <w:rsid w:val="591E76E8"/>
    <w:rsid w:val="592B4FF1"/>
    <w:rsid w:val="593E7CA2"/>
    <w:rsid w:val="595521F6"/>
    <w:rsid w:val="596E01EF"/>
    <w:rsid w:val="59AF293C"/>
    <w:rsid w:val="59B02104"/>
    <w:rsid w:val="59C029AB"/>
    <w:rsid w:val="59C53DC0"/>
    <w:rsid w:val="59CA28B4"/>
    <w:rsid w:val="59D93E6F"/>
    <w:rsid w:val="5A012E6F"/>
    <w:rsid w:val="5A042931"/>
    <w:rsid w:val="5A154996"/>
    <w:rsid w:val="5A21340C"/>
    <w:rsid w:val="5A24049E"/>
    <w:rsid w:val="5A4E57AF"/>
    <w:rsid w:val="5A50477F"/>
    <w:rsid w:val="5A542A36"/>
    <w:rsid w:val="5B1519A6"/>
    <w:rsid w:val="5B173022"/>
    <w:rsid w:val="5B2A102F"/>
    <w:rsid w:val="5B380D01"/>
    <w:rsid w:val="5B3C35EA"/>
    <w:rsid w:val="5B4218D9"/>
    <w:rsid w:val="5B761406"/>
    <w:rsid w:val="5B963C33"/>
    <w:rsid w:val="5BA71510"/>
    <w:rsid w:val="5BC61520"/>
    <w:rsid w:val="5BCF63CA"/>
    <w:rsid w:val="5C084598"/>
    <w:rsid w:val="5C144FF2"/>
    <w:rsid w:val="5C23541B"/>
    <w:rsid w:val="5C277114"/>
    <w:rsid w:val="5C292E8C"/>
    <w:rsid w:val="5C4872F9"/>
    <w:rsid w:val="5C4E5D1A"/>
    <w:rsid w:val="5C5141BF"/>
    <w:rsid w:val="5C665E30"/>
    <w:rsid w:val="5C74248A"/>
    <w:rsid w:val="5C7D7C2D"/>
    <w:rsid w:val="5CA42D69"/>
    <w:rsid w:val="5CAC5F4C"/>
    <w:rsid w:val="5CC04FCD"/>
    <w:rsid w:val="5CE6733E"/>
    <w:rsid w:val="5CF04AD8"/>
    <w:rsid w:val="5D021CBF"/>
    <w:rsid w:val="5D1A63CA"/>
    <w:rsid w:val="5D1E1174"/>
    <w:rsid w:val="5D262EA1"/>
    <w:rsid w:val="5D386854"/>
    <w:rsid w:val="5D4A0968"/>
    <w:rsid w:val="5D51607D"/>
    <w:rsid w:val="5D636E8D"/>
    <w:rsid w:val="5D652CD9"/>
    <w:rsid w:val="5DB828D3"/>
    <w:rsid w:val="5DD67928"/>
    <w:rsid w:val="5DE145FD"/>
    <w:rsid w:val="5E1B0B4B"/>
    <w:rsid w:val="5E287980"/>
    <w:rsid w:val="5E4B3709"/>
    <w:rsid w:val="5E525231"/>
    <w:rsid w:val="5E611ED0"/>
    <w:rsid w:val="5E8472FE"/>
    <w:rsid w:val="5ED5144F"/>
    <w:rsid w:val="5EDF3A2D"/>
    <w:rsid w:val="5EE56320"/>
    <w:rsid w:val="5EEC0607"/>
    <w:rsid w:val="5EF96D08"/>
    <w:rsid w:val="5F266950"/>
    <w:rsid w:val="5F282AC1"/>
    <w:rsid w:val="5F4139E5"/>
    <w:rsid w:val="5F6B51A4"/>
    <w:rsid w:val="5F7A5E4D"/>
    <w:rsid w:val="5F8E34E5"/>
    <w:rsid w:val="5F8F70AA"/>
    <w:rsid w:val="5FB3346D"/>
    <w:rsid w:val="5FF00D08"/>
    <w:rsid w:val="5FFB7C1D"/>
    <w:rsid w:val="60066A9A"/>
    <w:rsid w:val="60A64894"/>
    <w:rsid w:val="60D3730C"/>
    <w:rsid w:val="60E102C1"/>
    <w:rsid w:val="61067614"/>
    <w:rsid w:val="61101775"/>
    <w:rsid w:val="61262D0F"/>
    <w:rsid w:val="61280BDB"/>
    <w:rsid w:val="61291238"/>
    <w:rsid w:val="613520D4"/>
    <w:rsid w:val="616426A1"/>
    <w:rsid w:val="61AC794F"/>
    <w:rsid w:val="61BA1757"/>
    <w:rsid w:val="61C15914"/>
    <w:rsid w:val="61F424AA"/>
    <w:rsid w:val="622E6C69"/>
    <w:rsid w:val="62715800"/>
    <w:rsid w:val="627B35CE"/>
    <w:rsid w:val="629E4E86"/>
    <w:rsid w:val="62A17DFA"/>
    <w:rsid w:val="62C82302"/>
    <w:rsid w:val="62EC6198"/>
    <w:rsid w:val="630436AD"/>
    <w:rsid w:val="634E2D1B"/>
    <w:rsid w:val="63566A2B"/>
    <w:rsid w:val="636B4B11"/>
    <w:rsid w:val="637C5F97"/>
    <w:rsid w:val="638124D2"/>
    <w:rsid w:val="63A252D2"/>
    <w:rsid w:val="63A66DE8"/>
    <w:rsid w:val="63BE1B89"/>
    <w:rsid w:val="63BE647A"/>
    <w:rsid w:val="63F6696C"/>
    <w:rsid w:val="6403539E"/>
    <w:rsid w:val="64043A7E"/>
    <w:rsid w:val="642304BF"/>
    <w:rsid w:val="64252C77"/>
    <w:rsid w:val="64253428"/>
    <w:rsid w:val="64474FAC"/>
    <w:rsid w:val="646E14B1"/>
    <w:rsid w:val="647913D5"/>
    <w:rsid w:val="6487722F"/>
    <w:rsid w:val="648C1BAD"/>
    <w:rsid w:val="64BD34E5"/>
    <w:rsid w:val="64CE2822"/>
    <w:rsid w:val="65044496"/>
    <w:rsid w:val="6522763F"/>
    <w:rsid w:val="653B067B"/>
    <w:rsid w:val="65464CEE"/>
    <w:rsid w:val="6548619E"/>
    <w:rsid w:val="65582C42"/>
    <w:rsid w:val="656F125D"/>
    <w:rsid w:val="657905F9"/>
    <w:rsid w:val="65A81B53"/>
    <w:rsid w:val="65B7590E"/>
    <w:rsid w:val="65C47395"/>
    <w:rsid w:val="65D210E9"/>
    <w:rsid w:val="65F318BA"/>
    <w:rsid w:val="661F26C9"/>
    <w:rsid w:val="6620249E"/>
    <w:rsid w:val="66273FCF"/>
    <w:rsid w:val="662D2B8F"/>
    <w:rsid w:val="663B4E40"/>
    <w:rsid w:val="664A5D68"/>
    <w:rsid w:val="666C76FE"/>
    <w:rsid w:val="6678612C"/>
    <w:rsid w:val="66832D2C"/>
    <w:rsid w:val="66891537"/>
    <w:rsid w:val="66CF7EB2"/>
    <w:rsid w:val="677D408C"/>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F29EB"/>
    <w:rsid w:val="691D1214"/>
    <w:rsid w:val="69702F6D"/>
    <w:rsid w:val="699C7ED1"/>
    <w:rsid w:val="69AB5C05"/>
    <w:rsid w:val="69B813AB"/>
    <w:rsid w:val="69C908E1"/>
    <w:rsid w:val="69D86E8B"/>
    <w:rsid w:val="69DD1C9D"/>
    <w:rsid w:val="69F92A6F"/>
    <w:rsid w:val="6A072B7C"/>
    <w:rsid w:val="6A2124E7"/>
    <w:rsid w:val="6A4B7F5F"/>
    <w:rsid w:val="6A541948"/>
    <w:rsid w:val="6A797AD4"/>
    <w:rsid w:val="6A80624F"/>
    <w:rsid w:val="6A97297F"/>
    <w:rsid w:val="6AAA7CC8"/>
    <w:rsid w:val="6ACF0B94"/>
    <w:rsid w:val="6AD101E9"/>
    <w:rsid w:val="6B1804B8"/>
    <w:rsid w:val="6B3D6358"/>
    <w:rsid w:val="6B4B64EA"/>
    <w:rsid w:val="6B5F7C7C"/>
    <w:rsid w:val="6B61569E"/>
    <w:rsid w:val="6B7E7510"/>
    <w:rsid w:val="6BFE1CB3"/>
    <w:rsid w:val="6C027255"/>
    <w:rsid w:val="6C151BCA"/>
    <w:rsid w:val="6C1A6F6B"/>
    <w:rsid w:val="6C1E310D"/>
    <w:rsid w:val="6C2D3BD7"/>
    <w:rsid w:val="6C5F56A8"/>
    <w:rsid w:val="6C6120A9"/>
    <w:rsid w:val="6C8B0467"/>
    <w:rsid w:val="6C962C00"/>
    <w:rsid w:val="6D061E2A"/>
    <w:rsid w:val="6D186E37"/>
    <w:rsid w:val="6D1D1013"/>
    <w:rsid w:val="6D2E67BF"/>
    <w:rsid w:val="6D483774"/>
    <w:rsid w:val="6D5F6AF1"/>
    <w:rsid w:val="6D6830E8"/>
    <w:rsid w:val="6D707BA9"/>
    <w:rsid w:val="6D9E77AA"/>
    <w:rsid w:val="6DDC6247"/>
    <w:rsid w:val="6E172307"/>
    <w:rsid w:val="6E61763F"/>
    <w:rsid w:val="6E6E472E"/>
    <w:rsid w:val="6E7066F8"/>
    <w:rsid w:val="6E743036"/>
    <w:rsid w:val="6E85777F"/>
    <w:rsid w:val="6E9C129B"/>
    <w:rsid w:val="6EA047B7"/>
    <w:rsid w:val="6EAC686C"/>
    <w:rsid w:val="6EAD3A68"/>
    <w:rsid w:val="6ED153FA"/>
    <w:rsid w:val="6EE5616F"/>
    <w:rsid w:val="6F230A1B"/>
    <w:rsid w:val="6F54305B"/>
    <w:rsid w:val="6F6523C6"/>
    <w:rsid w:val="6F837DD6"/>
    <w:rsid w:val="6F8947A5"/>
    <w:rsid w:val="6F8D0647"/>
    <w:rsid w:val="6FB76B53"/>
    <w:rsid w:val="6FCF66E3"/>
    <w:rsid w:val="6FE237AB"/>
    <w:rsid w:val="704D5F28"/>
    <w:rsid w:val="705D4357"/>
    <w:rsid w:val="706A1F82"/>
    <w:rsid w:val="706C53D5"/>
    <w:rsid w:val="70C45466"/>
    <w:rsid w:val="70CA7CFB"/>
    <w:rsid w:val="710469C6"/>
    <w:rsid w:val="710D0D68"/>
    <w:rsid w:val="713F1B87"/>
    <w:rsid w:val="7140267B"/>
    <w:rsid w:val="71A71F1F"/>
    <w:rsid w:val="72092685"/>
    <w:rsid w:val="725D51E5"/>
    <w:rsid w:val="72853A81"/>
    <w:rsid w:val="72B4341C"/>
    <w:rsid w:val="72BB0D0C"/>
    <w:rsid w:val="72F9009A"/>
    <w:rsid w:val="73134194"/>
    <w:rsid w:val="73245BF5"/>
    <w:rsid w:val="732A685E"/>
    <w:rsid w:val="7358323E"/>
    <w:rsid w:val="735838D0"/>
    <w:rsid w:val="737319BE"/>
    <w:rsid w:val="73770BEC"/>
    <w:rsid w:val="73833B4D"/>
    <w:rsid w:val="73A76797"/>
    <w:rsid w:val="73AD22F8"/>
    <w:rsid w:val="73D51CD9"/>
    <w:rsid w:val="73DF088B"/>
    <w:rsid w:val="73EC3B7D"/>
    <w:rsid w:val="740976D0"/>
    <w:rsid w:val="74251108"/>
    <w:rsid w:val="74777A6A"/>
    <w:rsid w:val="747A44A0"/>
    <w:rsid w:val="74E85D51"/>
    <w:rsid w:val="74E96A98"/>
    <w:rsid w:val="75002292"/>
    <w:rsid w:val="751579F6"/>
    <w:rsid w:val="75330B7C"/>
    <w:rsid w:val="753462A4"/>
    <w:rsid w:val="7535244A"/>
    <w:rsid w:val="753A73E9"/>
    <w:rsid w:val="753C13D3"/>
    <w:rsid w:val="755E792B"/>
    <w:rsid w:val="75701E2F"/>
    <w:rsid w:val="758D59FD"/>
    <w:rsid w:val="75932CCC"/>
    <w:rsid w:val="759467DB"/>
    <w:rsid w:val="75A63893"/>
    <w:rsid w:val="75D73501"/>
    <w:rsid w:val="75FD6817"/>
    <w:rsid w:val="76206054"/>
    <w:rsid w:val="762E2976"/>
    <w:rsid w:val="764A5060"/>
    <w:rsid w:val="765448FD"/>
    <w:rsid w:val="76666500"/>
    <w:rsid w:val="76752674"/>
    <w:rsid w:val="76944F4E"/>
    <w:rsid w:val="76A03F37"/>
    <w:rsid w:val="76EE541F"/>
    <w:rsid w:val="76FB7B7D"/>
    <w:rsid w:val="7771498F"/>
    <w:rsid w:val="7774530C"/>
    <w:rsid w:val="777534EF"/>
    <w:rsid w:val="777C5714"/>
    <w:rsid w:val="7782228E"/>
    <w:rsid w:val="77856090"/>
    <w:rsid w:val="77B34464"/>
    <w:rsid w:val="77BA58D3"/>
    <w:rsid w:val="77C45E43"/>
    <w:rsid w:val="77CE00AF"/>
    <w:rsid w:val="77F34723"/>
    <w:rsid w:val="780D0FC5"/>
    <w:rsid w:val="78122A81"/>
    <w:rsid w:val="78224A42"/>
    <w:rsid w:val="78293DC0"/>
    <w:rsid w:val="78573BA6"/>
    <w:rsid w:val="78C437D3"/>
    <w:rsid w:val="78D35541"/>
    <w:rsid w:val="78F21606"/>
    <w:rsid w:val="79140A19"/>
    <w:rsid w:val="794433FE"/>
    <w:rsid w:val="794F159E"/>
    <w:rsid w:val="79567023"/>
    <w:rsid w:val="795D4D79"/>
    <w:rsid w:val="7961380D"/>
    <w:rsid w:val="796C3F60"/>
    <w:rsid w:val="79752E91"/>
    <w:rsid w:val="797734EB"/>
    <w:rsid w:val="799B00AD"/>
    <w:rsid w:val="79BB5611"/>
    <w:rsid w:val="79CE43D6"/>
    <w:rsid w:val="79DB6F73"/>
    <w:rsid w:val="79E547D8"/>
    <w:rsid w:val="79E84BA5"/>
    <w:rsid w:val="7A2D6EA7"/>
    <w:rsid w:val="7A325CD7"/>
    <w:rsid w:val="7A3857E5"/>
    <w:rsid w:val="7A5639E9"/>
    <w:rsid w:val="7A761036"/>
    <w:rsid w:val="7A841815"/>
    <w:rsid w:val="7AB14D32"/>
    <w:rsid w:val="7ABF584C"/>
    <w:rsid w:val="7AD07D44"/>
    <w:rsid w:val="7AE82A2B"/>
    <w:rsid w:val="7AF0448B"/>
    <w:rsid w:val="7B05641A"/>
    <w:rsid w:val="7B143565"/>
    <w:rsid w:val="7B1534E2"/>
    <w:rsid w:val="7B191EC6"/>
    <w:rsid w:val="7B202F7E"/>
    <w:rsid w:val="7B24078B"/>
    <w:rsid w:val="7B4B71EC"/>
    <w:rsid w:val="7B5344E4"/>
    <w:rsid w:val="7B553073"/>
    <w:rsid w:val="7BA140DD"/>
    <w:rsid w:val="7BB64ADB"/>
    <w:rsid w:val="7BB82A8D"/>
    <w:rsid w:val="7BC1580A"/>
    <w:rsid w:val="7BD66CE1"/>
    <w:rsid w:val="7BF2699E"/>
    <w:rsid w:val="7C2B3097"/>
    <w:rsid w:val="7C6E5087"/>
    <w:rsid w:val="7C73640D"/>
    <w:rsid w:val="7C925305"/>
    <w:rsid w:val="7CA213E1"/>
    <w:rsid w:val="7CCA7D32"/>
    <w:rsid w:val="7CEF35A8"/>
    <w:rsid w:val="7CF43304"/>
    <w:rsid w:val="7D030107"/>
    <w:rsid w:val="7D174F1A"/>
    <w:rsid w:val="7D334B54"/>
    <w:rsid w:val="7D631915"/>
    <w:rsid w:val="7D681564"/>
    <w:rsid w:val="7D854F5D"/>
    <w:rsid w:val="7D894D45"/>
    <w:rsid w:val="7DB639FC"/>
    <w:rsid w:val="7DE76108"/>
    <w:rsid w:val="7E115459"/>
    <w:rsid w:val="7EA90CE6"/>
    <w:rsid w:val="7EAA7A04"/>
    <w:rsid w:val="7EDD6453"/>
    <w:rsid w:val="7EE44685"/>
    <w:rsid w:val="7EEA304F"/>
    <w:rsid w:val="7EEF04B2"/>
    <w:rsid w:val="7EF95977"/>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50"/>
    <w:qFormat/>
    <w:uiPriority w:val="0"/>
    <w:pPr>
      <w:keepNext/>
      <w:keepLines/>
      <w:spacing w:line="360" w:lineRule="auto"/>
      <w:outlineLvl w:val="0"/>
    </w:pPr>
    <w:rPr>
      <w:b/>
      <w:bCs/>
      <w:kern w:val="44"/>
      <w:sz w:val="32"/>
      <w:szCs w:val="44"/>
    </w:rPr>
  </w:style>
  <w:style w:type="paragraph" w:styleId="3">
    <w:name w:val="heading 2"/>
    <w:basedOn w:val="1"/>
    <w:next w:val="4"/>
    <w:link w:val="51"/>
    <w:autoRedefine/>
    <w:qFormat/>
    <w:uiPriority w:val="0"/>
    <w:pPr>
      <w:keepNext/>
      <w:keepLines/>
      <w:spacing w:line="360" w:lineRule="auto"/>
      <w:outlineLvl w:val="1"/>
    </w:pPr>
    <w:rPr>
      <w:b/>
      <w:bCs/>
      <w:sz w:val="28"/>
      <w:szCs w:val="32"/>
    </w:rPr>
  </w:style>
  <w:style w:type="paragraph" w:styleId="5">
    <w:name w:val="heading 3"/>
    <w:basedOn w:val="1"/>
    <w:next w:val="1"/>
    <w:link w:val="52"/>
    <w:autoRedefine/>
    <w:qFormat/>
    <w:uiPriority w:val="99"/>
    <w:pPr>
      <w:keepNext/>
      <w:keepLines/>
      <w:spacing w:line="360" w:lineRule="auto"/>
      <w:outlineLvl w:val="2"/>
    </w:pPr>
    <w:rPr>
      <w:b/>
      <w:bCs/>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autoRedefine/>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83"/>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9"/>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6"/>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4"/>
    <w:autoRedefine/>
    <w:unhideWhenUsed/>
    <w:qFormat/>
    <w:uiPriority w:val="99"/>
    <w:pPr>
      <w:jc w:val="left"/>
    </w:pPr>
  </w:style>
  <w:style w:type="paragraph" w:styleId="13">
    <w:name w:val="Body Text"/>
    <w:basedOn w:val="1"/>
    <w:next w:val="1"/>
    <w:link w:val="57"/>
    <w:autoRedefine/>
    <w:qFormat/>
    <w:uiPriority w:val="0"/>
    <w:pPr>
      <w:spacing w:after="120"/>
    </w:pPr>
  </w:style>
  <w:style w:type="paragraph" w:styleId="14">
    <w:name w:val="Body Text Indent"/>
    <w:basedOn w:val="1"/>
    <w:link w:val="58"/>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9"/>
    <w:autoRedefine/>
    <w:qFormat/>
    <w:uiPriority w:val="0"/>
    <w:rPr>
      <w:rFonts w:ascii="宋体" w:hAnsi="Courier New" w:cs="Courier New"/>
      <w:szCs w:val="21"/>
    </w:rPr>
  </w:style>
  <w:style w:type="paragraph" w:styleId="18">
    <w:name w:val="List Bullet 5"/>
    <w:basedOn w:val="1"/>
    <w:autoRedefine/>
    <w:semiHidden/>
    <w:unhideWhenUsed/>
    <w:qFormat/>
    <w:uiPriority w:val="99"/>
    <w:pPr>
      <w:numPr>
        <w:ilvl w:val="0"/>
        <w:numId w:val="2"/>
      </w:numPr>
    </w:pPr>
  </w:style>
  <w:style w:type="paragraph" w:styleId="19">
    <w:name w:val="toc 8"/>
    <w:basedOn w:val="1"/>
    <w:next w:val="1"/>
    <w:autoRedefine/>
    <w:semiHidden/>
    <w:qFormat/>
    <w:uiPriority w:val="0"/>
    <w:pPr>
      <w:ind w:left="1680"/>
      <w:jc w:val="left"/>
    </w:pPr>
    <w:rPr>
      <w:rFonts w:asciiTheme="minorHAnsi" w:hAnsiTheme="minorHAnsi" w:cstheme="minorHAnsi"/>
      <w:sz w:val="18"/>
      <w:szCs w:val="18"/>
    </w:rPr>
  </w:style>
  <w:style w:type="paragraph" w:styleId="20">
    <w:name w:val="Date"/>
    <w:basedOn w:val="1"/>
    <w:next w:val="1"/>
    <w:link w:val="60"/>
    <w:autoRedefine/>
    <w:qFormat/>
    <w:uiPriority w:val="0"/>
    <w:pPr>
      <w:ind w:left="100" w:leftChars="2500"/>
    </w:pPr>
    <w:rPr>
      <w:szCs w:val="20"/>
    </w:rPr>
  </w:style>
  <w:style w:type="paragraph" w:styleId="21">
    <w:name w:val="Body Text Indent 2"/>
    <w:basedOn w:val="1"/>
    <w:link w:val="61"/>
    <w:autoRedefine/>
    <w:qFormat/>
    <w:uiPriority w:val="0"/>
    <w:pPr>
      <w:spacing w:after="120" w:line="480" w:lineRule="auto"/>
      <w:ind w:left="420" w:leftChars="200"/>
    </w:pPr>
  </w:style>
  <w:style w:type="paragraph" w:styleId="22">
    <w:name w:val="Balloon Text"/>
    <w:basedOn w:val="1"/>
    <w:link w:val="62"/>
    <w:autoRedefine/>
    <w:unhideWhenUsed/>
    <w:qFormat/>
    <w:uiPriority w:val="99"/>
    <w:rPr>
      <w:rFonts w:ascii="Calibri" w:hAnsi="Calibri"/>
      <w:sz w:val="18"/>
      <w:szCs w:val="18"/>
    </w:rPr>
  </w:style>
  <w:style w:type="paragraph" w:styleId="23">
    <w:name w:val="footer"/>
    <w:basedOn w:val="1"/>
    <w:link w:val="63"/>
    <w:autoRedefine/>
    <w:qFormat/>
    <w:uiPriority w:val="99"/>
    <w:pPr>
      <w:tabs>
        <w:tab w:val="center" w:pos="4153"/>
        <w:tab w:val="right" w:pos="8306"/>
      </w:tabs>
      <w:snapToGrid w:val="0"/>
      <w:jc w:val="left"/>
    </w:pPr>
    <w:rPr>
      <w:sz w:val="18"/>
      <w:szCs w:val="18"/>
    </w:rPr>
  </w:style>
  <w:style w:type="paragraph" w:styleId="24">
    <w:name w:val="header"/>
    <w:basedOn w:val="1"/>
    <w:link w:val="6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autoRedefine/>
    <w:semiHidden/>
    <w:qFormat/>
    <w:uiPriority w:val="0"/>
    <w:pPr>
      <w:ind w:left="720"/>
      <w:jc w:val="left"/>
    </w:pPr>
    <w:rPr>
      <w:rFonts w:asciiTheme="minorHAnsi" w:hAnsiTheme="minorHAnsi" w:cstheme="minorHAnsi"/>
      <w:sz w:val="18"/>
      <w:szCs w:val="18"/>
    </w:rPr>
  </w:style>
  <w:style w:type="paragraph" w:styleId="27">
    <w:name w:val="List"/>
    <w:basedOn w:val="1"/>
    <w:link w:val="123"/>
    <w:autoRedefine/>
    <w:qFormat/>
    <w:uiPriority w:val="99"/>
    <w:pPr>
      <w:ind w:left="200" w:hanging="200" w:hangingChars="200"/>
    </w:pPr>
  </w:style>
  <w:style w:type="paragraph" w:styleId="28">
    <w:name w:val="footnote text"/>
    <w:basedOn w:val="1"/>
    <w:link w:val="65"/>
    <w:autoRedefine/>
    <w:semiHidden/>
    <w:qFormat/>
    <w:uiPriority w:val="0"/>
    <w:pPr>
      <w:snapToGrid w:val="0"/>
      <w:jc w:val="left"/>
    </w:pPr>
    <w:rPr>
      <w:sz w:val="18"/>
      <w:szCs w:val="18"/>
    </w:rPr>
  </w:style>
  <w:style w:type="paragraph" w:styleId="29">
    <w:name w:val="toc 6"/>
    <w:basedOn w:val="1"/>
    <w:next w:val="1"/>
    <w:autoRedefine/>
    <w:semiHidden/>
    <w:qFormat/>
    <w:uiPriority w:val="0"/>
    <w:pPr>
      <w:ind w:left="1200"/>
      <w:jc w:val="left"/>
    </w:pPr>
    <w:rPr>
      <w:rFonts w:asciiTheme="minorHAnsi" w:hAnsiTheme="minorHAnsi" w:cstheme="minorHAnsi"/>
      <w:sz w:val="18"/>
      <w:szCs w:val="18"/>
    </w:rPr>
  </w:style>
  <w:style w:type="paragraph" w:styleId="30">
    <w:name w:val="Body Text Indent 3"/>
    <w:basedOn w:val="1"/>
    <w:link w:val="66"/>
    <w:autoRedefine/>
    <w:qFormat/>
    <w:uiPriority w:val="0"/>
    <w:pPr>
      <w:widowControl/>
      <w:spacing w:before="100" w:beforeAutospacing="1" w:after="100" w:afterAutospacing="1"/>
      <w:jc w:val="left"/>
    </w:pPr>
    <w:rPr>
      <w:rFonts w:ascii="宋体" w:hAnsi="宋体" w:cs="宋体"/>
      <w:kern w:val="0"/>
    </w:rPr>
  </w:style>
  <w:style w:type="paragraph" w:styleId="31">
    <w:name w:val="toc 2"/>
    <w:basedOn w:val="1"/>
    <w:next w:val="1"/>
    <w:autoRedefine/>
    <w:qFormat/>
    <w:uiPriority w:val="39"/>
    <w:pPr>
      <w:ind w:left="240"/>
      <w:jc w:val="left"/>
    </w:pPr>
    <w:rPr>
      <w:rFonts w:asciiTheme="minorHAnsi" w:hAnsiTheme="minorHAnsi" w:cstheme="minorHAnsi"/>
      <w:smallCaps/>
      <w:sz w:val="20"/>
      <w:szCs w:val="20"/>
    </w:rPr>
  </w:style>
  <w:style w:type="paragraph" w:styleId="32">
    <w:name w:val="toc 9"/>
    <w:basedOn w:val="1"/>
    <w:next w:val="1"/>
    <w:autoRedefine/>
    <w:semiHidden/>
    <w:qFormat/>
    <w:uiPriority w:val="0"/>
    <w:pPr>
      <w:ind w:left="1920"/>
      <w:jc w:val="left"/>
    </w:pPr>
    <w:rPr>
      <w:rFonts w:asciiTheme="minorHAnsi" w:hAnsiTheme="minorHAnsi" w:cstheme="minorHAnsi"/>
      <w:sz w:val="18"/>
      <w:szCs w:val="18"/>
    </w:rPr>
  </w:style>
  <w:style w:type="paragraph" w:styleId="33">
    <w:name w:val="HTML Preformatted"/>
    <w:basedOn w:val="1"/>
    <w:link w:val="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4">
    <w:name w:val="Normal (Web)"/>
    <w:basedOn w:val="1"/>
    <w:link w:val="91"/>
    <w:autoRedefine/>
    <w:qFormat/>
    <w:uiPriority w:val="34"/>
    <w:pPr>
      <w:widowControl/>
      <w:spacing w:before="100" w:beforeAutospacing="1" w:after="100" w:afterAutospacing="1"/>
      <w:jc w:val="left"/>
    </w:pPr>
    <w:rPr>
      <w:rFonts w:ascii="宋体" w:hAnsi="宋体"/>
      <w:kern w:val="0"/>
    </w:rPr>
  </w:style>
  <w:style w:type="paragraph" w:styleId="35">
    <w:name w:val="Title"/>
    <w:basedOn w:val="1"/>
    <w:next w:val="1"/>
    <w:link w:val="154"/>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6">
    <w:name w:val="annotation subject"/>
    <w:basedOn w:val="12"/>
    <w:next w:val="12"/>
    <w:link w:val="55"/>
    <w:autoRedefine/>
    <w:qFormat/>
    <w:uiPriority w:val="0"/>
    <w:rPr>
      <w:b/>
      <w:bCs/>
    </w:rPr>
  </w:style>
  <w:style w:type="paragraph" w:styleId="37">
    <w:name w:val="Body Text First Indent"/>
    <w:basedOn w:val="13"/>
    <w:link w:val="175"/>
    <w:autoRedefine/>
    <w:semiHidden/>
    <w:unhideWhenUsed/>
    <w:qFormat/>
    <w:uiPriority w:val="0"/>
    <w:pPr>
      <w:ind w:firstLine="420" w:firstLineChars="100"/>
    </w:pPr>
    <w:rPr>
      <w:kern w:val="0"/>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22"/>
    <w:rPr>
      <w:b/>
      <w:bCs/>
    </w:rPr>
  </w:style>
  <w:style w:type="character" w:styleId="42">
    <w:name w:val="page number"/>
    <w:basedOn w:val="40"/>
    <w:autoRedefine/>
    <w:qFormat/>
    <w:uiPriority w:val="0"/>
  </w:style>
  <w:style w:type="character" w:styleId="43">
    <w:name w:val="FollowedHyperlink"/>
    <w:basedOn w:val="40"/>
    <w:autoRedefine/>
    <w:semiHidden/>
    <w:unhideWhenUsed/>
    <w:qFormat/>
    <w:uiPriority w:val="0"/>
    <w:rPr>
      <w:color w:val="800080"/>
      <w:u w:val="single"/>
    </w:rPr>
  </w:style>
  <w:style w:type="character" w:styleId="44">
    <w:name w:val="Hyperlink"/>
    <w:basedOn w:val="40"/>
    <w:autoRedefine/>
    <w:qFormat/>
    <w:uiPriority w:val="99"/>
    <w:rPr>
      <w:color w:val="0000FF"/>
      <w:u w:val="single"/>
    </w:rPr>
  </w:style>
  <w:style w:type="character" w:styleId="45">
    <w:name w:val="annotation reference"/>
    <w:basedOn w:val="40"/>
    <w:autoRedefine/>
    <w:qFormat/>
    <w:uiPriority w:val="0"/>
    <w:rPr>
      <w:sz w:val="21"/>
      <w:szCs w:val="21"/>
    </w:rPr>
  </w:style>
  <w:style w:type="character" w:styleId="46">
    <w:name w:val="footnote reference"/>
    <w:basedOn w:val="40"/>
    <w:autoRedefine/>
    <w:semiHidden/>
    <w:qFormat/>
    <w:uiPriority w:val="0"/>
    <w:rPr>
      <w:vertAlign w:val="superscript"/>
    </w:rPr>
  </w:style>
  <w:style w:type="paragraph" w:customStyle="1" w:styleId="47">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正文 首行缩进:  2 字符"/>
    <w:basedOn w:val="1"/>
    <w:autoRedefine/>
    <w:qFormat/>
    <w:uiPriority w:val="99"/>
    <w:pPr>
      <w:ind w:firstLine="579" w:firstLineChars="200"/>
    </w:pPr>
    <w:rPr>
      <w:rFonts w:cs="宋体"/>
    </w:rPr>
  </w:style>
  <w:style w:type="paragraph" w:customStyle="1" w:styleId="49">
    <w:name w:val="样式2"/>
    <w:basedOn w:val="1"/>
    <w:autoRedefine/>
    <w:qFormat/>
    <w:uiPriority w:val="34"/>
    <w:pPr>
      <w:tabs>
        <w:tab w:val="left" w:pos="432"/>
      </w:tabs>
      <w:spacing w:before="50" w:after="50" w:line="440" w:lineRule="exact"/>
    </w:pPr>
    <w:rPr>
      <w:rFonts w:eastAsia="黑体"/>
    </w:rPr>
  </w:style>
  <w:style w:type="character" w:customStyle="1" w:styleId="50">
    <w:name w:val="标题 1 字符"/>
    <w:basedOn w:val="40"/>
    <w:link w:val="2"/>
    <w:autoRedefine/>
    <w:qFormat/>
    <w:uiPriority w:val="0"/>
    <w:rPr>
      <w:rFonts w:ascii="Times New Roman" w:hAnsi="Times New Roman" w:eastAsia="仿宋_GB2312" w:cs="Times New Roman"/>
      <w:b/>
      <w:bCs/>
      <w:kern w:val="44"/>
      <w:sz w:val="32"/>
      <w:szCs w:val="44"/>
    </w:rPr>
  </w:style>
  <w:style w:type="character" w:customStyle="1" w:styleId="51">
    <w:name w:val="标题 2 字符"/>
    <w:basedOn w:val="40"/>
    <w:link w:val="3"/>
    <w:autoRedefine/>
    <w:qFormat/>
    <w:uiPriority w:val="0"/>
    <w:rPr>
      <w:rFonts w:ascii="Times New Roman" w:hAnsi="Times New Roman" w:eastAsia="仿宋_GB2312" w:cs="Times New Roman"/>
      <w:b/>
      <w:bCs/>
      <w:sz w:val="28"/>
      <w:szCs w:val="32"/>
    </w:rPr>
  </w:style>
  <w:style w:type="character" w:customStyle="1" w:styleId="52">
    <w:name w:val="标题 3 字符"/>
    <w:basedOn w:val="40"/>
    <w:link w:val="5"/>
    <w:autoRedefine/>
    <w:qFormat/>
    <w:uiPriority w:val="99"/>
    <w:rPr>
      <w:rFonts w:ascii="Times New Roman" w:hAnsi="Times New Roman" w:eastAsia="仿宋_GB2312" w:cs="Times New Roman"/>
      <w:b/>
      <w:bCs/>
      <w:sz w:val="24"/>
      <w:szCs w:val="32"/>
    </w:rPr>
  </w:style>
  <w:style w:type="character" w:customStyle="1" w:styleId="53">
    <w:name w:val="标题 4 字符"/>
    <w:basedOn w:val="40"/>
    <w:link w:val="6"/>
    <w:autoRedefine/>
    <w:qFormat/>
    <w:uiPriority w:val="0"/>
    <w:rPr>
      <w:rFonts w:ascii="Arial" w:hAnsi="Arial" w:eastAsia="黑体" w:cs="Times New Roman"/>
      <w:b/>
      <w:bCs/>
      <w:sz w:val="28"/>
      <w:szCs w:val="28"/>
    </w:rPr>
  </w:style>
  <w:style w:type="character" w:customStyle="1" w:styleId="54">
    <w:name w:val="批注文字 字符"/>
    <w:basedOn w:val="40"/>
    <w:link w:val="12"/>
    <w:autoRedefine/>
    <w:qFormat/>
    <w:uiPriority w:val="99"/>
    <w:rPr>
      <w:rFonts w:ascii="Times New Roman" w:hAnsi="Times New Roman" w:eastAsia="仿宋_GB2312" w:cs="Times New Roman"/>
      <w:sz w:val="24"/>
      <w:szCs w:val="24"/>
    </w:rPr>
  </w:style>
  <w:style w:type="character" w:customStyle="1" w:styleId="55">
    <w:name w:val="批注主题 字符"/>
    <w:basedOn w:val="54"/>
    <w:link w:val="36"/>
    <w:autoRedefine/>
    <w:qFormat/>
    <w:uiPriority w:val="0"/>
    <w:rPr>
      <w:rFonts w:ascii="Times New Roman" w:hAnsi="Times New Roman" w:eastAsia="仿宋_GB2312" w:cs="Times New Roman"/>
      <w:b/>
      <w:bCs/>
      <w:sz w:val="24"/>
      <w:szCs w:val="24"/>
    </w:rPr>
  </w:style>
  <w:style w:type="character" w:customStyle="1" w:styleId="56">
    <w:name w:val="文档结构图 字符"/>
    <w:basedOn w:val="40"/>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7">
    <w:name w:val="正文文本 字符"/>
    <w:basedOn w:val="40"/>
    <w:link w:val="13"/>
    <w:autoRedefine/>
    <w:qFormat/>
    <w:uiPriority w:val="0"/>
    <w:rPr>
      <w:rFonts w:ascii="Times New Roman" w:hAnsi="Times New Roman" w:eastAsia="仿宋_GB2312" w:cs="Times New Roman"/>
      <w:sz w:val="24"/>
      <w:szCs w:val="24"/>
    </w:rPr>
  </w:style>
  <w:style w:type="character" w:customStyle="1" w:styleId="58">
    <w:name w:val="正文文本缩进 字符"/>
    <w:basedOn w:val="40"/>
    <w:link w:val="14"/>
    <w:autoRedefine/>
    <w:qFormat/>
    <w:uiPriority w:val="0"/>
    <w:rPr>
      <w:rFonts w:ascii="Times New Roman" w:hAnsi="Times New Roman" w:eastAsia="仿宋_GB2312" w:cs="Times New Roman"/>
      <w:sz w:val="24"/>
      <w:szCs w:val="24"/>
    </w:rPr>
  </w:style>
  <w:style w:type="character" w:customStyle="1" w:styleId="59">
    <w:name w:val="纯文本 字符"/>
    <w:basedOn w:val="40"/>
    <w:link w:val="17"/>
    <w:autoRedefine/>
    <w:qFormat/>
    <w:uiPriority w:val="0"/>
    <w:rPr>
      <w:rFonts w:ascii="宋体" w:hAnsi="Courier New" w:eastAsia="仿宋_GB2312" w:cs="Courier New"/>
      <w:sz w:val="24"/>
      <w:szCs w:val="21"/>
    </w:rPr>
  </w:style>
  <w:style w:type="character" w:customStyle="1" w:styleId="60">
    <w:name w:val="日期 字符"/>
    <w:basedOn w:val="40"/>
    <w:link w:val="20"/>
    <w:autoRedefine/>
    <w:qFormat/>
    <w:uiPriority w:val="0"/>
    <w:rPr>
      <w:rFonts w:ascii="Times New Roman" w:hAnsi="Times New Roman" w:eastAsia="仿宋_GB2312" w:cs="Times New Roman"/>
      <w:sz w:val="24"/>
      <w:szCs w:val="20"/>
    </w:rPr>
  </w:style>
  <w:style w:type="character" w:customStyle="1" w:styleId="61">
    <w:name w:val="正文文本缩进 2 字符"/>
    <w:basedOn w:val="40"/>
    <w:link w:val="21"/>
    <w:autoRedefine/>
    <w:qFormat/>
    <w:uiPriority w:val="0"/>
    <w:rPr>
      <w:rFonts w:ascii="Times New Roman" w:hAnsi="Times New Roman" w:eastAsia="仿宋_GB2312" w:cs="Times New Roman"/>
      <w:sz w:val="24"/>
      <w:szCs w:val="24"/>
    </w:rPr>
  </w:style>
  <w:style w:type="character" w:customStyle="1" w:styleId="62">
    <w:name w:val="批注框文本 字符"/>
    <w:basedOn w:val="40"/>
    <w:link w:val="22"/>
    <w:autoRedefine/>
    <w:qFormat/>
    <w:uiPriority w:val="99"/>
    <w:rPr>
      <w:rFonts w:ascii="Calibri" w:hAnsi="Calibri" w:eastAsia="仿宋_GB2312" w:cs="Times New Roman"/>
      <w:sz w:val="18"/>
      <w:szCs w:val="18"/>
    </w:rPr>
  </w:style>
  <w:style w:type="character" w:customStyle="1" w:styleId="63">
    <w:name w:val="页脚 字符"/>
    <w:basedOn w:val="40"/>
    <w:link w:val="23"/>
    <w:autoRedefine/>
    <w:qFormat/>
    <w:uiPriority w:val="99"/>
    <w:rPr>
      <w:rFonts w:ascii="Times New Roman" w:hAnsi="Times New Roman" w:eastAsia="仿宋_GB2312" w:cs="Times New Roman"/>
      <w:sz w:val="18"/>
      <w:szCs w:val="18"/>
    </w:rPr>
  </w:style>
  <w:style w:type="character" w:customStyle="1" w:styleId="64">
    <w:name w:val="页眉 字符"/>
    <w:basedOn w:val="40"/>
    <w:link w:val="24"/>
    <w:autoRedefine/>
    <w:qFormat/>
    <w:uiPriority w:val="99"/>
    <w:rPr>
      <w:rFonts w:ascii="Times New Roman" w:hAnsi="Times New Roman" w:eastAsia="仿宋_GB2312" w:cs="Times New Roman"/>
      <w:sz w:val="18"/>
      <w:szCs w:val="18"/>
    </w:rPr>
  </w:style>
  <w:style w:type="character" w:customStyle="1" w:styleId="65">
    <w:name w:val="脚注文本 字符"/>
    <w:basedOn w:val="40"/>
    <w:link w:val="28"/>
    <w:autoRedefine/>
    <w:semiHidden/>
    <w:qFormat/>
    <w:uiPriority w:val="0"/>
    <w:rPr>
      <w:rFonts w:ascii="Times New Roman" w:hAnsi="Times New Roman" w:eastAsia="仿宋_GB2312" w:cs="Times New Roman"/>
      <w:sz w:val="18"/>
      <w:szCs w:val="18"/>
    </w:rPr>
  </w:style>
  <w:style w:type="character" w:customStyle="1" w:styleId="66">
    <w:name w:val="正文文本缩进 3 字符"/>
    <w:basedOn w:val="40"/>
    <w:link w:val="30"/>
    <w:autoRedefine/>
    <w:qFormat/>
    <w:uiPriority w:val="0"/>
    <w:rPr>
      <w:rFonts w:ascii="宋体" w:hAnsi="宋体" w:eastAsia="仿宋_GB2312" w:cs="宋体"/>
      <w:kern w:val="0"/>
      <w:sz w:val="24"/>
      <w:szCs w:val="24"/>
    </w:rPr>
  </w:style>
  <w:style w:type="character" w:customStyle="1" w:styleId="67">
    <w:name w:val="HTML 预设格式 字符"/>
    <w:basedOn w:val="40"/>
    <w:link w:val="33"/>
    <w:autoRedefine/>
    <w:qFormat/>
    <w:uiPriority w:val="99"/>
    <w:rPr>
      <w:rFonts w:ascii="宋体" w:hAnsi="宋体" w:eastAsia="宋体" w:cs="宋体"/>
      <w:kern w:val="0"/>
      <w:sz w:val="24"/>
      <w:szCs w:val="24"/>
    </w:rPr>
  </w:style>
  <w:style w:type="character" w:customStyle="1" w:styleId="68">
    <w:name w:val="apple-style-span"/>
    <w:basedOn w:val="40"/>
    <w:autoRedefine/>
    <w:qFormat/>
    <w:uiPriority w:val="0"/>
  </w:style>
  <w:style w:type="character" w:customStyle="1" w:styleId="69">
    <w:name w:val="font2001"/>
    <w:basedOn w:val="40"/>
    <w:autoRedefine/>
    <w:qFormat/>
    <w:uiPriority w:val="0"/>
    <w:rPr>
      <w:color w:val="000000"/>
      <w:sz w:val="20"/>
      <w:szCs w:val="20"/>
    </w:rPr>
  </w:style>
  <w:style w:type="character" w:customStyle="1" w:styleId="70">
    <w:name w:val="表格文字 Char"/>
    <w:basedOn w:val="40"/>
    <w:link w:val="71"/>
    <w:autoRedefine/>
    <w:qFormat/>
    <w:locked/>
    <w:uiPriority w:val="0"/>
    <w:rPr>
      <w:rFonts w:ascii="仿宋_GB2312" w:hAnsi="Arial Black" w:eastAsia="仿宋_GB2312"/>
      <w:kern w:val="44"/>
      <w:sz w:val="24"/>
    </w:rPr>
  </w:style>
  <w:style w:type="paragraph" w:customStyle="1" w:styleId="71">
    <w:name w:val="表格文字"/>
    <w:basedOn w:val="1"/>
    <w:link w:val="70"/>
    <w:autoRedefine/>
    <w:qFormat/>
    <w:uiPriority w:val="0"/>
    <w:pPr>
      <w:adjustRightInd w:val="0"/>
      <w:snapToGrid w:val="0"/>
      <w:jc w:val="center"/>
    </w:pPr>
    <w:rPr>
      <w:rFonts w:ascii="仿宋_GB2312" w:hAnsi="Arial Black" w:cstheme="minorBidi"/>
      <w:kern w:val="44"/>
      <w:szCs w:val="22"/>
    </w:rPr>
  </w:style>
  <w:style w:type="character" w:customStyle="1" w:styleId="72">
    <w:name w:val="正文缩进1"/>
    <w:basedOn w:val="40"/>
    <w:autoRedefine/>
    <w:qFormat/>
    <w:uiPriority w:val="0"/>
    <w:rPr>
      <w:rFonts w:eastAsia="宋体"/>
      <w:kern w:val="2"/>
      <w:sz w:val="24"/>
      <w:lang w:val="en-US" w:eastAsia="zh-CN" w:bidi="ar-SA"/>
    </w:rPr>
  </w:style>
  <w:style w:type="character" w:customStyle="1" w:styleId="73">
    <w:name w:val="p9l1"/>
    <w:basedOn w:val="40"/>
    <w:autoRedefine/>
    <w:qFormat/>
    <w:uiPriority w:val="0"/>
    <w:rPr>
      <w:sz w:val="18"/>
      <w:szCs w:val="18"/>
      <w:u w:val="none"/>
    </w:rPr>
  </w:style>
  <w:style w:type="character" w:customStyle="1" w:styleId="74">
    <w:name w:val="text1"/>
    <w:basedOn w:val="40"/>
    <w:autoRedefine/>
    <w:qFormat/>
    <w:uiPriority w:val="0"/>
    <w:rPr>
      <w:rFonts w:hint="default" w:ascii="ˎ̥" w:hAnsi="ˎ̥"/>
      <w:sz w:val="21"/>
      <w:szCs w:val="21"/>
    </w:rPr>
  </w:style>
  <w:style w:type="character" w:customStyle="1" w:styleId="75">
    <w:name w:val="表格的文字 Char"/>
    <w:basedOn w:val="76"/>
    <w:link w:val="78"/>
    <w:autoRedefine/>
    <w:qFormat/>
    <w:uiPriority w:val="0"/>
    <w:rPr>
      <w:rFonts w:ascii="仿宋_GB2312" w:hAnsi="宋体" w:eastAsia="仿宋_GB2312" w:cs="宋体"/>
      <w:bCs/>
      <w:sz w:val="24"/>
      <w:szCs w:val="24"/>
    </w:rPr>
  </w:style>
  <w:style w:type="character" w:customStyle="1" w:styleId="76">
    <w:name w:val="图表文字 Char"/>
    <w:link w:val="77"/>
    <w:autoRedefine/>
    <w:qFormat/>
    <w:uiPriority w:val="0"/>
    <w:rPr>
      <w:rFonts w:ascii="仿宋_GB2312" w:hAnsi="宋体" w:eastAsia="仿宋_GB2312" w:cs="宋体"/>
      <w:sz w:val="24"/>
      <w:szCs w:val="24"/>
    </w:rPr>
  </w:style>
  <w:style w:type="paragraph" w:customStyle="1" w:styleId="77">
    <w:name w:val="图表文字"/>
    <w:basedOn w:val="1"/>
    <w:link w:val="76"/>
    <w:autoRedefine/>
    <w:qFormat/>
    <w:uiPriority w:val="0"/>
    <w:pPr>
      <w:widowControl/>
      <w:jc w:val="center"/>
    </w:pPr>
    <w:rPr>
      <w:rFonts w:ascii="仿宋_GB2312" w:hAnsi="宋体" w:cs="宋体"/>
    </w:rPr>
  </w:style>
  <w:style w:type="paragraph" w:customStyle="1" w:styleId="78">
    <w:name w:val="表格的文字"/>
    <w:basedOn w:val="77"/>
    <w:link w:val="75"/>
    <w:autoRedefine/>
    <w:qFormat/>
    <w:uiPriority w:val="0"/>
    <w:pPr>
      <w:widowControl w:val="0"/>
      <w:spacing w:line="300" w:lineRule="exact"/>
    </w:pPr>
    <w:rPr>
      <w:bCs/>
      <w:sz w:val="21"/>
    </w:rPr>
  </w:style>
  <w:style w:type="character" w:customStyle="1" w:styleId="79">
    <w:name w:val="题注 字符"/>
    <w:link w:val="8"/>
    <w:autoRedefine/>
    <w:qFormat/>
    <w:uiPriority w:val="99"/>
    <w:rPr>
      <w:rFonts w:ascii="仿宋_GB2312" w:hAnsi="Times New Roman" w:eastAsia="仿宋_GB2312" w:cs="Times New Roman"/>
      <w:b/>
      <w:kern w:val="0"/>
      <w:sz w:val="28"/>
      <w:szCs w:val="28"/>
    </w:rPr>
  </w:style>
  <w:style w:type="character" w:customStyle="1" w:styleId="80">
    <w:name w:val="表标题 Char"/>
    <w:basedOn w:val="40"/>
    <w:link w:val="81"/>
    <w:autoRedefine/>
    <w:qFormat/>
    <w:locked/>
    <w:uiPriority w:val="0"/>
    <w:rPr>
      <w:rFonts w:ascii="仿宋_GB2312" w:eastAsia="仿宋_GB2312"/>
      <w:b/>
      <w:bCs/>
      <w:sz w:val="24"/>
      <w:szCs w:val="24"/>
    </w:rPr>
  </w:style>
  <w:style w:type="paragraph" w:customStyle="1" w:styleId="81">
    <w:name w:val="表标题"/>
    <w:basedOn w:val="1"/>
    <w:link w:val="80"/>
    <w:autoRedefine/>
    <w:qFormat/>
    <w:uiPriority w:val="0"/>
    <w:pPr>
      <w:spacing w:line="500" w:lineRule="exact"/>
      <w:ind w:firstLine="482" w:firstLineChars="200"/>
      <w:jc w:val="center"/>
    </w:pPr>
    <w:rPr>
      <w:rFonts w:ascii="仿宋_GB2312" w:hAnsiTheme="minorHAnsi" w:cstheme="minorBidi"/>
      <w:b/>
      <w:bCs/>
    </w:rPr>
  </w:style>
  <w:style w:type="character" w:customStyle="1" w:styleId="82">
    <w:name w:val="keyword"/>
    <w:basedOn w:val="40"/>
    <w:autoRedefine/>
    <w:qFormat/>
    <w:uiPriority w:val="0"/>
  </w:style>
  <w:style w:type="character" w:customStyle="1" w:styleId="83">
    <w:name w:val="正文缩进 字符"/>
    <w:basedOn w:val="40"/>
    <w:link w:val="4"/>
    <w:autoRedefine/>
    <w:qFormat/>
    <w:uiPriority w:val="0"/>
    <w:rPr>
      <w:rFonts w:ascii="Times New Roman" w:hAnsi="Times New Roman" w:eastAsia="仿宋_GB2312" w:cs="Times New Roman"/>
      <w:sz w:val="24"/>
      <w:szCs w:val="24"/>
    </w:rPr>
  </w:style>
  <w:style w:type="paragraph" w:customStyle="1" w:styleId="84">
    <w:name w:val="XYF1"/>
    <w:basedOn w:val="1"/>
    <w:autoRedefine/>
    <w:qFormat/>
    <w:uiPriority w:val="34"/>
    <w:pPr>
      <w:tabs>
        <w:tab w:val="left" w:pos="1080"/>
      </w:tabs>
      <w:spacing w:line="440" w:lineRule="exact"/>
      <w:ind w:firstLine="195" w:firstLineChars="195"/>
    </w:pPr>
  </w:style>
  <w:style w:type="paragraph" w:customStyle="1" w:styleId="85">
    <w:name w:val="图文框"/>
    <w:basedOn w:val="1"/>
    <w:autoRedefine/>
    <w:qFormat/>
    <w:uiPriority w:val="34"/>
    <w:pPr>
      <w:jc w:val="center"/>
    </w:pPr>
    <w:rPr>
      <w:szCs w:val="21"/>
    </w:rPr>
  </w:style>
  <w:style w:type="paragraph" w:customStyle="1" w:styleId="86">
    <w:name w:val="文本123"/>
    <w:basedOn w:val="4"/>
    <w:autoRedefine/>
    <w:qFormat/>
    <w:uiPriority w:val="34"/>
    <w:pPr>
      <w:tabs>
        <w:tab w:val="left" w:pos="360"/>
      </w:tabs>
      <w:snapToGrid w:val="0"/>
      <w:spacing w:beforeLines="20" w:line="480" w:lineRule="exact"/>
      <w:ind w:firstLine="0" w:firstLineChars="0"/>
      <w:outlineLvl w:val="7"/>
    </w:pPr>
  </w:style>
  <w:style w:type="paragraph" w:customStyle="1" w:styleId="87">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8">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9">
    <w:name w:val="Char1"/>
    <w:basedOn w:val="1"/>
    <w:autoRedefine/>
    <w:qFormat/>
    <w:uiPriority w:val="34"/>
    <w:pPr>
      <w:snapToGrid w:val="0"/>
      <w:spacing w:line="360" w:lineRule="auto"/>
      <w:ind w:firstLine="200" w:firstLineChars="200"/>
    </w:pPr>
  </w:style>
  <w:style w:type="paragraph" w:customStyle="1" w:styleId="90">
    <w:name w:val="样式 列表"/>
    <w:basedOn w:val="27"/>
    <w:autoRedefine/>
    <w:qFormat/>
    <w:uiPriority w:val="34"/>
    <w:pPr>
      <w:spacing w:line="280" w:lineRule="exact"/>
      <w:ind w:left="0" w:firstLine="0" w:firstLineChars="0"/>
      <w:jc w:val="center"/>
    </w:pPr>
    <w:rPr>
      <w:rFonts w:eastAsia="方正仿宋_GBK" w:cs="宋体"/>
      <w:szCs w:val="20"/>
    </w:rPr>
  </w:style>
  <w:style w:type="character" w:customStyle="1" w:styleId="91">
    <w:name w:val="普通(网站) 字符"/>
    <w:basedOn w:val="40"/>
    <w:link w:val="34"/>
    <w:autoRedefine/>
    <w:qFormat/>
    <w:locked/>
    <w:uiPriority w:val="34"/>
    <w:rPr>
      <w:rFonts w:ascii="宋体" w:hAnsi="宋体" w:eastAsia="仿宋_GB2312" w:cs="Times New Roman"/>
      <w:kern w:val="0"/>
      <w:sz w:val="24"/>
      <w:szCs w:val="24"/>
    </w:rPr>
  </w:style>
  <w:style w:type="paragraph" w:customStyle="1" w:styleId="92">
    <w:name w:val="Char"/>
    <w:basedOn w:val="1"/>
    <w:autoRedefine/>
    <w:qFormat/>
    <w:uiPriority w:val="34"/>
  </w:style>
  <w:style w:type="paragraph" w:customStyle="1" w:styleId="93">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4">
    <w:name w:val="简单回函地址"/>
    <w:basedOn w:val="1"/>
    <w:autoRedefine/>
    <w:qFormat/>
    <w:uiPriority w:val="34"/>
  </w:style>
  <w:style w:type="paragraph" w:customStyle="1" w:styleId="95">
    <w:name w:val="Char Char Char Char Char Char Char Char Char Char Char Char Char"/>
    <w:basedOn w:val="1"/>
    <w:autoRedefine/>
    <w:qFormat/>
    <w:uiPriority w:val="0"/>
    <w:rPr>
      <w:rFonts w:ascii="Tahoma" w:hAnsi="Tahoma"/>
      <w:szCs w:val="20"/>
    </w:rPr>
  </w:style>
  <w:style w:type="paragraph" w:customStyle="1" w:styleId="96">
    <w:name w:val="样式1"/>
    <w:basedOn w:val="1"/>
    <w:autoRedefine/>
    <w:qFormat/>
    <w:uiPriority w:val="34"/>
    <w:rPr>
      <w:szCs w:val="20"/>
    </w:rPr>
  </w:style>
  <w:style w:type="paragraph" w:customStyle="1" w:styleId="97">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8">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9">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00">
    <w:name w:val="字元"/>
    <w:basedOn w:val="1"/>
    <w:autoRedefine/>
    <w:qFormat/>
    <w:uiPriority w:val="34"/>
  </w:style>
  <w:style w:type="paragraph" w:customStyle="1" w:styleId="101">
    <w:name w:val="图标题"/>
    <w:basedOn w:val="1"/>
    <w:autoRedefine/>
    <w:qFormat/>
    <w:uiPriority w:val="34"/>
    <w:pPr>
      <w:widowControl/>
      <w:spacing w:line="300" w:lineRule="exact"/>
    </w:pPr>
    <w:rPr>
      <w:rFonts w:ascii="仿宋_GB2312" w:hAnsi="宋体" w:cs="宋体"/>
      <w:b/>
      <w:bCs/>
      <w:kern w:val="0"/>
    </w:rPr>
  </w:style>
  <w:style w:type="paragraph" w:customStyle="1" w:styleId="102">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3">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4">
    <w:name w:val="6"/>
    <w:basedOn w:val="1"/>
    <w:next w:val="17"/>
    <w:autoRedefine/>
    <w:qFormat/>
    <w:uiPriority w:val="34"/>
    <w:rPr>
      <w:rFonts w:ascii="宋体" w:hAnsi="Courier New"/>
      <w:szCs w:val="20"/>
    </w:rPr>
  </w:style>
  <w:style w:type="paragraph" w:customStyle="1" w:styleId="105">
    <w:name w:val="Char Char1 Char Char Char Char Char Char Char"/>
    <w:basedOn w:val="1"/>
    <w:next w:val="1"/>
    <w:autoRedefine/>
    <w:qFormat/>
    <w:uiPriority w:val="34"/>
    <w:pPr>
      <w:spacing w:line="360" w:lineRule="auto"/>
      <w:ind w:firstLine="200" w:firstLineChars="200"/>
    </w:pPr>
  </w:style>
  <w:style w:type="paragraph" w:customStyle="1" w:styleId="106">
    <w:name w:val="环正文"/>
    <w:basedOn w:val="1"/>
    <w:link w:val="107"/>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7">
    <w:name w:val="环正文 Char1"/>
    <w:basedOn w:val="40"/>
    <w:link w:val="106"/>
    <w:autoRedefine/>
    <w:qFormat/>
    <w:uiPriority w:val="0"/>
    <w:rPr>
      <w:rFonts w:ascii="宋体" w:hAnsi="宋体" w:eastAsia="仿宋_GB2312" w:cs="Times New Roman"/>
      <w:snapToGrid w:val="0"/>
      <w:color w:val="000000"/>
      <w:kern w:val="0"/>
      <w:sz w:val="32"/>
      <w:szCs w:val="28"/>
    </w:rPr>
  </w:style>
  <w:style w:type="paragraph" w:customStyle="1" w:styleId="108">
    <w:name w:val="文字"/>
    <w:basedOn w:val="1"/>
    <w:link w:val="109"/>
    <w:autoRedefine/>
    <w:qFormat/>
    <w:uiPriority w:val="0"/>
    <w:pPr>
      <w:spacing w:line="360" w:lineRule="auto"/>
      <w:ind w:firstLine="200" w:firstLineChars="200"/>
    </w:pPr>
  </w:style>
  <w:style w:type="character" w:customStyle="1" w:styleId="109">
    <w:name w:val="文字 Char"/>
    <w:basedOn w:val="40"/>
    <w:link w:val="108"/>
    <w:autoRedefine/>
    <w:qFormat/>
    <w:uiPriority w:val="0"/>
    <w:rPr>
      <w:rFonts w:ascii="Times New Roman" w:hAnsi="Times New Roman" w:eastAsia="仿宋_GB2312" w:cs="Times New Roman"/>
      <w:sz w:val="24"/>
      <w:szCs w:val="24"/>
    </w:rPr>
  </w:style>
  <w:style w:type="paragraph" w:customStyle="1" w:styleId="110">
    <w:name w:val="正文格式"/>
    <w:basedOn w:val="1"/>
    <w:autoRedefine/>
    <w:qFormat/>
    <w:uiPriority w:val="34"/>
    <w:pPr>
      <w:ind w:firstLine="560" w:firstLineChars="200"/>
    </w:pPr>
    <w:rPr>
      <w:rFonts w:eastAsia="楷体_GB2312"/>
      <w:sz w:val="28"/>
    </w:rPr>
  </w:style>
  <w:style w:type="paragraph" w:customStyle="1" w:styleId="111">
    <w:name w:val="p0"/>
    <w:basedOn w:val="1"/>
    <w:autoRedefine/>
    <w:qFormat/>
    <w:uiPriority w:val="34"/>
    <w:pPr>
      <w:widowControl/>
    </w:pPr>
    <w:rPr>
      <w:rFonts w:ascii="Tahoma" w:hAnsi="Tahoma" w:cs="Tahoma"/>
      <w:kern w:val="0"/>
      <w:szCs w:val="21"/>
    </w:rPr>
  </w:style>
  <w:style w:type="paragraph" w:customStyle="1" w:styleId="112">
    <w:name w:val="默认段落字体 Para Char Char Char Char Char Char Char Char Char Char Char Char Char"/>
    <w:basedOn w:val="1"/>
    <w:autoRedefine/>
    <w:qFormat/>
    <w:uiPriority w:val="34"/>
  </w:style>
  <w:style w:type="paragraph" w:customStyle="1" w:styleId="113">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4">
    <w:name w:val="默认段落字体 Para Char Char Char Char"/>
    <w:basedOn w:val="1"/>
    <w:autoRedefine/>
    <w:qFormat/>
    <w:uiPriority w:val="0"/>
  </w:style>
  <w:style w:type="character" w:customStyle="1" w:styleId="115">
    <w:name w:val="Char Char12"/>
    <w:basedOn w:val="40"/>
    <w:autoRedefine/>
    <w:qFormat/>
    <w:uiPriority w:val="0"/>
    <w:rPr>
      <w:rFonts w:eastAsia="方正仿宋_GBK"/>
      <w:snapToGrid w:val="0"/>
      <w:sz w:val="32"/>
      <w:lang w:val="en-US" w:eastAsia="zh-CN" w:bidi="ar-SA"/>
    </w:rPr>
  </w:style>
  <w:style w:type="paragraph" w:customStyle="1" w:styleId="116">
    <w:name w:val="二级无标题条"/>
    <w:basedOn w:val="1"/>
    <w:autoRedefine/>
    <w:qFormat/>
    <w:uiPriority w:val="34"/>
  </w:style>
  <w:style w:type="paragraph" w:customStyle="1" w:styleId="117">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8">
    <w:name w:val="表格文字-5号-中"/>
    <w:basedOn w:val="1"/>
    <w:autoRedefine/>
    <w:qFormat/>
    <w:uiPriority w:val="34"/>
    <w:pPr>
      <w:snapToGrid w:val="0"/>
      <w:spacing w:line="400" w:lineRule="exact"/>
      <w:jc w:val="center"/>
    </w:pPr>
    <w:rPr>
      <w:kern w:val="0"/>
      <w:szCs w:val="21"/>
    </w:rPr>
  </w:style>
  <w:style w:type="paragraph" w:customStyle="1" w:styleId="119">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20">
    <w:name w:val="apple-converted-space"/>
    <w:basedOn w:val="40"/>
    <w:autoRedefine/>
    <w:qFormat/>
    <w:uiPriority w:val="0"/>
  </w:style>
  <w:style w:type="paragraph" w:customStyle="1" w:styleId="121">
    <w:name w:val="1 Char"/>
    <w:basedOn w:val="1"/>
    <w:autoRedefine/>
    <w:qFormat/>
    <w:uiPriority w:val="34"/>
  </w:style>
  <w:style w:type="paragraph" w:customStyle="1" w:styleId="122">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3">
    <w:name w:val="列表 字符"/>
    <w:link w:val="27"/>
    <w:autoRedefine/>
    <w:qFormat/>
    <w:uiPriority w:val="99"/>
    <w:rPr>
      <w:rFonts w:ascii="Times New Roman" w:hAnsi="Times New Roman" w:eastAsia="仿宋_GB2312" w:cs="Times New Roman"/>
      <w:sz w:val="24"/>
      <w:szCs w:val="24"/>
    </w:rPr>
  </w:style>
  <w:style w:type="paragraph" w:customStyle="1" w:styleId="124">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5">
    <w:name w:val="报告书表格"/>
    <w:basedOn w:val="1"/>
    <w:link w:val="126"/>
    <w:autoRedefine/>
    <w:qFormat/>
    <w:uiPriority w:val="0"/>
    <w:pPr>
      <w:adjustRightInd w:val="0"/>
      <w:spacing w:line="400" w:lineRule="exact"/>
      <w:jc w:val="center"/>
      <w:textAlignment w:val="baseline"/>
    </w:pPr>
    <w:rPr>
      <w:kern w:val="0"/>
      <w:szCs w:val="20"/>
    </w:rPr>
  </w:style>
  <w:style w:type="character" w:customStyle="1" w:styleId="126">
    <w:name w:val="报告书表格 Char"/>
    <w:link w:val="125"/>
    <w:autoRedefine/>
    <w:qFormat/>
    <w:uiPriority w:val="0"/>
    <w:rPr>
      <w:rFonts w:ascii="Times New Roman" w:hAnsi="Times New Roman" w:eastAsia="仿宋_GB2312" w:cs="Times New Roman"/>
      <w:kern w:val="0"/>
      <w:sz w:val="24"/>
      <w:szCs w:val="20"/>
    </w:rPr>
  </w:style>
  <w:style w:type="paragraph" w:customStyle="1" w:styleId="127">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8">
    <w:name w:val="列出段落1"/>
    <w:autoRedefine/>
    <w:qFormat/>
    <w:uiPriority w:val="0"/>
    <w:pPr>
      <w:ind w:left="720"/>
    </w:pPr>
    <w:rPr>
      <w:rFonts w:ascii="Times New Roman" w:hAnsi="Times New Roman" w:eastAsia="宋体" w:cs="Times New Roman"/>
      <w:lang w:val="en-US" w:eastAsia="zh-CN" w:bidi="ar-SA"/>
    </w:rPr>
  </w:style>
  <w:style w:type="paragraph" w:customStyle="1" w:styleId="129">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30">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31">
    <w:name w:val="bititle"/>
    <w:basedOn w:val="40"/>
    <w:autoRedefine/>
    <w:qFormat/>
    <w:uiPriority w:val="0"/>
  </w:style>
  <w:style w:type="paragraph" w:customStyle="1" w:styleId="132">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3">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4">
    <w:name w:val="正文5"/>
    <w:basedOn w:val="1"/>
    <w:link w:val="135"/>
    <w:autoRedefine/>
    <w:qFormat/>
    <w:uiPriority w:val="0"/>
    <w:pPr>
      <w:widowControl/>
      <w:adjustRightInd w:val="0"/>
      <w:snapToGrid w:val="0"/>
      <w:spacing w:after="200"/>
      <w:jc w:val="left"/>
    </w:pPr>
    <w:rPr>
      <w:rFonts w:eastAsia="宋体"/>
      <w:kern w:val="0"/>
      <w:sz w:val="22"/>
      <w:szCs w:val="22"/>
    </w:rPr>
  </w:style>
  <w:style w:type="character" w:customStyle="1" w:styleId="135">
    <w:name w:val="正文5 Char"/>
    <w:basedOn w:val="40"/>
    <w:link w:val="134"/>
    <w:autoRedefine/>
    <w:qFormat/>
    <w:uiPriority w:val="0"/>
    <w:rPr>
      <w:rFonts w:ascii="Times New Roman" w:hAnsi="Times New Roman" w:eastAsia="宋体" w:cs="Times New Roman"/>
      <w:kern w:val="0"/>
      <w:sz w:val="22"/>
    </w:rPr>
  </w:style>
  <w:style w:type="paragraph" w:customStyle="1" w:styleId="13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3 + 四号"/>
    <w:basedOn w:val="5"/>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8">
    <w:name w:val="正文 小五 Char"/>
    <w:basedOn w:val="40"/>
    <w:link w:val="139"/>
    <w:autoRedefine/>
    <w:qFormat/>
    <w:uiPriority w:val="0"/>
    <w:rPr>
      <w:rFonts w:ascii="宋体" w:hAnsi="宋体"/>
      <w:spacing w:val="-6"/>
      <w:sz w:val="18"/>
      <w:szCs w:val="18"/>
    </w:rPr>
  </w:style>
  <w:style w:type="paragraph" w:customStyle="1" w:styleId="139">
    <w:name w:val="正文 小五"/>
    <w:basedOn w:val="1"/>
    <w:link w:val="138"/>
    <w:autoRedefine/>
    <w:qFormat/>
    <w:uiPriority w:val="0"/>
    <w:pPr>
      <w:spacing w:line="270" w:lineRule="exact"/>
      <w:jc w:val="left"/>
    </w:pPr>
    <w:rPr>
      <w:rFonts w:ascii="宋体" w:hAnsi="宋体" w:eastAsiaTheme="minorEastAsia" w:cstheme="minorBidi"/>
      <w:spacing w:val="-6"/>
      <w:sz w:val="18"/>
      <w:szCs w:val="18"/>
    </w:rPr>
  </w:style>
  <w:style w:type="paragraph" w:customStyle="1" w:styleId="140">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41">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2">
    <w:name w:val="Table Paragraph"/>
    <w:basedOn w:val="1"/>
    <w:autoRedefine/>
    <w:qFormat/>
    <w:uiPriority w:val="0"/>
    <w:pPr>
      <w:jc w:val="center"/>
    </w:pPr>
    <w:rPr>
      <w:rFonts w:ascii="宋体" w:hAnsi="宋体" w:eastAsia="宋体" w:cs="宋体"/>
    </w:rPr>
  </w:style>
  <w:style w:type="paragraph" w:customStyle="1" w:styleId="143">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5">
    <w:name w:val="列出段落2"/>
    <w:basedOn w:val="1"/>
    <w:autoRedefine/>
    <w:unhideWhenUsed/>
    <w:qFormat/>
    <w:uiPriority w:val="99"/>
    <w:pPr>
      <w:ind w:firstLine="420" w:firstLineChars="200"/>
    </w:pPr>
  </w:style>
  <w:style w:type="paragraph" w:customStyle="1" w:styleId="146">
    <w:name w:val="_Style 1"/>
    <w:basedOn w:val="1"/>
    <w:autoRedefine/>
    <w:qFormat/>
    <w:uiPriority w:val="34"/>
    <w:pPr>
      <w:spacing w:before="100" w:beforeAutospacing="1"/>
      <w:ind w:firstLine="420" w:firstLineChars="200"/>
    </w:pPr>
    <w:rPr>
      <w:sz w:val="28"/>
      <w:szCs w:val="28"/>
    </w:rPr>
  </w:style>
  <w:style w:type="paragraph" w:customStyle="1" w:styleId="147">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8">
    <w:name w:val="表题"/>
    <w:basedOn w:val="27"/>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9">
    <w:name w:val="表文字"/>
    <w:basedOn w:val="1"/>
    <w:autoRedefine/>
    <w:qFormat/>
    <w:uiPriority w:val="34"/>
    <w:pPr>
      <w:widowControl/>
      <w:jc w:val="center"/>
    </w:pPr>
    <w:rPr>
      <w:rFonts w:ascii="Calibri" w:hAnsi="Calibri" w:eastAsia="宋体"/>
      <w:kern w:val="0"/>
      <w:sz w:val="21"/>
      <w:szCs w:val="21"/>
    </w:rPr>
  </w:style>
  <w:style w:type="character" w:customStyle="1" w:styleId="150">
    <w:name w:val="10"/>
    <w:basedOn w:val="40"/>
    <w:autoRedefine/>
    <w:qFormat/>
    <w:uiPriority w:val="0"/>
    <w:rPr>
      <w:rFonts w:hint="default" w:ascii="Calibri" w:hAnsi="Calibri" w:cs="Calibri"/>
    </w:rPr>
  </w:style>
  <w:style w:type="character" w:customStyle="1" w:styleId="151">
    <w:name w:val="15"/>
    <w:basedOn w:val="40"/>
    <w:autoRedefine/>
    <w:qFormat/>
    <w:uiPriority w:val="0"/>
    <w:rPr>
      <w:rFonts w:hint="default" w:ascii="Calibri" w:hAnsi="Calibri" w:cs="Calibri"/>
    </w:rPr>
  </w:style>
  <w:style w:type="paragraph" w:customStyle="1" w:styleId="152">
    <w:name w:val="表  格"/>
    <w:basedOn w:val="1"/>
    <w:link w:val="153"/>
    <w:autoRedefine/>
    <w:qFormat/>
    <w:uiPriority w:val="0"/>
    <w:pPr>
      <w:adjustRightInd w:val="0"/>
      <w:snapToGrid w:val="0"/>
      <w:jc w:val="center"/>
    </w:pPr>
    <w:rPr>
      <w:rFonts w:ascii="宋体" w:hAnsi="宋体" w:eastAsia="宋体"/>
      <w:color w:val="000000"/>
      <w:kern w:val="0"/>
    </w:rPr>
  </w:style>
  <w:style w:type="character" w:customStyle="1" w:styleId="153">
    <w:name w:val="表  格 Char"/>
    <w:link w:val="152"/>
    <w:autoRedefine/>
    <w:qFormat/>
    <w:uiPriority w:val="0"/>
    <w:rPr>
      <w:rFonts w:ascii="宋体" w:hAnsi="宋体" w:eastAsia="宋体" w:cs="Times New Roman"/>
      <w:color w:val="000000"/>
      <w:kern w:val="0"/>
      <w:sz w:val="24"/>
      <w:szCs w:val="24"/>
    </w:rPr>
  </w:style>
  <w:style w:type="character" w:customStyle="1" w:styleId="154">
    <w:name w:val="标题 字符"/>
    <w:basedOn w:val="40"/>
    <w:link w:val="35"/>
    <w:autoRedefine/>
    <w:qFormat/>
    <w:uiPriority w:val="0"/>
    <w:rPr>
      <w:rFonts w:eastAsia="宋体" w:asciiTheme="majorHAnsi" w:hAnsiTheme="majorHAnsi" w:cstheme="majorBidi"/>
      <w:b/>
      <w:bCs/>
      <w:sz w:val="32"/>
      <w:szCs w:val="32"/>
    </w:rPr>
  </w:style>
  <w:style w:type="paragraph" w:styleId="155">
    <w:name w:val="List Paragraph"/>
    <w:basedOn w:val="1"/>
    <w:autoRedefine/>
    <w:qFormat/>
    <w:uiPriority w:val="1"/>
    <w:pPr>
      <w:ind w:firstLine="420" w:firstLineChars="200"/>
    </w:pPr>
  </w:style>
  <w:style w:type="character" w:customStyle="1" w:styleId="156">
    <w:name w:val="表格内容 Char"/>
    <w:link w:val="157"/>
    <w:autoRedefine/>
    <w:qFormat/>
    <w:uiPriority w:val="0"/>
    <w:rPr>
      <w:rFonts w:ascii="宋体" w:hAnsi="宋体"/>
      <w:color w:val="000000"/>
      <w:szCs w:val="21"/>
    </w:rPr>
  </w:style>
  <w:style w:type="paragraph" w:customStyle="1" w:styleId="157">
    <w:name w:val="表格内容"/>
    <w:basedOn w:val="1"/>
    <w:link w:val="156"/>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8">
    <w:name w:val="样式 正文 Char"/>
    <w:link w:val="159"/>
    <w:autoRedefine/>
    <w:qFormat/>
    <w:uiPriority w:val="0"/>
    <w:rPr>
      <w:rFonts w:ascii="Times New Roman" w:hAnsi="Times New Roman" w:eastAsia="宋体" w:cs="Times New Roman"/>
      <w:sz w:val="28"/>
      <w:szCs w:val="20"/>
    </w:rPr>
  </w:style>
  <w:style w:type="paragraph" w:customStyle="1" w:styleId="159">
    <w:name w:val="样式 正文"/>
    <w:basedOn w:val="1"/>
    <w:link w:val="158"/>
    <w:autoRedefine/>
    <w:qFormat/>
    <w:uiPriority w:val="0"/>
    <w:pPr>
      <w:spacing w:line="520" w:lineRule="exact"/>
      <w:ind w:firstLine="560"/>
    </w:pPr>
    <w:rPr>
      <w:rFonts w:eastAsia="宋体"/>
      <w:sz w:val="28"/>
      <w:szCs w:val="20"/>
    </w:rPr>
  </w:style>
  <w:style w:type="paragraph" w:customStyle="1" w:styleId="160">
    <w:name w:val="表图1"/>
    <w:basedOn w:val="1"/>
    <w:autoRedefine/>
    <w:qFormat/>
    <w:uiPriority w:val="0"/>
    <w:pPr>
      <w:spacing w:line="360" w:lineRule="exact"/>
      <w:jc w:val="center"/>
    </w:pPr>
    <w:rPr>
      <w:sz w:val="21"/>
    </w:rPr>
  </w:style>
  <w:style w:type="paragraph" w:customStyle="1" w:styleId="161">
    <w:name w:val="Char Char1 Char Char Char Char"/>
    <w:basedOn w:val="1"/>
    <w:autoRedefine/>
    <w:qFormat/>
    <w:uiPriority w:val="0"/>
    <w:rPr>
      <w:rFonts w:eastAsia="宋体"/>
      <w:sz w:val="21"/>
      <w:szCs w:val="20"/>
    </w:rPr>
  </w:style>
  <w:style w:type="paragraph" w:customStyle="1" w:styleId="162">
    <w:name w:val="Char Char1 Char Char Char Char1"/>
    <w:basedOn w:val="1"/>
    <w:autoRedefine/>
    <w:qFormat/>
    <w:uiPriority w:val="0"/>
    <w:rPr>
      <w:rFonts w:eastAsia="宋体"/>
      <w:sz w:val="21"/>
      <w:szCs w:val="20"/>
    </w:rPr>
  </w:style>
  <w:style w:type="character" w:customStyle="1" w:styleId="163">
    <w:name w:val="样式8 Char"/>
    <w:basedOn w:val="40"/>
    <w:link w:val="164"/>
    <w:autoRedefine/>
    <w:qFormat/>
    <w:uiPriority w:val="0"/>
    <w:rPr>
      <w:rFonts w:eastAsia="楷体_GB2312"/>
      <w:b/>
      <w:bCs/>
      <w:sz w:val="24"/>
      <w:szCs w:val="28"/>
    </w:rPr>
  </w:style>
  <w:style w:type="paragraph" w:customStyle="1" w:styleId="164">
    <w:name w:val="样式8"/>
    <w:basedOn w:val="49"/>
    <w:link w:val="163"/>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5">
    <w:name w:val="search_content1"/>
    <w:autoRedefine/>
    <w:qFormat/>
    <w:uiPriority w:val="0"/>
    <w:rPr>
      <w:sz w:val="20"/>
      <w:szCs w:val="20"/>
    </w:rPr>
  </w:style>
  <w:style w:type="paragraph" w:customStyle="1" w:styleId="166">
    <w:name w:val="msolistparagraph"/>
    <w:basedOn w:val="1"/>
    <w:autoRedefine/>
    <w:qFormat/>
    <w:uiPriority w:val="0"/>
    <w:pPr>
      <w:ind w:firstLine="420" w:firstLineChars="200"/>
    </w:pPr>
    <w:rPr>
      <w:rFonts w:ascii="Calibri" w:hAnsi="Calibri" w:eastAsia="宋体"/>
      <w:sz w:val="21"/>
      <w:szCs w:val="22"/>
    </w:rPr>
  </w:style>
  <w:style w:type="paragraph" w:customStyle="1" w:styleId="167">
    <w:name w:val="Char Char1 Char Char Char Char2"/>
    <w:basedOn w:val="1"/>
    <w:autoRedefine/>
    <w:qFormat/>
    <w:uiPriority w:val="0"/>
    <w:rPr>
      <w:rFonts w:eastAsia="宋体"/>
      <w:sz w:val="21"/>
      <w:szCs w:val="20"/>
    </w:rPr>
  </w:style>
  <w:style w:type="character" w:customStyle="1" w:styleId="168">
    <w:name w:val="正文文本缩进 Char1"/>
    <w:link w:val="169"/>
    <w:autoRedefine/>
    <w:qFormat/>
    <w:locked/>
    <w:uiPriority w:val="0"/>
    <w:rPr>
      <w:rFonts w:ascii="仿宋_GB2312" w:hAnsi="宋体" w:eastAsia="仿宋_GB2312"/>
      <w:sz w:val="24"/>
    </w:rPr>
  </w:style>
  <w:style w:type="paragraph" w:customStyle="1" w:styleId="169">
    <w:name w:val="正文文本缩进1"/>
    <w:basedOn w:val="1"/>
    <w:link w:val="168"/>
    <w:autoRedefine/>
    <w:qFormat/>
    <w:uiPriority w:val="0"/>
    <w:pPr>
      <w:widowControl/>
      <w:spacing w:line="360" w:lineRule="auto"/>
      <w:ind w:firstLine="560"/>
      <w:jc w:val="left"/>
    </w:pPr>
    <w:rPr>
      <w:rFonts w:ascii="仿宋_GB2312" w:hAnsi="宋体" w:cstheme="minorBidi"/>
      <w:szCs w:val="22"/>
    </w:rPr>
  </w:style>
  <w:style w:type="character" w:customStyle="1" w:styleId="170">
    <w:name w:val="表格文字 Char Char"/>
    <w:autoRedefine/>
    <w:qFormat/>
    <w:locked/>
    <w:uiPriority w:val="0"/>
    <w:rPr>
      <w:rFonts w:ascii="仿宋_GB2312" w:hAnsi="Arial Black" w:eastAsia="仿宋_GB2312"/>
      <w:kern w:val="44"/>
      <w:sz w:val="24"/>
    </w:rPr>
  </w:style>
  <w:style w:type="paragraph" w:customStyle="1" w:styleId="171">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2">
    <w:name w:val="font01"/>
    <w:basedOn w:val="40"/>
    <w:autoRedefine/>
    <w:qFormat/>
    <w:uiPriority w:val="0"/>
    <w:rPr>
      <w:rFonts w:hint="eastAsia" w:ascii="宋体" w:hAnsi="宋体" w:eastAsia="宋体"/>
      <w:color w:val="000000"/>
      <w:sz w:val="24"/>
      <w:szCs w:val="24"/>
      <w:u w:val="none"/>
    </w:rPr>
  </w:style>
  <w:style w:type="character" w:styleId="173">
    <w:name w:val="Placeholder Text"/>
    <w:basedOn w:val="40"/>
    <w:autoRedefine/>
    <w:semiHidden/>
    <w:qFormat/>
    <w:uiPriority w:val="99"/>
    <w:rPr>
      <w:color w:val="808080"/>
    </w:rPr>
  </w:style>
  <w:style w:type="character" w:customStyle="1" w:styleId="174">
    <w:name w:val="正文文本 Char1"/>
    <w:basedOn w:val="40"/>
    <w:autoRedefine/>
    <w:semiHidden/>
    <w:qFormat/>
    <w:uiPriority w:val="99"/>
    <w:rPr>
      <w:rFonts w:ascii="Times New Roman" w:hAnsi="Times New Roman" w:eastAsia="仿宋_GB2312" w:cs="Times New Roman"/>
      <w:kern w:val="2"/>
      <w:sz w:val="24"/>
      <w:szCs w:val="24"/>
    </w:rPr>
  </w:style>
  <w:style w:type="character" w:customStyle="1" w:styleId="175">
    <w:name w:val="正文文本首行缩进 字符"/>
    <w:basedOn w:val="57"/>
    <w:link w:val="37"/>
    <w:autoRedefine/>
    <w:semiHidden/>
    <w:qFormat/>
    <w:locked/>
    <w:uiPriority w:val="0"/>
    <w:rPr>
      <w:rFonts w:ascii="Times New Roman" w:hAnsi="Times New Roman" w:eastAsia="仿宋_GB2312" w:cs="Times New Roman"/>
      <w:sz w:val="24"/>
      <w:szCs w:val="24"/>
    </w:rPr>
  </w:style>
  <w:style w:type="character" w:customStyle="1" w:styleId="176">
    <w:name w:val="批注文字 Char1"/>
    <w:basedOn w:val="40"/>
    <w:autoRedefine/>
    <w:semiHidden/>
    <w:qFormat/>
    <w:uiPriority w:val="99"/>
    <w:rPr>
      <w:rFonts w:ascii="Times New Roman" w:hAnsi="Times New Roman" w:eastAsia="仿宋_GB2312" w:cs="Times New Roman"/>
      <w:kern w:val="2"/>
      <w:sz w:val="24"/>
      <w:szCs w:val="24"/>
    </w:rPr>
  </w:style>
  <w:style w:type="character" w:customStyle="1" w:styleId="177">
    <w:name w:val="普通(网站) Char2"/>
    <w:basedOn w:val="40"/>
    <w:autoRedefine/>
    <w:semiHidden/>
    <w:qFormat/>
    <w:locked/>
    <w:uiPriority w:val="99"/>
    <w:rPr>
      <w:rFonts w:ascii="Calibri" w:hAnsi="Calibri" w:eastAsia="仿宋_GB2312" w:cs="Times New Roman"/>
      <w:kern w:val="2"/>
      <w:sz w:val="18"/>
      <w:szCs w:val="18"/>
    </w:rPr>
  </w:style>
  <w:style w:type="character" w:customStyle="1" w:styleId="178">
    <w:name w:val="文档结构图 Char1"/>
    <w:basedOn w:val="40"/>
    <w:autoRedefine/>
    <w:semiHidden/>
    <w:qFormat/>
    <w:uiPriority w:val="0"/>
    <w:rPr>
      <w:rFonts w:ascii="宋体" w:hAnsi="Times New Roman" w:eastAsia="宋体" w:cs="Times New Roman"/>
      <w:kern w:val="2"/>
      <w:sz w:val="18"/>
      <w:szCs w:val="18"/>
    </w:rPr>
  </w:style>
  <w:style w:type="character" w:customStyle="1" w:styleId="179">
    <w:name w:val="纯文本 Char1"/>
    <w:basedOn w:val="40"/>
    <w:autoRedefine/>
    <w:semiHidden/>
    <w:qFormat/>
    <w:uiPriority w:val="0"/>
    <w:rPr>
      <w:rFonts w:ascii="宋体" w:hAnsi="Courier New" w:eastAsia="宋体" w:cs="Courier New"/>
      <w:kern w:val="2"/>
      <w:sz w:val="21"/>
      <w:szCs w:val="21"/>
    </w:rPr>
  </w:style>
  <w:style w:type="character" w:customStyle="1" w:styleId="180">
    <w:name w:val="表格 Char"/>
    <w:link w:val="181"/>
    <w:autoRedefine/>
    <w:qFormat/>
    <w:locked/>
    <w:uiPriority w:val="0"/>
    <w:rPr>
      <w:rFonts w:ascii="宋体" w:hAnsi="宋体" w:eastAsia="宋体" w:cs="Times New Roman"/>
      <w:sz w:val="21"/>
    </w:rPr>
  </w:style>
  <w:style w:type="paragraph" w:customStyle="1" w:styleId="181">
    <w:name w:val="表格"/>
    <w:basedOn w:val="1"/>
    <w:link w:val="180"/>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2">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3">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4">
    <w:name w:val="样式 标题 3标题 3 Char标题 3 Char Char Char Char Char Char Char Char C...4"/>
    <w:basedOn w:val="5"/>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5">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6">
    <w:name w:val="TOC 标题1"/>
    <w:basedOn w:val="2"/>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7">
    <w:name w:val="样式6"/>
    <w:basedOn w:val="5"/>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8">
    <w:name w:val="样式7"/>
    <w:basedOn w:val="5"/>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9">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90">
    <w:name w:val="正  文 Char"/>
    <w:link w:val="191"/>
    <w:autoRedefine/>
    <w:qFormat/>
    <w:locked/>
    <w:uiPriority w:val="0"/>
    <w:rPr>
      <w:rFonts w:ascii="Times New Roman" w:hAnsi="Times New Roman" w:cs="Times New Roman"/>
      <w:b/>
      <w:color w:val="000000"/>
      <w:sz w:val="32"/>
      <w:szCs w:val="32"/>
    </w:rPr>
  </w:style>
  <w:style w:type="paragraph" w:customStyle="1" w:styleId="191">
    <w:name w:val="正  文"/>
    <w:basedOn w:val="1"/>
    <w:link w:val="190"/>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2">
    <w:name w:val="标题1，"/>
    <w:basedOn w:val="5"/>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3">
    <w:name w:val="标题 2，"/>
    <w:basedOn w:val="3"/>
    <w:autoRedefine/>
    <w:qFormat/>
    <w:uiPriority w:val="34"/>
    <w:pPr>
      <w:adjustRightInd w:val="0"/>
      <w:snapToGrid w:val="0"/>
      <w:spacing w:beforeLines="50" w:line="240" w:lineRule="auto"/>
      <w:jc w:val="left"/>
    </w:pPr>
    <w:rPr>
      <w:rFonts w:eastAsiaTheme="minorEastAsia"/>
    </w:rPr>
  </w:style>
  <w:style w:type="paragraph" w:customStyle="1" w:styleId="194">
    <w:name w:val="标题 3，"/>
    <w:basedOn w:val="5"/>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5">
    <w:name w:val="表格内文字 Char"/>
    <w:basedOn w:val="40"/>
    <w:link w:val="196"/>
    <w:autoRedefine/>
    <w:qFormat/>
    <w:locked/>
    <w:uiPriority w:val="0"/>
    <w:rPr>
      <w:rFonts w:ascii="Times New Roman" w:hAnsi="Times New Roman" w:cs="Times New Roman"/>
      <w:kern w:val="2"/>
      <w:sz w:val="24"/>
      <w:szCs w:val="24"/>
    </w:rPr>
  </w:style>
  <w:style w:type="paragraph" w:customStyle="1" w:styleId="196">
    <w:name w:val="表格内文字"/>
    <w:basedOn w:val="1"/>
    <w:next w:val="1"/>
    <w:link w:val="195"/>
    <w:autoRedefine/>
    <w:qFormat/>
    <w:uiPriority w:val="0"/>
    <w:pPr>
      <w:tabs>
        <w:tab w:val="left" w:pos="0"/>
      </w:tabs>
      <w:adjustRightInd w:val="0"/>
      <w:snapToGrid w:val="0"/>
      <w:jc w:val="center"/>
    </w:pPr>
    <w:rPr>
      <w:rFonts w:eastAsiaTheme="minorEastAsia"/>
    </w:rPr>
  </w:style>
  <w:style w:type="paragraph" w:customStyle="1" w:styleId="197">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8">
    <w:name w:val="表  头 Char"/>
    <w:basedOn w:val="40"/>
    <w:link w:val="199"/>
    <w:autoRedefine/>
    <w:qFormat/>
    <w:locked/>
    <w:uiPriority w:val="0"/>
    <w:rPr>
      <w:rFonts w:ascii="黑体" w:hAnsi="宋体" w:eastAsia="黑体" w:cs="宋体"/>
      <w:b/>
      <w:color w:val="000000"/>
      <w:sz w:val="24"/>
    </w:rPr>
  </w:style>
  <w:style w:type="paragraph" w:customStyle="1" w:styleId="199">
    <w:name w:val="表  头"/>
    <w:basedOn w:val="1"/>
    <w:link w:val="198"/>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200">
    <w:name w:val="1正文 Char"/>
    <w:link w:val="201"/>
    <w:autoRedefine/>
    <w:qFormat/>
    <w:locked/>
    <w:uiPriority w:val="0"/>
    <w:rPr>
      <w:rFonts w:ascii="Times New Roman" w:hAnsi="Times New Roman" w:eastAsia="宋体" w:cs="Times New Roman"/>
      <w:kern w:val="2"/>
      <w:sz w:val="24"/>
    </w:rPr>
  </w:style>
  <w:style w:type="paragraph" w:customStyle="1" w:styleId="201">
    <w:name w:val="1正文"/>
    <w:basedOn w:val="17"/>
    <w:link w:val="200"/>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2">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3">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4">
    <w:name w:val="文本框"/>
    <w:basedOn w:val="1"/>
    <w:autoRedefine/>
    <w:qFormat/>
    <w:uiPriority w:val="34"/>
    <w:pPr>
      <w:adjustRightInd w:val="0"/>
      <w:snapToGrid w:val="0"/>
      <w:spacing w:line="300" w:lineRule="exact"/>
      <w:jc w:val="center"/>
    </w:pPr>
    <w:rPr>
      <w:rFonts w:eastAsia="宋体"/>
    </w:rPr>
  </w:style>
  <w:style w:type="paragraph" w:customStyle="1" w:styleId="205">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6">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7">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8">
    <w:name w:val="1表格 Char"/>
    <w:link w:val="209"/>
    <w:autoRedefine/>
    <w:qFormat/>
    <w:locked/>
    <w:uiPriority w:val="0"/>
    <w:rPr>
      <w:rFonts w:ascii="Times New Roman" w:hAnsi="Times New Roman" w:eastAsia="宋体" w:cs="宋体"/>
      <w:spacing w:val="4"/>
      <w:szCs w:val="24"/>
    </w:rPr>
  </w:style>
  <w:style w:type="paragraph" w:customStyle="1" w:styleId="209">
    <w:name w:val="1表格"/>
    <w:basedOn w:val="1"/>
    <w:link w:val="208"/>
    <w:autoRedefine/>
    <w:qFormat/>
    <w:uiPriority w:val="0"/>
    <w:pPr>
      <w:adjustRightInd w:val="0"/>
      <w:snapToGrid w:val="0"/>
      <w:jc w:val="center"/>
    </w:pPr>
    <w:rPr>
      <w:rFonts w:eastAsia="宋体" w:cs="宋体"/>
      <w:spacing w:val="4"/>
      <w:kern w:val="0"/>
      <w:sz w:val="20"/>
    </w:rPr>
  </w:style>
  <w:style w:type="character" w:customStyle="1" w:styleId="210">
    <w:name w:val="批注主题 Char1"/>
    <w:basedOn w:val="176"/>
    <w:autoRedefine/>
    <w:semiHidden/>
    <w:qFormat/>
    <w:uiPriority w:val="0"/>
    <w:rPr>
      <w:rFonts w:ascii="Times New Roman" w:hAnsi="Times New Roman" w:eastAsia="仿宋_GB2312" w:cs="Times New Roman"/>
      <w:b/>
      <w:bCs/>
      <w:kern w:val="2"/>
      <w:sz w:val="24"/>
      <w:szCs w:val="24"/>
    </w:rPr>
  </w:style>
  <w:style w:type="character" w:customStyle="1" w:styleId="211">
    <w:name w:val="正文首行缩进 Char1"/>
    <w:basedOn w:val="57"/>
    <w:autoRedefine/>
    <w:semiHidden/>
    <w:qFormat/>
    <w:uiPriority w:val="0"/>
    <w:rPr>
      <w:rFonts w:ascii="Times New Roman" w:hAnsi="Times New Roman" w:eastAsia="仿宋_GB2312" w:cs="Times New Roman"/>
      <w:kern w:val="2"/>
      <w:sz w:val="24"/>
      <w:szCs w:val="24"/>
    </w:rPr>
  </w:style>
  <w:style w:type="character" w:customStyle="1" w:styleId="212">
    <w:name w:val="日期 Char1"/>
    <w:basedOn w:val="40"/>
    <w:autoRedefine/>
    <w:semiHidden/>
    <w:qFormat/>
    <w:uiPriority w:val="0"/>
    <w:rPr>
      <w:rFonts w:ascii="Times New Roman" w:hAnsi="Times New Roman" w:eastAsia="仿宋_GB2312" w:cs="Times New Roman"/>
      <w:kern w:val="2"/>
      <w:sz w:val="24"/>
      <w:szCs w:val="24"/>
    </w:rPr>
  </w:style>
  <w:style w:type="character" w:customStyle="1" w:styleId="213">
    <w:name w:val="正文文本缩进 2 Char1"/>
    <w:basedOn w:val="40"/>
    <w:autoRedefine/>
    <w:semiHidden/>
    <w:qFormat/>
    <w:uiPriority w:val="0"/>
    <w:rPr>
      <w:rFonts w:ascii="Times New Roman" w:hAnsi="Times New Roman" w:eastAsia="仿宋_GB2312" w:cs="Times New Roman"/>
      <w:kern w:val="2"/>
      <w:sz w:val="24"/>
      <w:szCs w:val="24"/>
    </w:rPr>
  </w:style>
  <w:style w:type="character" w:customStyle="1" w:styleId="214">
    <w:name w:val="批注框文本 Char1"/>
    <w:basedOn w:val="40"/>
    <w:autoRedefine/>
    <w:semiHidden/>
    <w:qFormat/>
    <w:uiPriority w:val="99"/>
    <w:rPr>
      <w:rFonts w:hint="eastAsia" w:ascii="仿宋_GB2312" w:hAnsi="仿宋_GB2312" w:eastAsia="仿宋_GB2312" w:cs="Times New Roman"/>
      <w:kern w:val="2"/>
      <w:sz w:val="18"/>
      <w:szCs w:val="18"/>
    </w:rPr>
  </w:style>
  <w:style w:type="character" w:customStyle="1" w:styleId="215">
    <w:name w:val="页脚 Char1"/>
    <w:basedOn w:val="40"/>
    <w:autoRedefine/>
    <w:semiHidden/>
    <w:qFormat/>
    <w:uiPriority w:val="99"/>
    <w:rPr>
      <w:rFonts w:ascii="Times New Roman" w:hAnsi="Times New Roman" w:eastAsia="仿宋_GB2312" w:cs="Times New Roman"/>
      <w:kern w:val="2"/>
      <w:sz w:val="18"/>
      <w:szCs w:val="18"/>
    </w:rPr>
  </w:style>
  <w:style w:type="character" w:customStyle="1" w:styleId="216">
    <w:name w:val="页眉 Char1"/>
    <w:basedOn w:val="40"/>
    <w:autoRedefine/>
    <w:semiHidden/>
    <w:qFormat/>
    <w:uiPriority w:val="99"/>
    <w:rPr>
      <w:rFonts w:ascii="Times New Roman" w:hAnsi="Times New Roman" w:eastAsia="仿宋_GB2312" w:cs="Times New Roman"/>
      <w:kern w:val="2"/>
      <w:sz w:val="18"/>
      <w:szCs w:val="18"/>
    </w:rPr>
  </w:style>
  <w:style w:type="character" w:customStyle="1" w:styleId="217">
    <w:name w:val="脚注文本 Char1"/>
    <w:basedOn w:val="40"/>
    <w:autoRedefine/>
    <w:semiHidden/>
    <w:qFormat/>
    <w:uiPriority w:val="0"/>
    <w:rPr>
      <w:rFonts w:ascii="Times New Roman" w:hAnsi="Times New Roman" w:eastAsia="仿宋_GB2312" w:cs="Times New Roman"/>
      <w:kern w:val="2"/>
      <w:sz w:val="18"/>
      <w:szCs w:val="18"/>
    </w:rPr>
  </w:style>
  <w:style w:type="character" w:customStyle="1" w:styleId="218">
    <w:name w:val="正文文本缩进 3 Char1"/>
    <w:basedOn w:val="40"/>
    <w:autoRedefine/>
    <w:semiHidden/>
    <w:qFormat/>
    <w:uiPriority w:val="0"/>
    <w:rPr>
      <w:rFonts w:ascii="Times New Roman" w:hAnsi="Times New Roman" w:eastAsia="仿宋_GB2312" w:cs="Times New Roman"/>
      <w:kern w:val="2"/>
      <w:sz w:val="16"/>
      <w:szCs w:val="16"/>
    </w:rPr>
  </w:style>
  <w:style w:type="character" w:customStyle="1" w:styleId="219">
    <w:name w:val="标题 Char1"/>
    <w:basedOn w:val="40"/>
    <w:autoRedefine/>
    <w:qFormat/>
    <w:uiPriority w:val="0"/>
    <w:rPr>
      <w:rFonts w:eastAsia="宋体" w:asciiTheme="majorHAnsi" w:hAnsiTheme="majorHAnsi" w:cstheme="majorBidi"/>
      <w:b/>
      <w:bCs/>
      <w:kern w:val="2"/>
      <w:sz w:val="32"/>
      <w:szCs w:val="32"/>
    </w:rPr>
  </w:style>
  <w:style w:type="character" w:customStyle="1" w:styleId="220">
    <w:name w:val="正文缩进 Char1"/>
    <w:basedOn w:val="40"/>
    <w:autoRedefine/>
    <w:qFormat/>
    <w:uiPriority w:val="0"/>
    <w:rPr>
      <w:rFonts w:hint="eastAsia" w:ascii="楷体" w:hAnsi="Times New Roman" w:eastAsia="楷体" w:cs="Times New Roman"/>
      <w:sz w:val="28"/>
      <w:szCs w:val="24"/>
    </w:rPr>
  </w:style>
  <w:style w:type="character" w:customStyle="1" w:styleId="221">
    <w:name w:val="Char Char"/>
    <w:autoRedefine/>
    <w:qFormat/>
    <w:uiPriority w:val="0"/>
    <w:rPr>
      <w:rFonts w:hint="eastAsia" w:ascii="仿宋_GB2312" w:hAnsi="仿宋_GB2312" w:eastAsia="仿宋_GB2312"/>
      <w:kern w:val="2"/>
      <w:sz w:val="18"/>
      <w:szCs w:val="18"/>
    </w:rPr>
  </w:style>
  <w:style w:type="character" w:customStyle="1" w:styleId="222">
    <w:name w:val="infodetail1"/>
    <w:basedOn w:val="40"/>
    <w:autoRedefine/>
    <w:qFormat/>
    <w:uiPriority w:val="0"/>
    <w:rPr>
      <w:rFonts w:hint="default" w:ascii="ˎ̥" w:hAnsi="ˎ̥"/>
      <w:color w:val="000000"/>
      <w:sz w:val="24"/>
      <w:szCs w:val="24"/>
      <w:u w:val="none"/>
    </w:rPr>
  </w:style>
  <w:style w:type="character" w:customStyle="1" w:styleId="223">
    <w:name w:val="c-gap-right2"/>
    <w:basedOn w:val="40"/>
    <w:autoRedefine/>
    <w:qFormat/>
    <w:uiPriority w:val="0"/>
  </w:style>
  <w:style w:type="character" w:customStyle="1" w:styleId="224">
    <w:name w:val="m_21"/>
    <w:basedOn w:val="40"/>
    <w:autoRedefine/>
    <w:qFormat/>
    <w:uiPriority w:val="0"/>
  </w:style>
  <w:style w:type="character" w:customStyle="1" w:styleId="225">
    <w:name w:val="m_25"/>
    <w:basedOn w:val="40"/>
    <w:autoRedefine/>
    <w:qFormat/>
    <w:uiPriority w:val="0"/>
  </w:style>
  <w:style w:type="character" w:customStyle="1" w:styleId="226">
    <w:name w:val="m_18"/>
    <w:basedOn w:val="40"/>
    <w:autoRedefine/>
    <w:qFormat/>
    <w:uiPriority w:val="0"/>
  </w:style>
  <w:style w:type="character" w:customStyle="1" w:styleId="227">
    <w:name w:val="m_20"/>
    <w:basedOn w:val="40"/>
    <w:autoRedefine/>
    <w:qFormat/>
    <w:uiPriority w:val="0"/>
  </w:style>
  <w:style w:type="character" w:customStyle="1" w:styleId="228">
    <w:name w:val="m_17"/>
    <w:basedOn w:val="40"/>
    <w:autoRedefine/>
    <w:qFormat/>
    <w:uiPriority w:val="0"/>
  </w:style>
  <w:style w:type="character" w:customStyle="1" w:styleId="229">
    <w:name w:val="m_27"/>
    <w:basedOn w:val="40"/>
    <w:autoRedefine/>
    <w:qFormat/>
    <w:uiPriority w:val="0"/>
  </w:style>
  <w:style w:type="character" w:customStyle="1" w:styleId="230">
    <w:name w:val="m_4"/>
    <w:basedOn w:val="40"/>
    <w:autoRedefine/>
    <w:qFormat/>
    <w:uiPriority w:val="0"/>
  </w:style>
  <w:style w:type="character" w:customStyle="1" w:styleId="231">
    <w:name w:val="m_47"/>
    <w:basedOn w:val="40"/>
    <w:autoRedefine/>
    <w:qFormat/>
    <w:uiPriority w:val="0"/>
  </w:style>
  <w:style w:type="character" w:customStyle="1" w:styleId="232">
    <w:name w:val="m_12"/>
    <w:basedOn w:val="40"/>
    <w:autoRedefine/>
    <w:qFormat/>
    <w:uiPriority w:val="0"/>
  </w:style>
  <w:style w:type="character" w:customStyle="1" w:styleId="233">
    <w:name w:val="m_43"/>
    <w:basedOn w:val="40"/>
    <w:autoRedefine/>
    <w:qFormat/>
    <w:uiPriority w:val="0"/>
  </w:style>
  <w:style w:type="character" w:customStyle="1" w:styleId="234">
    <w:name w:val="m_15"/>
    <w:basedOn w:val="40"/>
    <w:autoRedefine/>
    <w:qFormat/>
    <w:uiPriority w:val="0"/>
  </w:style>
  <w:style w:type="character" w:customStyle="1" w:styleId="235">
    <w:name w:val="m_40"/>
    <w:basedOn w:val="40"/>
    <w:autoRedefine/>
    <w:qFormat/>
    <w:uiPriority w:val="0"/>
  </w:style>
  <w:style w:type="character" w:customStyle="1" w:styleId="236">
    <w:name w:val="m_37"/>
    <w:basedOn w:val="40"/>
    <w:autoRedefine/>
    <w:qFormat/>
    <w:uiPriority w:val="0"/>
  </w:style>
  <w:style w:type="character" w:customStyle="1" w:styleId="237">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8">
    <w:name w:val="f241"/>
    <w:basedOn w:val="40"/>
    <w:autoRedefine/>
    <w:qFormat/>
    <w:uiPriority w:val="0"/>
    <w:rPr>
      <w:spacing w:val="288"/>
      <w:sz w:val="29"/>
      <w:szCs w:val="29"/>
    </w:rPr>
  </w:style>
  <w:style w:type="character" w:customStyle="1" w:styleId="239">
    <w:name w:val="占位符文本1"/>
    <w:basedOn w:val="40"/>
    <w:autoRedefine/>
    <w:qFormat/>
    <w:uiPriority w:val="99"/>
    <w:rPr>
      <w:color w:val="808080"/>
    </w:rPr>
  </w:style>
  <w:style w:type="character" w:customStyle="1" w:styleId="240">
    <w:name w:val="font21"/>
    <w:basedOn w:val="40"/>
    <w:autoRedefine/>
    <w:qFormat/>
    <w:uiPriority w:val="0"/>
    <w:rPr>
      <w:rFonts w:hint="eastAsia" w:ascii="仿宋" w:hAnsi="仿宋" w:eastAsia="仿宋"/>
      <w:color w:val="000000"/>
      <w:sz w:val="24"/>
      <w:szCs w:val="24"/>
      <w:u w:val="none"/>
    </w:rPr>
  </w:style>
  <w:style w:type="character" w:customStyle="1" w:styleId="241">
    <w:name w:val="font11"/>
    <w:basedOn w:val="40"/>
    <w:autoRedefine/>
    <w:qFormat/>
    <w:uiPriority w:val="0"/>
    <w:rPr>
      <w:rFonts w:hint="default" w:ascii="Times New Roman" w:hAnsi="Times New Roman" w:cs="Times New Roman"/>
      <w:color w:val="000000"/>
      <w:sz w:val="24"/>
      <w:szCs w:val="24"/>
      <w:u w:val="none"/>
    </w:rPr>
  </w:style>
  <w:style w:type="character" w:customStyle="1" w:styleId="242">
    <w:name w:val="font31"/>
    <w:basedOn w:val="40"/>
    <w:autoRedefine/>
    <w:qFormat/>
    <w:uiPriority w:val="0"/>
    <w:rPr>
      <w:rFonts w:hint="default" w:ascii="Arial" w:hAnsi="Arial" w:cs="Arial"/>
      <w:color w:val="000000"/>
      <w:sz w:val="24"/>
      <w:szCs w:val="24"/>
      <w:u w:val="none"/>
    </w:rPr>
  </w:style>
  <w:style w:type="character" w:customStyle="1" w:styleId="243">
    <w:name w:val="font41"/>
    <w:basedOn w:val="40"/>
    <w:autoRedefine/>
    <w:qFormat/>
    <w:uiPriority w:val="0"/>
    <w:rPr>
      <w:rFonts w:hint="eastAsia" w:ascii="宋体" w:hAnsi="宋体" w:eastAsia="宋体"/>
      <w:color w:val="000000"/>
      <w:sz w:val="24"/>
      <w:szCs w:val="24"/>
      <w:u w:val="none"/>
    </w:rPr>
  </w:style>
  <w:style w:type="character" w:customStyle="1" w:styleId="244">
    <w:name w:val="普通(网站) Char1"/>
    <w:basedOn w:val="40"/>
    <w:autoRedefine/>
    <w:semiHidden/>
    <w:qFormat/>
    <w:locked/>
    <w:uiPriority w:val="99"/>
    <w:rPr>
      <w:rFonts w:hint="default" w:ascii="Calibri" w:hAnsi="Calibri" w:eastAsia="仿宋_GB2312" w:cs="Times New Roman"/>
      <w:kern w:val="2"/>
      <w:sz w:val="18"/>
      <w:szCs w:val="18"/>
    </w:rPr>
  </w:style>
  <w:style w:type="table" w:customStyle="1" w:styleId="245">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6">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7">
    <w:name w:val="Char3"/>
    <w:basedOn w:val="1"/>
    <w:autoRedefine/>
    <w:qFormat/>
    <w:uiPriority w:val="0"/>
    <w:pPr>
      <w:spacing w:line="240" w:lineRule="exact"/>
      <w:ind w:firstLine="200" w:firstLineChars="200"/>
    </w:pPr>
    <w:rPr>
      <w:rFonts w:eastAsia="宋体"/>
      <w:sz w:val="28"/>
      <w:szCs w:val="28"/>
    </w:rPr>
  </w:style>
  <w:style w:type="paragraph" w:customStyle="1" w:styleId="248">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9">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50">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51">
    <w:name w:val="正文 段落4级"/>
    <w:basedOn w:val="1"/>
    <w:autoRedefine/>
    <w:qFormat/>
    <w:uiPriority w:val="0"/>
    <w:pPr>
      <w:widowControl/>
      <w:spacing w:line="500" w:lineRule="exact"/>
      <w:jc w:val="left"/>
      <w:outlineLvl w:val="3"/>
    </w:pPr>
    <w:rPr>
      <w:b/>
      <w:bCs/>
      <w:szCs w:val="28"/>
    </w:rPr>
  </w:style>
  <w:style w:type="paragraph" w:customStyle="1" w:styleId="252">
    <w:name w:val="表蕊居中"/>
    <w:basedOn w:val="1"/>
    <w:autoRedefine/>
    <w:qFormat/>
    <w:uiPriority w:val="0"/>
    <w:pPr>
      <w:spacing w:line="300" w:lineRule="exact"/>
      <w:jc w:val="center"/>
    </w:pPr>
    <w:rPr>
      <w:bCs/>
      <w:color w:val="000000"/>
      <w:szCs w:val="21"/>
    </w:rPr>
  </w:style>
  <w:style w:type="paragraph" w:customStyle="1" w:styleId="253">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4">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5">
    <w:name w:val="正文lcc"/>
    <w:basedOn w:val="1"/>
    <w:autoRedefine/>
    <w:qFormat/>
    <w:uiPriority w:val="0"/>
    <w:pPr>
      <w:spacing w:line="360" w:lineRule="auto"/>
      <w:ind w:firstLine="560" w:firstLineChars="200"/>
    </w:pPr>
    <w:rPr>
      <w:rFonts w:ascii="仿宋" w:hAnsi="仿宋" w:eastAsia="仿宋" w:cs="宋体"/>
      <w:kern w:val="0"/>
    </w:rPr>
  </w:style>
  <w:style w:type="paragraph" w:customStyle="1" w:styleId="256">
    <w:name w:val="Other|1"/>
    <w:basedOn w:val="1"/>
    <w:autoRedefine/>
    <w:qFormat/>
    <w:uiPriority w:val="0"/>
    <w:pPr>
      <w:spacing w:after="140" w:line="382" w:lineRule="auto"/>
      <w:ind w:firstLine="400"/>
    </w:pPr>
    <w:rPr>
      <w:rFonts w:ascii="宋体" w:hAnsi="宋体" w:eastAsia="宋体" w:cs="宋体"/>
      <w:sz w:val="26"/>
      <w:szCs w:val="26"/>
      <w:lang w:val="zh-TW" w:eastAsia="zh-TW" w:bidi="zh-TW"/>
    </w:rPr>
  </w:style>
  <w:style w:type="paragraph" w:customStyle="1" w:styleId="257">
    <w:name w:val="Revision"/>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58">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wmf"/><Relationship Id="rId22" Type="http://schemas.openxmlformats.org/officeDocument/2006/relationships/oleObject" Target="embeddings/oleObject2.bin"/><Relationship Id="rId21" Type="http://schemas.openxmlformats.org/officeDocument/2006/relationships/image" Target="media/image6.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9561</Words>
  <Characters>11129</Characters>
  <Lines>436</Lines>
  <Paragraphs>122</Paragraphs>
  <TotalTime>0</TotalTime>
  <ScaleCrop>false</ScaleCrop>
  <LinksUpToDate>false</LinksUpToDate>
  <CharactersWithSpaces>11261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2025-01-08T08:48:00Z</cp:lastPrinted>
  <dcterms:modified xsi:type="dcterms:W3CDTF">2025-05-13T07:46:37Z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862A5C7819714E9D881F45EF53CDDAA9</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