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CA20F">
      <w:pPr>
        <w:keepNext w:val="0"/>
        <w:keepLines w:val="0"/>
        <w:pageBreakBefore w:val="0"/>
        <w:widowControl w:val="0"/>
        <w:kinsoku/>
        <w:wordWrap/>
        <w:overflowPunct/>
        <w:topLinePunct w:val="0"/>
        <w:autoSpaceDE/>
        <w:autoSpaceDN/>
        <w:bidi w:val="0"/>
        <w:adjustRightInd w:val="0"/>
        <w:snapToGrid w:val="0"/>
        <w:spacing w:line="500" w:lineRule="exact"/>
        <w:ind w:right="0" w:firstLine="0"/>
        <w:jc w:val="right"/>
        <w:textAlignment w:val="auto"/>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风险评估编号：</w:t>
      </w:r>
      <w:r>
        <w:rPr>
          <w:rFonts w:hint="eastAsia" w:eastAsia="宋体" w:cs="Times New Roman"/>
          <w:b/>
          <w:bCs w:val="0"/>
          <w:sz w:val="28"/>
          <w:szCs w:val="28"/>
          <w:lang w:val="en-US" w:eastAsia="zh-CN"/>
        </w:rPr>
        <w:t>NTMQ</w:t>
      </w:r>
      <w:r>
        <w:rPr>
          <w:rFonts w:hint="default" w:ascii="Times New Roman" w:hAnsi="Times New Roman" w:eastAsia="宋体" w:cs="Times New Roman"/>
          <w:b/>
          <w:bCs w:val="0"/>
          <w:sz w:val="28"/>
          <w:szCs w:val="28"/>
        </w:rPr>
        <w:t>--FXPG</w:t>
      </w:r>
    </w:p>
    <w:p w14:paraId="080CA33D">
      <w:pPr>
        <w:keepNext w:val="0"/>
        <w:keepLines w:val="0"/>
        <w:pageBreakBefore w:val="0"/>
        <w:kinsoku/>
        <w:wordWrap/>
        <w:overflowPunct/>
        <w:topLinePunct w:val="0"/>
        <w:autoSpaceDE/>
        <w:autoSpaceDN/>
        <w:bidi w:val="0"/>
        <w:adjustRightInd w:val="0"/>
        <w:snapToGrid w:val="0"/>
        <w:spacing w:beforeAutospacing="0" w:after="0" w:afterLines="0" w:afterAutospacing="0" w:line="360" w:lineRule="auto"/>
        <w:ind w:firstLine="2249" w:firstLineChars="800"/>
        <w:jc w:val="right"/>
        <w:textAlignment w:val="auto"/>
        <w:rPr>
          <w:rFonts w:hint="default" w:ascii="Times New Roman" w:hAnsi="Times New Roman" w:eastAsia="宋体" w:cs="Times New Roman"/>
          <w:b/>
          <w:bCs w:val="0"/>
          <w:sz w:val="28"/>
          <w:szCs w:val="28"/>
          <w:lang w:val="en-US" w:eastAsia="zh-CN"/>
        </w:rPr>
      </w:pPr>
      <w:r>
        <w:rPr>
          <w:rFonts w:hint="default" w:ascii="Times New Roman" w:hAnsi="Times New Roman" w:eastAsia="宋体" w:cs="Times New Roman"/>
          <w:b/>
          <w:bCs w:val="0"/>
          <w:sz w:val="28"/>
          <w:szCs w:val="28"/>
        </w:rPr>
        <w:t>风险评估版本号：</w:t>
      </w:r>
      <w:r>
        <w:rPr>
          <w:rFonts w:hint="eastAsia" w:eastAsia="宋体" w:cs="Times New Roman"/>
          <w:b/>
          <w:bCs w:val="0"/>
          <w:sz w:val="28"/>
          <w:szCs w:val="28"/>
          <w:lang w:val="en-US" w:eastAsia="zh-CN"/>
        </w:rPr>
        <w:t>2025</w:t>
      </w:r>
      <w:r>
        <w:rPr>
          <w:rFonts w:hint="default" w:ascii="Times New Roman" w:hAnsi="Times New Roman" w:eastAsia="宋体" w:cs="Times New Roman"/>
          <w:b/>
          <w:bCs w:val="0"/>
          <w:sz w:val="28"/>
          <w:szCs w:val="28"/>
          <w:lang w:val="en-US" w:eastAsia="zh-CN"/>
        </w:rPr>
        <w:t>年</w:t>
      </w:r>
    </w:p>
    <w:p w14:paraId="2F966BB3">
      <w:pPr>
        <w:pStyle w:val="5"/>
        <w:rPr>
          <w:rFonts w:hint="default" w:ascii="Times New Roman" w:hAnsi="Times New Roman" w:eastAsia="宋体" w:cs="Times New Roman"/>
          <w:b/>
          <w:bCs w:val="0"/>
          <w:sz w:val="28"/>
          <w:szCs w:val="28"/>
          <w:lang w:val="en-US" w:eastAsia="zh-CN"/>
        </w:rPr>
      </w:pPr>
    </w:p>
    <w:p w14:paraId="0F39DDBA">
      <w:pPr>
        <w:rPr>
          <w:rFonts w:hint="default" w:ascii="Times New Roman" w:hAnsi="Times New Roman" w:eastAsia="宋体" w:cs="Times New Roman"/>
          <w:b/>
          <w:bCs w:val="0"/>
          <w:sz w:val="28"/>
          <w:szCs w:val="28"/>
          <w:lang w:val="en-US" w:eastAsia="zh-CN"/>
        </w:rPr>
      </w:pPr>
    </w:p>
    <w:p w14:paraId="4E442BF1">
      <w:pPr>
        <w:pStyle w:val="5"/>
        <w:rPr>
          <w:rFonts w:hint="default" w:ascii="Times New Roman" w:hAnsi="Times New Roman" w:eastAsia="宋体" w:cs="Times New Roman"/>
          <w:b/>
          <w:bCs w:val="0"/>
          <w:sz w:val="28"/>
          <w:szCs w:val="28"/>
          <w:lang w:val="en-US" w:eastAsia="zh-CN"/>
        </w:rPr>
      </w:pPr>
    </w:p>
    <w:p w14:paraId="4AB6B964">
      <w:pPr>
        <w:rPr>
          <w:rFonts w:hint="default" w:ascii="Times New Roman" w:hAnsi="Times New Roman" w:eastAsia="宋体" w:cs="Times New Roman"/>
          <w:b/>
          <w:bCs w:val="0"/>
          <w:sz w:val="28"/>
          <w:szCs w:val="28"/>
          <w:lang w:val="en-US" w:eastAsia="zh-CN"/>
        </w:rPr>
      </w:pPr>
    </w:p>
    <w:p w14:paraId="46703D08">
      <w:pPr>
        <w:pStyle w:val="5"/>
        <w:rPr>
          <w:rFonts w:hint="default" w:ascii="Times New Roman" w:hAnsi="Times New Roman" w:eastAsia="宋体" w:cs="Times New Roman"/>
          <w:b/>
          <w:bCs w:val="0"/>
          <w:sz w:val="28"/>
          <w:szCs w:val="28"/>
          <w:lang w:val="en-US" w:eastAsia="zh-CN"/>
        </w:rPr>
      </w:pPr>
    </w:p>
    <w:p w14:paraId="6DCC0782">
      <w:pPr>
        <w:rPr>
          <w:rFonts w:hint="default" w:ascii="Times New Roman" w:hAnsi="Times New Roman" w:eastAsia="宋体" w:cs="Times New Roman"/>
          <w:b/>
          <w:bCs w:val="0"/>
          <w:sz w:val="28"/>
          <w:szCs w:val="28"/>
          <w:lang w:val="en-US" w:eastAsia="zh-CN"/>
        </w:rPr>
      </w:pPr>
    </w:p>
    <w:p w14:paraId="3A94BF45">
      <w:pPr>
        <w:pStyle w:val="5"/>
        <w:rPr>
          <w:rFonts w:hint="eastAsia"/>
        </w:rPr>
      </w:pPr>
    </w:p>
    <w:p w14:paraId="75C8E632">
      <w:pPr>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360" w:lineRule="auto"/>
        <w:jc w:val="center"/>
        <w:textAlignment w:val="auto"/>
        <w:rPr>
          <w:rFonts w:hint="eastAsia" w:ascii="宋体" w:hAnsi="宋体" w:eastAsia="宋体" w:cs="宋体"/>
          <w:b/>
          <w:sz w:val="52"/>
          <w:szCs w:val="52"/>
        </w:rPr>
      </w:pPr>
      <w:r>
        <w:rPr>
          <w:rFonts w:hint="eastAsia" w:ascii="宋体" w:hAnsi="宋体" w:eastAsia="宋体" w:cs="宋体"/>
          <w:b/>
          <w:sz w:val="52"/>
          <w:szCs w:val="52"/>
          <w:lang w:val="en-US" w:eastAsia="zh-CN"/>
        </w:rPr>
        <w:t>南通孟泉环保新能源有限公司</w:t>
      </w:r>
      <w:r>
        <w:rPr>
          <w:rFonts w:hint="eastAsia" w:ascii="宋体" w:hAnsi="宋体" w:eastAsia="宋体" w:cs="宋体"/>
          <w:b/>
          <w:sz w:val="52"/>
          <w:szCs w:val="52"/>
          <w:lang w:val="en-US" w:eastAsia="zh-CN"/>
        </w:rPr>
        <w:tab/>
      </w:r>
      <w:r>
        <w:rPr>
          <w:rFonts w:hint="eastAsia" w:ascii="宋体" w:hAnsi="宋体" w:eastAsia="宋体" w:cs="宋体"/>
          <w:b/>
          <w:sz w:val="52"/>
          <w:szCs w:val="52"/>
        </w:rPr>
        <w:t>突发环境事件风险评估报告</w:t>
      </w:r>
    </w:p>
    <w:p w14:paraId="59210A8D">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791E428A">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4C0A910A">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55C29AAE">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52DC4DFB">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7ED20475">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37657CDF">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6333A824">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73AC0304">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kern w:val="2"/>
          <w:sz w:val="32"/>
          <w:szCs w:val="32"/>
          <w:lang w:val="en-US" w:eastAsia="zh-CN" w:bidi="zh-CN"/>
        </w:rPr>
      </w:pPr>
      <w:r>
        <w:rPr>
          <w:rFonts w:hint="eastAsia" w:ascii="宋体" w:hAnsi="宋体" w:eastAsia="宋体" w:cs="宋体"/>
          <w:b/>
          <w:bCs/>
          <w:sz w:val="32"/>
          <w:szCs w:val="32"/>
          <w:lang w:val="en-US" w:eastAsia="zh-CN"/>
        </w:rPr>
        <w:t>编制单位：</w:t>
      </w:r>
      <w:r>
        <w:rPr>
          <w:rFonts w:hint="eastAsia" w:ascii="宋体" w:hAnsi="宋体" w:eastAsia="宋体" w:cs="宋体"/>
          <w:b/>
          <w:bCs/>
          <w:kern w:val="2"/>
          <w:sz w:val="32"/>
          <w:szCs w:val="32"/>
          <w:lang w:val="en-US" w:eastAsia="zh-CN" w:bidi="zh-CN"/>
        </w:rPr>
        <w:fldChar w:fldCharType="begin"/>
      </w:r>
      <w:r>
        <w:rPr>
          <w:rFonts w:hint="eastAsia" w:ascii="宋体" w:hAnsi="宋体" w:eastAsia="宋体" w:cs="宋体"/>
          <w:b/>
          <w:bCs/>
          <w:kern w:val="2"/>
          <w:sz w:val="32"/>
          <w:szCs w:val="32"/>
          <w:lang w:val="en-US" w:eastAsia="zh-CN" w:bidi="zh-CN"/>
        </w:rPr>
        <w:instrText xml:space="preserve"> HYPERLINK "javascript:zxtb('XZXKTYPE_A','%E6%9A%82%E5%AD%98','card1','fc5c1215140948f896b26e64c489f794','readonly')" </w:instrText>
      </w:r>
      <w:r>
        <w:rPr>
          <w:rFonts w:hint="eastAsia" w:ascii="宋体" w:hAnsi="宋体" w:eastAsia="宋体" w:cs="宋体"/>
          <w:b/>
          <w:bCs/>
          <w:kern w:val="2"/>
          <w:sz w:val="32"/>
          <w:szCs w:val="32"/>
          <w:lang w:val="en-US" w:eastAsia="zh-CN" w:bidi="zh-CN"/>
        </w:rPr>
        <w:fldChar w:fldCharType="separate"/>
      </w:r>
      <w:r>
        <w:rPr>
          <w:rFonts w:hint="eastAsia" w:ascii="宋体" w:hAnsi="宋体" w:eastAsia="宋体" w:cs="宋体"/>
          <w:b/>
          <w:bCs/>
          <w:kern w:val="2"/>
          <w:sz w:val="32"/>
          <w:szCs w:val="32"/>
          <w:lang w:val="en-US" w:eastAsia="zh-CN" w:bidi="zh-CN"/>
        </w:rPr>
        <w:t>南通孟泉环保新能源有限公司</w:t>
      </w:r>
      <w:r>
        <w:rPr>
          <w:rFonts w:hint="eastAsia" w:ascii="宋体" w:hAnsi="宋体" w:eastAsia="宋体" w:cs="宋体"/>
          <w:b/>
          <w:bCs/>
          <w:kern w:val="2"/>
          <w:sz w:val="32"/>
          <w:szCs w:val="32"/>
          <w:lang w:val="en-US" w:eastAsia="zh-CN" w:bidi="zh-CN"/>
        </w:rPr>
        <w:tab/>
      </w:r>
      <w:r>
        <w:rPr>
          <w:rFonts w:hint="eastAsia" w:ascii="宋体" w:hAnsi="宋体" w:eastAsia="宋体" w:cs="宋体"/>
          <w:b/>
          <w:bCs/>
          <w:kern w:val="2"/>
          <w:sz w:val="32"/>
          <w:szCs w:val="32"/>
          <w:lang w:val="en-US" w:eastAsia="zh-CN" w:bidi="zh-CN"/>
        </w:rPr>
        <w:fldChar w:fldCharType="end"/>
      </w:r>
    </w:p>
    <w:p w14:paraId="7A03B81D">
      <w:pPr>
        <w:pStyle w:val="13"/>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default" w:ascii="宋体" w:hAnsi="宋体" w:eastAsia="宋体" w:cs="宋体"/>
          <w:b/>
          <w:bCs/>
          <w:sz w:val="32"/>
          <w:szCs w:val="32"/>
          <w:lang w:val="en-US" w:eastAsia="zh-CN" w:bidi="zh-CN"/>
        </w:rPr>
      </w:pPr>
      <w:r>
        <w:rPr>
          <w:rFonts w:hint="eastAsia" w:ascii="宋体" w:hAnsi="宋体" w:eastAsia="宋体" w:cs="宋体"/>
          <w:b/>
          <w:bCs/>
          <w:sz w:val="32"/>
          <w:szCs w:val="32"/>
          <w:lang w:val="en-US" w:eastAsia="zh-CN" w:bidi="zh-CN"/>
        </w:rPr>
        <w:t>技术协助单位：南通久蓝环保科技有限公司</w:t>
      </w:r>
    </w:p>
    <w:p w14:paraId="550F40C3">
      <w:pPr>
        <w:pStyle w:val="13"/>
        <w:jc w:val="center"/>
        <w:rPr>
          <w:rFonts w:hint="eastAsia" w:ascii="宋体" w:hAnsi="宋体" w:eastAsia="宋体" w:cs="宋体"/>
          <w:b/>
          <w:bCs/>
          <w:sz w:val="32"/>
          <w:szCs w:val="32"/>
          <w:lang w:val="en-US" w:eastAsia="zh-CN"/>
        </w:rPr>
      </w:pPr>
      <w:r>
        <w:rPr>
          <w:rFonts w:hint="eastAsia" w:eastAsia="宋体" w:cs="Times New Roman"/>
          <w:b/>
          <w:bCs/>
          <w:sz w:val="32"/>
          <w:szCs w:val="32"/>
          <w:lang w:val="zh-CN" w:eastAsia="zh-CN" w:bidi="zh-CN"/>
        </w:rPr>
        <w:t>2025</w:t>
      </w:r>
      <w:r>
        <w:rPr>
          <w:rFonts w:hint="default" w:ascii="Times New Roman" w:hAnsi="Times New Roman" w:eastAsia="宋体" w:cs="Times New Roman"/>
          <w:b/>
          <w:bCs/>
          <w:sz w:val="32"/>
          <w:szCs w:val="32"/>
          <w:lang w:val="zh-CN" w:eastAsia="zh-CN" w:bidi="zh-CN"/>
        </w:rPr>
        <w:t>年</w:t>
      </w:r>
      <w:r>
        <w:rPr>
          <w:rFonts w:hint="eastAsia" w:eastAsia="宋体" w:cs="Times New Roman"/>
          <w:b/>
          <w:bCs/>
          <w:sz w:val="32"/>
          <w:szCs w:val="32"/>
          <w:lang w:val="en-US" w:eastAsia="zh-CN" w:bidi="zh-CN"/>
        </w:rPr>
        <w:t>7</w:t>
      </w:r>
      <w:r>
        <w:rPr>
          <w:rFonts w:hint="default" w:ascii="Times New Roman" w:hAnsi="Times New Roman" w:eastAsia="宋体" w:cs="Times New Roman"/>
          <w:b/>
          <w:bCs/>
          <w:sz w:val="32"/>
          <w:szCs w:val="32"/>
          <w:lang w:val="zh-CN" w:eastAsia="zh-CN" w:bidi="zh-CN"/>
        </w:rPr>
        <w:t>月</w:t>
      </w:r>
    </w:p>
    <w:p w14:paraId="22FC880A">
      <w:pPr>
        <w:pStyle w:val="5"/>
        <w:rPr>
          <w:rFonts w:hint="eastAsia" w:ascii="宋体" w:hAnsi="宋体" w:eastAsia="宋体" w:cs="宋体"/>
          <w:b/>
          <w:bCs/>
          <w:sz w:val="32"/>
          <w:szCs w:val="32"/>
          <w:lang w:val="en-US" w:eastAsia="zh-CN"/>
        </w:rPr>
      </w:pPr>
    </w:p>
    <w:p w14:paraId="345547FB">
      <w:pPr>
        <w:rPr>
          <w:rFonts w:hint="eastAsia" w:ascii="宋体" w:hAnsi="宋体" w:eastAsia="宋体" w:cs="宋体"/>
          <w:b/>
          <w:bCs/>
          <w:sz w:val="32"/>
          <w:szCs w:val="32"/>
          <w:lang w:val="en-US" w:eastAsia="zh-CN"/>
        </w:rPr>
      </w:pPr>
    </w:p>
    <w:p w14:paraId="656B04A2">
      <w:pPr>
        <w:pStyle w:val="13"/>
        <w:sectPr>
          <w:headerReference r:id="rId5" w:type="first"/>
          <w:headerReference r:id="rId3" w:type="default"/>
          <w:headerReference r:id="rId4" w:type="even"/>
          <w:footerReference r:id="rId6" w:type="even"/>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35B1544E">
      <w:pPr>
        <w:adjustRightInd w:val="0"/>
        <w:snapToGrid w:val="0"/>
        <w:spacing w:line="360" w:lineRule="auto"/>
        <w:jc w:val="center"/>
        <w:rPr>
          <w:rFonts w:hint="eastAsia" w:ascii="宋体" w:hAnsi="宋体" w:eastAsia="宋体" w:cs="宋体"/>
          <w:sz w:val="44"/>
          <w:szCs w:val="44"/>
        </w:rPr>
      </w:pPr>
      <w:r>
        <w:rPr>
          <w:rFonts w:hint="eastAsia" w:ascii="宋体" w:hAnsi="宋体" w:eastAsia="宋体" w:cs="宋体"/>
          <w:b/>
          <w:sz w:val="44"/>
          <w:szCs w:val="44"/>
        </w:rPr>
        <w:t>目录</w:t>
      </w:r>
    </w:p>
    <w:p w14:paraId="6B56ECB7">
      <w:pPr>
        <w:pStyle w:val="24"/>
        <w:tabs>
          <w:tab w:val="right" w:leader="dot" w:pos="9026"/>
        </w:tabs>
        <w:spacing w:line="360" w:lineRule="exact"/>
        <w:rPr>
          <w:rFonts w:hint="default" w:ascii="Times New Roman" w:hAnsi="Times New Roman" w:eastAsia="宋体" w:cs="Times New Roman"/>
          <w:i w:val="0"/>
          <w:iCs w:val="0"/>
          <w:sz w:val="24"/>
          <w:szCs w:val="24"/>
        </w:rPr>
      </w:pPr>
      <w:bookmarkStart w:id="0" w:name="_Toc264884287"/>
      <w:bookmarkStart w:id="1" w:name="_Toc142238908"/>
      <w:bookmarkStart w:id="2" w:name="_Toc162428693"/>
      <w:r>
        <w:rPr>
          <w:rFonts w:hint="default" w:ascii="Times New Roman" w:hAnsi="Times New Roman" w:eastAsia="宋体" w:cs="Times New Roman"/>
          <w:b w:val="0"/>
          <w:i w:val="0"/>
          <w:iCs w:val="0"/>
          <w:sz w:val="36"/>
          <w:szCs w:val="36"/>
        </w:rPr>
        <w:fldChar w:fldCharType="begin"/>
      </w:r>
      <w:r>
        <w:rPr>
          <w:rFonts w:hint="default" w:ascii="Times New Roman" w:hAnsi="Times New Roman" w:eastAsia="宋体" w:cs="Times New Roman"/>
          <w:b w:val="0"/>
          <w:i w:val="0"/>
          <w:iCs w:val="0"/>
          <w:sz w:val="36"/>
          <w:szCs w:val="36"/>
        </w:rPr>
        <w:instrText xml:space="preserve"> TOC \o "1-3" \h \z \u </w:instrText>
      </w:r>
      <w:r>
        <w:rPr>
          <w:rFonts w:hint="default" w:ascii="Times New Roman" w:hAnsi="Times New Roman" w:eastAsia="宋体" w:cs="Times New Roman"/>
          <w:b w:val="0"/>
          <w:i w:val="0"/>
          <w:iCs w:val="0"/>
          <w:sz w:val="36"/>
          <w:szCs w:val="36"/>
        </w:rPr>
        <w:fldChar w:fldCharType="separate"/>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_Toc7714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1前言</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_Toc7714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92ABFCA">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_Toc8177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2总则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_Toc8177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5EAE8F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_Toc20253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2.1编制原则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_Toc20253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6FFD2E6">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_Toc21056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2.2编制依据</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_Toc21056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49389F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_Toc19349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2.2.1政策法规</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_Toc19349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99DCDC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_Toc31049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2.2.2标准规范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_Toc31049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9AD0F9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_Toc32074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2.2.3其他文件</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_Toc32074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07F7F80">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_Toc31581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2.3评估范围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_Toc31581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89C21F3">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_Toc3727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2.4环境风险评估程序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_Toc3727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7ADE584">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_Toc27051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环境风险评估</w:t>
      </w:r>
      <w:r>
        <w:rPr>
          <w:rFonts w:hint="default" w:ascii="Times New Roman" w:hAnsi="Times New Roman" w:eastAsia="宋体" w:cs="Times New Roman"/>
          <w:i w:val="0"/>
          <w:iCs w:val="0"/>
          <w:sz w:val="24"/>
          <w:szCs w:val="24"/>
          <w:lang w:val="en-US" w:eastAsia="zh-CN"/>
        </w:rPr>
        <w:t>的一般要求</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_Toc27051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963EA67">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_Toc9077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w:t>
      </w:r>
      <w:r>
        <w:rPr>
          <w:rFonts w:hint="default" w:ascii="Times New Roman" w:hAnsi="Times New Roman" w:eastAsia="宋体" w:cs="Times New Roman"/>
          <w:i w:val="0"/>
          <w:iCs w:val="0"/>
          <w:sz w:val="24"/>
          <w:szCs w:val="24"/>
          <w:lang w:val="en-US" w:eastAsia="zh-CN"/>
        </w:rPr>
        <w:t>6术语与定义</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_Toc9077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22E60F7">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_Toc14635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3资料准备与环境风险识别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_Toc14635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ABB9237">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3.1企业基本信息</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FB352B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_Toc21550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3.1.1企业概况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_Toc21550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B52701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_Toc16743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3.1.2自然环境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_Toc16743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17C950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_Toc20763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3.1.3环境功能区划及环境质量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_Toc20763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353F4D0">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_Toc17812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3.2企业周边环境风险受体情况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_Toc17812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E1522C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_Toc16476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3.2.1大气环境风险受体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_Toc16476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2AD486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_Toc16025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3.2.2水环境风险受体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_Toc16025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68362E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_Toc21141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lang w:val="en-US" w:eastAsia="zh-CN"/>
        </w:rPr>
        <w:t>3.2.3</w:t>
      </w:r>
      <w:r>
        <w:rPr>
          <w:rFonts w:hint="default" w:ascii="Times New Roman" w:hAnsi="Times New Roman" w:eastAsia="宋体" w:cs="Times New Roman"/>
          <w:bCs/>
          <w:i w:val="0"/>
          <w:iCs w:val="0"/>
          <w:sz w:val="24"/>
          <w:szCs w:val="24"/>
        </w:rPr>
        <w:t>生态环境保护目标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_Toc21141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FCD0E8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_Toc6964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lang w:val="en-US" w:eastAsia="zh-CN"/>
        </w:rPr>
        <w:t>3.2.4</w:t>
      </w:r>
      <w:r>
        <w:rPr>
          <w:rFonts w:hint="default" w:ascii="Times New Roman" w:hAnsi="Times New Roman" w:eastAsia="宋体" w:cs="Times New Roman"/>
          <w:bCs/>
          <w:i w:val="0"/>
          <w:iCs w:val="0"/>
          <w:sz w:val="24"/>
          <w:szCs w:val="24"/>
        </w:rPr>
        <w:t>土壤环境敏感度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_Toc6964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07B8BBE">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_Toc24977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3.3风险物质识别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_Toc24977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B8D361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_Toc25602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3.3.1物质性质</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_Toc25602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6AF8A84">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_Toc31109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w:t>
      </w:r>
      <w:r>
        <w:rPr>
          <w:rFonts w:hint="default" w:ascii="Times New Roman" w:hAnsi="Times New Roman" w:eastAsia="宋体" w:cs="Times New Roman"/>
          <w:i w:val="0"/>
          <w:iCs w:val="0"/>
          <w:sz w:val="24"/>
          <w:szCs w:val="24"/>
          <w:lang w:val="en-US" w:eastAsia="zh-CN"/>
        </w:rPr>
        <w:t>环境风险单元识别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_Toc31109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80F547B">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_Toc18985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生产工艺情况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_Toc18985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587023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_Toc11684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.1生产工艺简介</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_Toc11684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25821C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_Toc10285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.2生产设备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_Toc10285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13CFB3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_Toc6678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5.3</w:t>
      </w:r>
      <w:r>
        <w:rPr>
          <w:rFonts w:hint="default" w:ascii="Times New Roman" w:hAnsi="Times New Roman" w:eastAsia="宋体" w:cs="Times New Roman"/>
          <w:i w:val="0"/>
          <w:iCs w:val="0"/>
          <w:sz w:val="24"/>
          <w:szCs w:val="24"/>
        </w:rPr>
        <w:t>生产工艺过程含有风险工艺和设备情况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_Toc6678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9220ED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_Toc28286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rPr>
        <w:t>公用辅助工程情况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_Toc28286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CC0060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_Toc18121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“三废”排放及处理情况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_Toc18121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069D33A">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_Toc398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6</w:t>
      </w:r>
      <w:r>
        <w:rPr>
          <w:rFonts w:hint="default" w:ascii="Times New Roman" w:hAnsi="Times New Roman" w:eastAsia="宋体" w:cs="Times New Roman"/>
          <w:i w:val="0"/>
          <w:iCs w:val="0"/>
          <w:sz w:val="24"/>
          <w:szCs w:val="24"/>
        </w:rPr>
        <w:t>重大环境风险事故发生情况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_Toc398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4E3BF6">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_Toc31165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7</w:t>
      </w:r>
      <w:r>
        <w:rPr>
          <w:rFonts w:hint="default" w:ascii="Times New Roman" w:hAnsi="Times New Roman" w:eastAsia="宋体" w:cs="Times New Roman"/>
          <w:i w:val="0"/>
          <w:iCs w:val="0"/>
          <w:sz w:val="24"/>
          <w:szCs w:val="24"/>
        </w:rPr>
        <w:t>安全生产管理</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_Toc31165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81DA683">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_Toc32103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w:t>
      </w:r>
      <w:r>
        <w:rPr>
          <w:rFonts w:hint="default" w:ascii="Times New Roman" w:hAnsi="Times New Roman" w:eastAsia="宋体" w:cs="Times New Roman"/>
          <w:i w:val="0"/>
          <w:iCs w:val="0"/>
          <w:sz w:val="24"/>
          <w:szCs w:val="24"/>
        </w:rPr>
        <w:t>现有环境风险防控与应急措施情况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_Toc32103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69BB4B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_Toc15542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1现有环境风险防控措施情况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_Toc15542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DC8AC8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_Toc13078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8.2应急物资及装备情况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_Toc13078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746843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_Toc14714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8.3应急监测能力</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_Toc14714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69609D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_Toc5748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8.4内部应急队伍</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_Toc5748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A93D63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_Toc26885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8.5外部应急救援力量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_Toc26885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2005C42">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_Toc18181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4突发环境事件及其后果分析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_Toc18181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AA6998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_Toc13659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4.1突发环境事件情景分析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_Toc13659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2109313">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_Toc29962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4.2突发环境事件情景源强分析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_Toc29962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48BCD9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_Toc27354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_Toc27354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A4A4A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_Toc11264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_Toc11264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FE1006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_Toc32065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4.2.</w:t>
      </w:r>
      <w:r>
        <w:rPr>
          <w:rFonts w:hint="default" w:ascii="Times New Roman" w:hAnsi="Times New Roman" w:eastAsia="宋体" w:cs="Times New Roman"/>
          <w:bCs/>
          <w:i w:val="0"/>
          <w:iCs w:val="0"/>
          <w:sz w:val="24"/>
          <w:szCs w:val="24"/>
          <w:lang w:val="en-US" w:eastAsia="zh-CN"/>
        </w:rPr>
        <w:t>3</w:t>
      </w:r>
      <w:r>
        <w:rPr>
          <w:rFonts w:hint="default" w:ascii="Times New Roman" w:hAnsi="Times New Roman" w:eastAsia="宋体" w:cs="Times New Roman"/>
          <w:bCs/>
          <w:i w:val="0"/>
          <w:iCs w:val="0"/>
          <w:sz w:val="24"/>
          <w:szCs w:val="24"/>
        </w:rPr>
        <w:t>事件情景</w:t>
      </w:r>
      <w:r>
        <w:rPr>
          <w:rFonts w:hint="default" w:ascii="Times New Roman" w:hAnsi="Times New Roman" w:eastAsia="宋体" w:cs="Times New Roman"/>
          <w:bCs/>
          <w:i w:val="0"/>
          <w:iCs w:val="0"/>
          <w:sz w:val="24"/>
          <w:szCs w:val="24"/>
          <w:lang w:val="en-US" w:eastAsia="zh-CN"/>
        </w:rPr>
        <w:t>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_Toc32065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84990FE">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_Toc5652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4.3释放环境风险物质的扩散途径、涉及环境风险防控与应急措施、应急资源情况分析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_Toc5652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B23F83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4.3.1事件情景1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483085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_Toc10339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_Toc10339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7BB066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_Toc19174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_Toc19174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7D85624">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_Toc26102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4.4突发环境事件危害后果分析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_Toc26102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406D90E">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_Toc26602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4.4.1</w:t>
      </w:r>
      <w:r>
        <w:rPr>
          <w:rFonts w:hint="default" w:ascii="Times New Roman" w:hAnsi="Times New Roman" w:eastAsia="宋体" w:cs="Times New Roman"/>
          <w:i w:val="0"/>
          <w:iCs w:val="0"/>
          <w:sz w:val="24"/>
          <w:szCs w:val="24"/>
          <w:lang w:val="en-US" w:eastAsia="zh-CN"/>
        </w:rPr>
        <w:t>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_Toc26602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802F4A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_Toc6104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lang w:val="en-US" w:eastAsia="zh-CN"/>
        </w:rPr>
        <w:t>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_Toc6104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A70787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_Toc6431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_Toc6431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9C088CA">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5现有环境风险防控和应急措施差距分析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2615C42">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_Toc7007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5.1环境风险管理制度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_Toc7007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0E65CD0">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_Toc10025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5.2环境风险防控与应急措施</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_Toc10025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CFE6511">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_Toc16479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5.3环境应急资源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_Toc16479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3279DFE">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_Toc7855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5.4历史经验教训总结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_Toc7855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D2DCD5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_Toc9941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5.5需要整改的短期、中期和长期项目内容</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_Toc9941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D1969A">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_Toc594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6完善环境风险防控和应急措施的实施计划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_Toc594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007EE2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_Toc15485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6.1短期整改内容及实施计划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_Toc15485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06D2999">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_Toc28359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6.2中、长期整改内容及实施计划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_Toc28359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ECD487E">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_Toc8571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7企业突发环境事件风险等级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_Toc8571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84BD84F">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_Toc10459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7.1企业突发大气环境事件风险等级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_Toc10459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31C316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_Toc32695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7.1.1</w:t>
      </w:r>
      <w:r>
        <w:rPr>
          <w:rFonts w:hint="default" w:ascii="Times New Roman" w:hAnsi="Times New Roman" w:eastAsia="宋体" w:cs="Times New Roman"/>
          <w:i w:val="0"/>
          <w:iCs w:val="0"/>
          <w:sz w:val="24"/>
          <w:szCs w:val="24"/>
          <w:lang w:val="en-US" w:eastAsia="zh-CN"/>
        </w:rPr>
        <w:t>涉气风险物质数量与临界值比值（Q）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_Toc32695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6F1FDD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_Toc4575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生产工艺过程与大气环境风险控制水平（M）评估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_Toc4575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BAADE9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_Toc15903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大气环境风险受体敏感程度（E）评估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_Toc15903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216841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_Toc23652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rPr>
        <w:t>突发大气环境事件风险等级确定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_Toc23652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13A4ED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_Toc30454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突发大气环境事件风险等级表征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_Toc30454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DFDBC3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_Toc27596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企业突发</w:t>
      </w:r>
      <w:r>
        <w:rPr>
          <w:rFonts w:hint="default" w:ascii="Times New Roman" w:hAnsi="Times New Roman" w:eastAsia="宋体" w:cs="Times New Roman"/>
          <w:i w:val="0"/>
          <w:iCs w:val="0"/>
          <w:sz w:val="24"/>
          <w:szCs w:val="24"/>
          <w:lang w:val="en-US" w:eastAsia="zh-CN"/>
        </w:rPr>
        <w:t>水</w:t>
      </w:r>
      <w:r>
        <w:rPr>
          <w:rFonts w:hint="default" w:ascii="Times New Roman" w:hAnsi="Times New Roman" w:eastAsia="宋体" w:cs="Times New Roman"/>
          <w:i w:val="0"/>
          <w:iCs w:val="0"/>
          <w:sz w:val="24"/>
          <w:szCs w:val="24"/>
        </w:rPr>
        <w:t>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_Toc27596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BE5635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_Toc4502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.1</w:t>
      </w:r>
      <w:r>
        <w:rPr>
          <w:rFonts w:hint="default" w:ascii="Times New Roman" w:hAnsi="Times New Roman" w:eastAsia="宋体" w:cs="Times New Roman"/>
          <w:i w:val="0"/>
          <w:iCs w:val="0"/>
          <w:sz w:val="24"/>
          <w:szCs w:val="24"/>
          <w:lang w:val="en-US" w:eastAsia="zh-CN"/>
        </w:rPr>
        <w:t>涉水风险物质数量与临界值比值（Q）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_Toc4502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07B1D1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_Toc23938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生产工艺过程与</w:t>
      </w:r>
      <w:r>
        <w:rPr>
          <w:rFonts w:hint="default" w:ascii="Times New Roman" w:hAnsi="Times New Roman" w:eastAsia="宋体" w:cs="Times New Roman"/>
          <w:i w:val="0"/>
          <w:iCs w:val="0"/>
          <w:sz w:val="24"/>
          <w:szCs w:val="24"/>
          <w:lang w:val="en-US" w:eastAsia="zh-CN"/>
        </w:rPr>
        <w:t>水</w:t>
      </w:r>
      <w:r>
        <w:rPr>
          <w:rFonts w:hint="default" w:ascii="Times New Roman" w:hAnsi="Times New Roman" w:eastAsia="宋体" w:cs="Times New Roman"/>
          <w:i w:val="0"/>
          <w:iCs w:val="0"/>
          <w:sz w:val="24"/>
          <w:szCs w:val="24"/>
        </w:rPr>
        <w:t>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_Toc23938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FEF7AA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_Toc9044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3水</w:t>
      </w:r>
      <w:r>
        <w:rPr>
          <w:rFonts w:hint="default" w:ascii="Times New Roman" w:hAnsi="Times New Roman" w:eastAsia="宋体" w:cs="Times New Roman"/>
          <w:i w:val="0"/>
          <w:iCs w:val="0"/>
          <w:sz w:val="24"/>
          <w:szCs w:val="24"/>
        </w:rPr>
        <w:t>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_Toc9044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B5B1E2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_Toc28884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rPr>
        <w:t>突发</w:t>
      </w:r>
      <w:r>
        <w:rPr>
          <w:rFonts w:hint="default" w:ascii="Times New Roman" w:hAnsi="Times New Roman" w:eastAsia="宋体" w:cs="Times New Roman"/>
          <w:i w:val="0"/>
          <w:iCs w:val="0"/>
          <w:sz w:val="24"/>
          <w:szCs w:val="24"/>
          <w:lang w:val="en-US" w:eastAsia="zh-CN"/>
        </w:rPr>
        <w:t>水</w:t>
      </w:r>
      <w:r>
        <w:rPr>
          <w:rFonts w:hint="default" w:ascii="Times New Roman" w:hAnsi="Times New Roman" w:eastAsia="宋体" w:cs="Times New Roman"/>
          <w:i w:val="0"/>
          <w:iCs w:val="0"/>
          <w:sz w:val="24"/>
          <w:szCs w:val="24"/>
        </w:rPr>
        <w:t>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_Toc28884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75E625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_Toc6239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lang w:val="en-US" w:eastAsia="zh-CN"/>
        </w:rPr>
        <w:t>7.2.5突发水环境事件风险等级表征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_Toc6239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6403A55">
      <w:pPr>
        <w:pStyle w:val="30"/>
        <w:tabs>
          <w:tab w:val="right" w:leader="dot" w:pos="9026"/>
        </w:tabs>
        <w:spacing w:line="360" w:lineRule="exact"/>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_Toc27337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风险等级调整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_Toc27337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1836070">
      <w:pPr>
        <w:pStyle w:val="24"/>
        <w:keepNext w:val="0"/>
        <w:keepLines w:val="0"/>
        <w:pageBreakBefore w:val="0"/>
        <w:widowControl w:val="0"/>
        <w:tabs>
          <w:tab w:val="left" w:pos="420"/>
          <w:tab w:val="right" w:pos="9120"/>
        </w:tabs>
        <w:kinsoku/>
        <w:wordWrap/>
        <w:overflowPunct/>
        <w:topLinePunct w:val="0"/>
        <w:autoSpaceDE/>
        <w:autoSpaceDN/>
        <w:bidi w:val="0"/>
        <w:adjustRightInd w:val="0"/>
        <w:snapToGrid w:val="0"/>
        <w:spacing w:before="0" w:after="0" w:line="300" w:lineRule="exact"/>
        <w:textAlignment w:val="auto"/>
        <w:rPr>
          <w:rFonts w:ascii="Times New Roman" w:hAnsi="Times New Roman" w:eastAsia="仿宋" w:cs="Times New Roman"/>
          <w:sz w:val="21"/>
          <w:szCs w:val="21"/>
        </w:rPr>
        <w:sectPr>
          <w:head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upperRoman" w:start="1"/>
          <w:cols w:space="720" w:num="1"/>
          <w:docGrid w:linePitch="312" w:charSpace="0"/>
        </w:sectPr>
      </w:pPr>
      <w:r>
        <w:rPr>
          <w:rFonts w:hint="default" w:ascii="Times New Roman" w:hAnsi="Times New Roman" w:eastAsia="宋体" w:cs="Times New Roman"/>
          <w:i w:val="0"/>
          <w:iCs w:val="0"/>
          <w:szCs w:val="36"/>
        </w:rPr>
        <w:fldChar w:fldCharType="end"/>
      </w:r>
    </w:p>
    <w:p w14:paraId="33C9FA71">
      <w:pPr>
        <w:pStyle w:val="2"/>
        <w:adjustRightInd w:val="0"/>
        <w:snapToGrid w:val="0"/>
        <w:spacing w:line="500" w:lineRule="exact"/>
        <w:rPr>
          <w:rFonts w:ascii="宋体" w:hAnsi="宋体" w:eastAsia="宋体" w:cs="宋体"/>
          <w:sz w:val="24"/>
          <w:szCs w:val="24"/>
        </w:rPr>
      </w:pPr>
      <w:bookmarkStart w:id="3" w:name="_Toc21200"/>
      <w:bookmarkStart w:id="4" w:name="_Toc26756"/>
      <w:bookmarkStart w:id="5" w:name="_Toc7714"/>
      <w:r>
        <w:rPr>
          <w:rFonts w:hint="eastAsia" w:ascii="宋体" w:hAnsi="宋体" w:eastAsia="宋体" w:cs="宋体"/>
          <w:sz w:val="24"/>
          <w:szCs w:val="24"/>
        </w:rPr>
        <w:t>1前言</w:t>
      </w:r>
      <w:bookmarkEnd w:id="0"/>
      <w:bookmarkEnd w:id="3"/>
      <w:bookmarkEnd w:id="4"/>
      <w:bookmarkEnd w:id="5"/>
    </w:p>
    <w:p w14:paraId="27F1E532">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bCs/>
          <w:color w:val="auto"/>
        </w:rPr>
      </w:pPr>
      <w:r>
        <w:rPr>
          <w:rFonts w:hint="eastAsia" w:ascii="宋体" w:hAnsi="宋体" w:eastAsia="宋体" w:cs="宋体"/>
          <w:bCs/>
          <w:color w:val="auto"/>
        </w:rPr>
        <w:t>环境风险是指由人类活动引起或由人类活动与自然界的运动过程共同作用造成的，通过环境介质传播的，能对人类社会及其生存、发展的基础——环境产生破坏、损失乃至毁灭性作用等不利后果的事件的发生概率。</w:t>
      </w:r>
    </w:p>
    <w:p w14:paraId="5C4EC743">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bCs/>
          <w:color w:val="auto"/>
        </w:rPr>
      </w:pPr>
      <w:r>
        <w:rPr>
          <w:rFonts w:hint="eastAsia" w:ascii="宋体" w:hAnsi="宋体" w:eastAsia="宋体" w:cs="宋体"/>
          <w:bCs/>
          <w:color w:val="auto"/>
        </w:rPr>
        <w:t>环境风险达到一定程度会很容易造成突发性的环境事件，致使环境受到污染，生态系统受到干扰，人体健康受到危害，社会财富受到损失，并造成不良社会影响。</w:t>
      </w:r>
    </w:p>
    <w:p w14:paraId="46A2149B">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color w:val="auto"/>
          <w:kern w:val="0"/>
          <w:szCs w:val="28"/>
        </w:rPr>
      </w:pPr>
      <w:r>
        <w:rPr>
          <w:rFonts w:hint="eastAsia" w:ascii="宋体" w:hAnsi="宋体" w:eastAsia="宋体" w:cs="宋体"/>
          <w:bCs/>
          <w:color w:val="auto"/>
        </w:rPr>
        <w:t>企业存贮使用化学物质、生产工艺落后、生产设备陈旧、生产管理上的不科学性、不合理性以及化学物质未能规范安全储运等都会增加企业的环境风险概率，从而导致环境事故的发生。</w:t>
      </w:r>
    </w:p>
    <w:p w14:paraId="72D2D04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eastAsia="宋体"/>
          <w:color w:val="auto"/>
          <w:lang w:val="en-US" w:eastAsia="zh-CN"/>
        </w:rPr>
      </w:pPr>
      <w:r>
        <w:rPr>
          <w:rFonts w:hint="eastAsia" w:eastAsia="宋体"/>
          <w:color w:val="auto"/>
          <w:lang w:eastAsia="zh-CN"/>
        </w:rPr>
        <w:t>南通孟泉环保新能源有限公司</w:t>
      </w:r>
      <w:r>
        <w:rPr>
          <w:rFonts w:hint="eastAsia" w:eastAsia="宋体"/>
          <w:color w:val="auto"/>
          <w:lang w:eastAsia="zh-CN"/>
        </w:rPr>
        <w:tab/>
      </w:r>
      <w:r>
        <w:rPr>
          <w:rFonts w:hint="eastAsia" w:eastAsia="宋体"/>
          <w:color w:val="auto"/>
          <w:lang w:eastAsia="zh-CN"/>
        </w:rPr>
        <w:t>（以下简称“</w:t>
      </w:r>
      <w:r>
        <w:rPr>
          <w:rFonts w:hint="eastAsia" w:eastAsia="宋体"/>
          <w:color w:val="auto"/>
          <w:lang w:val="en-US" w:eastAsia="zh-CN"/>
        </w:rPr>
        <w:t>孟泉环保新能源</w:t>
      </w:r>
      <w:r>
        <w:rPr>
          <w:rFonts w:hint="eastAsia" w:eastAsia="宋体"/>
          <w:color w:val="auto"/>
          <w:lang w:eastAsia="zh-CN"/>
        </w:rPr>
        <w:t>”）成立于</w:t>
      </w:r>
      <w:r>
        <w:rPr>
          <w:rFonts w:hint="eastAsia" w:eastAsia="宋体"/>
          <w:color w:val="auto"/>
          <w:lang w:val="en-US" w:eastAsia="zh-CN"/>
        </w:rPr>
        <w:t>2017</w:t>
      </w:r>
      <w:r>
        <w:rPr>
          <w:rFonts w:hint="eastAsia" w:eastAsia="宋体"/>
          <w:color w:val="auto"/>
          <w:lang w:eastAsia="zh-CN"/>
        </w:rPr>
        <w:t>年</w:t>
      </w:r>
      <w:r>
        <w:rPr>
          <w:rFonts w:hint="eastAsia" w:eastAsia="宋体"/>
          <w:color w:val="auto"/>
          <w:lang w:val="en-US" w:eastAsia="zh-CN"/>
        </w:rPr>
        <w:t>6</w:t>
      </w:r>
      <w:r>
        <w:rPr>
          <w:rFonts w:hint="eastAsia" w:eastAsia="宋体"/>
          <w:color w:val="auto"/>
          <w:lang w:eastAsia="zh-CN"/>
        </w:rPr>
        <w:t>月，</w:t>
      </w:r>
      <w:r>
        <w:rPr>
          <w:rFonts w:hint="eastAsia" w:eastAsia="宋体"/>
          <w:color w:val="auto"/>
          <w:lang w:val="en-US" w:eastAsia="zh-CN"/>
        </w:rPr>
        <w:t>位于江苏省南通市海安市墩头镇吉庆村五组，占地面积4779平方米，从事生物质颗粒成型燃料加工项目</w:t>
      </w:r>
      <w:r>
        <w:rPr>
          <w:rFonts w:hint="eastAsia" w:eastAsia="宋体"/>
          <w:color w:val="auto"/>
          <w:lang w:eastAsia="zh-CN"/>
        </w:rPr>
        <w:t>。</w:t>
      </w:r>
      <w:bookmarkStart w:id="6" w:name="_Hlk51407346"/>
      <w:r>
        <w:rPr>
          <w:rFonts w:hint="eastAsia" w:eastAsia="宋体"/>
          <w:color w:val="auto"/>
          <w:lang w:val="en-US" w:eastAsia="zh-CN"/>
        </w:rPr>
        <w:t>孟泉环保新能源</w:t>
      </w:r>
      <w:r>
        <w:rPr>
          <w:rFonts w:hint="default" w:eastAsia="宋体"/>
          <w:color w:val="auto"/>
          <w:lang w:eastAsia="zh-CN"/>
        </w:rPr>
        <w:t>于20</w:t>
      </w:r>
      <w:r>
        <w:rPr>
          <w:rFonts w:hint="eastAsia" w:eastAsia="宋体"/>
          <w:color w:val="auto"/>
          <w:lang w:val="en-US" w:eastAsia="zh-CN"/>
        </w:rPr>
        <w:t>24</w:t>
      </w:r>
      <w:r>
        <w:rPr>
          <w:rFonts w:hint="default" w:eastAsia="宋体"/>
          <w:color w:val="auto"/>
          <w:lang w:eastAsia="zh-CN"/>
        </w:rPr>
        <w:t>年</w:t>
      </w:r>
      <w:r>
        <w:rPr>
          <w:rFonts w:hint="eastAsia" w:eastAsia="宋体"/>
          <w:color w:val="auto"/>
          <w:lang w:val="en-US" w:eastAsia="zh-CN"/>
        </w:rPr>
        <w:t>6</w:t>
      </w:r>
      <w:r>
        <w:rPr>
          <w:rFonts w:hint="default" w:eastAsia="宋体"/>
          <w:color w:val="auto"/>
          <w:lang w:eastAsia="zh-CN"/>
        </w:rPr>
        <w:t>月</w:t>
      </w:r>
      <w:r>
        <w:rPr>
          <w:rFonts w:hint="eastAsia" w:eastAsia="宋体"/>
          <w:color w:val="auto"/>
          <w:lang w:val="en-US" w:eastAsia="zh-CN"/>
        </w:rPr>
        <w:t>25</w:t>
      </w:r>
      <w:r>
        <w:rPr>
          <w:rFonts w:hint="default" w:eastAsia="宋体"/>
          <w:color w:val="auto"/>
          <w:lang w:eastAsia="zh-CN"/>
        </w:rPr>
        <w:t>日获得海安</w:t>
      </w:r>
      <w:r>
        <w:rPr>
          <w:rFonts w:hint="eastAsia" w:eastAsia="宋体"/>
          <w:color w:val="auto"/>
          <w:lang w:val="en-US" w:eastAsia="zh-CN"/>
        </w:rPr>
        <w:t>市行政审批局</w:t>
      </w:r>
      <w:r>
        <w:rPr>
          <w:rFonts w:hint="default" w:eastAsia="宋体"/>
          <w:color w:val="auto"/>
          <w:lang w:eastAsia="zh-CN"/>
        </w:rPr>
        <w:t>审批（</w:t>
      </w:r>
      <w:r>
        <w:rPr>
          <w:rFonts w:hint="default" w:eastAsia="宋体"/>
          <w:color w:val="auto"/>
          <w:lang w:val="en-US" w:eastAsia="zh-CN"/>
        </w:rPr>
        <w:t>海行审〔20</w:t>
      </w:r>
      <w:r>
        <w:rPr>
          <w:rFonts w:hint="eastAsia" w:eastAsia="宋体"/>
          <w:color w:val="auto"/>
          <w:lang w:val="en-US" w:eastAsia="zh-CN"/>
        </w:rPr>
        <w:t>24)103</w:t>
      </w:r>
      <w:r>
        <w:rPr>
          <w:rFonts w:hint="default" w:eastAsia="宋体"/>
          <w:color w:val="auto"/>
          <w:lang w:val="en-US" w:eastAsia="zh-CN"/>
        </w:rPr>
        <w:t>号</w:t>
      </w:r>
      <w:r>
        <w:rPr>
          <w:rFonts w:hint="default" w:eastAsia="宋体"/>
          <w:color w:val="auto"/>
          <w:lang w:eastAsia="zh-CN"/>
        </w:rPr>
        <w:t>）。</w:t>
      </w:r>
    </w:p>
    <w:p w14:paraId="47BC87A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eastAsia="宋体"/>
          <w:color w:val="auto"/>
        </w:rPr>
      </w:pPr>
      <w:r>
        <w:rPr>
          <w:rFonts w:hint="eastAsia" w:eastAsia="宋体"/>
          <w:color w:val="auto"/>
          <w:lang w:eastAsia="zh-CN"/>
        </w:rPr>
        <w:t>南通孟泉环保新能源有限公司</w:t>
      </w:r>
      <w:r>
        <w:rPr>
          <w:rFonts w:hint="eastAsia" w:eastAsia="宋体"/>
          <w:color w:val="auto"/>
          <w:lang w:eastAsia="zh-CN"/>
        </w:rPr>
        <w:tab/>
      </w:r>
      <w:r>
        <w:rPr>
          <w:rFonts w:hint="eastAsia" w:eastAsia="宋体"/>
          <w:color w:val="auto"/>
          <w:lang w:val="en-US" w:eastAsia="zh-CN"/>
        </w:rPr>
        <w:t>现年产生物质颗粒成型燃料23000吨。</w:t>
      </w:r>
      <w:r>
        <w:rPr>
          <w:rFonts w:hint="default" w:eastAsia="宋体"/>
          <w:color w:val="auto"/>
        </w:rPr>
        <w:t>公司目前</w:t>
      </w:r>
      <w:r>
        <w:rPr>
          <w:rFonts w:hint="eastAsia" w:eastAsia="宋体"/>
          <w:color w:val="auto"/>
          <w:lang w:val="en-US" w:eastAsia="zh-CN"/>
        </w:rPr>
        <w:t>劳动定员10</w:t>
      </w:r>
      <w:r>
        <w:rPr>
          <w:rFonts w:hint="default" w:eastAsia="宋体"/>
          <w:color w:val="auto"/>
        </w:rPr>
        <w:t>人，全年运行</w:t>
      </w:r>
      <w:r>
        <w:rPr>
          <w:rFonts w:hint="eastAsia" w:eastAsia="宋体"/>
          <w:color w:val="auto"/>
          <w:lang w:val="en-US" w:eastAsia="zh-CN"/>
        </w:rPr>
        <w:t>300</w:t>
      </w:r>
      <w:r>
        <w:rPr>
          <w:rFonts w:hint="default" w:eastAsia="宋体"/>
          <w:color w:val="auto"/>
        </w:rPr>
        <w:t>天</w:t>
      </w:r>
      <w:r>
        <w:rPr>
          <w:rFonts w:hint="eastAsia" w:eastAsia="宋体"/>
          <w:color w:val="auto"/>
          <w:lang w:eastAsia="zh-CN"/>
        </w:rPr>
        <w:t>，</w:t>
      </w:r>
      <w:r>
        <w:rPr>
          <w:rFonts w:hint="eastAsia" w:eastAsia="宋体"/>
          <w:color w:val="auto"/>
          <w:lang w:val="en-US" w:eastAsia="zh-CN"/>
        </w:rPr>
        <w:t>每班工作8小时，年产时数5280h/a</w:t>
      </w:r>
      <w:r>
        <w:rPr>
          <w:rFonts w:eastAsia="宋体"/>
          <w:color w:val="auto"/>
        </w:rPr>
        <w:t>。</w:t>
      </w:r>
      <w:r>
        <w:rPr>
          <w:rFonts w:hint="eastAsia" w:eastAsia="宋体"/>
          <w:color w:val="auto"/>
          <w:lang w:eastAsia="zh-CN"/>
        </w:rPr>
        <w:t>南通孟泉环保新能源有限公司</w:t>
      </w:r>
      <w:r>
        <w:rPr>
          <w:rFonts w:hint="eastAsia" w:eastAsia="宋体"/>
          <w:color w:val="auto"/>
          <w:lang w:eastAsia="zh-CN"/>
        </w:rPr>
        <w:tab/>
      </w:r>
      <w:r>
        <w:rPr>
          <w:rFonts w:hint="eastAsia" w:eastAsia="宋体"/>
          <w:color w:val="auto"/>
          <w:lang w:val="en-US" w:eastAsia="zh-CN"/>
        </w:rPr>
        <w:t>本次应急预案为首次编。</w:t>
      </w:r>
    </w:p>
    <w:bookmarkEnd w:id="6"/>
    <w:p w14:paraId="521BE3A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eastAsia="宋体"/>
          <w:color w:val="auto"/>
        </w:rPr>
      </w:pPr>
      <w:r>
        <w:rPr>
          <w:rFonts w:eastAsia="宋体"/>
          <w:color w:val="auto"/>
        </w:rPr>
        <w:t>根据《关于印发</w:t>
      </w:r>
      <w:r>
        <w:rPr>
          <w:rFonts w:hint="eastAsia" w:eastAsia="宋体"/>
          <w:color w:val="auto"/>
          <w:lang w:eastAsia="zh-CN"/>
        </w:rPr>
        <w:t>〈</w:t>
      </w:r>
      <w:r>
        <w:rPr>
          <w:rFonts w:eastAsia="宋体"/>
          <w:color w:val="auto"/>
        </w:rPr>
        <w:t>企业事业单位突发环境事件应急预案备案管理办法（试行）</w:t>
      </w:r>
      <w:r>
        <w:rPr>
          <w:rFonts w:hint="eastAsia" w:eastAsia="宋体"/>
          <w:color w:val="auto"/>
          <w:lang w:eastAsia="zh-CN"/>
        </w:rPr>
        <w:t>〉</w:t>
      </w:r>
      <w:r>
        <w:rPr>
          <w:rFonts w:eastAsia="宋体"/>
          <w:color w:val="auto"/>
        </w:rPr>
        <w:t>的通知》（环发</w:t>
      </w:r>
      <w:r>
        <w:rPr>
          <w:rFonts w:hint="eastAsia" w:eastAsia="宋体"/>
          <w:color w:val="auto"/>
          <w:lang w:eastAsia="zh-CN"/>
        </w:rPr>
        <w:t>〔</w:t>
      </w:r>
      <w:r>
        <w:rPr>
          <w:rFonts w:eastAsia="宋体"/>
          <w:color w:val="auto"/>
        </w:rPr>
        <w:t>2015</w:t>
      </w:r>
      <w:r>
        <w:rPr>
          <w:rFonts w:hint="eastAsia" w:eastAsia="宋体"/>
          <w:color w:val="auto"/>
          <w:lang w:eastAsia="zh-CN"/>
        </w:rPr>
        <w:t>〕</w:t>
      </w:r>
      <w:r>
        <w:rPr>
          <w:rFonts w:eastAsia="宋体"/>
          <w:color w:val="auto"/>
        </w:rPr>
        <w:t>4号）、《突发环境事件应急管理办法》（环保部令第34号）、《关于印发</w:t>
      </w:r>
      <w:r>
        <w:rPr>
          <w:rFonts w:hint="eastAsia" w:eastAsia="宋体"/>
          <w:color w:val="auto"/>
          <w:lang w:eastAsia="zh-CN"/>
        </w:rPr>
        <w:t>〈</w:t>
      </w:r>
      <w:r>
        <w:rPr>
          <w:rFonts w:eastAsia="宋体"/>
          <w:color w:val="auto"/>
        </w:rPr>
        <w:t>南通市企业事业单位突发环境事件应急预案备案管理制度</w:t>
      </w:r>
      <w:r>
        <w:rPr>
          <w:rFonts w:hint="eastAsia" w:eastAsia="宋体"/>
          <w:color w:val="auto"/>
          <w:lang w:eastAsia="zh-CN"/>
        </w:rPr>
        <w:t>〉</w:t>
      </w:r>
      <w:r>
        <w:rPr>
          <w:rFonts w:eastAsia="宋体"/>
          <w:color w:val="auto"/>
        </w:rPr>
        <w:t>的通知》（通环办</w:t>
      </w:r>
      <w:r>
        <w:rPr>
          <w:rFonts w:hint="eastAsia" w:eastAsia="宋体"/>
          <w:color w:val="auto"/>
          <w:lang w:eastAsia="zh-CN"/>
        </w:rPr>
        <w:t>〔</w:t>
      </w:r>
      <w:r>
        <w:rPr>
          <w:rFonts w:eastAsia="宋体"/>
          <w:color w:val="auto"/>
        </w:rPr>
        <w:t>2016</w:t>
      </w:r>
      <w:r>
        <w:rPr>
          <w:rFonts w:hint="eastAsia" w:eastAsia="宋体"/>
          <w:color w:val="auto"/>
          <w:lang w:eastAsia="zh-CN"/>
        </w:rPr>
        <w:t>〕</w:t>
      </w:r>
      <w:r>
        <w:rPr>
          <w:rFonts w:eastAsia="宋体"/>
          <w:color w:val="auto"/>
        </w:rPr>
        <w:t>16号）等文件的精神，对可能发生突发环境事件的企业进行环境风险评估，工作内容包括识别环境风险、分析可能发生突发环境事件及其后果、分析现有环境风险防控和环境应急管理差距、制定完善环境风险防控和应急措施的实施计划、划定突发环境事件风险等级等，开展企业环境风险评估是编制企业突发环境事件应急预案的重要前提。</w:t>
      </w:r>
    </w:p>
    <w:p w14:paraId="0533BCC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auto"/>
        </w:rPr>
      </w:pPr>
      <w:r>
        <w:rPr>
          <w:rFonts w:eastAsia="宋体"/>
          <w:color w:val="auto"/>
        </w:rPr>
        <w:t>公司专门成立了工作组，在对</w:t>
      </w:r>
      <w:r>
        <w:rPr>
          <w:rFonts w:hint="eastAsia" w:eastAsia="宋体"/>
          <w:color w:val="auto"/>
        </w:rPr>
        <w:t>公司</w:t>
      </w:r>
      <w:r>
        <w:rPr>
          <w:rFonts w:eastAsia="宋体"/>
          <w:color w:val="auto"/>
        </w:rPr>
        <w:t>生产项目进行现场勘查及相关资料收集、整理和研究的基础上，根据《企业突发环境事件风险评估指南（试行）</w:t>
      </w:r>
      <w:r>
        <w:rPr>
          <w:rFonts w:hint="eastAsia" w:eastAsia="宋体"/>
          <w:color w:val="auto"/>
          <w:lang w:eastAsia="zh-CN"/>
        </w:rPr>
        <w:t>》《</w:t>
      </w:r>
      <w:r>
        <w:rPr>
          <w:rFonts w:eastAsia="宋体"/>
          <w:color w:val="auto"/>
        </w:rPr>
        <w:t>企业突发环境事件风险分级方法》（HJ941-2018）的要求，编制</w:t>
      </w:r>
      <w:r>
        <w:rPr>
          <w:rFonts w:hint="eastAsia" w:ascii="宋体" w:hAnsi="宋体" w:eastAsia="宋体" w:cs="宋体"/>
          <w:color w:val="auto"/>
        </w:rPr>
        <w:t>完成了本风险评估报告。</w:t>
      </w:r>
    </w:p>
    <w:p w14:paraId="40360D28">
      <w:pPr>
        <w:rPr>
          <w:rFonts w:ascii="宋体" w:hAnsi="宋体" w:eastAsia="宋体" w:cs="宋体"/>
        </w:rPr>
      </w:pPr>
      <w:r>
        <w:rPr>
          <w:rFonts w:hint="eastAsia" w:ascii="宋体" w:hAnsi="宋体" w:eastAsia="宋体" w:cs="宋体"/>
        </w:rPr>
        <w:br w:type="page"/>
      </w:r>
    </w:p>
    <w:p w14:paraId="1529741A">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sz w:val="24"/>
          <w:szCs w:val="24"/>
        </w:rPr>
      </w:pPr>
      <w:bookmarkStart w:id="7" w:name="_Toc8177"/>
      <w:bookmarkStart w:id="8" w:name="_Toc19219"/>
      <w:bookmarkStart w:id="9" w:name="_Toc18595"/>
      <w:r>
        <w:rPr>
          <w:rFonts w:eastAsia="宋体"/>
          <w:sz w:val="24"/>
          <w:szCs w:val="24"/>
        </w:rPr>
        <w:t>2总则</w:t>
      </w:r>
      <w:bookmarkEnd w:id="7"/>
      <w:bookmarkEnd w:id="8"/>
      <w:bookmarkEnd w:id="9"/>
    </w:p>
    <w:p w14:paraId="06575E6B">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sz w:val="24"/>
          <w:szCs w:val="24"/>
        </w:rPr>
      </w:pPr>
      <w:bookmarkStart w:id="10" w:name="_Toc19570"/>
      <w:bookmarkStart w:id="11" w:name="_Toc31464"/>
      <w:bookmarkStart w:id="12" w:name="_Toc20253"/>
      <w:r>
        <w:rPr>
          <w:rFonts w:eastAsia="宋体"/>
          <w:sz w:val="24"/>
          <w:szCs w:val="24"/>
        </w:rPr>
        <w:t>2.1编制原则</w:t>
      </w:r>
      <w:bookmarkEnd w:id="10"/>
      <w:bookmarkEnd w:id="11"/>
      <w:bookmarkEnd w:id="12"/>
    </w:p>
    <w:p w14:paraId="482AAE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本评估报告的编制遵循以下几点原则：</w:t>
      </w:r>
    </w:p>
    <w:p w14:paraId="47F891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（1）全面、细致地进行现状调查。</w:t>
      </w:r>
    </w:p>
    <w:p w14:paraId="126413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（2）科学、客观地进行评估，如实反映企业的环境风险水平。</w:t>
      </w:r>
    </w:p>
    <w:p w14:paraId="22D0C5D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（3）对照</w:t>
      </w:r>
      <w:r>
        <w:rPr>
          <w:rFonts w:hint="eastAsia" w:eastAsia="宋体"/>
        </w:rPr>
        <w:t>《企业突发环境事件风险评估指南（试行）</w:t>
      </w:r>
      <w:r>
        <w:rPr>
          <w:rFonts w:hint="eastAsia" w:eastAsia="宋体"/>
          <w:lang w:eastAsia="zh-CN"/>
        </w:rPr>
        <w:t>》《</w:t>
      </w:r>
      <w:r>
        <w:rPr>
          <w:rFonts w:eastAsia="宋体"/>
        </w:rPr>
        <w:t>企业突发环境事件风险分级方法》（HJ941-2018）中企业环境风险防控与应急措施实行标准对照表，</w:t>
      </w:r>
      <w:r>
        <w:rPr>
          <w:rFonts w:eastAsia="宋体"/>
          <w:kern w:val="0"/>
        </w:rPr>
        <w:t>分析现有环境风险防控和环境应急管理差距，制定完善环境风险防控和应急措施的实施计划</w:t>
      </w:r>
      <w:r>
        <w:rPr>
          <w:rFonts w:eastAsia="宋体"/>
        </w:rPr>
        <w:t>。</w:t>
      </w:r>
    </w:p>
    <w:p w14:paraId="61A7BD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b/>
        </w:rPr>
      </w:pPr>
      <w:r>
        <w:rPr>
          <w:rFonts w:eastAsia="宋体"/>
        </w:rPr>
        <w:t>（4）评估报告的内容和格式必须符合规范要求。</w:t>
      </w:r>
    </w:p>
    <w:p w14:paraId="26A04947">
      <w:pPr>
        <w:pStyle w:val="3"/>
        <w:adjustRightInd w:val="0"/>
        <w:snapToGrid w:val="0"/>
        <w:spacing w:line="500" w:lineRule="exact"/>
        <w:rPr>
          <w:rFonts w:eastAsia="宋体"/>
          <w:sz w:val="24"/>
          <w:szCs w:val="24"/>
        </w:rPr>
      </w:pPr>
      <w:bookmarkStart w:id="13" w:name="_Toc27964"/>
      <w:bookmarkStart w:id="14" w:name="_Toc1839"/>
      <w:bookmarkStart w:id="15" w:name="_Toc21056"/>
      <w:r>
        <w:rPr>
          <w:rFonts w:eastAsia="宋体"/>
          <w:sz w:val="24"/>
          <w:szCs w:val="24"/>
        </w:rPr>
        <w:t>2.2编制依据</w:t>
      </w:r>
      <w:bookmarkEnd w:id="13"/>
      <w:bookmarkEnd w:id="14"/>
      <w:bookmarkEnd w:id="15"/>
    </w:p>
    <w:p w14:paraId="71FBAB6B">
      <w:pPr>
        <w:pStyle w:val="5"/>
        <w:adjustRightInd w:val="0"/>
        <w:snapToGrid w:val="0"/>
        <w:spacing w:line="500" w:lineRule="exact"/>
        <w:rPr>
          <w:rFonts w:eastAsia="宋体"/>
          <w:sz w:val="24"/>
          <w:szCs w:val="24"/>
        </w:rPr>
      </w:pPr>
      <w:bookmarkStart w:id="16" w:name="_Toc28089"/>
      <w:bookmarkStart w:id="17" w:name="_Toc11371"/>
      <w:bookmarkStart w:id="18" w:name="_Toc19349"/>
      <w:r>
        <w:rPr>
          <w:rFonts w:eastAsia="宋体"/>
          <w:sz w:val="24"/>
          <w:szCs w:val="24"/>
        </w:rPr>
        <w:t>2.2.1政策法规</w:t>
      </w:r>
      <w:bookmarkEnd w:id="16"/>
      <w:bookmarkEnd w:id="17"/>
      <w:bookmarkEnd w:id="18"/>
    </w:p>
    <w:p w14:paraId="43EBB1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bookmarkStart w:id="19" w:name="_Toc499034377"/>
      <w:r>
        <w:rPr>
          <w:rFonts w:eastAsia="宋体"/>
        </w:rPr>
        <w:t>（1）《中华人民共和国环境保护法》（中华人民共和国第十二届全国人民代表大会常务委员会第八次会议于2014年4月24日修订通过，自2015年1月1日起施行）；</w:t>
      </w:r>
    </w:p>
    <w:p w14:paraId="2FB52E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（2）《中华人民共和国突发事件应对法》（国家主席令第69号，2007年8月30日通过，2007年11月1日起施行）；</w:t>
      </w:r>
    </w:p>
    <w:p w14:paraId="41E45C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（3）《中华人民共和国安全生产法》（中华人民共和国第十</w:t>
      </w:r>
      <w:r>
        <w:rPr>
          <w:rFonts w:hint="eastAsia" w:eastAsia="宋体"/>
          <w:lang w:val="en-US" w:eastAsia="zh-CN"/>
        </w:rPr>
        <w:t>三</w:t>
      </w:r>
      <w:r>
        <w:rPr>
          <w:rFonts w:eastAsia="宋体"/>
        </w:rPr>
        <w:t>届全国人民代表大会常务委员会第</w:t>
      </w:r>
      <w:r>
        <w:rPr>
          <w:rFonts w:hint="eastAsia" w:eastAsia="宋体"/>
          <w:lang w:val="en-US" w:eastAsia="zh-CN"/>
        </w:rPr>
        <w:t>二十九</w:t>
      </w:r>
      <w:r>
        <w:rPr>
          <w:rFonts w:eastAsia="宋体"/>
        </w:rPr>
        <w:t>次会议于20</w:t>
      </w:r>
      <w:r>
        <w:rPr>
          <w:rFonts w:hint="eastAsia" w:eastAsia="宋体"/>
          <w:lang w:val="en-US" w:eastAsia="zh-CN"/>
        </w:rPr>
        <w:t>21</w:t>
      </w:r>
      <w:r>
        <w:rPr>
          <w:rFonts w:eastAsia="宋体"/>
        </w:rPr>
        <w:t>年</w:t>
      </w:r>
      <w:r>
        <w:rPr>
          <w:rFonts w:hint="eastAsia" w:eastAsia="宋体"/>
          <w:lang w:val="en-US" w:eastAsia="zh-CN"/>
        </w:rPr>
        <w:t>6</w:t>
      </w:r>
      <w:r>
        <w:rPr>
          <w:rFonts w:eastAsia="宋体"/>
        </w:rPr>
        <w:t>月</w:t>
      </w:r>
      <w:r>
        <w:rPr>
          <w:rFonts w:hint="eastAsia" w:eastAsia="宋体"/>
          <w:lang w:val="en-US" w:eastAsia="zh-CN"/>
        </w:rPr>
        <w:t>10</w:t>
      </w:r>
      <w:r>
        <w:rPr>
          <w:rFonts w:eastAsia="宋体"/>
        </w:rPr>
        <w:t>日修订通过，自20</w:t>
      </w:r>
      <w:r>
        <w:rPr>
          <w:rFonts w:hint="eastAsia" w:eastAsia="宋体"/>
          <w:lang w:val="en-US" w:eastAsia="zh-CN"/>
        </w:rPr>
        <w:t>21</w:t>
      </w:r>
      <w:r>
        <w:rPr>
          <w:rFonts w:eastAsia="宋体"/>
        </w:rPr>
        <w:t>年</w:t>
      </w:r>
      <w:r>
        <w:rPr>
          <w:rFonts w:hint="eastAsia" w:eastAsia="宋体"/>
          <w:lang w:val="en-US" w:eastAsia="zh-CN"/>
        </w:rPr>
        <w:t>9</w:t>
      </w:r>
      <w:r>
        <w:rPr>
          <w:rFonts w:eastAsia="宋体"/>
        </w:rPr>
        <w:t>月1日起施行）；</w:t>
      </w:r>
    </w:p>
    <w:p w14:paraId="02DA58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（4）《中华人民共和国消防法》（国家主席令第6号，2009年5月1日起施行，</w:t>
      </w:r>
      <w:bookmarkStart w:id="20" w:name="_Hlk25619302"/>
      <w:r>
        <w:rPr>
          <w:rFonts w:eastAsia="宋体"/>
        </w:rPr>
        <w:t>20</w:t>
      </w:r>
      <w:r>
        <w:rPr>
          <w:rFonts w:hint="eastAsia" w:eastAsia="宋体"/>
          <w:lang w:val="en-US" w:eastAsia="zh-CN"/>
        </w:rPr>
        <w:t>21年4月29日</w:t>
      </w:r>
      <w:bookmarkEnd w:id="20"/>
      <w:r>
        <w:rPr>
          <w:rFonts w:hint="eastAsia" w:eastAsia="宋体"/>
          <w:lang w:val="en-US" w:eastAsia="zh-CN"/>
        </w:rPr>
        <w:t>第三次修正</w:t>
      </w:r>
      <w:r>
        <w:rPr>
          <w:rFonts w:eastAsia="宋体"/>
        </w:rPr>
        <w:t>）；</w:t>
      </w:r>
    </w:p>
    <w:p w14:paraId="5144BD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（5）《</w:t>
      </w:r>
      <w:r>
        <w:rPr>
          <w:rFonts w:hint="eastAsia" w:eastAsia="宋体"/>
        </w:rPr>
        <w:t>化学物质</w:t>
      </w:r>
      <w:r>
        <w:rPr>
          <w:rFonts w:eastAsia="宋体"/>
        </w:rPr>
        <w:t>安全管理条例》（</w:t>
      </w:r>
      <w:r>
        <w:rPr>
          <w:rFonts w:eastAsia="宋体"/>
          <w:kern w:val="0"/>
          <w:szCs w:val="28"/>
        </w:rPr>
        <w:t>国务院令第645号，2013年12月4日修订，2013年12月7日起施行</w:t>
      </w:r>
      <w:r>
        <w:rPr>
          <w:rFonts w:eastAsia="宋体"/>
        </w:rPr>
        <w:t>）；</w:t>
      </w:r>
    </w:p>
    <w:p w14:paraId="5192945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（6）《中华人民共和国水污染防治法》（2017年6月27日修订，2018年1月1日起施行）；</w:t>
      </w:r>
    </w:p>
    <w:p w14:paraId="6BBA2D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（7）《中华人民共和国噪声污染防治法》（</w:t>
      </w:r>
      <w:r>
        <w:rPr>
          <w:rFonts w:hint="default" w:ascii="Times New Roman" w:hAnsi="Times New Roman" w:cs="Times New Roman" w:eastAsiaTheme="minorEastAsia"/>
          <w:color w:val="auto"/>
          <w:kern w:val="0"/>
          <w:sz w:val="24"/>
          <w:szCs w:val="24"/>
          <w:highlight w:val="none"/>
        </w:rPr>
        <w:t>国家主席令</w:t>
      </w:r>
      <w:r>
        <w:rPr>
          <w:rFonts w:hint="eastAsia" w:ascii="Times New Roman" w:hAnsi="Times New Roman" w:cs="Times New Roman" w:eastAsiaTheme="minorEastAsia"/>
          <w:color w:val="auto"/>
          <w:kern w:val="0"/>
          <w:sz w:val="24"/>
          <w:szCs w:val="24"/>
          <w:highlight w:val="none"/>
          <w:lang w:val="en-US" w:eastAsia="zh-CN"/>
        </w:rPr>
        <w:t>104</w:t>
      </w:r>
      <w:r>
        <w:rPr>
          <w:rFonts w:hint="default" w:ascii="Times New Roman" w:hAnsi="Times New Roman" w:cs="Times New Roman" w:eastAsiaTheme="minorEastAsia"/>
          <w:color w:val="auto"/>
          <w:kern w:val="0"/>
          <w:sz w:val="24"/>
          <w:szCs w:val="24"/>
          <w:highlight w:val="none"/>
        </w:rPr>
        <w:t>号，</w:t>
      </w:r>
      <w:r>
        <w:rPr>
          <w:rFonts w:hint="eastAsia" w:ascii="Times New Roman" w:hAnsi="Times New Roman" w:cs="Times New Roman" w:eastAsiaTheme="minorEastAsia"/>
          <w:color w:val="auto"/>
          <w:kern w:val="0"/>
          <w:sz w:val="24"/>
          <w:szCs w:val="24"/>
          <w:highlight w:val="none"/>
          <w:lang w:val="en-US" w:eastAsia="zh-CN"/>
        </w:rPr>
        <w:t>2021年12月24日通过修改，</w:t>
      </w:r>
      <w:r>
        <w:rPr>
          <w:rFonts w:hint="eastAsia" w:cs="Times New Roman" w:eastAsiaTheme="minorEastAsia"/>
          <w:color w:val="auto"/>
          <w:kern w:val="0"/>
          <w:sz w:val="24"/>
          <w:szCs w:val="24"/>
          <w:highlight w:val="none"/>
          <w:lang w:val="en-US" w:eastAsia="zh-CN"/>
        </w:rPr>
        <w:t>2025</w:t>
      </w:r>
      <w:r>
        <w:rPr>
          <w:rFonts w:hint="eastAsia" w:ascii="Times New Roman" w:hAnsi="Times New Roman" w:cs="Times New Roman" w:eastAsiaTheme="minorEastAsia"/>
          <w:color w:val="auto"/>
          <w:kern w:val="0"/>
          <w:sz w:val="24"/>
          <w:szCs w:val="24"/>
          <w:highlight w:val="none"/>
          <w:lang w:val="en-US" w:eastAsia="zh-CN"/>
        </w:rPr>
        <w:t>年6月5日起实施</w:t>
      </w:r>
      <w:r>
        <w:rPr>
          <w:rFonts w:eastAsia="宋体"/>
        </w:rPr>
        <w:t>）；</w:t>
      </w:r>
    </w:p>
    <w:p w14:paraId="3DAE05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（8）《中华人民共和国固体废物污染环境防治法》（</w:t>
      </w:r>
      <w:r>
        <w:rPr>
          <w:rFonts w:eastAsia="宋体"/>
          <w:kern w:val="0"/>
          <w:szCs w:val="28"/>
        </w:rPr>
        <w:t>2020年9月1日施行</w:t>
      </w:r>
      <w:r>
        <w:rPr>
          <w:rFonts w:eastAsia="宋体"/>
        </w:rPr>
        <w:t>）；</w:t>
      </w:r>
    </w:p>
    <w:p w14:paraId="7CDB91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（9）《</w:t>
      </w:r>
      <w:r>
        <w:rPr>
          <w:rFonts w:eastAsia="宋体"/>
          <w:kern w:val="0"/>
          <w:szCs w:val="28"/>
        </w:rPr>
        <w:t>中华人民共和国大气污染防治法》（</w:t>
      </w:r>
      <w:r>
        <w:rPr>
          <w:rFonts w:hint="eastAsia" w:eastAsia="宋体"/>
          <w:kern w:val="0"/>
          <w:szCs w:val="28"/>
          <w:lang w:eastAsia="zh-CN"/>
        </w:rPr>
        <w:t>国家</w:t>
      </w:r>
      <w:r>
        <w:rPr>
          <w:rFonts w:eastAsia="宋体"/>
          <w:kern w:val="0"/>
          <w:szCs w:val="28"/>
        </w:rPr>
        <w:t>主席令十六号，2018年10月26日施行）；</w:t>
      </w:r>
    </w:p>
    <w:p w14:paraId="2AAE30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（10）《国务院关于加强环境保护重点工作的意见》（国发〔2011〕35号）；</w:t>
      </w:r>
    </w:p>
    <w:p w14:paraId="3A7007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lang w:eastAsia="zh-CN"/>
        </w:rPr>
      </w:pPr>
      <w:r>
        <w:rPr>
          <w:rFonts w:eastAsia="宋体"/>
        </w:rPr>
        <w:t>（11）《</w:t>
      </w:r>
      <w:r>
        <w:rPr>
          <w:rFonts w:eastAsia="宋体"/>
          <w:kern w:val="0"/>
          <w:szCs w:val="28"/>
        </w:rPr>
        <w:t>生产安全事故应急预</w:t>
      </w:r>
      <w:r>
        <w:rPr>
          <w:rFonts w:eastAsia="宋体"/>
        </w:rPr>
        <w:t>案管理办法》（国家安全生产监督管理总局令第88号，2016年7月1日施行）；</w:t>
      </w:r>
    </w:p>
    <w:p w14:paraId="4DD459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（12）《突发环境事件信息报告办法》（环境保护部令第17号，2011年5月1日起施行）；</w:t>
      </w:r>
    </w:p>
    <w:p w14:paraId="11BC01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（13）《突发环境事件应急管理办法》（环保部令第34号，2015年6月5日起施行）；</w:t>
      </w:r>
    </w:p>
    <w:p w14:paraId="374C76E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（14）《</w:t>
      </w:r>
      <w:r>
        <w:rPr>
          <w:rFonts w:hint="eastAsia" w:eastAsia="宋体"/>
          <w:lang w:val="en-US" w:eastAsia="zh-CN"/>
        </w:rPr>
        <w:t>危险化学品名录</w:t>
      </w:r>
      <w:r>
        <w:rPr>
          <w:rFonts w:eastAsia="宋体"/>
        </w:rPr>
        <w:t>》（201</w:t>
      </w:r>
      <w:r>
        <w:rPr>
          <w:rFonts w:hint="eastAsia" w:eastAsia="宋体"/>
          <w:lang w:val="en-US" w:eastAsia="zh-CN"/>
        </w:rPr>
        <w:t>5</w:t>
      </w:r>
      <w:r>
        <w:rPr>
          <w:rFonts w:eastAsia="宋体"/>
        </w:rPr>
        <w:t>版）；</w:t>
      </w:r>
    </w:p>
    <w:p w14:paraId="7810A5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（15）《国家危险废物名录</w:t>
      </w:r>
      <w:r>
        <w:rPr>
          <w:rFonts w:hint="eastAsia" w:eastAsia="宋体"/>
          <w:lang w:eastAsia="zh-CN"/>
        </w:rPr>
        <w:t>（</w:t>
      </w:r>
      <w:r>
        <w:rPr>
          <w:rFonts w:eastAsia="宋体"/>
        </w:rPr>
        <w:t>202</w:t>
      </w:r>
      <w:r>
        <w:rPr>
          <w:rFonts w:hint="eastAsia" w:eastAsia="宋体"/>
          <w:lang w:val="en-US" w:eastAsia="zh-CN"/>
        </w:rPr>
        <w:t>5</w:t>
      </w:r>
      <w:r>
        <w:rPr>
          <w:rFonts w:eastAsia="宋体"/>
        </w:rPr>
        <w:t>年版</w:t>
      </w:r>
      <w:r>
        <w:rPr>
          <w:rFonts w:hint="eastAsia" w:eastAsia="宋体"/>
          <w:lang w:eastAsia="zh-CN"/>
        </w:rPr>
        <w:t>）</w:t>
      </w:r>
      <w:r>
        <w:rPr>
          <w:rFonts w:eastAsia="宋体"/>
        </w:rPr>
        <w:t>》（</w:t>
      </w:r>
      <w:r>
        <w:rPr>
          <w:rFonts w:hint="eastAsia" w:eastAsia="宋体"/>
          <w:lang w:val="en-US" w:eastAsia="zh-CN"/>
        </w:rPr>
        <w:t>自</w:t>
      </w:r>
      <w:r>
        <w:rPr>
          <w:rFonts w:eastAsia="宋体"/>
        </w:rPr>
        <w:t>202</w:t>
      </w:r>
      <w:r>
        <w:rPr>
          <w:rFonts w:hint="eastAsia" w:eastAsia="宋体"/>
          <w:lang w:val="en-US" w:eastAsia="zh-CN"/>
        </w:rPr>
        <w:t>5</w:t>
      </w:r>
      <w:r>
        <w:rPr>
          <w:rFonts w:eastAsia="宋体"/>
        </w:rPr>
        <w:t>年1月1日起施行）；</w:t>
      </w:r>
    </w:p>
    <w:p w14:paraId="6101779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（16）《重点监管的</w:t>
      </w:r>
      <w:r>
        <w:rPr>
          <w:rFonts w:hint="eastAsia" w:eastAsia="宋体"/>
        </w:rPr>
        <w:t>化学物质</w:t>
      </w:r>
      <w:r>
        <w:rPr>
          <w:rFonts w:eastAsia="宋体"/>
        </w:rPr>
        <w:t>名录》（2013年完整版）；</w:t>
      </w:r>
    </w:p>
    <w:p w14:paraId="2B09FF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（17）《关于进一步加强环境影响评价管</w:t>
      </w:r>
      <w:r>
        <w:rPr>
          <w:rFonts w:hint="eastAsia" w:eastAsia="宋体"/>
          <w:lang w:eastAsia="zh-CN"/>
        </w:rPr>
        <w:t>理和</w:t>
      </w:r>
      <w:r>
        <w:rPr>
          <w:rFonts w:eastAsia="宋体"/>
        </w:rPr>
        <w:t>防范环境风险的通知》</w:t>
      </w:r>
      <w:r>
        <w:rPr>
          <w:rFonts w:hint="eastAsia" w:eastAsia="宋体"/>
          <w:lang w:eastAsia="zh-CN"/>
        </w:rPr>
        <w:t>（</w:t>
      </w:r>
      <w:r>
        <w:rPr>
          <w:rFonts w:eastAsia="宋体"/>
        </w:rPr>
        <w:t>国家环保总局，环发〔2012〕77号</w:t>
      </w:r>
      <w:r>
        <w:rPr>
          <w:rFonts w:hint="eastAsia" w:eastAsia="宋体"/>
          <w:lang w:eastAsia="zh-CN"/>
        </w:rPr>
        <w:t>）</w:t>
      </w:r>
      <w:r>
        <w:rPr>
          <w:rFonts w:eastAsia="宋体"/>
        </w:rPr>
        <w:t>；</w:t>
      </w:r>
    </w:p>
    <w:p w14:paraId="1D0F0D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（18）《</w:t>
      </w:r>
      <w:r>
        <w:rPr>
          <w:rFonts w:hint="eastAsia" w:eastAsia="宋体"/>
          <w:lang w:eastAsia="zh-CN"/>
        </w:rPr>
        <w:t>危险化学品事故应急救援指挥导则</w:t>
      </w:r>
      <w:r>
        <w:rPr>
          <w:rFonts w:eastAsia="宋体"/>
        </w:rPr>
        <w:t>》（AQ/T3052-2015）；</w:t>
      </w:r>
    </w:p>
    <w:p w14:paraId="5543849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（19）</w:t>
      </w:r>
      <w:r>
        <w:rPr>
          <w:rFonts w:hint="default" w:ascii="Times New Roman" w:hAnsi="Times New Roman" w:cs="Times New Roman" w:eastAsiaTheme="minorEastAsia"/>
          <w:kern w:val="0"/>
          <w:sz w:val="24"/>
          <w:szCs w:val="24"/>
        </w:rPr>
        <w:t>《企事业单位和工业园区突发环境事件应急预案编制导则》（DB32/T3795-2020）</w:t>
      </w:r>
      <w:r>
        <w:rPr>
          <w:rFonts w:eastAsia="宋体"/>
        </w:rPr>
        <w:t>；</w:t>
      </w:r>
    </w:p>
    <w:p w14:paraId="6A3F05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lang w:val="en-US" w:eastAsia="zh-CN"/>
        </w:rPr>
      </w:pPr>
      <w:r>
        <w:rPr>
          <w:rFonts w:eastAsia="宋体"/>
        </w:rPr>
        <w:t>（</w:t>
      </w:r>
      <w:r>
        <w:rPr>
          <w:rFonts w:hint="eastAsia" w:eastAsia="宋体"/>
          <w:lang w:val="en-US" w:eastAsia="zh-CN"/>
        </w:rPr>
        <w:t>20</w:t>
      </w:r>
      <w:r>
        <w:rPr>
          <w:rFonts w:eastAsia="宋体"/>
        </w:rPr>
        <w:t>）</w:t>
      </w:r>
      <w:r>
        <w:rPr>
          <w:rFonts w:hint="eastAsia" w:eastAsia="宋体"/>
          <w:lang w:val="en-US" w:eastAsia="zh-CN"/>
        </w:rPr>
        <w:t>江苏省突发环境事件应急预案管理办法（苏环发[2023]7号；</w:t>
      </w:r>
    </w:p>
    <w:p w14:paraId="08F456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rPr>
      </w:pPr>
      <w:r>
        <w:rPr>
          <w:rFonts w:eastAsia="宋体"/>
        </w:rPr>
        <w:t>（</w:t>
      </w:r>
      <w:r>
        <w:rPr>
          <w:rFonts w:hint="eastAsia" w:eastAsia="宋体"/>
          <w:lang w:val="en-US" w:eastAsia="zh-CN"/>
        </w:rPr>
        <w:t>21</w:t>
      </w:r>
      <w:r>
        <w:rPr>
          <w:rFonts w:eastAsia="宋体"/>
        </w:rPr>
        <w:t>）</w:t>
      </w:r>
      <w:r>
        <w:rPr>
          <w:rFonts w:hint="eastAsia" w:eastAsia="宋体"/>
        </w:rPr>
        <w:t>国务院办公厅关于印发《突发事件应急预案管理办法》的通知</w:t>
      </w:r>
    </w:p>
    <w:p w14:paraId="0F5660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eastAsia="宋体"/>
        </w:rPr>
        <w:t>（</w:t>
      </w:r>
      <w:r>
        <w:rPr>
          <w:rFonts w:hint="eastAsia" w:eastAsia="宋体"/>
          <w:lang w:val="en-US" w:eastAsia="zh-CN"/>
        </w:rPr>
        <w:t>22</w:t>
      </w:r>
      <w:r>
        <w:rPr>
          <w:rFonts w:eastAsia="宋体"/>
        </w:rPr>
        <w:t>）</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rPr>
        <w:t>江苏省固体废物全过程环境监管工作意见》（苏环办〔</w:t>
      </w:r>
      <w:r>
        <w:rPr>
          <w:rFonts w:hint="eastAsia"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rPr>
        <w:t>〕16号）</w:t>
      </w:r>
    </w:p>
    <w:p w14:paraId="18E0E9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23</w:t>
      </w:r>
      <w:r>
        <w:rPr>
          <w:rFonts w:eastAsia="宋体"/>
        </w:rPr>
        <w:t>）《关于开展江苏省重点环境风险企业环境安全达标建设工作的通知》（苏环办〔2013〕321号）；</w:t>
      </w:r>
    </w:p>
    <w:p w14:paraId="60E042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w:t>
      </w:r>
      <w:r>
        <w:rPr>
          <w:rFonts w:hint="eastAsia" w:eastAsia="宋体"/>
          <w:lang w:val="en-US" w:eastAsia="zh-CN"/>
        </w:rPr>
        <w:t>4</w:t>
      </w:r>
      <w:r>
        <w:rPr>
          <w:rFonts w:eastAsia="宋体"/>
        </w:rPr>
        <w:t>）《江苏省固体废物污染环境防治条例</w:t>
      </w:r>
      <w:r>
        <w:rPr>
          <w:rFonts w:hint="eastAsia" w:eastAsia="宋体"/>
          <w:lang w:eastAsia="zh-CN"/>
        </w:rPr>
        <w:t>（</w:t>
      </w:r>
      <w:r>
        <w:rPr>
          <w:rFonts w:eastAsia="宋体"/>
        </w:rPr>
        <w:t>修改</w:t>
      </w:r>
      <w:r>
        <w:rPr>
          <w:rFonts w:hint="eastAsia" w:eastAsia="宋体"/>
          <w:lang w:eastAsia="zh-CN"/>
        </w:rPr>
        <w:t>）</w:t>
      </w:r>
      <w:r>
        <w:rPr>
          <w:rFonts w:eastAsia="宋体"/>
        </w:rPr>
        <w:t>》（省十三届人大第二次会议，2018年3月28日）；</w:t>
      </w:r>
    </w:p>
    <w:p w14:paraId="536617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25</w:t>
      </w:r>
      <w:r>
        <w:rPr>
          <w:rFonts w:eastAsia="宋体"/>
        </w:rPr>
        <w:t>）《关于印发江苏省重点环境风险企业整治与防控方案的通知》（苏环委办〔2013〕9号）；</w:t>
      </w:r>
    </w:p>
    <w:p w14:paraId="315B5A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26</w:t>
      </w:r>
      <w:r>
        <w:rPr>
          <w:rFonts w:eastAsia="宋体"/>
        </w:rPr>
        <w:t>）《关于进一步做好全省重点环境风险企业环境安全达标建设工作的通知》（苏环办〔2014〕152号）；</w:t>
      </w:r>
    </w:p>
    <w:p w14:paraId="09508D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27</w:t>
      </w:r>
      <w:r>
        <w:rPr>
          <w:rFonts w:eastAsia="宋体"/>
        </w:rPr>
        <w:t>）《江苏省国家级生态保护红线规划》；</w:t>
      </w:r>
    </w:p>
    <w:p w14:paraId="7E622D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28</w:t>
      </w:r>
      <w:r>
        <w:rPr>
          <w:rFonts w:eastAsia="宋体"/>
        </w:rPr>
        <w:t>）《省政府关于印发江苏省生态空间管控区域规划的通知》（苏政发</w:t>
      </w:r>
      <w:r>
        <w:rPr>
          <w:rFonts w:hint="eastAsia" w:eastAsia="宋体"/>
          <w:lang w:eastAsia="zh-CN"/>
        </w:rPr>
        <w:t>〔</w:t>
      </w:r>
      <w:r>
        <w:rPr>
          <w:rFonts w:eastAsia="宋体"/>
        </w:rPr>
        <w:t>2020</w:t>
      </w:r>
      <w:r>
        <w:rPr>
          <w:rFonts w:hint="eastAsia" w:eastAsia="宋体"/>
          <w:lang w:eastAsia="zh-CN"/>
        </w:rPr>
        <w:t>〕</w:t>
      </w:r>
      <w:r>
        <w:rPr>
          <w:rFonts w:eastAsia="宋体"/>
        </w:rPr>
        <w:t>1号）；</w:t>
      </w:r>
    </w:p>
    <w:p w14:paraId="4A28C1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29</w:t>
      </w:r>
      <w:r>
        <w:rPr>
          <w:rFonts w:eastAsia="宋体"/>
        </w:rPr>
        <w:t>）《省政府关于印发江苏省“三线一单”生态环境分区管控方案的通知》（苏政发〔2020〕49号）。</w:t>
      </w:r>
    </w:p>
    <w:p w14:paraId="204036D0">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rPr>
      </w:pPr>
      <w:bookmarkStart w:id="21" w:name="_Toc31049"/>
      <w:bookmarkStart w:id="22" w:name="_Toc3846"/>
      <w:bookmarkStart w:id="23" w:name="_Toc1162"/>
      <w:bookmarkStart w:id="24" w:name="_Toc512608511"/>
      <w:r>
        <w:rPr>
          <w:rFonts w:eastAsia="宋体"/>
        </w:rPr>
        <w:t>2.2.2标准规范</w:t>
      </w:r>
      <w:bookmarkEnd w:id="19"/>
      <w:bookmarkEnd w:id="21"/>
      <w:bookmarkEnd w:id="22"/>
      <w:bookmarkEnd w:id="23"/>
      <w:bookmarkEnd w:id="24"/>
    </w:p>
    <w:p w14:paraId="28D4C0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eastAsia" w:eastAsia="宋体" w:cs="Times New Roman"/>
          <w:lang w:eastAsia="zh-CN"/>
        </w:rPr>
        <w:t>危险化学品重大危险源辨识</w:t>
      </w:r>
      <w:r>
        <w:rPr>
          <w:rFonts w:hint="default" w:ascii="Times New Roman" w:hAnsi="Times New Roman" w:eastAsia="宋体" w:cs="Times New Roman"/>
        </w:rPr>
        <w:t>》（GB18218-2018）；</w:t>
      </w:r>
    </w:p>
    <w:p w14:paraId="5377EA4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（2）《化工建设项目环境保护</w:t>
      </w:r>
      <w:r>
        <w:rPr>
          <w:rFonts w:hint="eastAsia" w:eastAsia="宋体" w:cs="Times New Roman"/>
          <w:lang w:val="en-US" w:eastAsia="zh-CN"/>
        </w:rPr>
        <w:t>工程</w:t>
      </w:r>
      <w:r>
        <w:rPr>
          <w:rFonts w:hint="default" w:ascii="Times New Roman" w:hAnsi="Times New Roman" w:eastAsia="宋体" w:cs="Times New Roman"/>
        </w:rPr>
        <w:t>设计</w:t>
      </w:r>
      <w:r>
        <w:rPr>
          <w:rFonts w:hint="eastAsia" w:eastAsia="宋体" w:cs="Times New Roman"/>
          <w:lang w:val="en-US" w:eastAsia="zh-CN"/>
        </w:rPr>
        <w:t>标准</w:t>
      </w:r>
      <w:r>
        <w:rPr>
          <w:rFonts w:hint="default" w:ascii="Times New Roman" w:hAnsi="Times New Roman" w:eastAsia="宋体" w:cs="Times New Roman"/>
        </w:rPr>
        <w:t>》（GB50483-20</w:t>
      </w:r>
      <w:r>
        <w:rPr>
          <w:rFonts w:hint="eastAsia" w:eastAsia="宋体" w:cs="Times New Roman"/>
          <w:lang w:val="en-US" w:eastAsia="zh-CN"/>
        </w:rPr>
        <w:t>1</w:t>
      </w:r>
      <w:r>
        <w:rPr>
          <w:rFonts w:hint="default" w:ascii="Times New Roman" w:hAnsi="Times New Roman" w:eastAsia="宋体" w:cs="Times New Roman"/>
        </w:rPr>
        <w:t>9）；</w:t>
      </w:r>
    </w:p>
    <w:p w14:paraId="71B9CF1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（3）《建筑设计防火规范》（GB50016-20142018年修改）；</w:t>
      </w:r>
    </w:p>
    <w:p w14:paraId="4ED28D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kern w:val="0"/>
          <w:szCs w:val="28"/>
        </w:rPr>
        <w:t>危险货物品名表》（GB12268-2012）；</w:t>
      </w:r>
    </w:p>
    <w:p w14:paraId="739480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（5）《化学品分类、警示标签和警示性说明安全规程》（GB20576—GB20591）；</w:t>
      </w:r>
    </w:p>
    <w:p w14:paraId="4A9C50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（6）《环境影响评价技术导则地下水环境》（HJ610-2016）；</w:t>
      </w:r>
    </w:p>
    <w:p w14:paraId="7FF03A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（7）《环境影响评价技术导则地表水环境》（HJ2.3-2018）；</w:t>
      </w:r>
    </w:p>
    <w:p w14:paraId="3414967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（8）《环境影响评价技术导则大气环境》（HJ2.2-2018）；</w:t>
      </w:r>
    </w:p>
    <w:p w14:paraId="624A7D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（9）《建设项目环境风险评价技术导则》（HJ169-2018）；</w:t>
      </w:r>
    </w:p>
    <w:p w14:paraId="79FA1F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（10）《危险废物贮存污染控制标准》（GB18597-2023）；</w:t>
      </w:r>
    </w:p>
    <w:p w14:paraId="43B489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（11）《化学品毒性鉴定技术规范》（卫监督发〔2005〕272号）；</w:t>
      </w:r>
    </w:p>
    <w:p w14:paraId="7BCE65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（12）《重点监管的化学物质安全措施和应急处置原则》（国家安全生产监督管理总局）；</w:t>
      </w:r>
    </w:p>
    <w:p w14:paraId="7F6FA2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（13）关于印发《工业危险废物产生单位规范化管理实施指南》的通知（苏环办﹝2014﹞232号）；</w:t>
      </w:r>
    </w:p>
    <w:p w14:paraId="08F5E8BC">
      <w:pPr>
        <w:keepNext w:val="0"/>
        <w:keepLines w:val="0"/>
        <w:adjustRightInd w:val="0"/>
        <w:snapToGrid w:val="0"/>
        <w:spacing w:line="500" w:lineRule="exact"/>
        <w:ind w:firstLine="480" w:firstLineChars="200"/>
        <w:rPr>
          <w:rFonts w:hint="default"/>
        </w:rPr>
      </w:pPr>
      <w:r>
        <w:rPr>
          <w:rFonts w:hint="default" w:ascii="Times New Roman" w:hAnsi="Times New Roman" w:eastAsia="宋体" w:cs="Times New Roman"/>
        </w:rPr>
        <w:t>（1</w:t>
      </w:r>
      <w:r>
        <w:rPr>
          <w:rFonts w:hint="eastAsia" w:eastAsia="宋体" w:cs="Times New Roman"/>
          <w:lang w:val="en-US" w:eastAsia="zh-CN"/>
        </w:rPr>
        <w:t>4</w:t>
      </w:r>
      <w:r>
        <w:rPr>
          <w:rFonts w:hint="default" w:ascii="Times New Roman" w:hAnsi="Times New Roman" w:eastAsia="宋体" w:cs="Times New Roman"/>
        </w:rPr>
        <w:t>）</w:t>
      </w:r>
      <w:r>
        <w:rPr>
          <w:rFonts w:hint="eastAsia" w:ascii="宋体" w:hAnsi="宋体" w:eastAsia="宋体" w:cs="宋体"/>
          <w:lang w:eastAsia="zh-CN"/>
        </w:rPr>
        <w:t>《省生态环境厅关于进一步加强危险废物污染防治工作的实施意见》（苏环办</w:t>
      </w:r>
      <w:r>
        <w:rPr>
          <w:rFonts w:hint="default" w:ascii="Times New Roman" w:hAnsi="Times New Roman" w:eastAsia="宋体" w:cs="Times New Roman"/>
          <w:lang w:eastAsia="zh-CN"/>
        </w:rPr>
        <w:t>〔2019〕327</w:t>
      </w:r>
      <w:r>
        <w:rPr>
          <w:rFonts w:hint="eastAsia" w:ascii="宋体" w:hAnsi="宋体" w:eastAsia="宋体" w:cs="宋体"/>
          <w:lang w:eastAsia="zh-CN"/>
        </w:rPr>
        <w:t>号）；</w:t>
      </w:r>
    </w:p>
    <w:p w14:paraId="541314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eastAsia" w:eastAsia="宋体" w:cs="Times New Roman"/>
          <w:lang w:val="en-US" w:eastAsia="zh-CN"/>
        </w:rPr>
        <w:t>5</w:t>
      </w:r>
      <w:r>
        <w:rPr>
          <w:rFonts w:hint="default" w:ascii="Times New Roman" w:hAnsi="Times New Roman" w:eastAsia="宋体" w:cs="Times New Roman"/>
        </w:rPr>
        <w:t>）《江苏省环境安全企业建设标准（试行）》；</w:t>
      </w:r>
    </w:p>
    <w:p w14:paraId="74D6D3A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bookmarkStart w:id="25" w:name="_Hlk13477127"/>
      <w:r>
        <w:rPr>
          <w:rFonts w:hint="default" w:ascii="Times New Roman" w:hAnsi="Times New Roman" w:eastAsia="宋体" w:cs="Times New Roman"/>
        </w:rPr>
        <w:t>（1</w:t>
      </w:r>
      <w:r>
        <w:rPr>
          <w:rFonts w:hint="eastAsia" w:eastAsia="宋体" w:cs="Times New Roman"/>
          <w:lang w:val="en-US" w:eastAsia="zh-CN"/>
        </w:rPr>
        <w:t>6</w:t>
      </w:r>
      <w:r>
        <w:rPr>
          <w:rFonts w:hint="default" w:ascii="Times New Roman" w:hAnsi="Times New Roman" w:eastAsia="宋体" w:cs="Times New Roman"/>
        </w:rPr>
        <w:t>）《环境应急资源调查指南</w:t>
      </w:r>
      <w:r>
        <w:rPr>
          <w:rFonts w:hint="eastAsia" w:eastAsia="宋体" w:cs="Times New Roman"/>
          <w:lang w:eastAsia="zh-CN"/>
        </w:rPr>
        <w:t>（</w:t>
      </w:r>
      <w:r>
        <w:rPr>
          <w:rFonts w:hint="default" w:ascii="Times New Roman" w:hAnsi="Times New Roman" w:eastAsia="宋体" w:cs="Times New Roman"/>
        </w:rPr>
        <w:t>试行</w:t>
      </w:r>
      <w:r>
        <w:rPr>
          <w:rFonts w:hint="eastAsia" w:eastAsia="宋体" w:cs="Times New Roman"/>
          <w:lang w:eastAsia="zh-CN"/>
        </w:rPr>
        <w:t>）</w:t>
      </w:r>
      <w:r>
        <w:rPr>
          <w:rFonts w:hint="default" w:ascii="Times New Roman" w:hAnsi="Times New Roman" w:eastAsia="宋体" w:cs="Times New Roman"/>
        </w:rPr>
        <w:t>》环办应急</w:t>
      </w:r>
      <w:r>
        <w:rPr>
          <w:rFonts w:hint="eastAsia" w:eastAsia="宋体" w:cs="Times New Roman"/>
          <w:lang w:eastAsia="zh-CN"/>
        </w:rPr>
        <w:t>（</w:t>
      </w:r>
      <w:r>
        <w:rPr>
          <w:rFonts w:hint="default" w:ascii="Times New Roman" w:hAnsi="Times New Roman" w:eastAsia="宋体" w:cs="Times New Roman"/>
        </w:rPr>
        <w:t>2019)17号；</w:t>
      </w:r>
    </w:p>
    <w:bookmarkEnd w:id="25"/>
    <w:p w14:paraId="44B190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lang w:eastAsia="zh-CN"/>
        </w:rPr>
      </w:pPr>
      <w:r>
        <w:rPr>
          <w:rFonts w:hint="default" w:ascii="Times New Roman" w:hAnsi="Times New Roman" w:eastAsia="宋体" w:cs="Times New Roman"/>
        </w:rPr>
        <w:t>（1</w:t>
      </w:r>
      <w:r>
        <w:rPr>
          <w:rFonts w:hint="eastAsia" w:eastAsia="宋体" w:cs="Times New Roman"/>
          <w:lang w:val="en-US" w:eastAsia="zh-CN"/>
        </w:rPr>
        <w:t>7</w:t>
      </w:r>
      <w:r>
        <w:rPr>
          <w:rFonts w:hint="default" w:ascii="Times New Roman" w:hAnsi="Times New Roman" w:eastAsia="宋体" w:cs="Times New Roman"/>
        </w:rPr>
        <w:t>）《企业突发环境事件风险分级方法》（HJ941-2018）</w:t>
      </w:r>
      <w:r>
        <w:rPr>
          <w:rFonts w:hint="eastAsia" w:eastAsia="宋体" w:cs="Times New Roman"/>
          <w:lang w:eastAsia="zh-CN"/>
        </w:rPr>
        <w:t>；</w:t>
      </w:r>
    </w:p>
    <w:p w14:paraId="1E6D13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eastAsia" w:eastAsia="宋体" w:cs="Times New Roman"/>
          <w:lang w:val="en-US" w:eastAsia="zh-CN"/>
        </w:rPr>
        <w:t>（18）</w:t>
      </w:r>
      <w:r>
        <w:rPr>
          <w:rFonts w:hint="default" w:ascii="Times New Roman" w:hAnsi="Times New Roman" w:eastAsia="宋体" w:cs="Times New Roman"/>
          <w:lang w:val="en-US" w:eastAsia="zh-CN"/>
        </w:rPr>
        <w:t>《危险化学品安全管理条例》（国务院令第591号）；</w:t>
      </w:r>
    </w:p>
    <w:p w14:paraId="4F909BC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lang w:val="en-US" w:eastAsia="zh-CN"/>
        </w:rPr>
      </w:pPr>
      <w:r>
        <w:rPr>
          <w:rFonts w:hint="default" w:ascii="Times New Roman" w:hAnsi="Times New Roman" w:eastAsia="宋体" w:cs="Times New Roman"/>
          <w:lang w:val="en-US" w:eastAsia="zh-CN"/>
        </w:rPr>
        <w:t>（</w:t>
      </w:r>
      <w:r>
        <w:rPr>
          <w:rFonts w:hint="eastAsia" w:eastAsia="宋体" w:cs="Times New Roman"/>
          <w:lang w:val="en-US" w:eastAsia="zh-CN"/>
        </w:rPr>
        <w:t>19</w:t>
      </w:r>
      <w:r>
        <w:rPr>
          <w:rFonts w:hint="default" w:ascii="Times New Roman" w:hAnsi="Times New Roman" w:eastAsia="宋体" w:cs="Times New Roman"/>
          <w:lang w:val="en-US" w:eastAsia="zh-CN"/>
        </w:rPr>
        <w:t>）《危险化学品登记管理办法》（国家安全生产监督管理总局局长办公会议，2012年5月21日）</w:t>
      </w:r>
      <w:r>
        <w:rPr>
          <w:rFonts w:hint="eastAsia" w:eastAsia="宋体" w:cs="Times New Roman"/>
          <w:lang w:val="en-US" w:eastAsia="zh-CN"/>
        </w:rPr>
        <w:t>；</w:t>
      </w:r>
    </w:p>
    <w:p w14:paraId="5E21DE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lang w:val="en-US" w:eastAsia="zh-CN"/>
        </w:rPr>
      </w:pPr>
      <w:r>
        <w:rPr>
          <w:rFonts w:hint="eastAsia" w:eastAsia="宋体" w:cs="Times New Roman"/>
          <w:lang w:val="en-US" w:eastAsia="zh-CN"/>
        </w:rPr>
        <w:t>（20）《危险化学品重大风险源辨识》（GB18218-2018）</w:t>
      </w:r>
    </w:p>
    <w:p w14:paraId="0603C4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eastAsia" w:eastAsia="宋体" w:cs="Times New Roman"/>
          <w:lang w:val="en-US" w:eastAsia="zh-CN"/>
        </w:rPr>
        <w:t>（</w:t>
      </w:r>
      <w:r>
        <w:rPr>
          <w:rFonts w:hint="default" w:ascii="Times New Roman" w:hAnsi="Times New Roman" w:eastAsia="宋体" w:cs="Times New Roman"/>
        </w:rPr>
        <w:t>2</w:t>
      </w:r>
      <w:r>
        <w:rPr>
          <w:rFonts w:hint="eastAsia" w:eastAsia="宋体" w:cs="Times New Roman"/>
          <w:lang w:val="en-US" w:eastAsia="zh-CN"/>
        </w:rPr>
        <w:t>1）</w:t>
      </w:r>
      <w:r>
        <w:rPr>
          <w:rFonts w:hint="default" w:ascii="Times New Roman" w:hAnsi="Times New Roman" w:eastAsia="宋体" w:cs="Times New Roman"/>
        </w:rPr>
        <w:t>《大气污染物综合排放标准》(</w:t>
      </w:r>
      <w:r>
        <w:rPr>
          <w:rFonts w:hint="default" w:ascii="Times New Roman" w:hAnsi="Times New Roman" w:eastAsia="宋体" w:cs="Times New Roman"/>
          <w:lang w:val="en-US" w:eastAsia="zh-CN"/>
        </w:rPr>
        <w:t>DB32/4041-2021</w:t>
      </w:r>
      <w:r>
        <w:rPr>
          <w:rFonts w:hint="default" w:ascii="Times New Roman" w:hAnsi="Times New Roman" w:eastAsia="宋体" w:cs="Times New Roman"/>
        </w:rPr>
        <w:t>)</w:t>
      </w:r>
    </w:p>
    <w:p w14:paraId="45508A0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eastAsia" w:eastAsia="宋体" w:cs="Times New Roman"/>
          <w:lang w:eastAsia="zh-CN"/>
        </w:rPr>
        <w:t>（</w:t>
      </w:r>
      <w:r>
        <w:rPr>
          <w:rFonts w:hint="eastAsia" w:eastAsia="宋体" w:cs="Times New Roman"/>
          <w:lang w:val="en-US" w:eastAsia="zh-CN"/>
        </w:rPr>
        <w:t>22</w:t>
      </w:r>
      <w:r>
        <w:rPr>
          <w:rFonts w:hint="eastAsia" w:eastAsia="宋体" w:cs="Times New Roman"/>
          <w:lang w:eastAsia="zh-CN"/>
        </w:rPr>
        <w:t>）</w:t>
      </w:r>
      <w:r>
        <w:rPr>
          <w:rFonts w:hint="default" w:ascii="Times New Roman" w:hAnsi="Times New Roman" w:eastAsia="宋体" w:cs="Times New Roman"/>
          <w:lang w:val="en-US" w:eastAsia="zh-CN"/>
        </w:rPr>
        <w:t>《恶臭污染物排放标准》（GB14554-93）</w:t>
      </w:r>
    </w:p>
    <w:p w14:paraId="6ABCDBEA">
      <w:pPr>
        <w:pStyle w:val="5"/>
        <w:adjustRightInd w:val="0"/>
        <w:snapToGrid w:val="0"/>
        <w:spacing w:line="500" w:lineRule="exact"/>
        <w:rPr>
          <w:rFonts w:eastAsia="宋体"/>
        </w:rPr>
      </w:pPr>
      <w:bookmarkStart w:id="26" w:name="_Toc32074"/>
      <w:bookmarkStart w:id="27" w:name="_Toc1853"/>
      <w:bookmarkStart w:id="28" w:name="_Toc3109"/>
      <w:r>
        <w:rPr>
          <w:rFonts w:eastAsia="宋体"/>
        </w:rPr>
        <w:t>2.2.3其他文件</w:t>
      </w:r>
      <w:bookmarkEnd w:id="26"/>
      <w:bookmarkEnd w:id="27"/>
      <w:bookmarkEnd w:id="28"/>
    </w:p>
    <w:p w14:paraId="4085FB9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kern w:val="0"/>
          <w:szCs w:val="28"/>
        </w:rPr>
      </w:pPr>
      <w:r>
        <w:rPr>
          <w:rFonts w:hint="eastAsia" w:ascii="宋体" w:hAnsi="宋体" w:eastAsia="宋体" w:cs="宋体"/>
          <w:color w:val="auto"/>
          <w:kern w:val="0"/>
          <w:szCs w:val="28"/>
          <w:highlight w:val="none"/>
          <w:lang w:eastAsia="zh-CN"/>
        </w:rPr>
        <w:t>南通孟泉环保新能源有限公司</w:t>
      </w:r>
      <w:r>
        <w:rPr>
          <w:rFonts w:hint="eastAsia" w:ascii="宋体" w:hAnsi="宋体" w:eastAsia="宋体" w:cs="宋体"/>
          <w:color w:val="auto"/>
          <w:kern w:val="0"/>
          <w:szCs w:val="28"/>
          <w:highlight w:val="none"/>
          <w:lang w:eastAsia="zh-CN"/>
        </w:rPr>
        <w:tab/>
      </w:r>
      <w:r>
        <w:rPr>
          <w:rFonts w:hint="default" w:ascii="Times New Roman" w:hAnsi="Times New Roman" w:cs="Times New Roman" w:eastAsiaTheme="minorEastAsia"/>
          <w:kern w:val="0"/>
          <w:lang w:val="en-US" w:eastAsia="zh-CN"/>
        </w:rPr>
        <w:t>其他文件资料。</w:t>
      </w:r>
    </w:p>
    <w:p w14:paraId="15A72DC0">
      <w:pPr>
        <w:pStyle w:val="3"/>
        <w:adjustRightInd w:val="0"/>
        <w:snapToGrid w:val="0"/>
        <w:spacing w:line="500" w:lineRule="exact"/>
        <w:rPr>
          <w:rFonts w:hint="default" w:ascii="Times New Roman" w:hAnsi="Times New Roman" w:eastAsia="宋体" w:cs="Times New Roman"/>
          <w:sz w:val="24"/>
          <w:szCs w:val="24"/>
        </w:rPr>
      </w:pPr>
      <w:bookmarkStart w:id="29" w:name="_Toc31986"/>
      <w:bookmarkStart w:id="30" w:name="_Toc20254"/>
      <w:bookmarkStart w:id="31" w:name="_Toc31581"/>
      <w:r>
        <w:rPr>
          <w:rFonts w:hint="default" w:ascii="Times New Roman" w:hAnsi="Times New Roman" w:eastAsia="宋体" w:cs="Times New Roman"/>
          <w:sz w:val="24"/>
          <w:szCs w:val="24"/>
        </w:rPr>
        <w:t>2.3评估范围</w:t>
      </w:r>
      <w:bookmarkEnd w:id="29"/>
      <w:bookmarkEnd w:id="30"/>
      <w:bookmarkEnd w:id="31"/>
    </w:p>
    <w:p w14:paraId="170E625A">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本风险评估报告适用</w: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fldChar w:fldCharType="separate"/>
      </w:r>
      <w:r>
        <w:rPr>
          <w:rStyle w:val="39"/>
          <w:rFonts w:hint="eastAsia" w:eastAsia="宋体" w:cs="宋体"/>
          <w:i w:val="0"/>
          <w:iCs w:val="0"/>
          <w:caps w:val="0"/>
          <w:color w:val="000000" w:themeColor="text1"/>
          <w:spacing w:val="0"/>
          <w:sz w:val="24"/>
          <w:szCs w:val="24"/>
          <w:u w:val="none"/>
          <w:lang w:eastAsia="zh-CN"/>
          <w14:textFill>
            <w14:solidFill>
              <w14:schemeClr w14:val="tx1"/>
            </w14:solidFill>
          </w14:textFill>
        </w:rPr>
        <w:t>南通孟泉环保新能源有限公司</w:t>
      </w:r>
      <w:r>
        <w:rPr>
          <w:rStyle w:val="39"/>
          <w:rFonts w:hint="eastAsia" w:eastAsia="宋体" w:cs="宋体"/>
          <w:i w:val="0"/>
          <w:iCs w:val="0"/>
          <w:caps w:val="0"/>
          <w:color w:val="000000" w:themeColor="text1"/>
          <w:spacing w:val="0"/>
          <w:sz w:val="24"/>
          <w:szCs w:val="24"/>
          <w:u w:val="none"/>
          <w:lang w:eastAsia="zh-CN"/>
          <w14:textFill>
            <w14:solidFill>
              <w14:schemeClr w14:val="tx1"/>
            </w14:solidFill>
          </w14:textFill>
        </w:rPr>
        <w:tab/>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fldChar w:fldCharType="end"/>
      </w:r>
      <w:r>
        <w:rPr>
          <w:rFonts w:hint="eastAsia" w:eastAsia="宋体" w:cs="宋体"/>
          <w:color w:val="000000" w:themeColor="text1"/>
          <w14:textFill>
            <w14:solidFill>
              <w14:schemeClr w14:val="tx1"/>
            </w14:solidFill>
          </w14:textFill>
        </w:rPr>
        <w:t>现有生产过程中全厂范围内生产、使用、存储或释放危险化学物质等环境风险物质的过程中存在的环境风险的评估。具体包括：</w:t>
      </w:r>
    </w:p>
    <w:p w14:paraId="4129D3BD">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1</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公司使用的化学物质的存储、使用过程中的环境风险评估；</w:t>
      </w:r>
    </w:p>
    <w:p w14:paraId="4883F62B">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2</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公司原辅料</w:t>
      </w:r>
      <w:r>
        <w:rPr>
          <w:rFonts w:ascii="Times New Roman" w:hAnsi="Times New Roman" w:eastAsia="宋体"/>
          <w:color w:val="000000" w:themeColor="text1"/>
          <w14:textFill>
            <w14:solidFill>
              <w14:schemeClr w14:val="tx1"/>
            </w14:solidFill>
          </w14:textFill>
        </w:rPr>
        <w:t>在生产、储运过程中发生的泄漏、燃烧、爆炸等事故及其处理过程中的应急响应机制的环境风险评估；</w:t>
      </w:r>
    </w:p>
    <w:p w14:paraId="1F13B214">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3</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危险固废堆放、运输、处置中产生的环境风险评估；</w:t>
      </w:r>
    </w:p>
    <w:p w14:paraId="0EE6DE01">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4</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公司</w:t>
      </w:r>
      <w:r>
        <w:rPr>
          <w:rFonts w:hint="eastAsia" w:ascii="Times New Roman" w:hAnsi="Times New Roman" w:eastAsia="宋体"/>
          <w:color w:val="000000" w:themeColor="text1"/>
          <w:lang w:eastAsia="zh-CN"/>
          <w14:textFill>
            <w14:solidFill>
              <w14:schemeClr w14:val="tx1"/>
            </w14:solidFill>
          </w14:textFill>
        </w:rPr>
        <w:t>消防水</w:t>
      </w:r>
      <w:r>
        <w:rPr>
          <w:rFonts w:ascii="Times New Roman" w:hAnsi="Times New Roman" w:eastAsia="宋体"/>
          <w:color w:val="000000" w:themeColor="text1"/>
          <w14:textFill>
            <w14:solidFill>
              <w14:schemeClr w14:val="tx1"/>
            </w14:solidFill>
          </w14:textFill>
        </w:rPr>
        <w:t>、泄漏物质收集应急处理等产生的事故废水、废液的收集处理过程的环境风险评估；</w:t>
      </w:r>
      <w:r>
        <w:rPr>
          <w:rFonts w:hint="eastAsia" w:ascii="Times New Roman" w:hAnsi="Times New Roman" w:eastAsia="宋体"/>
          <w:color w:val="000000" w:themeColor="text1"/>
          <w:lang w:val="en-US" w:eastAsia="zh-CN"/>
          <w14:textFill>
            <w14:solidFill>
              <w14:schemeClr w14:val="tx1"/>
            </w14:solidFill>
          </w14:textFill>
        </w:rPr>
        <w:t>废气非正常排放的环境风险评估；</w:t>
      </w:r>
    </w:p>
    <w:p w14:paraId="22518762">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eastAsia="宋体" w:cs="宋体"/>
          <w:color w:val="000000" w:themeColor="text1"/>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5</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公司发生事故后应急处理过程中可能对周围环境产生危害影响的环境风险评估。</w:t>
      </w:r>
    </w:p>
    <w:p w14:paraId="5E4F798B">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32" w:name="_Toc7104"/>
      <w:bookmarkStart w:id="33" w:name="_Toc26808"/>
      <w:bookmarkStart w:id="34" w:name="_Toc3727"/>
      <w:r>
        <w:rPr>
          <w:rFonts w:hint="default" w:ascii="Times New Roman" w:hAnsi="Times New Roman" w:eastAsia="宋体" w:cs="Times New Roman"/>
          <w:sz w:val="24"/>
          <w:szCs w:val="24"/>
        </w:rPr>
        <w:t>2.4</w:t>
      </w:r>
      <w:r>
        <w:rPr>
          <w:rFonts w:hint="default" w:ascii="Times New Roman" w:hAnsi="Times New Roman" w:eastAsia="宋体" w:cs="Times New Roman"/>
          <w:color w:val="000000" w:themeColor="text1"/>
          <w:sz w:val="24"/>
          <w:szCs w:val="24"/>
          <w14:textFill>
            <w14:solidFill>
              <w14:schemeClr w14:val="tx1"/>
            </w14:solidFill>
          </w14:textFill>
        </w:rPr>
        <w:t>环境风险评估程序</w:t>
      </w:r>
      <w:bookmarkEnd w:id="32"/>
      <w:bookmarkEnd w:id="33"/>
      <w:bookmarkEnd w:id="34"/>
    </w:p>
    <w:p w14:paraId="3A848C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instrText xml:space="preserve"> HYPERLINK "javascript:zxtb('XZXKTYPE_A','%E6%9A%82%E5%AD%98','card1','fc5c1215140948f896b26e64c489f794','readonly')" </w:instrText>
      </w: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fldChar w:fldCharType="separate"/>
      </w:r>
      <w:r>
        <w:rPr>
          <w:rStyle w:val="39"/>
          <w:rFonts w:hint="eastAsia" w:ascii="宋体" w:hAnsi="宋体" w:eastAsia="宋体" w:cs="宋体"/>
          <w:i w:val="0"/>
          <w:iCs w:val="0"/>
          <w:caps w:val="0"/>
          <w:color w:val="000000" w:themeColor="text1"/>
          <w:spacing w:val="0"/>
          <w:kern w:val="0"/>
          <w:sz w:val="24"/>
          <w:szCs w:val="24"/>
          <w:u w:val="none"/>
          <w:lang w:eastAsia="zh-CN"/>
          <w14:textFill>
            <w14:solidFill>
              <w14:schemeClr w14:val="tx1"/>
            </w14:solidFill>
          </w14:textFill>
        </w:rPr>
        <w:t>南通孟泉环保新能源有限公司</w:t>
      </w:r>
      <w:r>
        <w:rPr>
          <w:rStyle w:val="39"/>
          <w:rFonts w:hint="eastAsia" w:ascii="宋体" w:hAnsi="宋体" w:eastAsia="宋体" w:cs="宋体"/>
          <w:i w:val="0"/>
          <w:iCs w:val="0"/>
          <w:caps w:val="0"/>
          <w:color w:val="000000" w:themeColor="text1"/>
          <w:spacing w:val="0"/>
          <w:kern w:val="0"/>
          <w:sz w:val="24"/>
          <w:szCs w:val="24"/>
          <w:u w:val="none"/>
          <w:lang w:eastAsia="zh-CN"/>
          <w14:textFill>
            <w14:solidFill>
              <w14:schemeClr w14:val="tx1"/>
            </w14:solidFill>
          </w14:textFill>
        </w:rPr>
        <w:tab/>
      </w: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fldChar w:fldCharType="end"/>
      </w:r>
      <w:r>
        <w:rPr>
          <w:rFonts w:eastAsia="宋体"/>
        </w:rPr>
        <w:t>突发环境事件风险评估报告的风险评估程序见图2-1所示。</w:t>
      </w:r>
    </w:p>
    <w:p w14:paraId="02BEF7D8">
      <w:pPr>
        <w:adjustRightInd w:val="0"/>
        <w:spacing w:line="360" w:lineRule="auto"/>
        <w:jc w:val="center"/>
        <w:rPr>
          <w:rFonts w:eastAsia="宋体"/>
          <w:b/>
        </w:rPr>
      </w:pPr>
      <w:r>
        <w:rPr>
          <w:rFonts w:hint="eastAsia" w:ascii="宋体" w:hAnsi="宋体" w:eastAsia="宋体" w:cs="宋体"/>
          <w:b/>
        </w:rPr>
        <w:drawing>
          <wp:inline distT="0" distB="0" distL="0" distR="0">
            <wp:extent cx="4395470" cy="3536950"/>
            <wp:effectExtent l="0" t="0" r="5080" b="635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5" cstate="print"/>
                    <a:srcRect/>
                    <a:stretch>
                      <a:fillRect/>
                    </a:stretch>
                  </pic:blipFill>
                  <pic:spPr>
                    <a:xfrm>
                      <a:off x="0" y="0"/>
                      <a:ext cx="4395470" cy="3536950"/>
                    </a:xfrm>
                    <a:prstGeom prst="rect">
                      <a:avLst/>
                    </a:prstGeom>
                    <a:noFill/>
                    <a:ln w="9525">
                      <a:noFill/>
                      <a:miter lim="800000"/>
                      <a:headEnd/>
                      <a:tailEnd/>
                    </a:ln>
                  </pic:spPr>
                </pic:pic>
              </a:graphicData>
            </a:graphic>
          </wp:inline>
        </w:drawing>
      </w:r>
    </w:p>
    <w:p w14:paraId="43595E51">
      <w:pPr>
        <w:adjustRightInd w:val="0"/>
        <w:snapToGrid w:val="0"/>
        <w:spacing w:line="5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图2-1突发环境事件风险评估报告的风险评估程序图</w:t>
      </w:r>
    </w:p>
    <w:p w14:paraId="4B4D2E57">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lang w:val="en-US" w:eastAsia="zh-CN"/>
        </w:rPr>
      </w:pPr>
      <w:bookmarkStart w:id="35" w:name="_Toc19560"/>
      <w:bookmarkStart w:id="36" w:name="_Toc27051"/>
      <w:r>
        <w:rPr>
          <w:rFonts w:hint="default" w:ascii="Times New Roman" w:hAnsi="Times New Roman" w:eastAsia="宋体" w:cs="Times New Roman"/>
          <w:sz w:val="24"/>
          <w:szCs w:val="24"/>
        </w:rPr>
        <w:t>2.</w:t>
      </w:r>
      <w:r>
        <w:rPr>
          <w:rFonts w:hint="eastAsia" w:eastAsia="宋体" w:cs="Times New Roman"/>
          <w:sz w:val="24"/>
          <w:szCs w:val="24"/>
          <w:lang w:val="en-US" w:eastAsia="zh-CN"/>
        </w:rPr>
        <w:t>5</w:t>
      </w:r>
      <w:r>
        <w:rPr>
          <w:rFonts w:hint="default" w:ascii="Times New Roman" w:hAnsi="Times New Roman" w:eastAsia="宋体" w:cs="Times New Roman"/>
          <w:color w:val="000000" w:themeColor="text1"/>
          <w:sz w:val="24"/>
          <w:szCs w:val="24"/>
          <w14:textFill>
            <w14:solidFill>
              <w14:schemeClr w14:val="tx1"/>
            </w14:solidFill>
          </w14:textFill>
        </w:rPr>
        <w:t>环境风险评估</w:t>
      </w:r>
      <w:r>
        <w:rPr>
          <w:rFonts w:hint="eastAsia" w:eastAsia="宋体" w:cs="Times New Roman"/>
          <w:color w:val="000000" w:themeColor="text1"/>
          <w:sz w:val="24"/>
          <w:szCs w:val="24"/>
          <w:lang w:val="en-US" w:eastAsia="zh-CN"/>
          <w14:textFill>
            <w14:solidFill>
              <w14:schemeClr w14:val="tx1"/>
            </w14:solidFill>
          </w14:textFill>
        </w:rPr>
        <w:t>的一般要求</w:t>
      </w:r>
      <w:bookmarkEnd w:id="35"/>
      <w:bookmarkEnd w:id="36"/>
    </w:p>
    <w:p w14:paraId="7FC2BB72">
      <w:pPr>
        <w:pStyle w:val="33"/>
        <w:adjustRightInd w:val="0"/>
        <w:snapToGrid w:val="0"/>
        <w:spacing w:before="0" w:beforeAutospacing="0" w:after="0" w:afterAutospacing="0" w:line="500" w:lineRule="exact"/>
        <w:ind w:left="0" w:righ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有下列情况之一时，我公司将及时重新划定环境风险等级，编制或修订本企业的突发环境事件风险评估报告：</w:t>
      </w:r>
    </w:p>
    <w:p w14:paraId="51D7F311">
      <w:pPr>
        <w:pStyle w:val="33"/>
        <w:adjustRightInd w:val="0"/>
        <w:snapToGrid w:val="0"/>
        <w:spacing w:beforeAutospacing="0" w:after="0" w:afterAutospacing="0" w:line="500" w:lineRule="exact"/>
        <w:ind w:lef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1、未划定环境风险等级或划定环境风险等级已满三年的；</w:t>
      </w:r>
    </w:p>
    <w:p w14:paraId="2E58E4AF">
      <w:pPr>
        <w:pStyle w:val="33"/>
        <w:adjustRightInd w:val="0"/>
        <w:snapToGrid w:val="0"/>
        <w:spacing w:before="0" w:beforeAutospacing="0" w:after="0" w:afterAutospacing="0" w:line="500" w:lineRule="exact"/>
        <w:ind w:left="0" w:righ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2、涉及环境风险物质的种类或数量、生产工艺过程与环境风险防范措施或周边可能受影响的环境风险受体发生变化，导致企业环境风险等级变化的；</w:t>
      </w:r>
    </w:p>
    <w:p w14:paraId="5F9B17E8">
      <w:pPr>
        <w:pStyle w:val="33"/>
        <w:adjustRightInd w:val="0"/>
        <w:snapToGrid w:val="0"/>
        <w:spacing w:beforeAutospacing="0" w:after="0" w:afterAutospacing="0" w:line="500" w:lineRule="exact"/>
        <w:ind w:lef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3、发生突发环境事件并造成环境污染的；</w:t>
      </w:r>
    </w:p>
    <w:p w14:paraId="01C7D816">
      <w:pPr>
        <w:pStyle w:val="33"/>
        <w:adjustRightInd w:val="0"/>
        <w:snapToGrid w:val="0"/>
        <w:spacing w:before="0" w:beforeAutospacing="0" w:after="0" w:afterAutospacing="0" w:line="500" w:lineRule="exact"/>
        <w:ind w:lef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4、有关企业环境风险评估标准或规范性文件发生变化的。</w:t>
      </w:r>
    </w:p>
    <w:p w14:paraId="5C57604F">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lang w:val="en-US" w:eastAsia="zh-CN"/>
        </w:rPr>
      </w:pPr>
      <w:bookmarkStart w:id="37" w:name="_Toc9077"/>
      <w:bookmarkStart w:id="38" w:name="_Toc12603"/>
      <w:r>
        <w:rPr>
          <w:rFonts w:hint="default" w:ascii="Times New Roman" w:hAnsi="Times New Roman" w:eastAsia="宋体" w:cs="Times New Roman"/>
          <w:sz w:val="24"/>
          <w:szCs w:val="24"/>
        </w:rPr>
        <w:t>2.</w:t>
      </w:r>
      <w:r>
        <w:rPr>
          <w:rFonts w:hint="eastAsia" w:eastAsia="宋体" w:cs="Times New Roman"/>
          <w:sz w:val="24"/>
          <w:szCs w:val="24"/>
          <w:lang w:val="en-US" w:eastAsia="zh-CN"/>
        </w:rPr>
        <w:t>6</w:t>
      </w:r>
      <w:r>
        <w:rPr>
          <w:rFonts w:hint="eastAsia" w:eastAsia="宋体" w:cs="Times New Roman"/>
          <w:color w:val="000000" w:themeColor="text1"/>
          <w:sz w:val="24"/>
          <w:szCs w:val="24"/>
          <w:lang w:val="en-US" w:eastAsia="zh-CN"/>
          <w14:textFill>
            <w14:solidFill>
              <w14:schemeClr w14:val="tx1"/>
            </w14:solidFill>
          </w14:textFill>
        </w:rPr>
        <w:t>术语与定义</w:t>
      </w:r>
      <w:bookmarkEnd w:id="37"/>
      <w:bookmarkEnd w:id="38"/>
    </w:p>
    <w:p w14:paraId="33D352CC">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1、突发环境事件是指突然发生，造成或可能造成环境污染或生态破坏，危及人民群众生命财产安全，影响社会公共秩序，需要采取紧急措施予以应对的事件。</w:t>
      </w:r>
    </w:p>
    <w:p w14:paraId="18F6F3B0">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2、环境风险是指突发性事故对环境（或健康）的危害程度，用风险值R表征，其定义为事故发生的概率P与事故造成的环境（或健康）后果C的乘积，用R表示。</w:t>
      </w:r>
    </w:p>
    <w:p w14:paraId="4AF53F93">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3、危险物质（风险物质）是指一种或若干物质的混合物，由于它的化学、物理或毒性，使其具有导致火灾、爆炸或中毒的物质。</w:t>
      </w:r>
    </w:p>
    <w:p w14:paraId="67F94096">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4、临界量：对于某种或某类危险物质规定的数量，若功能单元中物质数量等于或超过该数量，则该单元定为重大危险源。</w:t>
      </w:r>
    </w:p>
    <w:p w14:paraId="5EC302CA">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环境风险单元指长期或短期生产、加工、使用或储存环境风险物质的一个（套）生产装置、设施（贮存容器、管道等）及环保处理设施或同属一个企业且边缘距离小于500米的几个（套）生产装置、设施或场所。</w:t>
      </w:r>
    </w:p>
    <w:p w14:paraId="0A24936F">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6、环境风险受体指在突发环境事件中可能受到危害的企业外部人群、具有一定社会价值或生态功能的单位或区域等。</w:t>
      </w:r>
    </w:p>
    <w:p w14:paraId="6976A4AD">
      <w:pPr>
        <w:pStyle w:val="33"/>
        <w:adjustRightInd w:val="0"/>
        <w:snapToGrid w:val="0"/>
        <w:spacing w:before="0" w:beforeAutospacing="0" w:after="0" w:afterAutospacing="0" w:line="500" w:lineRule="exact"/>
        <w:ind w:firstLine="480" w:firstLineChars="200"/>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7、清净下水指装置区排出的未被污染的废水，如间接冷却水的排水、溢流水等</w:t>
      </w:r>
      <w:r>
        <w:rPr>
          <w:rFonts w:hint="eastAsia" w:ascii="Times New Roman" w:hAnsi="Times New Roman" w:eastAsia="宋体"/>
          <w:color w:val="000000" w:themeColor="text1"/>
          <w:lang w:eastAsia="zh-CN"/>
          <w14:textFill>
            <w14:solidFill>
              <w14:schemeClr w14:val="tx1"/>
            </w14:solidFill>
          </w14:textFill>
        </w:rPr>
        <w:t>。</w:t>
      </w:r>
    </w:p>
    <w:p w14:paraId="49376DE7">
      <w:pPr>
        <w:pStyle w:val="33"/>
        <w:adjustRightInd w:val="0"/>
        <w:snapToGrid w:val="0"/>
        <w:spacing w:before="0" w:beforeAutospacing="0" w:after="0" w:afterAutospacing="0" w:line="500" w:lineRule="exact"/>
        <w:ind w:firstLine="480" w:firstLineChars="200"/>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8、事故排水指事故状态下排出的含有泄漏物，以及施救过程中产生其他物质的生产废水、清净下水、雨水或消防水等。</w:t>
      </w:r>
    </w:p>
    <w:p w14:paraId="4083B470">
      <w:pPr>
        <w:pStyle w:val="5"/>
        <w:rPr>
          <w:rFonts w:hint="eastAsia"/>
          <w:lang w:eastAsia="zh-CN"/>
        </w:rPr>
        <w:sectPr>
          <w:footerReference r:id="rId8" w:type="default"/>
          <w:pgSz w:w="11906" w:h="16838"/>
          <w:pgMar w:top="1474" w:right="1417" w:bottom="1474" w:left="1417" w:header="851" w:footer="992" w:gutter="0"/>
          <w:pgBorders>
            <w:top w:val="none" w:sz="0" w:space="0"/>
            <w:left w:val="none" w:sz="0" w:space="0"/>
            <w:bottom w:val="none" w:sz="0" w:space="0"/>
            <w:right w:val="none" w:sz="0" w:space="0"/>
          </w:pgBorders>
          <w:cols w:space="720" w:num="1"/>
          <w:docGrid w:linePitch="312" w:charSpace="0"/>
        </w:sectPr>
      </w:pPr>
    </w:p>
    <w:p w14:paraId="7D171426">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39" w:name="_Toc12045"/>
      <w:bookmarkStart w:id="40" w:name="_Toc18151"/>
      <w:bookmarkStart w:id="41" w:name="_Toc14635"/>
      <w:r>
        <w:rPr>
          <w:rFonts w:hint="default" w:ascii="Times New Roman" w:hAnsi="Times New Roman" w:eastAsia="宋体" w:cs="Times New Roman"/>
          <w:sz w:val="24"/>
          <w:szCs w:val="24"/>
        </w:rPr>
        <w:t>3资料准备与环境风险识别</w:t>
      </w:r>
      <w:bookmarkEnd w:id="39"/>
      <w:bookmarkEnd w:id="40"/>
      <w:bookmarkEnd w:id="41"/>
    </w:p>
    <w:p w14:paraId="06989463">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42" w:name="_Toc16038"/>
      <w:bookmarkStart w:id="43" w:name="_Toc28482"/>
      <w:bookmarkStart w:id="44" w:name="_Toc376"/>
      <w:r>
        <w:rPr>
          <w:rFonts w:hint="default" w:ascii="Times New Roman" w:hAnsi="Times New Roman" w:eastAsia="宋体" w:cs="Times New Roman"/>
          <w:sz w:val="24"/>
          <w:szCs w:val="24"/>
        </w:rPr>
        <w:t>3.1企业基本信息</w:t>
      </w:r>
      <w:bookmarkEnd w:id="42"/>
      <w:bookmarkEnd w:id="43"/>
      <w:bookmarkEnd w:id="44"/>
    </w:p>
    <w:p w14:paraId="67B555D7">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45" w:name="_Toc21550"/>
      <w:bookmarkStart w:id="46" w:name="_Toc2782"/>
      <w:bookmarkStart w:id="47" w:name="_Toc30507"/>
      <w:r>
        <w:rPr>
          <w:rFonts w:hint="default" w:ascii="Times New Roman" w:hAnsi="Times New Roman" w:eastAsia="宋体" w:cs="Times New Roman"/>
          <w:sz w:val="24"/>
          <w:szCs w:val="24"/>
        </w:rPr>
        <w:t>3.1.1企业概况</w:t>
      </w:r>
      <w:bookmarkEnd w:id="45"/>
      <w:bookmarkEnd w:id="46"/>
      <w:bookmarkEnd w:id="47"/>
    </w:p>
    <w:p w14:paraId="5A23A95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kern w:val="0"/>
          <w:szCs w:val="28"/>
        </w:rPr>
      </w:pPr>
      <w:r>
        <w:rPr>
          <w:rFonts w:ascii="Times New Roman" w:hAnsi="Times New Roman" w:cs="Times New Roman" w:eastAsiaTheme="minorEastAsia"/>
          <w:i w:val="0"/>
          <w:iCs w:val="0"/>
          <w:caps w:val="0"/>
          <w:color w:val="auto"/>
          <w:spacing w:val="0"/>
          <w:kern w:val="0"/>
          <w:sz w:val="24"/>
          <w:szCs w:val="24"/>
          <w:highlight w:val="none"/>
          <w:u w:val="none"/>
        </w:rPr>
        <w:fldChar w:fldCharType="begin"/>
      </w:r>
      <w:r>
        <w:rPr>
          <w:rFonts w:ascii="Times New Roman" w:hAnsi="Times New Roman" w:cs="Times New Roman" w:eastAsiaTheme="minorEastAsia"/>
          <w:i w:val="0"/>
          <w:iCs w:val="0"/>
          <w:caps w:val="0"/>
          <w:color w:val="auto"/>
          <w:spacing w:val="0"/>
          <w:kern w:val="0"/>
          <w:sz w:val="24"/>
          <w:szCs w:val="24"/>
          <w:highlight w:val="none"/>
          <w:u w:val="none"/>
        </w:rPr>
        <w:instrText xml:space="preserve"> HYPERLINK "javascript:zxtb('XZXKTYPE_A','%E6%9A%82%E5%AD%98','card1','fc5c1215140948f896b26e64c489f794','readonly')" </w:instrText>
      </w:r>
      <w:r>
        <w:rPr>
          <w:rFonts w:ascii="Times New Roman" w:hAnsi="Times New Roman" w:cs="Times New Roman" w:eastAsiaTheme="minorEastAsia"/>
          <w:i w:val="0"/>
          <w:iCs w:val="0"/>
          <w:caps w:val="0"/>
          <w:color w:val="auto"/>
          <w:spacing w:val="0"/>
          <w:kern w:val="0"/>
          <w:sz w:val="24"/>
          <w:szCs w:val="24"/>
          <w:highlight w:val="none"/>
          <w:u w:val="none"/>
        </w:rPr>
        <w:fldChar w:fldCharType="separate"/>
      </w:r>
      <w:r>
        <w:rPr>
          <w:rFonts w:hint="eastAsia" w:ascii="Times New Roman" w:hAnsi="Times New Roman" w:cs="Times New Roman" w:eastAsiaTheme="minorEastAsia"/>
          <w:i w:val="0"/>
          <w:iCs w:val="0"/>
          <w:caps w:val="0"/>
          <w:color w:val="auto"/>
          <w:spacing w:val="0"/>
          <w:kern w:val="0"/>
          <w:sz w:val="24"/>
          <w:szCs w:val="24"/>
          <w:highlight w:val="none"/>
          <w:u w:val="none"/>
          <w:lang w:eastAsia="zh-CN"/>
        </w:rPr>
        <w:t>南通孟泉环保新能源有限公司</w:t>
      </w:r>
      <w:r>
        <w:rPr>
          <w:rFonts w:hint="eastAsia" w:ascii="Times New Roman" w:hAnsi="Times New Roman" w:cs="Times New Roman" w:eastAsiaTheme="minorEastAsia"/>
          <w:i w:val="0"/>
          <w:iCs w:val="0"/>
          <w:caps w:val="0"/>
          <w:color w:val="auto"/>
          <w:spacing w:val="0"/>
          <w:kern w:val="0"/>
          <w:sz w:val="24"/>
          <w:szCs w:val="24"/>
          <w:highlight w:val="none"/>
          <w:u w:val="none"/>
          <w:lang w:eastAsia="zh-CN"/>
        </w:rPr>
        <w:tab/>
      </w:r>
      <w:r>
        <w:rPr>
          <w:rFonts w:hint="default" w:ascii="Times New Roman" w:hAnsi="Times New Roman" w:cs="Times New Roman" w:eastAsiaTheme="minorEastAsia"/>
          <w:i w:val="0"/>
          <w:iCs w:val="0"/>
          <w:caps w:val="0"/>
          <w:color w:val="auto"/>
          <w:spacing w:val="0"/>
          <w:kern w:val="0"/>
          <w:sz w:val="24"/>
          <w:szCs w:val="24"/>
          <w:highlight w:val="none"/>
          <w:u w:val="none"/>
        </w:rPr>
        <w:fldChar w:fldCharType="end"/>
      </w:r>
      <w:r>
        <w:rPr>
          <w:rFonts w:ascii="Times New Roman" w:hAnsi="Times New Roman" w:cs="Times New Roman" w:eastAsiaTheme="minorEastAsia"/>
          <w:i w:val="0"/>
          <w:iCs w:val="0"/>
          <w:caps w:val="0"/>
          <w:color w:val="auto"/>
          <w:spacing w:val="0"/>
          <w:kern w:val="0"/>
          <w:sz w:val="24"/>
          <w:szCs w:val="24"/>
          <w:highlight w:val="none"/>
          <w:u w:val="none"/>
        </w:rPr>
        <w:t>成立</w:t>
      </w:r>
      <w:r>
        <w:rPr>
          <w:rFonts w:hint="eastAsia" w:ascii="Times New Roman" w:hAnsi="Times New Roman" w:cs="Times New Roman" w:eastAsiaTheme="minorEastAsia"/>
          <w:i w:val="0"/>
          <w:iCs w:val="0"/>
          <w:caps w:val="0"/>
          <w:color w:val="auto"/>
          <w:spacing w:val="0"/>
          <w:kern w:val="0"/>
          <w:sz w:val="24"/>
          <w:szCs w:val="24"/>
          <w:highlight w:val="none"/>
          <w:u w:val="none"/>
          <w:lang w:val="en-US" w:eastAsia="zh-CN"/>
        </w:rPr>
        <w:t>2024</w:t>
      </w:r>
      <w:r>
        <w:rPr>
          <w:rFonts w:hint="eastAsia" w:ascii="Times New Roman" w:hAnsi="Times New Roman" w:cs="Times New Roman" w:eastAsiaTheme="minorEastAsia"/>
          <w:i w:val="0"/>
          <w:iCs w:val="0"/>
          <w:caps w:val="0"/>
          <w:color w:val="auto"/>
          <w:spacing w:val="0"/>
          <w:kern w:val="0"/>
          <w:sz w:val="24"/>
          <w:szCs w:val="24"/>
          <w:highlight w:val="none"/>
          <w:u w:val="none"/>
          <w:lang w:eastAsia="zh-CN"/>
        </w:rPr>
        <w:t>年</w:t>
      </w:r>
      <w:r>
        <w:rPr>
          <w:rFonts w:hint="eastAsia" w:ascii="Times New Roman" w:hAnsi="Times New Roman" w:cs="Times New Roman" w:eastAsiaTheme="minorEastAsia"/>
          <w:i w:val="0"/>
          <w:iCs w:val="0"/>
          <w:caps w:val="0"/>
          <w:color w:val="auto"/>
          <w:spacing w:val="0"/>
          <w:kern w:val="0"/>
          <w:sz w:val="24"/>
          <w:szCs w:val="24"/>
          <w:highlight w:val="none"/>
          <w:u w:val="none"/>
          <w:lang w:val="en-US" w:eastAsia="zh-CN"/>
        </w:rPr>
        <w:t>5</w:t>
      </w:r>
      <w:r>
        <w:rPr>
          <w:rFonts w:hint="eastAsia" w:ascii="Times New Roman" w:hAnsi="Times New Roman" w:cs="Times New Roman" w:eastAsiaTheme="minorEastAsia"/>
          <w:i w:val="0"/>
          <w:iCs w:val="0"/>
          <w:caps w:val="0"/>
          <w:color w:val="auto"/>
          <w:spacing w:val="0"/>
          <w:kern w:val="0"/>
          <w:sz w:val="24"/>
          <w:szCs w:val="24"/>
          <w:highlight w:val="none"/>
          <w:u w:val="none"/>
          <w:lang w:eastAsia="zh-CN"/>
        </w:rPr>
        <w:t>月</w:t>
      </w:r>
      <w:r>
        <w:rPr>
          <w:rFonts w:ascii="Times New Roman" w:hAnsi="Times New Roman" w:cs="Times New Roman" w:eastAsiaTheme="minorEastAsia"/>
          <w:i w:val="0"/>
          <w:iCs w:val="0"/>
          <w:caps w:val="0"/>
          <w:color w:val="auto"/>
          <w:spacing w:val="0"/>
          <w:kern w:val="0"/>
          <w:sz w:val="24"/>
          <w:szCs w:val="24"/>
          <w:highlight w:val="none"/>
          <w:u w:val="none"/>
        </w:rPr>
        <w:t>，</w:t>
      </w:r>
      <w:r>
        <w:rPr>
          <w:rFonts w:hint="default" w:ascii="Times New Roman" w:hAnsi="Times New Roman" w:cs="Times New Roman" w:eastAsiaTheme="minorEastAsia"/>
          <w:i w:val="0"/>
          <w:iCs w:val="0"/>
          <w:caps w:val="0"/>
          <w:color w:val="auto"/>
          <w:spacing w:val="0"/>
          <w:kern w:val="0"/>
          <w:sz w:val="24"/>
          <w:szCs w:val="24"/>
          <w:highlight w:val="none"/>
          <w:u w:val="none"/>
          <w:lang w:val="en-US" w:eastAsia="zh-CN"/>
        </w:rPr>
        <w:t>位于</w:t>
      </w:r>
      <w:r>
        <w:rPr>
          <w:rFonts w:hint="eastAsia" w:ascii="Times New Roman" w:hAnsi="Times New Roman" w:cs="Times New Roman" w:eastAsiaTheme="minorEastAsia"/>
          <w:i w:val="0"/>
          <w:iCs w:val="0"/>
          <w:caps w:val="0"/>
          <w:color w:val="auto"/>
          <w:spacing w:val="0"/>
          <w:kern w:val="0"/>
          <w:sz w:val="24"/>
          <w:szCs w:val="24"/>
          <w:highlight w:val="none"/>
          <w:u w:val="none"/>
          <w:lang w:val="en-US" w:eastAsia="zh-CN"/>
        </w:rPr>
        <w:t>江苏省南通市海安市墩头镇吉庆村五组的部分厂房</w:t>
      </w:r>
      <w:r>
        <w:rPr>
          <w:rFonts w:hint="default" w:ascii="Times New Roman" w:hAnsi="Times New Roman" w:cs="Times New Roman" w:eastAsiaTheme="minorEastAsia"/>
          <w:i w:val="0"/>
          <w:iCs w:val="0"/>
          <w:caps w:val="0"/>
          <w:color w:val="auto"/>
          <w:spacing w:val="0"/>
          <w:kern w:val="0"/>
          <w:sz w:val="24"/>
          <w:szCs w:val="24"/>
          <w:highlight w:val="none"/>
          <w:u w:val="none"/>
          <w:lang w:val="en-US" w:eastAsia="zh-CN"/>
        </w:rPr>
        <w:t>，</w:t>
      </w:r>
      <w:r>
        <w:rPr>
          <w:rFonts w:ascii="Times New Roman" w:hAnsi="Times New Roman" w:cs="Times New Roman" w:eastAsiaTheme="minorEastAsia"/>
          <w:i w:val="0"/>
          <w:iCs w:val="0"/>
          <w:caps w:val="0"/>
          <w:color w:val="auto"/>
          <w:spacing w:val="0"/>
          <w:kern w:val="0"/>
          <w:sz w:val="24"/>
          <w:szCs w:val="24"/>
          <w:highlight w:val="none"/>
          <w:u w:val="none"/>
        </w:rPr>
        <w:t>是一家专业</w:t>
      </w:r>
      <w:r>
        <w:rPr>
          <w:rFonts w:hint="default" w:ascii="Times New Roman" w:hAnsi="Times New Roman" w:cs="Times New Roman" w:eastAsiaTheme="minorEastAsia"/>
          <w:i w:val="0"/>
          <w:iCs w:val="0"/>
          <w:caps w:val="0"/>
          <w:color w:val="auto"/>
          <w:spacing w:val="0"/>
          <w:kern w:val="0"/>
          <w:sz w:val="24"/>
          <w:szCs w:val="24"/>
          <w:highlight w:val="none"/>
          <w:u w:val="none"/>
        </w:rPr>
        <w:t>从事</w:t>
      </w:r>
      <w:r>
        <w:rPr>
          <w:rFonts w:ascii="Times New Roman" w:hAnsi="Times New Roman" w:cs="Times New Roman" w:eastAsiaTheme="minorEastAsia"/>
          <w:i w:val="0"/>
          <w:iCs w:val="0"/>
          <w:caps w:val="0"/>
          <w:color w:val="auto"/>
          <w:spacing w:val="0"/>
          <w:kern w:val="0"/>
          <w:sz w:val="24"/>
          <w:szCs w:val="24"/>
          <w:highlight w:val="none"/>
          <w:u w:val="none"/>
          <w:lang w:val="en-US" w:eastAsia="zh-CN"/>
        </w:rPr>
        <w:t>生物质致密成型燃料加工</w:t>
      </w:r>
      <w:r>
        <w:rPr>
          <w:rFonts w:eastAsia="宋体"/>
          <w:bCs/>
          <w:color w:val="000000"/>
          <w:highlight w:val="none"/>
        </w:rPr>
        <w:t>的企业。</w:t>
      </w:r>
      <w:r>
        <w:rPr>
          <w:rFonts w:ascii="Times New Roman" w:hAnsi="Times New Roman" w:cs="Times New Roman" w:eastAsiaTheme="minorEastAsia"/>
          <w:i w:val="0"/>
          <w:iCs w:val="0"/>
          <w:caps w:val="0"/>
          <w:color w:val="auto"/>
          <w:spacing w:val="0"/>
          <w:kern w:val="0"/>
          <w:sz w:val="24"/>
          <w:szCs w:val="24"/>
          <w:highlight w:val="none"/>
          <w:u w:val="none"/>
        </w:rPr>
        <w:fldChar w:fldCharType="begin"/>
      </w:r>
      <w:r>
        <w:rPr>
          <w:rFonts w:ascii="Times New Roman" w:hAnsi="Times New Roman" w:cs="Times New Roman" w:eastAsiaTheme="minorEastAsia"/>
          <w:i w:val="0"/>
          <w:iCs w:val="0"/>
          <w:caps w:val="0"/>
          <w:color w:val="auto"/>
          <w:spacing w:val="0"/>
          <w:kern w:val="0"/>
          <w:sz w:val="24"/>
          <w:szCs w:val="24"/>
          <w:highlight w:val="none"/>
          <w:u w:val="none"/>
        </w:rPr>
        <w:instrText xml:space="preserve"> HYPERLINK "javascript:zxtb('XZXKTYPE_A','%E6%9A%82%E5%AD%98','card1','fc5c1215140948f896b26e64c489f794','readonly')" </w:instrText>
      </w:r>
      <w:r>
        <w:rPr>
          <w:rFonts w:ascii="Times New Roman" w:hAnsi="Times New Roman" w:cs="Times New Roman" w:eastAsiaTheme="minorEastAsia"/>
          <w:i w:val="0"/>
          <w:iCs w:val="0"/>
          <w:caps w:val="0"/>
          <w:color w:val="auto"/>
          <w:spacing w:val="0"/>
          <w:kern w:val="0"/>
          <w:sz w:val="24"/>
          <w:szCs w:val="24"/>
          <w:highlight w:val="none"/>
          <w:u w:val="none"/>
        </w:rPr>
        <w:fldChar w:fldCharType="separate"/>
      </w:r>
      <w:r>
        <w:rPr>
          <w:rFonts w:hint="eastAsia" w:cs="Times New Roman" w:eastAsiaTheme="minorEastAsia"/>
          <w:i w:val="0"/>
          <w:iCs w:val="0"/>
          <w:caps w:val="0"/>
          <w:color w:val="auto"/>
          <w:spacing w:val="0"/>
          <w:kern w:val="0"/>
          <w:sz w:val="24"/>
          <w:szCs w:val="24"/>
          <w:highlight w:val="none"/>
          <w:u w:val="none"/>
          <w:lang w:eastAsia="zh-CN"/>
        </w:rPr>
        <w:t>南通孟泉环保新能源有限公司</w:t>
      </w:r>
      <w:r>
        <w:rPr>
          <w:rFonts w:hint="eastAsia" w:cs="Times New Roman" w:eastAsiaTheme="minorEastAsia"/>
          <w:i w:val="0"/>
          <w:iCs w:val="0"/>
          <w:caps w:val="0"/>
          <w:color w:val="auto"/>
          <w:spacing w:val="0"/>
          <w:kern w:val="0"/>
          <w:sz w:val="24"/>
          <w:szCs w:val="24"/>
          <w:highlight w:val="none"/>
          <w:u w:val="none"/>
          <w:lang w:eastAsia="zh-CN"/>
        </w:rPr>
        <w:tab/>
      </w:r>
      <w:r>
        <w:rPr>
          <w:rFonts w:hint="default" w:ascii="Times New Roman" w:hAnsi="Times New Roman" w:cs="Times New Roman" w:eastAsiaTheme="minorEastAsia"/>
          <w:i w:val="0"/>
          <w:iCs w:val="0"/>
          <w:caps w:val="0"/>
          <w:color w:val="auto"/>
          <w:spacing w:val="0"/>
          <w:kern w:val="0"/>
          <w:sz w:val="24"/>
          <w:szCs w:val="24"/>
          <w:highlight w:val="none"/>
          <w:u w:val="none"/>
        </w:rPr>
        <w:fldChar w:fldCharType="end"/>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占地</w:t>
      </w:r>
      <w:r>
        <w:rPr>
          <w:rFonts w:hint="eastAsia" w:eastAsia="宋体" w:cs="Times New Roman"/>
          <w:color w:val="000000" w:themeColor="text1"/>
          <w:sz w:val="24"/>
          <w:szCs w:val="24"/>
          <w:lang w:val="en-US" w:eastAsia="zh-CN"/>
          <w14:textFill>
            <w14:solidFill>
              <w14:schemeClr w14:val="tx1"/>
            </w14:solidFill>
          </w14:textFill>
        </w:rPr>
        <w:t>4779</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平方米，职工</w:t>
      </w:r>
      <w:r>
        <w:rPr>
          <w:rFonts w:hint="eastAsia" w:eastAsia="宋体" w:cs="Times New Roman"/>
          <w:color w:val="auto"/>
          <w:kern w:val="2"/>
          <w:sz w:val="24"/>
          <w:szCs w:val="24"/>
          <w:lang w:val="en-US" w:eastAsia="zh-CN" w:bidi="ar-SA"/>
        </w:rPr>
        <w:t>10</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人，</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年工作</w:t>
      </w:r>
      <w:r>
        <w:rPr>
          <w:rFonts w:hint="eastAsia" w:eastAsia="宋体" w:cs="Times New Roman"/>
          <w:color w:val="000000" w:themeColor="text1"/>
          <w:kern w:val="2"/>
          <w:sz w:val="24"/>
          <w:szCs w:val="24"/>
          <w:lang w:val="en-US" w:eastAsia="zh-CN" w:bidi="ar-SA"/>
          <w14:textFill>
            <w14:solidFill>
              <w14:schemeClr w14:val="tx1"/>
            </w14:solidFill>
          </w14:textFill>
        </w:rPr>
        <w:t>330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天，</w:t>
      </w:r>
      <w:r>
        <w:rPr>
          <w:rFonts w:hint="eastAsia" w:eastAsia="宋体" w:cs="Times New Roman"/>
          <w:color w:val="000000" w:themeColor="text1"/>
          <w:kern w:val="2"/>
          <w:sz w:val="24"/>
          <w:szCs w:val="24"/>
          <w:lang w:val="en-US" w:eastAsia="zh-CN" w:bidi="ar-SA"/>
          <w14:textFill>
            <w14:solidFill>
              <w14:schemeClr w14:val="tx1"/>
            </w14:solidFill>
          </w14:textFill>
        </w:rPr>
        <w:t>双</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班制，每班工作</w:t>
      </w:r>
      <w:r>
        <w:rPr>
          <w:rFonts w:hint="eastAsia" w:eastAsia="宋体" w:cs="Times New Roman"/>
          <w:color w:val="000000" w:themeColor="text1"/>
          <w:kern w:val="2"/>
          <w:sz w:val="24"/>
          <w:szCs w:val="24"/>
          <w:lang w:val="en-US" w:eastAsia="zh-CN" w:bidi="ar-SA"/>
          <w14:textFill>
            <w14:solidFill>
              <w14:schemeClr w14:val="tx1"/>
            </w14:solidFill>
          </w14:textFill>
        </w:rPr>
        <w:t>16</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小时，年生产时数</w:t>
      </w:r>
      <w:r>
        <w:rPr>
          <w:rFonts w:hint="eastAsia" w:eastAsia="宋体" w:cs="Times New Roman"/>
          <w:color w:val="000000" w:themeColor="text1"/>
          <w:kern w:val="2"/>
          <w:sz w:val="24"/>
          <w:szCs w:val="24"/>
          <w:lang w:val="en-US" w:eastAsia="zh-CN" w:bidi="ar-SA"/>
          <w14:textFill>
            <w14:solidFill>
              <w14:schemeClr w14:val="tx1"/>
            </w14:solidFill>
          </w14:textFill>
        </w:rPr>
        <w:t>5280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h/a</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eastAsia="宋体"/>
          <w:bCs/>
          <w:color w:val="000000"/>
        </w:rPr>
        <w:t>公司基本情况汇总见表3-1。</w:t>
      </w:r>
    </w:p>
    <w:p w14:paraId="2CAE0439">
      <w:pPr>
        <w:widowControl/>
        <w:tabs>
          <w:tab w:val="left" w:pos="1815"/>
          <w:tab w:val="left" w:pos="1845"/>
        </w:tabs>
        <w:adjustRightInd w:val="0"/>
        <w:snapToGrid w:val="0"/>
        <w:spacing w:line="500" w:lineRule="exact"/>
        <w:ind w:firstLine="562"/>
        <w:jc w:val="center"/>
        <w:rPr>
          <w:rFonts w:hint="default" w:ascii="Times New Roman" w:hAnsi="Times New Roman" w:eastAsia="宋体" w:cs="Times New Roman"/>
          <w:b/>
          <w:szCs w:val="28"/>
        </w:rPr>
      </w:pPr>
      <w:r>
        <w:rPr>
          <w:rFonts w:hint="default" w:ascii="Times New Roman" w:hAnsi="Times New Roman" w:eastAsia="宋体" w:cs="Times New Roman"/>
          <w:b/>
          <w:szCs w:val="28"/>
        </w:rPr>
        <w:t>表3-1</w:t>
      </w:r>
      <w:r>
        <w:rPr>
          <w:rFonts w:hint="eastAsia" w:eastAsia="宋体" w:cs="Times New Roman"/>
          <w:b/>
          <w:i w:val="0"/>
          <w:iCs w:val="0"/>
          <w:caps w:val="0"/>
          <w:color w:val="auto"/>
          <w:spacing w:val="0"/>
          <w:kern w:val="2"/>
          <w:sz w:val="24"/>
          <w:szCs w:val="28"/>
          <w:highlight w:val="none"/>
          <w:u w:val="none"/>
          <w:lang w:eastAsia="zh-CN"/>
        </w:rPr>
        <w:t>孟泉环保新能源</w:t>
      </w:r>
      <w:r>
        <w:rPr>
          <w:rFonts w:hint="default" w:ascii="Times New Roman" w:hAnsi="Times New Roman" w:eastAsia="宋体" w:cs="Times New Roman"/>
          <w:b/>
          <w:szCs w:val="28"/>
        </w:rPr>
        <w:t>基本情况汇总表</w:t>
      </w:r>
    </w:p>
    <w:tbl>
      <w:tblPr>
        <w:tblStyle w:val="3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79"/>
        <w:gridCol w:w="3454"/>
        <w:gridCol w:w="2054"/>
        <w:gridCol w:w="2000"/>
      </w:tblGrid>
      <w:tr w14:paraId="42622A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12" w:space="0"/>
              <w:left w:val="single" w:color="000000" w:sz="12" w:space="0"/>
              <w:bottom w:val="single" w:color="000000" w:sz="4" w:space="0"/>
              <w:right w:val="single" w:color="000000" w:sz="4" w:space="0"/>
            </w:tcBorders>
            <w:vAlign w:val="center"/>
          </w:tcPr>
          <w:p w14:paraId="2432DF9A">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单位名称</w:t>
            </w:r>
          </w:p>
        </w:tc>
        <w:tc>
          <w:tcPr>
            <w:tcW w:w="7508" w:type="dxa"/>
            <w:gridSpan w:val="3"/>
            <w:tcBorders>
              <w:top w:val="single" w:color="000000" w:sz="12" w:space="0"/>
              <w:left w:val="single" w:color="000000" w:sz="4" w:space="0"/>
              <w:bottom w:val="single" w:color="000000" w:sz="4" w:space="0"/>
              <w:right w:val="single" w:color="000000" w:sz="12" w:space="0"/>
            </w:tcBorders>
            <w:vAlign w:val="center"/>
          </w:tcPr>
          <w:p w14:paraId="0EC433C2">
            <w:pPr>
              <w:pStyle w:val="100"/>
              <w:jc w:val="center"/>
              <w:rPr>
                <w:rFonts w:hint="eastAsia" w:ascii="Times New Roman" w:eastAsia="宋体" w:cs="Times New Roman"/>
                <w:sz w:val="21"/>
                <w:szCs w:val="21"/>
                <w:highlight w:val="none"/>
              </w:rPr>
            </w:pPr>
            <w:r>
              <w:rPr>
                <w:rFonts w:hint="eastAsia" w:ascii="Times New Roman" w:hAnsi="Times New Roman" w:eastAsia="宋体" w:cs="Times New Roman"/>
                <w:i w:val="0"/>
                <w:iCs w:val="0"/>
                <w:caps w:val="0"/>
                <w:color w:val="000000"/>
                <w:spacing w:val="0"/>
                <w:kern w:val="0"/>
                <w:sz w:val="21"/>
                <w:szCs w:val="21"/>
                <w:highlight w:val="none"/>
                <w:u w:val="none"/>
              </w:rPr>
              <w:fldChar w:fldCharType="begin"/>
            </w:r>
            <w:r>
              <w:rPr>
                <w:rFonts w:hint="eastAsia" w:ascii="Times New Roman" w:hAnsi="Times New Roman" w:eastAsia="宋体" w:cs="Times New Roman"/>
                <w:i w:val="0"/>
                <w:iCs w:val="0"/>
                <w:caps w:val="0"/>
                <w:color w:val="000000"/>
                <w:spacing w:val="0"/>
                <w:kern w:val="0"/>
                <w:sz w:val="21"/>
                <w:szCs w:val="21"/>
                <w:highlight w:val="none"/>
                <w:u w:val="none"/>
              </w:rPr>
              <w:instrText xml:space="preserve"> HYPERLINK "javascript:zxtb('XZXKTYPE_A','%E6%9A%82%E5%AD%98','card1','fc5c1215140948f896b26e64c489f794','readonly')" </w:instrText>
            </w:r>
            <w:r>
              <w:rPr>
                <w:rFonts w:hint="eastAsia" w:ascii="Times New Roman" w:hAnsi="Times New Roman" w:eastAsia="宋体" w:cs="Times New Roman"/>
                <w:i w:val="0"/>
                <w:iCs w:val="0"/>
                <w:caps w:val="0"/>
                <w:color w:val="000000"/>
                <w:spacing w:val="0"/>
                <w:kern w:val="0"/>
                <w:sz w:val="21"/>
                <w:szCs w:val="21"/>
                <w:highlight w:val="none"/>
                <w:u w:val="none"/>
              </w:rPr>
              <w:fldChar w:fldCharType="separate"/>
            </w:r>
            <w:r>
              <w:rPr>
                <w:rFonts w:hint="eastAsia" w:ascii="Times New Roman" w:eastAsia="宋体" w:cs="Times New Roman"/>
                <w:i w:val="0"/>
                <w:iCs w:val="0"/>
                <w:caps w:val="0"/>
                <w:color w:val="000000"/>
                <w:spacing w:val="0"/>
                <w:kern w:val="0"/>
                <w:sz w:val="21"/>
                <w:szCs w:val="21"/>
                <w:highlight w:val="none"/>
                <w:u w:val="none"/>
                <w:lang w:eastAsia="zh-CN"/>
              </w:rPr>
              <w:t>南通孟泉环保新能源有限公司</w:t>
            </w:r>
            <w:r>
              <w:rPr>
                <w:rFonts w:hint="eastAsia" w:ascii="Times New Roman" w:eastAsia="宋体" w:cs="Times New Roman"/>
                <w:i w:val="0"/>
                <w:iCs w:val="0"/>
                <w:caps w:val="0"/>
                <w:color w:val="000000"/>
                <w:spacing w:val="0"/>
                <w:kern w:val="0"/>
                <w:sz w:val="21"/>
                <w:szCs w:val="21"/>
                <w:highlight w:val="none"/>
                <w:u w:val="none"/>
                <w:lang w:eastAsia="zh-CN"/>
              </w:rPr>
              <w:tab/>
            </w:r>
            <w:r>
              <w:rPr>
                <w:rFonts w:hint="eastAsia" w:ascii="Times New Roman" w:hAnsi="Times New Roman" w:eastAsia="宋体" w:cs="Times New Roman"/>
                <w:i w:val="0"/>
                <w:iCs w:val="0"/>
                <w:caps w:val="0"/>
                <w:color w:val="000000"/>
                <w:spacing w:val="0"/>
                <w:kern w:val="0"/>
                <w:sz w:val="21"/>
                <w:szCs w:val="21"/>
                <w:highlight w:val="none"/>
                <w:u w:val="none"/>
              </w:rPr>
              <w:fldChar w:fldCharType="end"/>
            </w:r>
          </w:p>
        </w:tc>
      </w:tr>
      <w:tr w14:paraId="41F03D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18FF289D">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单位地址</w:t>
            </w:r>
          </w:p>
        </w:tc>
        <w:tc>
          <w:tcPr>
            <w:tcW w:w="3454" w:type="dxa"/>
            <w:tcBorders>
              <w:top w:val="single" w:color="000000" w:sz="4" w:space="0"/>
              <w:left w:val="single" w:color="000000" w:sz="4" w:space="0"/>
              <w:bottom w:val="single" w:color="000000" w:sz="4" w:space="0"/>
              <w:right w:val="single" w:color="000000" w:sz="4" w:space="0"/>
            </w:tcBorders>
            <w:vAlign w:val="center"/>
          </w:tcPr>
          <w:p w14:paraId="174A74FF">
            <w:pPr>
              <w:pStyle w:val="100"/>
              <w:jc w:val="center"/>
              <w:rPr>
                <w:rFonts w:hint="eastAsia" w:ascii="Times New Roman" w:eastAsia="宋体" w:cs="Times New Roman"/>
                <w:sz w:val="21"/>
                <w:szCs w:val="21"/>
                <w:highlight w:val="none"/>
                <w:lang w:eastAsia="zh-CN"/>
              </w:rPr>
            </w:pPr>
            <w:r>
              <w:rPr>
                <w:rFonts w:hint="eastAsia" w:ascii="Times New Roman" w:eastAsia="宋体" w:cs="Times New Roman"/>
                <w:sz w:val="21"/>
                <w:szCs w:val="21"/>
                <w:highlight w:val="none"/>
                <w:lang w:eastAsia="zh-CN"/>
              </w:rPr>
              <w:t>江苏省南通市海安市墩头镇吉庆村五组</w:t>
            </w:r>
          </w:p>
        </w:tc>
        <w:tc>
          <w:tcPr>
            <w:tcW w:w="2054" w:type="dxa"/>
            <w:tcBorders>
              <w:top w:val="single" w:color="000000" w:sz="4" w:space="0"/>
              <w:left w:val="single" w:color="000000" w:sz="4" w:space="0"/>
              <w:bottom w:val="single" w:color="000000" w:sz="4" w:space="0"/>
              <w:right w:val="single" w:color="000000" w:sz="4" w:space="0"/>
            </w:tcBorders>
            <w:vAlign w:val="center"/>
          </w:tcPr>
          <w:p w14:paraId="3EE3AFAA">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所在区</w:t>
            </w:r>
          </w:p>
        </w:tc>
        <w:tc>
          <w:tcPr>
            <w:tcW w:w="2000" w:type="dxa"/>
            <w:tcBorders>
              <w:top w:val="single" w:color="000000" w:sz="4" w:space="0"/>
              <w:left w:val="single" w:color="000000" w:sz="4" w:space="0"/>
              <w:bottom w:val="single" w:color="000000" w:sz="4" w:space="0"/>
              <w:right w:val="single" w:color="000000" w:sz="12" w:space="0"/>
            </w:tcBorders>
            <w:vAlign w:val="center"/>
          </w:tcPr>
          <w:p w14:paraId="4B69F989">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墩头镇</w:t>
            </w:r>
          </w:p>
        </w:tc>
      </w:tr>
      <w:tr w14:paraId="2F8950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6EE54EAA">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企业性质</w:t>
            </w:r>
          </w:p>
        </w:tc>
        <w:tc>
          <w:tcPr>
            <w:tcW w:w="3454" w:type="dxa"/>
            <w:tcBorders>
              <w:top w:val="single" w:color="000000" w:sz="4" w:space="0"/>
              <w:left w:val="single" w:color="000000" w:sz="4" w:space="0"/>
              <w:bottom w:val="single" w:color="000000" w:sz="4" w:space="0"/>
              <w:right w:val="single" w:color="000000" w:sz="4" w:space="0"/>
            </w:tcBorders>
            <w:vAlign w:val="center"/>
          </w:tcPr>
          <w:p w14:paraId="1FC95585">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有限公司</w:t>
            </w:r>
          </w:p>
        </w:tc>
        <w:tc>
          <w:tcPr>
            <w:tcW w:w="2054" w:type="dxa"/>
            <w:tcBorders>
              <w:top w:val="single" w:color="000000" w:sz="4" w:space="0"/>
              <w:left w:val="single" w:color="000000" w:sz="4" w:space="0"/>
              <w:bottom w:val="single" w:color="000000" w:sz="4" w:space="0"/>
              <w:right w:val="single" w:color="000000" w:sz="4" w:space="0"/>
            </w:tcBorders>
            <w:vAlign w:val="center"/>
          </w:tcPr>
          <w:p w14:paraId="0139F577">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所在街道（镇）</w:t>
            </w:r>
          </w:p>
        </w:tc>
        <w:tc>
          <w:tcPr>
            <w:tcW w:w="2000" w:type="dxa"/>
            <w:tcBorders>
              <w:top w:val="single" w:color="000000" w:sz="4" w:space="0"/>
              <w:left w:val="single" w:color="000000" w:sz="4" w:space="0"/>
              <w:bottom w:val="single" w:color="000000" w:sz="4" w:space="0"/>
              <w:right w:val="single" w:color="000000" w:sz="12" w:space="0"/>
            </w:tcBorders>
            <w:vAlign w:val="center"/>
          </w:tcPr>
          <w:p w14:paraId="6BCF1E80">
            <w:pPr>
              <w:pStyle w:val="100"/>
              <w:jc w:val="center"/>
              <w:rPr>
                <w:rFonts w:hint="default" w:ascii="Times New Roman" w:eastAsia="宋体" w:cs="Times New Roman"/>
                <w:sz w:val="21"/>
                <w:szCs w:val="21"/>
                <w:highlight w:val="none"/>
                <w:lang w:val="en-US"/>
              </w:rPr>
            </w:pPr>
            <w:r>
              <w:rPr>
                <w:rFonts w:hint="eastAsia" w:ascii="Times New Roman" w:eastAsia="宋体" w:cs="Times New Roman"/>
                <w:sz w:val="21"/>
                <w:szCs w:val="21"/>
                <w:highlight w:val="none"/>
                <w:lang w:val="en-US" w:eastAsia="zh-CN"/>
              </w:rPr>
              <w:t>墩头镇</w:t>
            </w:r>
          </w:p>
        </w:tc>
      </w:tr>
      <w:tr w14:paraId="21857C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629033B4">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法人代表</w:t>
            </w:r>
          </w:p>
        </w:tc>
        <w:tc>
          <w:tcPr>
            <w:tcW w:w="3454" w:type="dxa"/>
            <w:tcBorders>
              <w:top w:val="single" w:color="000000" w:sz="4" w:space="0"/>
              <w:left w:val="single" w:color="000000" w:sz="4" w:space="0"/>
              <w:bottom w:val="single" w:color="000000" w:sz="4" w:space="0"/>
              <w:right w:val="single" w:color="000000" w:sz="4" w:space="0"/>
            </w:tcBorders>
            <w:vAlign w:val="center"/>
          </w:tcPr>
          <w:p w14:paraId="3E165AFE">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王洪英</w:t>
            </w:r>
          </w:p>
        </w:tc>
        <w:tc>
          <w:tcPr>
            <w:tcW w:w="2054" w:type="dxa"/>
            <w:tcBorders>
              <w:top w:val="single" w:color="000000" w:sz="4" w:space="0"/>
              <w:left w:val="single" w:color="000000" w:sz="4" w:space="0"/>
              <w:bottom w:val="single" w:color="000000" w:sz="4" w:space="0"/>
              <w:right w:val="single" w:color="000000" w:sz="4" w:space="0"/>
            </w:tcBorders>
            <w:vAlign w:val="center"/>
          </w:tcPr>
          <w:p w14:paraId="16D0622F">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所在社区（村）</w:t>
            </w:r>
          </w:p>
        </w:tc>
        <w:tc>
          <w:tcPr>
            <w:tcW w:w="2000" w:type="dxa"/>
            <w:tcBorders>
              <w:top w:val="single" w:color="000000" w:sz="4" w:space="0"/>
              <w:left w:val="single" w:color="000000" w:sz="4" w:space="0"/>
              <w:bottom w:val="single" w:color="000000" w:sz="4" w:space="0"/>
              <w:right w:val="single" w:color="000000" w:sz="12" w:space="0"/>
            </w:tcBorders>
            <w:vAlign w:val="center"/>
          </w:tcPr>
          <w:p w14:paraId="3AB826AD">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w:t>
            </w:r>
          </w:p>
        </w:tc>
      </w:tr>
      <w:tr w14:paraId="04B53B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216C9B04">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法人代码</w:t>
            </w:r>
          </w:p>
        </w:tc>
        <w:tc>
          <w:tcPr>
            <w:tcW w:w="3454" w:type="dxa"/>
            <w:tcBorders>
              <w:top w:val="single" w:color="000000" w:sz="4" w:space="0"/>
              <w:left w:val="single" w:color="000000" w:sz="4" w:space="0"/>
              <w:bottom w:val="single" w:color="000000" w:sz="4" w:space="0"/>
              <w:right w:val="single" w:color="000000" w:sz="4" w:space="0"/>
            </w:tcBorders>
            <w:vAlign w:val="center"/>
          </w:tcPr>
          <w:p w14:paraId="409B7496">
            <w:pPr>
              <w:keepNext w:val="0"/>
              <w:keepLines w:val="0"/>
              <w:widowControl/>
              <w:suppressLineNumbers w:val="0"/>
              <w:ind w:firstLine="800" w:firstLineChars="400"/>
              <w:jc w:val="left"/>
              <w:rPr>
                <w:rFonts w:hint="default" w:ascii="Times New Roman" w:eastAsia="宋体" w:cs="Times New Roman"/>
                <w:sz w:val="21"/>
                <w:szCs w:val="21"/>
                <w:highlight w:val="none"/>
                <w:lang w:val="en-US" w:eastAsia="zh-CN"/>
              </w:rPr>
            </w:pPr>
            <w:r>
              <w:rPr>
                <w:rFonts w:hint="eastAsia" w:eastAsia="宋体" w:cs="Times New Roman"/>
                <w:color w:val="000000"/>
                <w:kern w:val="0"/>
                <w:sz w:val="20"/>
                <w:szCs w:val="20"/>
                <w:lang w:val="en-US" w:eastAsia="zh-CN" w:bidi="ar"/>
              </w:rPr>
              <w:t>91320621MACFSQFR79</w:t>
            </w:r>
          </w:p>
        </w:tc>
        <w:tc>
          <w:tcPr>
            <w:tcW w:w="2054" w:type="dxa"/>
            <w:tcBorders>
              <w:top w:val="single" w:color="000000" w:sz="4" w:space="0"/>
              <w:left w:val="single" w:color="000000" w:sz="4" w:space="0"/>
              <w:bottom w:val="single" w:color="000000" w:sz="4" w:space="0"/>
              <w:right w:val="single" w:color="000000" w:sz="4" w:space="0"/>
            </w:tcBorders>
            <w:vAlign w:val="center"/>
          </w:tcPr>
          <w:p w14:paraId="2DDD8384">
            <w:pPr>
              <w:pStyle w:val="100"/>
              <w:jc w:val="center"/>
              <w:rPr>
                <w:rFonts w:ascii="Times New Roman" w:hAnsi="Times New Roman" w:eastAsia="宋体" w:cs="Times New Roman"/>
                <w:color w:val="000000"/>
                <w:sz w:val="21"/>
                <w:szCs w:val="21"/>
                <w:highlight w:val="none"/>
                <w:lang w:val="en-US" w:eastAsia="zh-CN" w:bidi="ar-SA"/>
              </w:rPr>
            </w:pPr>
            <w:r>
              <w:rPr>
                <w:rFonts w:hint="eastAsia" w:ascii="Times New Roman" w:eastAsia="宋体" w:cs="Times New Roman"/>
                <w:sz w:val="21"/>
                <w:szCs w:val="21"/>
                <w:highlight w:val="none"/>
                <w:lang w:val="en-US" w:eastAsia="zh-CN"/>
              </w:rPr>
              <w:t>占地</w:t>
            </w:r>
            <w:r>
              <w:rPr>
                <w:rFonts w:ascii="Times New Roman" w:eastAsia="宋体" w:cs="Times New Roman"/>
                <w:sz w:val="21"/>
                <w:szCs w:val="21"/>
                <w:highlight w:val="none"/>
              </w:rPr>
              <w:t>面积</w:t>
            </w:r>
          </w:p>
        </w:tc>
        <w:tc>
          <w:tcPr>
            <w:tcW w:w="2000" w:type="dxa"/>
            <w:tcBorders>
              <w:top w:val="single" w:color="000000" w:sz="4" w:space="0"/>
              <w:left w:val="single" w:color="000000" w:sz="4" w:space="0"/>
              <w:bottom w:val="single" w:color="000000" w:sz="4" w:space="0"/>
              <w:right w:val="single" w:color="000000" w:sz="12" w:space="0"/>
            </w:tcBorders>
            <w:vAlign w:val="center"/>
          </w:tcPr>
          <w:p w14:paraId="050062F3">
            <w:pPr>
              <w:pStyle w:val="100"/>
              <w:jc w:val="center"/>
              <w:rPr>
                <w:rFonts w:hint="default" w:ascii="Times New Roman" w:hAnsi="Times New Roman" w:eastAsia="宋体" w:cs="Times New Roman"/>
                <w:color w:val="000000"/>
                <w:sz w:val="21"/>
                <w:szCs w:val="21"/>
                <w:highlight w:val="none"/>
                <w:lang w:val="en-US" w:eastAsia="zh-CN" w:bidi="ar-SA"/>
              </w:rPr>
            </w:pPr>
            <w:r>
              <w:rPr>
                <w:rFonts w:hint="eastAsia" w:ascii="Times New Roman" w:cs="仿宋_GB2312"/>
                <w:kern w:val="0"/>
                <w:sz w:val="21"/>
                <w:szCs w:val="24"/>
                <w:highlight w:val="none"/>
                <w:lang w:val="en-US" w:eastAsia="zh-CN"/>
              </w:rPr>
              <w:t>4779m</w:t>
            </w:r>
            <w:r>
              <w:rPr>
                <w:rFonts w:hint="eastAsia" w:ascii="Times New Roman" w:cs="仿宋_GB2312"/>
                <w:kern w:val="0"/>
                <w:sz w:val="21"/>
                <w:szCs w:val="24"/>
                <w:highlight w:val="none"/>
                <w:vertAlign w:val="superscript"/>
                <w:lang w:val="en-US" w:eastAsia="zh-CN"/>
              </w:rPr>
              <w:t>2</w:t>
            </w:r>
          </w:p>
        </w:tc>
      </w:tr>
      <w:tr w14:paraId="6D729A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60EE500">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14:paraId="6D95B659">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w:t>
            </w:r>
          </w:p>
        </w:tc>
        <w:tc>
          <w:tcPr>
            <w:tcW w:w="2054" w:type="dxa"/>
            <w:tcBorders>
              <w:top w:val="single" w:color="000000" w:sz="4" w:space="0"/>
              <w:left w:val="single" w:color="000000" w:sz="4" w:space="0"/>
              <w:bottom w:val="single" w:color="000000" w:sz="4" w:space="0"/>
              <w:right w:val="single" w:color="000000" w:sz="4" w:space="0"/>
            </w:tcBorders>
            <w:vAlign w:val="center"/>
          </w:tcPr>
          <w:p w14:paraId="1EFB894C">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建筑面积</w:t>
            </w:r>
          </w:p>
        </w:tc>
        <w:tc>
          <w:tcPr>
            <w:tcW w:w="2000" w:type="dxa"/>
            <w:tcBorders>
              <w:top w:val="single" w:color="000000" w:sz="4" w:space="0"/>
              <w:left w:val="single" w:color="000000" w:sz="4" w:space="0"/>
              <w:bottom w:val="single" w:color="000000" w:sz="4" w:space="0"/>
              <w:right w:val="single" w:color="000000" w:sz="12" w:space="0"/>
            </w:tcBorders>
            <w:vAlign w:val="center"/>
          </w:tcPr>
          <w:p w14:paraId="58DA9969">
            <w:pPr>
              <w:pStyle w:val="100"/>
              <w:jc w:val="center"/>
              <w:rPr>
                <w:rFonts w:hint="eastAsia" w:ascii="Times New Roman" w:eastAsia="宋体" w:cs="Times New Roman"/>
                <w:sz w:val="21"/>
                <w:szCs w:val="21"/>
                <w:highlight w:val="none"/>
                <w:lang w:eastAsia="zh-CN"/>
              </w:rPr>
            </w:pPr>
            <w:r>
              <w:rPr>
                <w:rFonts w:hint="eastAsia" w:ascii="Times New Roman" w:cs="仿宋_GB2312"/>
                <w:kern w:val="0"/>
                <w:sz w:val="21"/>
                <w:szCs w:val="24"/>
                <w:highlight w:val="none"/>
                <w:lang w:val="en-US" w:eastAsia="zh-CN"/>
              </w:rPr>
              <w:t>/</w:t>
            </w:r>
          </w:p>
        </w:tc>
      </w:tr>
      <w:tr w14:paraId="0D3710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7295B137">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企业规模</w:t>
            </w:r>
          </w:p>
        </w:tc>
        <w:tc>
          <w:tcPr>
            <w:tcW w:w="3454" w:type="dxa"/>
            <w:tcBorders>
              <w:top w:val="single" w:color="000000" w:sz="4" w:space="0"/>
              <w:left w:val="single" w:color="000000" w:sz="4" w:space="0"/>
              <w:bottom w:val="single" w:color="000000" w:sz="4" w:space="0"/>
              <w:right w:val="single" w:color="000000" w:sz="4" w:space="0"/>
            </w:tcBorders>
            <w:vAlign w:val="center"/>
          </w:tcPr>
          <w:p w14:paraId="1317422D">
            <w:pPr>
              <w:pStyle w:val="100"/>
              <w:jc w:val="center"/>
              <w:rPr>
                <w:rFonts w:hint="eastAsia" w:ascii="Times New Roman" w:hAnsi="Times New Roman" w:eastAsia="仿宋_GB2312" w:cs="Times New Roman"/>
                <w:sz w:val="21"/>
                <w:szCs w:val="21"/>
                <w:lang w:val="en-US" w:eastAsia="zh-CN"/>
              </w:rPr>
            </w:pPr>
            <w:r>
              <w:rPr>
                <w:rFonts w:hint="eastAsia" w:ascii="宋体" w:hAnsi="宋体" w:eastAsia="宋体" w:cs="宋体"/>
                <w:sz w:val="21"/>
                <w:szCs w:val="21"/>
                <w:lang w:val="en-US" w:eastAsia="zh-CN"/>
              </w:rPr>
              <w:t>小型</w:t>
            </w:r>
          </w:p>
        </w:tc>
        <w:tc>
          <w:tcPr>
            <w:tcW w:w="2054" w:type="dxa"/>
            <w:tcBorders>
              <w:top w:val="single" w:color="000000" w:sz="4" w:space="0"/>
              <w:left w:val="single" w:color="000000" w:sz="4" w:space="0"/>
              <w:bottom w:val="single" w:color="000000" w:sz="4" w:space="0"/>
              <w:right w:val="single" w:color="000000" w:sz="4" w:space="0"/>
            </w:tcBorders>
            <w:vAlign w:val="center"/>
          </w:tcPr>
          <w:p w14:paraId="22E44822">
            <w:pPr>
              <w:pStyle w:val="100"/>
              <w:jc w:val="center"/>
              <w:rPr>
                <w:rFonts w:ascii="Times New Roman" w:hAnsi="Times New Roman" w:eastAsia="宋体" w:cs="Times New Roman"/>
                <w:color w:val="000000"/>
                <w:sz w:val="21"/>
                <w:szCs w:val="21"/>
                <w:highlight w:val="none"/>
                <w:lang w:val="en-US" w:eastAsia="zh-CN" w:bidi="ar-SA"/>
              </w:rPr>
            </w:pPr>
            <w:r>
              <w:rPr>
                <w:rFonts w:ascii="Times New Roman" w:eastAsia="宋体" w:cs="Times New Roman"/>
                <w:sz w:val="21"/>
                <w:szCs w:val="21"/>
                <w:highlight w:val="none"/>
              </w:rPr>
              <w:t>职工人数</w:t>
            </w:r>
          </w:p>
        </w:tc>
        <w:tc>
          <w:tcPr>
            <w:tcW w:w="2000" w:type="dxa"/>
            <w:tcBorders>
              <w:top w:val="single" w:color="000000" w:sz="4" w:space="0"/>
              <w:left w:val="single" w:color="000000" w:sz="4" w:space="0"/>
              <w:bottom w:val="single" w:color="000000" w:sz="4" w:space="0"/>
              <w:right w:val="single" w:color="000000" w:sz="12" w:space="0"/>
            </w:tcBorders>
            <w:vAlign w:val="center"/>
          </w:tcPr>
          <w:p w14:paraId="0112ECA7">
            <w:pPr>
              <w:pStyle w:val="100"/>
              <w:jc w:val="center"/>
              <w:rPr>
                <w:rFonts w:hint="default" w:ascii="Times New Roman" w:hAnsi="Times New Roman" w:eastAsia="宋体" w:cs="Times New Roman"/>
                <w:color w:val="000000"/>
                <w:sz w:val="21"/>
                <w:szCs w:val="21"/>
                <w:highlight w:val="none"/>
                <w:lang w:val="en-US" w:eastAsia="zh-CN" w:bidi="ar-SA"/>
              </w:rPr>
            </w:pPr>
            <w:r>
              <w:rPr>
                <w:rFonts w:hint="eastAsia" w:ascii="Times New Roman" w:eastAsia="宋体" w:cs="Times New Roman"/>
                <w:color w:val="auto"/>
                <w:sz w:val="21"/>
                <w:szCs w:val="21"/>
                <w:highlight w:val="none"/>
                <w:lang w:val="en-US" w:eastAsia="zh-CN"/>
              </w:rPr>
              <w:t>10</w:t>
            </w:r>
            <w:r>
              <w:rPr>
                <w:rFonts w:hint="eastAsia" w:ascii="Times New Roman" w:eastAsia="宋体" w:cs="Times New Roman"/>
                <w:sz w:val="21"/>
                <w:szCs w:val="21"/>
                <w:highlight w:val="none"/>
                <w:lang w:eastAsia="zh-CN"/>
              </w:rPr>
              <w:t>人</w:t>
            </w:r>
          </w:p>
        </w:tc>
      </w:tr>
      <w:tr w14:paraId="716BC4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097B2496">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主要原料</w:t>
            </w:r>
          </w:p>
        </w:tc>
        <w:tc>
          <w:tcPr>
            <w:tcW w:w="3454" w:type="dxa"/>
            <w:tcBorders>
              <w:top w:val="single" w:color="000000" w:sz="4" w:space="0"/>
              <w:left w:val="single" w:color="000000" w:sz="4" w:space="0"/>
              <w:bottom w:val="single" w:color="000000" w:sz="4" w:space="0"/>
              <w:right w:val="single" w:color="000000" w:sz="4" w:space="0"/>
            </w:tcBorders>
            <w:vAlign w:val="center"/>
          </w:tcPr>
          <w:p w14:paraId="44897AF6">
            <w:pPr>
              <w:pStyle w:val="100"/>
              <w:jc w:val="center"/>
              <w:rPr>
                <w:rFonts w:hint="default" w:ascii="Times New Roman" w:eastAsia="宋体" w:cs="Times New Roman"/>
                <w:sz w:val="21"/>
                <w:szCs w:val="21"/>
                <w:highlight w:val="none"/>
                <w:lang w:val="en-US"/>
              </w:rPr>
            </w:pPr>
            <w:r>
              <w:rPr>
                <w:rFonts w:hint="eastAsia" w:ascii="Times New Roman" w:eastAsia="宋体" w:cs="Times New Roman"/>
                <w:sz w:val="21"/>
                <w:szCs w:val="21"/>
                <w:highlight w:val="none"/>
                <w:lang w:val="en-US" w:eastAsia="zh-CN"/>
              </w:rPr>
              <w:t>废木头等</w:t>
            </w:r>
          </w:p>
        </w:tc>
        <w:tc>
          <w:tcPr>
            <w:tcW w:w="2054" w:type="dxa"/>
            <w:tcBorders>
              <w:top w:val="single" w:color="000000" w:sz="4" w:space="0"/>
              <w:left w:val="single" w:color="000000" w:sz="4" w:space="0"/>
              <w:bottom w:val="single" w:color="000000" w:sz="4" w:space="0"/>
              <w:right w:val="single" w:color="000000" w:sz="4" w:space="0"/>
            </w:tcBorders>
            <w:vAlign w:val="center"/>
          </w:tcPr>
          <w:p w14:paraId="3008C637">
            <w:pPr>
              <w:pStyle w:val="100"/>
              <w:jc w:val="center"/>
              <w:rPr>
                <w:rFonts w:hint="eastAsia"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所属行业</w:t>
            </w:r>
          </w:p>
        </w:tc>
        <w:tc>
          <w:tcPr>
            <w:tcW w:w="2000" w:type="dxa"/>
            <w:tcBorders>
              <w:top w:val="single" w:color="000000" w:sz="4" w:space="0"/>
              <w:left w:val="single" w:color="000000" w:sz="4" w:space="0"/>
              <w:bottom w:val="single" w:color="000000" w:sz="4" w:space="0"/>
              <w:right w:val="single" w:color="000000" w:sz="12" w:space="0"/>
            </w:tcBorders>
            <w:vAlign w:val="center"/>
          </w:tcPr>
          <w:p w14:paraId="1738E0DF">
            <w:pPr>
              <w:pStyle w:val="100"/>
              <w:jc w:val="center"/>
              <w:rPr>
                <w:rFonts w:hint="eastAsia" w:ascii="Times New Roman" w:eastAsia="宋体" w:cs="Times New Roman"/>
                <w:sz w:val="21"/>
                <w:szCs w:val="21"/>
                <w:highlight w:val="none"/>
                <w:lang w:val="en-US" w:eastAsia="zh-CN"/>
              </w:rPr>
            </w:pPr>
            <w:r>
              <w:rPr>
                <w:rFonts w:hint="default" w:ascii="Times New Roman" w:eastAsia="宋体" w:cs="Times New Roman"/>
                <w:sz w:val="21"/>
                <w:szCs w:val="21"/>
                <w:highlight w:val="none"/>
                <w:lang w:val="en-US" w:eastAsia="zh-CN"/>
              </w:rPr>
              <w:t xml:space="preserve">[C2542] </w:t>
            </w:r>
            <w:r>
              <w:rPr>
                <w:rFonts w:hint="eastAsia" w:ascii="Times New Roman" w:eastAsia="宋体" w:cs="Times New Roman"/>
                <w:sz w:val="21"/>
                <w:szCs w:val="21"/>
                <w:highlight w:val="none"/>
                <w:lang w:val="en-US" w:eastAsia="zh-CN"/>
              </w:rPr>
              <w:t xml:space="preserve">生物质致密 </w:t>
            </w:r>
          </w:p>
          <w:p w14:paraId="5179CFCE">
            <w:pPr>
              <w:pStyle w:val="100"/>
              <w:jc w:val="center"/>
              <w:rPr>
                <w:rFonts w:hint="eastAsia"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 xml:space="preserve">成型燃料加工 </w:t>
            </w:r>
          </w:p>
          <w:p w14:paraId="6EC45A11">
            <w:pPr>
              <w:pStyle w:val="100"/>
              <w:jc w:val="center"/>
              <w:rPr>
                <w:rFonts w:hint="eastAsia" w:ascii="Times New Roman" w:eastAsia="宋体" w:cs="Times New Roman"/>
                <w:sz w:val="21"/>
                <w:szCs w:val="21"/>
                <w:highlight w:val="none"/>
                <w:lang w:val="en-US" w:eastAsia="zh-CN"/>
              </w:rPr>
            </w:pPr>
            <w:r>
              <w:rPr>
                <w:rFonts w:hint="default" w:ascii="Times New Roman" w:eastAsia="宋体" w:cs="Times New Roman"/>
                <w:sz w:val="21"/>
                <w:szCs w:val="21"/>
                <w:highlight w:val="none"/>
                <w:lang w:val="en-US" w:eastAsia="zh-CN"/>
              </w:rPr>
              <w:t xml:space="preserve">[C4220] </w:t>
            </w:r>
            <w:r>
              <w:rPr>
                <w:rFonts w:hint="eastAsia" w:ascii="Times New Roman" w:eastAsia="宋体" w:cs="Times New Roman"/>
                <w:sz w:val="21"/>
                <w:szCs w:val="21"/>
                <w:highlight w:val="none"/>
                <w:lang w:val="en-US" w:eastAsia="zh-CN"/>
              </w:rPr>
              <w:t xml:space="preserve">非金属废料 </w:t>
            </w:r>
          </w:p>
          <w:p w14:paraId="4EE27DB4">
            <w:pPr>
              <w:pStyle w:val="100"/>
              <w:jc w:val="center"/>
              <w:rPr>
                <w:rFonts w:hint="eastAsia"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和碎屑加工处理</w:t>
            </w:r>
          </w:p>
        </w:tc>
      </w:tr>
      <w:tr w14:paraId="09591E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F46A327">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主要产品</w:t>
            </w:r>
          </w:p>
        </w:tc>
        <w:tc>
          <w:tcPr>
            <w:tcW w:w="3454" w:type="dxa"/>
            <w:tcBorders>
              <w:top w:val="single" w:color="000000" w:sz="4" w:space="0"/>
              <w:left w:val="single" w:color="000000" w:sz="4" w:space="0"/>
              <w:bottom w:val="single" w:color="000000" w:sz="4" w:space="0"/>
              <w:right w:val="single" w:color="000000" w:sz="4" w:space="0"/>
            </w:tcBorders>
            <w:vAlign w:val="center"/>
          </w:tcPr>
          <w:p w14:paraId="70D078C0">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生物质颗粒成型燃料</w:t>
            </w:r>
          </w:p>
        </w:tc>
        <w:tc>
          <w:tcPr>
            <w:tcW w:w="2054" w:type="dxa"/>
            <w:tcBorders>
              <w:top w:val="single" w:color="000000" w:sz="4" w:space="0"/>
              <w:left w:val="single" w:color="000000" w:sz="4" w:space="0"/>
              <w:bottom w:val="single" w:color="000000" w:sz="4" w:space="0"/>
              <w:right w:val="single" w:color="000000" w:sz="4" w:space="0"/>
            </w:tcBorders>
            <w:vAlign w:val="center"/>
          </w:tcPr>
          <w:p w14:paraId="2255163C">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经度坐标</w:t>
            </w:r>
          </w:p>
        </w:tc>
        <w:tc>
          <w:tcPr>
            <w:tcW w:w="2000" w:type="dxa"/>
            <w:tcBorders>
              <w:top w:val="single" w:color="000000" w:sz="4" w:space="0"/>
              <w:left w:val="single" w:color="000000" w:sz="4" w:space="0"/>
              <w:bottom w:val="single" w:color="000000" w:sz="4" w:space="0"/>
              <w:right w:val="single" w:color="000000" w:sz="12" w:space="0"/>
            </w:tcBorders>
            <w:vAlign w:val="center"/>
          </w:tcPr>
          <w:p w14:paraId="588B80DA">
            <w:pPr>
              <w:pStyle w:val="100"/>
              <w:jc w:val="center"/>
              <w:rPr>
                <w:rFonts w:hint="default" w:ascii="Times New Roman" w:eastAsia="仿宋_GB2312" w:cs="Times New Roman"/>
                <w:sz w:val="21"/>
                <w:szCs w:val="21"/>
                <w:highlight w:val="none"/>
                <w:lang w:val="en-US" w:eastAsia="zh-CN"/>
              </w:rPr>
            </w:pPr>
            <w:r>
              <w:rPr>
                <w:rFonts w:hint="eastAsia" w:ascii="Times New Roman" w:eastAsia="宋体" w:cs="Times New Roman"/>
                <w:sz w:val="21"/>
                <w:szCs w:val="21"/>
                <w:highlight w:val="none"/>
                <w:lang w:val="en-US" w:eastAsia="zh-CN"/>
              </w:rPr>
              <w:t>E120.361321</w:t>
            </w:r>
          </w:p>
        </w:tc>
      </w:tr>
      <w:tr w14:paraId="75C092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0585C783">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联系人</w:t>
            </w:r>
          </w:p>
        </w:tc>
        <w:tc>
          <w:tcPr>
            <w:tcW w:w="3454" w:type="dxa"/>
            <w:tcBorders>
              <w:top w:val="single" w:color="000000" w:sz="4" w:space="0"/>
              <w:left w:val="single" w:color="000000" w:sz="4" w:space="0"/>
              <w:bottom w:val="single" w:color="000000" w:sz="4" w:space="0"/>
              <w:right w:val="single" w:color="000000" w:sz="4" w:space="0"/>
            </w:tcBorders>
            <w:vAlign w:val="center"/>
          </w:tcPr>
          <w:p w14:paraId="4E20EE62">
            <w:pPr>
              <w:pStyle w:val="100"/>
              <w:jc w:val="center"/>
              <w:rPr>
                <w:rFonts w:hint="default" w:ascii="Times New Roman" w:eastAsia="宋体" w:cs="Times New Roman"/>
                <w:color w:val="000000"/>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孟平国</w:t>
            </w:r>
          </w:p>
        </w:tc>
        <w:tc>
          <w:tcPr>
            <w:tcW w:w="2054" w:type="dxa"/>
            <w:tcBorders>
              <w:top w:val="single" w:color="000000" w:sz="4" w:space="0"/>
              <w:left w:val="single" w:color="000000" w:sz="4" w:space="0"/>
              <w:bottom w:val="single" w:color="000000" w:sz="4" w:space="0"/>
              <w:right w:val="single" w:color="000000" w:sz="4" w:space="0"/>
            </w:tcBorders>
            <w:vAlign w:val="center"/>
          </w:tcPr>
          <w:p w14:paraId="29DE6160">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纬度坐标</w:t>
            </w:r>
          </w:p>
        </w:tc>
        <w:tc>
          <w:tcPr>
            <w:tcW w:w="2000" w:type="dxa"/>
            <w:tcBorders>
              <w:top w:val="single" w:color="000000" w:sz="4" w:space="0"/>
              <w:left w:val="single" w:color="000000" w:sz="4" w:space="0"/>
              <w:bottom w:val="single" w:color="000000" w:sz="4" w:space="0"/>
              <w:right w:val="single" w:color="000000" w:sz="12" w:space="0"/>
            </w:tcBorders>
            <w:vAlign w:val="center"/>
          </w:tcPr>
          <w:p w14:paraId="14B9E3F0">
            <w:pPr>
              <w:pStyle w:val="100"/>
              <w:jc w:val="center"/>
              <w:rPr>
                <w:rFonts w:hint="default" w:ascii="Times New Roman" w:eastAsia="仿宋_GB2312" w:cs="Times New Roman"/>
                <w:sz w:val="21"/>
                <w:szCs w:val="21"/>
                <w:highlight w:val="none"/>
                <w:lang w:val="en-US" w:eastAsia="zh-CN"/>
              </w:rPr>
            </w:pPr>
            <w:r>
              <w:rPr>
                <w:rFonts w:hint="eastAsia" w:ascii="Times New Roman" w:eastAsia="宋体" w:cs="Times New Roman"/>
                <w:sz w:val="21"/>
                <w:szCs w:val="21"/>
                <w:highlight w:val="none"/>
                <w:lang w:val="en-US" w:eastAsia="zh-CN"/>
              </w:rPr>
              <w:t>N32.6080</w:t>
            </w:r>
          </w:p>
        </w:tc>
      </w:tr>
      <w:tr w14:paraId="2E1522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7A958326">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14:paraId="03055AF3">
            <w:pPr>
              <w:pStyle w:val="10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eastAsia="宋体" w:cs="Times New Roman"/>
                <w:sz w:val="21"/>
                <w:szCs w:val="21"/>
                <w:highlight w:val="none"/>
                <w:lang w:val="en-US" w:eastAsia="zh-CN"/>
              </w:rPr>
              <w:t>15195077777</w:t>
            </w:r>
          </w:p>
        </w:tc>
        <w:tc>
          <w:tcPr>
            <w:tcW w:w="2054" w:type="dxa"/>
            <w:tcBorders>
              <w:top w:val="single" w:color="000000" w:sz="4" w:space="0"/>
              <w:left w:val="single" w:color="000000" w:sz="4" w:space="0"/>
              <w:bottom w:val="single" w:color="000000" w:sz="4" w:space="0"/>
              <w:right w:val="single" w:color="000000" w:sz="4" w:space="0"/>
            </w:tcBorders>
            <w:vAlign w:val="center"/>
          </w:tcPr>
          <w:p w14:paraId="2F729742">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历史事故</w:t>
            </w:r>
          </w:p>
        </w:tc>
        <w:tc>
          <w:tcPr>
            <w:tcW w:w="2000" w:type="dxa"/>
            <w:tcBorders>
              <w:top w:val="single" w:color="000000" w:sz="4" w:space="0"/>
              <w:left w:val="single" w:color="000000" w:sz="4" w:space="0"/>
              <w:bottom w:val="single" w:color="000000" w:sz="4" w:space="0"/>
              <w:right w:val="single" w:color="000000" w:sz="12" w:space="0"/>
            </w:tcBorders>
            <w:vAlign w:val="center"/>
          </w:tcPr>
          <w:p w14:paraId="60A27129">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无</w:t>
            </w:r>
          </w:p>
        </w:tc>
      </w:tr>
    </w:tbl>
    <w:p w14:paraId="1A66A2C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公司具体</w:t>
      </w:r>
      <w:r>
        <w:rPr>
          <w:rFonts w:hint="eastAsia" w:eastAsia="宋体" w:cs="Times New Roman"/>
          <w:lang w:val="en-US" w:eastAsia="zh-CN"/>
        </w:rPr>
        <w:t>环评</w:t>
      </w:r>
      <w:r>
        <w:rPr>
          <w:rFonts w:hint="default" w:ascii="Times New Roman" w:hAnsi="Times New Roman" w:eastAsia="宋体" w:cs="Times New Roman"/>
        </w:rPr>
        <w:t>情况见表3-2。</w:t>
      </w:r>
    </w:p>
    <w:p w14:paraId="7012580B">
      <w:pPr>
        <w:widowControl/>
        <w:tabs>
          <w:tab w:val="left" w:pos="1815"/>
          <w:tab w:val="left" w:pos="1845"/>
        </w:tabs>
        <w:adjustRightInd w:val="0"/>
        <w:snapToGrid w:val="0"/>
        <w:spacing w:line="500" w:lineRule="exact"/>
        <w:ind w:firstLine="562"/>
        <w:jc w:val="center"/>
        <w:rPr>
          <w:rFonts w:hint="default" w:ascii="Times New Roman" w:hAnsi="Times New Roman" w:eastAsia="宋体" w:cs="Times New Roman"/>
          <w:b/>
          <w:szCs w:val="28"/>
          <w:highlight w:val="none"/>
          <w:lang w:val="en-US" w:eastAsia="zh-CN"/>
        </w:rPr>
      </w:pPr>
      <w:r>
        <w:rPr>
          <w:rFonts w:hint="default" w:ascii="Times New Roman" w:hAnsi="Times New Roman" w:eastAsia="宋体" w:cs="Times New Roman"/>
          <w:b/>
          <w:szCs w:val="28"/>
        </w:rPr>
        <w:t>表3-2</w:t>
      </w:r>
      <w:r>
        <w:rPr>
          <w:rFonts w:hint="eastAsia" w:eastAsia="宋体" w:cs="Times New Roman"/>
          <w:b/>
          <w:szCs w:val="28"/>
          <w:lang w:eastAsia="zh-CN"/>
        </w:rPr>
        <w:t>环评</w:t>
      </w:r>
      <w:r>
        <w:rPr>
          <w:rFonts w:hint="eastAsia" w:eastAsia="宋体" w:cs="Times New Roman"/>
          <w:b/>
          <w:szCs w:val="28"/>
          <w:lang w:val="en-US" w:eastAsia="zh-CN"/>
        </w:rPr>
        <w:t>情况</w:t>
      </w:r>
    </w:p>
    <w:tbl>
      <w:tblPr>
        <w:tblStyle w:val="3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462"/>
        <w:gridCol w:w="2055"/>
        <w:gridCol w:w="2681"/>
      </w:tblGrid>
      <w:tr w14:paraId="7B748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1" w:hRule="atLeast"/>
          <w:tblHeader/>
          <w:jc w:val="center"/>
        </w:trPr>
        <w:tc>
          <w:tcPr>
            <w:tcW w:w="2425" w:type="pct"/>
            <w:vMerge w:val="restart"/>
            <w:tcBorders>
              <w:tl2br w:val="nil"/>
              <w:tr2bl w:val="nil"/>
            </w:tcBorders>
            <w:vAlign w:val="center"/>
          </w:tcPr>
          <w:p w14:paraId="2933EFAD">
            <w:pPr>
              <w:widowControl/>
              <w:adjustRightInd w:val="0"/>
              <w:snapToGrid w:val="0"/>
              <w:jc w:val="center"/>
              <w:rPr>
                <w:rFonts w:eastAsia="宋体"/>
                <w:sz w:val="21"/>
                <w:szCs w:val="21"/>
                <w:highlight w:val="none"/>
              </w:rPr>
            </w:pPr>
            <w:r>
              <w:rPr>
                <w:rFonts w:eastAsia="宋体"/>
                <w:sz w:val="21"/>
                <w:szCs w:val="21"/>
                <w:highlight w:val="none"/>
              </w:rPr>
              <w:t>项目</w:t>
            </w:r>
          </w:p>
        </w:tc>
        <w:tc>
          <w:tcPr>
            <w:tcW w:w="2574" w:type="pct"/>
            <w:gridSpan w:val="2"/>
            <w:tcBorders>
              <w:tl2br w:val="nil"/>
              <w:tr2bl w:val="nil"/>
            </w:tcBorders>
            <w:shd w:val="clear" w:color="auto" w:fill="auto"/>
            <w:vAlign w:val="center"/>
          </w:tcPr>
          <w:p w14:paraId="14208E16">
            <w:pPr>
              <w:widowControl/>
              <w:adjustRightInd w:val="0"/>
              <w:snapToGrid w:val="0"/>
              <w:jc w:val="center"/>
              <w:rPr>
                <w:rFonts w:eastAsia="宋体"/>
                <w:sz w:val="21"/>
                <w:szCs w:val="21"/>
                <w:highlight w:val="none"/>
              </w:rPr>
            </w:pPr>
            <w:r>
              <w:rPr>
                <w:rFonts w:hint="eastAsia" w:eastAsia="宋体"/>
                <w:sz w:val="21"/>
                <w:szCs w:val="21"/>
                <w:highlight w:val="none"/>
                <w:lang w:val="en-US" w:eastAsia="zh-CN"/>
              </w:rPr>
              <w:t>环评</w:t>
            </w:r>
            <w:r>
              <w:rPr>
                <w:rFonts w:eastAsia="宋体"/>
                <w:sz w:val="21"/>
                <w:szCs w:val="21"/>
                <w:highlight w:val="none"/>
              </w:rPr>
              <w:t>批复情况</w:t>
            </w:r>
          </w:p>
        </w:tc>
      </w:tr>
      <w:tr w14:paraId="38785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 w:hRule="atLeast"/>
          <w:tblHeader/>
          <w:jc w:val="center"/>
        </w:trPr>
        <w:tc>
          <w:tcPr>
            <w:tcW w:w="2425" w:type="pct"/>
            <w:vMerge w:val="continue"/>
            <w:tcBorders>
              <w:tl2br w:val="nil"/>
              <w:tr2bl w:val="nil"/>
            </w:tcBorders>
            <w:vAlign w:val="center"/>
          </w:tcPr>
          <w:p w14:paraId="0005E127">
            <w:pPr>
              <w:widowControl/>
              <w:adjustRightInd w:val="0"/>
              <w:snapToGrid w:val="0"/>
              <w:jc w:val="center"/>
              <w:rPr>
                <w:rFonts w:eastAsia="宋体"/>
                <w:sz w:val="21"/>
                <w:szCs w:val="21"/>
                <w:highlight w:val="none"/>
              </w:rPr>
            </w:pPr>
          </w:p>
        </w:tc>
        <w:tc>
          <w:tcPr>
            <w:tcW w:w="1117" w:type="pct"/>
            <w:tcBorders>
              <w:tl2br w:val="nil"/>
              <w:tr2bl w:val="nil"/>
            </w:tcBorders>
            <w:shd w:val="clear" w:color="auto" w:fill="auto"/>
            <w:vAlign w:val="center"/>
          </w:tcPr>
          <w:p w14:paraId="7A810A1D">
            <w:pPr>
              <w:widowControl/>
              <w:adjustRightInd w:val="0"/>
              <w:snapToGrid w:val="0"/>
              <w:jc w:val="center"/>
              <w:rPr>
                <w:rFonts w:eastAsia="宋体"/>
                <w:sz w:val="21"/>
                <w:szCs w:val="21"/>
                <w:highlight w:val="none"/>
              </w:rPr>
            </w:pPr>
            <w:r>
              <w:rPr>
                <w:rFonts w:eastAsia="宋体"/>
                <w:sz w:val="21"/>
                <w:szCs w:val="21"/>
                <w:highlight w:val="none"/>
              </w:rPr>
              <w:t>审批单位</w:t>
            </w:r>
          </w:p>
        </w:tc>
        <w:tc>
          <w:tcPr>
            <w:tcW w:w="1456" w:type="pct"/>
            <w:tcBorders>
              <w:tl2br w:val="nil"/>
              <w:tr2bl w:val="nil"/>
            </w:tcBorders>
            <w:shd w:val="clear" w:color="auto" w:fill="auto"/>
            <w:vAlign w:val="center"/>
          </w:tcPr>
          <w:p w14:paraId="5592A3EC">
            <w:pPr>
              <w:widowControl/>
              <w:adjustRightInd w:val="0"/>
              <w:snapToGrid w:val="0"/>
              <w:jc w:val="center"/>
              <w:rPr>
                <w:rFonts w:eastAsia="宋体"/>
                <w:sz w:val="21"/>
                <w:szCs w:val="21"/>
                <w:highlight w:val="none"/>
              </w:rPr>
            </w:pPr>
            <w:r>
              <w:rPr>
                <w:rFonts w:eastAsia="宋体"/>
                <w:sz w:val="21"/>
                <w:szCs w:val="21"/>
                <w:highlight w:val="none"/>
              </w:rPr>
              <w:t>审批文号</w:t>
            </w:r>
          </w:p>
        </w:tc>
      </w:tr>
      <w:tr w14:paraId="654F4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2425" w:type="pct"/>
            <w:tcBorders>
              <w:tl2br w:val="nil"/>
              <w:tr2bl w:val="nil"/>
            </w:tcBorders>
            <w:vAlign w:val="center"/>
          </w:tcPr>
          <w:p w14:paraId="027A6FF1">
            <w:pPr>
              <w:keepNext w:val="0"/>
              <w:keepLines w:val="0"/>
              <w:widowControl/>
              <w:suppressLineNumbers w:val="0"/>
              <w:jc w:val="left"/>
              <w:rPr>
                <w:rFonts w:hint="default" w:eastAsia="宋体"/>
                <w:sz w:val="21"/>
                <w:szCs w:val="21"/>
                <w:highlight w:val="none"/>
                <w:lang w:val="en-US"/>
              </w:rPr>
            </w:pPr>
            <w:r>
              <w:rPr>
                <w:rFonts w:hint="eastAsia" w:eastAsia="宋体"/>
                <w:sz w:val="21"/>
                <w:szCs w:val="21"/>
                <w:highlight w:val="none"/>
                <w:lang w:val="en-US" w:eastAsia="zh-CN"/>
              </w:rPr>
              <w:t>南通孟泉环保新能源有限公司生物质颗粒成型燃料加工项目</w:t>
            </w:r>
          </w:p>
        </w:tc>
        <w:tc>
          <w:tcPr>
            <w:tcW w:w="1117" w:type="pct"/>
            <w:tcBorders>
              <w:tl2br w:val="nil"/>
              <w:tr2bl w:val="nil"/>
            </w:tcBorders>
            <w:shd w:val="clear" w:color="auto" w:fill="auto"/>
            <w:vAlign w:val="center"/>
          </w:tcPr>
          <w:p w14:paraId="53414DCD">
            <w:pPr>
              <w:widowControl/>
              <w:adjustRightInd w:val="0"/>
              <w:snapToGrid w:val="0"/>
              <w:jc w:val="center"/>
              <w:rPr>
                <w:rFonts w:hint="default" w:eastAsia="宋体"/>
                <w:sz w:val="21"/>
                <w:szCs w:val="21"/>
                <w:highlight w:val="none"/>
                <w:lang w:val="en-US" w:eastAsia="zh-CN"/>
              </w:rPr>
            </w:pPr>
            <w:r>
              <w:rPr>
                <w:rFonts w:eastAsia="宋体"/>
                <w:sz w:val="21"/>
                <w:szCs w:val="21"/>
                <w:highlight w:val="none"/>
              </w:rPr>
              <w:t>海安</w:t>
            </w:r>
            <w:r>
              <w:rPr>
                <w:rFonts w:hint="eastAsia" w:eastAsia="宋体"/>
                <w:sz w:val="21"/>
                <w:szCs w:val="21"/>
                <w:highlight w:val="none"/>
                <w:lang w:val="en-US" w:eastAsia="zh-CN"/>
              </w:rPr>
              <w:t>市行政审批局</w:t>
            </w:r>
          </w:p>
        </w:tc>
        <w:tc>
          <w:tcPr>
            <w:tcW w:w="1456" w:type="pct"/>
            <w:tcBorders>
              <w:tl2br w:val="nil"/>
              <w:tr2bl w:val="nil"/>
            </w:tcBorders>
            <w:shd w:val="clear" w:color="auto" w:fill="auto"/>
            <w:vAlign w:val="center"/>
          </w:tcPr>
          <w:p w14:paraId="54CF78C1">
            <w:pPr>
              <w:widowControl/>
              <w:adjustRightInd w:val="0"/>
              <w:snapToGrid w:val="0"/>
              <w:jc w:val="center"/>
              <w:rPr>
                <w:rFonts w:hint="eastAsia" w:eastAsia="宋体"/>
                <w:sz w:val="21"/>
                <w:szCs w:val="21"/>
                <w:highlight w:val="none"/>
                <w:lang w:eastAsia="zh-CN"/>
              </w:rPr>
            </w:pPr>
            <w:r>
              <w:rPr>
                <w:rFonts w:hint="eastAsia" w:eastAsia="宋体" w:cs="Times New Roman"/>
                <w:i w:val="0"/>
                <w:iCs w:val="0"/>
                <w:caps w:val="0"/>
                <w:color w:val="auto"/>
                <w:spacing w:val="0"/>
                <w:sz w:val="21"/>
                <w:szCs w:val="21"/>
                <w:highlight w:val="none"/>
                <w:shd w:val="clear" w:fill="auto"/>
                <w:lang w:val="en-US" w:eastAsia="zh-CN"/>
              </w:rPr>
              <w:t>海行审投资</w:t>
            </w:r>
            <w:r>
              <w:rPr>
                <w:rFonts w:hint="eastAsia" w:ascii="Times New Roman" w:hAnsi="Times New Roman" w:eastAsia="宋体" w:cs="Times New Roman"/>
                <w:i w:val="0"/>
                <w:iCs w:val="0"/>
                <w:caps w:val="0"/>
                <w:color w:val="auto"/>
                <w:spacing w:val="0"/>
                <w:sz w:val="21"/>
                <w:szCs w:val="21"/>
                <w:highlight w:val="none"/>
                <w:shd w:val="clear" w:fill="auto"/>
              </w:rPr>
              <w:t>(2</w:t>
            </w:r>
            <w:r>
              <w:rPr>
                <w:rFonts w:hint="eastAsia" w:eastAsia="宋体" w:cs="Times New Roman"/>
                <w:i w:val="0"/>
                <w:iCs w:val="0"/>
                <w:caps w:val="0"/>
                <w:color w:val="auto"/>
                <w:spacing w:val="0"/>
                <w:sz w:val="21"/>
                <w:szCs w:val="21"/>
                <w:highlight w:val="none"/>
                <w:shd w:val="clear" w:fill="auto"/>
                <w:lang w:val="en-US" w:eastAsia="zh-CN"/>
              </w:rPr>
              <w:t>024</w:t>
            </w:r>
            <w:r>
              <w:rPr>
                <w:rFonts w:hint="eastAsia" w:ascii="Times New Roman" w:hAnsi="Times New Roman" w:eastAsia="宋体" w:cs="Times New Roman"/>
                <w:i w:val="0"/>
                <w:iCs w:val="0"/>
                <w:caps w:val="0"/>
                <w:color w:val="auto"/>
                <w:spacing w:val="0"/>
                <w:sz w:val="21"/>
                <w:szCs w:val="21"/>
                <w:highlight w:val="none"/>
                <w:shd w:val="clear" w:fill="auto"/>
              </w:rPr>
              <w:t>)</w:t>
            </w:r>
            <w:r>
              <w:rPr>
                <w:rFonts w:hint="eastAsia" w:eastAsia="宋体" w:cs="Times New Roman"/>
                <w:i w:val="0"/>
                <w:iCs w:val="0"/>
                <w:caps w:val="0"/>
                <w:color w:val="auto"/>
                <w:spacing w:val="0"/>
                <w:sz w:val="21"/>
                <w:szCs w:val="21"/>
                <w:highlight w:val="none"/>
                <w:shd w:val="clear" w:fill="auto"/>
                <w:lang w:val="en-US" w:eastAsia="zh-CN"/>
              </w:rPr>
              <w:t>103</w:t>
            </w:r>
            <w:r>
              <w:rPr>
                <w:rFonts w:hint="eastAsia" w:ascii="Times New Roman" w:hAnsi="Times New Roman" w:eastAsia="宋体" w:cs="Times New Roman"/>
                <w:i w:val="0"/>
                <w:iCs w:val="0"/>
                <w:caps w:val="0"/>
                <w:color w:val="auto"/>
                <w:spacing w:val="0"/>
                <w:sz w:val="21"/>
                <w:szCs w:val="21"/>
                <w:highlight w:val="none"/>
                <w:shd w:val="clear" w:fill="auto"/>
              </w:rPr>
              <w:t>号</w:t>
            </w:r>
          </w:p>
        </w:tc>
      </w:tr>
    </w:tbl>
    <w:p w14:paraId="2E19F8D8">
      <w:pPr>
        <w:pStyle w:val="5"/>
        <w:keepNext/>
        <w:keepLines/>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rPr>
      </w:pPr>
      <w:bookmarkStart w:id="48" w:name="_Toc510092931"/>
      <w:bookmarkStart w:id="49" w:name="_Toc496887104"/>
      <w:bookmarkStart w:id="50" w:name="_Toc16743"/>
      <w:bookmarkStart w:id="51" w:name="_Toc12964"/>
      <w:bookmarkStart w:id="52" w:name="_Toc16237"/>
      <w:r>
        <w:rPr>
          <w:rFonts w:hint="default" w:ascii="Times New Roman" w:hAnsi="Times New Roman" w:eastAsia="宋体" w:cs="Times New Roman"/>
        </w:rPr>
        <w:t>3.1.2自然环境</w:t>
      </w:r>
      <w:bookmarkEnd w:id="48"/>
      <w:bookmarkEnd w:id="49"/>
      <w:bookmarkEnd w:id="50"/>
      <w:bookmarkEnd w:id="51"/>
      <w:bookmarkEnd w:id="52"/>
    </w:p>
    <w:p w14:paraId="5D5C4C99">
      <w:pPr>
        <w:pStyle w:val="17"/>
        <w:keepNext w:val="0"/>
        <w:keepLines w:val="0"/>
        <w:pageBreakBefore w:val="0"/>
        <w:widowControl w:val="0"/>
        <w:kinsoku/>
        <w:wordWrap/>
        <w:overflowPunct/>
        <w:topLinePunct w:val="0"/>
        <w:autoSpaceDE/>
        <w:autoSpaceDN/>
        <w:bidi w:val="0"/>
        <w:spacing w:line="500" w:lineRule="exact"/>
        <w:ind w:firstLine="480" w:firstLineChars="200"/>
        <w:textAlignment w:val="auto"/>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企业位于海安市</w:t>
      </w:r>
      <w:r>
        <w:rPr>
          <w:rFonts w:hint="eastAsia" w:ascii="Times New Roman" w:hAnsi="Times New Roman" w:eastAsia="宋体" w:cs="Times New Roman"/>
          <w:color w:val="000000" w:themeColor="text1"/>
          <w:szCs w:val="24"/>
          <w:lang w:val="en-US" w:eastAsia="zh-CN"/>
          <w14:textFill>
            <w14:solidFill>
              <w14:schemeClr w14:val="tx1"/>
            </w14:solidFill>
          </w14:textFill>
        </w:rPr>
        <w:t>墩头镇</w:t>
      </w:r>
      <w:r>
        <w:rPr>
          <w:rFonts w:ascii="Times New Roman" w:hAnsi="Times New Roman" w:eastAsia="宋体" w:cs="Times New Roman"/>
          <w:color w:val="000000" w:themeColor="text1"/>
          <w:szCs w:val="24"/>
          <w14:textFill>
            <w14:solidFill>
              <w14:schemeClr w14:val="tx1"/>
            </w14:solidFill>
          </w14:textFill>
        </w:rPr>
        <w:t>，具体位置见附图。</w:t>
      </w:r>
    </w:p>
    <w:p w14:paraId="43E96277">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1）地理位置：海安市地处江苏省中南部，地处北纬</w:t>
      </w:r>
      <w:r>
        <w:rPr>
          <w:rFonts w:hint="default" w:ascii="Times New Roman" w:hAnsi="Times New Roman" w:eastAsia="宋体" w:cs="Times New Roman"/>
          <w:color w:val="000000" w:themeColor="text1"/>
          <w:szCs w:val="24"/>
          <w:lang w:val="en-US" w:eastAsia="zh-CN"/>
          <w14:textFill>
            <w14:solidFill>
              <w14:schemeClr w14:val="tx1"/>
            </w14:solidFill>
          </w14:textFill>
        </w:rPr>
        <w:t>32°32′～32°43′</w:t>
      </w:r>
      <w:r>
        <w:rPr>
          <w:rFonts w:hint="eastAsia" w:ascii="Times New Roman" w:hAnsi="Times New Roman" w:eastAsia="宋体" w:cs="Times New Roman"/>
          <w:color w:val="000000" w:themeColor="text1"/>
          <w:szCs w:val="24"/>
          <w:lang w:val="en-US" w:eastAsia="zh-CN"/>
          <w14:textFill>
            <w14:solidFill>
              <w14:schemeClr w14:val="tx1"/>
            </w14:solidFill>
          </w14:textFill>
        </w:rPr>
        <w:t>，东经</w:t>
      </w:r>
      <w:r>
        <w:rPr>
          <w:rFonts w:hint="default" w:ascii="Times New Roman" w:hAnsi="Times New Roman" w:eastAsia="宋体" w:cs="Times New Roman"/>
          <w:color w:val="000000" w:themeColor="text1"/>
          <w:szCs w:val="24"/>
          <w:lang w:val="en-US" w:eastAsia="zh-CN"/>
          <w14:textFill>
            <w14:solidFill>
              <w14:schemeClr w14:val="tx1"/>
            </w14:solidFill>
          </w14:textFill>
        </w:rPr>
        <w:t>120°12′～120°53′</w:t>
      </w:r>
      <w:r>
        <w:rPr>
          <w:rFonts w:ascii="Times New Roman" w:hAnsi="Times New Roman" w:eastAsia="宋体" w:cs="Times New Roman"/>
          <w:color w:val="000000" w:themeColor="text1"/>
          <w:szCs w:val="24"/>
          <w14:textFill>
            <w14:solidFill>
              <w14:schemeClr w14:val="tx1"/>
            </w14:solidFill>
          </w14:textFill>
        </w:rPr>
        <w:t>，坐落于长江三角洲东北翼，西接</w:t>
      </w:r>
      <w:r>
        <w:rPr>
          <w:rFonts w:hint="eastAsia" w:ascii="Times New Roman" w:hAnsi="Times New Roman" w:eastAsia="宋体" w:cs="Times New Roman"/>
          <w:color w:val="000000" w:themeColor="text1"/>
          <w:szCs w:val="24"/>
          <w:lang w:eastAsia="zh-CN"/>
          <w14:textFill>
            <w14:solidFill>
              <w14:schemeClr w14:val="tx1"/>
            </w14:solidFill>
          </w14:textFill>
        </w:rPr>
        <w:t>姜堰区</w:t>
      </w:r>
      <w:r>
        <w:rPr>
          <w:rFonts w:ascii="Times New Roman" w:hAnsi="Times New Roman" w:eastAsia="宋体" w:cs="Times New Roman"/>
          <w:color w:val="000000" w:themeColor="text1"/>
          <w:szCs w:val="24"/>
          <w14:textFill>
            <w14:solidFill>
              <w14:schemeClr w14:val="tx1"/>
            </w14:solidFill>
          </w14:textFill>
        </w:rPr>
        <w:t>，东临南黄海，北接东台市，南与泰兴市、如皋市、如东县毗连，地理位置优越。204国道、328国道和202省道贯穿全境，</w:t>
      </w:r>
      <w:r>
        <w:rPr>
          <w:rFonts w:hint="eastAsia" w:ascii="Times New Roman" w:hAnsi="Times New Roman" w:eastAsia="宋体" w:cs="Times New Roman"/>
          <w:color w:val="000000" w:themeColor="text1"/>
          <w:szCs w:val="24"/>
          <w:lang w:eastAsia="zh-CN"/>
          <w14:textFill>
            <w14:solidFill>
              <w14:schemeClr w14:val="tx1"/>
            </w14:solidFill>
          </w14:textFill>
        </w:rPr>
        <w:t>胡墩河</w:t>
      </w:r>
      <w:r>
        <w:rPr>
          <w:rFonts w:ascii="Times New Roman" w:hAnsi="Times New Roman" w:eastAsia="宋体" w:cs="Times New Roman"/>
          <w:color w:val="000000" w:themeColor="text1"/>
          <w:szCs w:val="24"/>
          <w14:textFill>
            <w14:solidFill>
              <w14:schemeClr w14:val="tx1"/>
            </w14:solidFill>
          </w14:textFill>
        </w:rPr>
        <w:t>和通榆运河畅流其间，新长铁路（江苏新沂至浙江长兴）和宁启铁路（南京至启东）在此交汇，建设中的通盐高速公路和规划中的扬州至海安高速公路在此连接。海安火车站集客运站、货运站、机务段、编组站为一体，是苏中地区最大的二级编组站。区内交通十分发达，是苏中东部地区重要的交通枢纽。</w:t>
      </w:r>
    </w:p>
    <w:p w14:paraId="0F6F4C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2）地形地貌</w:t>
      </w:r>
    </w:p>
    <w:p w14:paraId="38F5D0E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海安属长江三角洲海相、河相交互沉积的沙嘴沙洲冲积平原，地表全部由第四系松散岩类覆盖，属扬子地层区。海安市形如匙型，东西最长71.1公里，南北最宽39.95公里，境内地势平坦，地面高程1.6</w:t>
      </w:r>
      <w:r>
        <w:rPr>
          <w:rFonts w:hint="eastAsia" w:eastAsia="宋体"/>
          <w:kern w:val="0"/>
          <w:lang w:eastAsia="zh-CN"/>
        </w:rPr>
        <w:t>～</w:t>
      </w:r>
      <w:r>
        <w:rPr>
          <w:rFonts w:eastAsia="宋体"/>
          <w:kern w:val="0"/>
        </w:rPr>
        <w:t>6米，西北部圩田地带和东北沿海地带地势较低，中部和南部地势略高。地面高程自南向北由6.0米降至1.6米，全县由平原和圩洼构成，分别占总面积的78.3%和21.7%。</w:t>
      </w:r>
    </w:p>
    <w:p w14:paraId="63DE04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3）地质</w:t>
      </w:r>
    </w:p>
    <w:p w14:paraId="6C356B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本地区地震频度低，强度弱，地震烈度在6度以下，为浅源构造地震，震源深度多在10-20公里，基本发生在花岗岩层中，属弱震区。根据国家地震局、建设部“关于发布《中国地震烈度区划图（1990）》及《中国地震烈度区划图（1990）使用规定》的通知（震发办</w:t>
      </w:r>
      <w:r>
        <w:rPr>
          <w:rFonts w:hint="eastAsia" w:eastAsia="宋体"/>
          <w:kern w:val="0"/>
          <w:lang w:eastAsia="zh-CN"/>
        </w:rPr>
        <w:t>〔</w:t>
      </w:r>
      <w:r>
        <w:rPr>
          <w:rFonts w:eastAsia="宋体"/>
          <w:kern w:val="0"/>
        </w:rPr>
        <w:t>1992</w:t>
      </w:r>
      <w:r>
        <w:rPr>
          <w:rFonts w:hint="eastAsia" w:eastAsia="宋体"/>
          <w:kern w:val="0"/>
          <w:lang w:eastAsia="zh-CN"/>
        </w:rPr>
        <w:t>〕</w:t>
      </w:r>
      <w:r>
        <w:rPr>
          <w:rFonts w:eastAsia="宋体"/>
          <w:kern w:val="0"/>
        </w:rPr>
        <w:t>160号）”，确定海安市50年超过概率10%的烈度值为Ⅵ度。</w:t>
      </w:r>
    </w:p>
    <w:p w14:paraId="6CA3958C">
      <w:pPr>
        <w:pStyle w:val="13"/>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eastAsia="宋体"/>
          <w:kern w:val="0"/>
        </w:rPr>
      </w:pPr>
      <w:r>
        <w:rPr>
          <w:rFonts w:eastAsia="宋体"/>
          <w:kern w:val="0"/>
        </w:rPr>
        <w:t>4）土壤</w:t>
      </w:r>
    </w:p>
    <w:p w14:paraId="7F7E47DE">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项目所在地土壤为潮土类，灰潮土亚类的夹沙土属。属扬泰古沙咀，系江淮水流夹带泥沙，在海水顶托下沉积而成。河南沙性土成土年龄较长，质地偏沙，以轻壤为主，部分沙壤，有机质含量偏低，磷钾极缺。粗粉砂含量在50%</w:t>
      </w:r>
      <w:r>
        <w:rPr>
          <w:rFonts w:hint="eastAsia" w:ascii="Times New Roman" w:hAnsi="Times New Roman" w:eastAsia="宋体" w:cs="Times New Roman"/>
          <w:color w:val="000000" w:themeColor="text1"/>
          <w:szCs w:val="24"/>
          <w:lang w:eastAsia="zh-CN"/>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60%，粘粒含量占15%</w:t>
      </w:r>
      <w:r>
        <w:rPr>
          <w:rFonts w:hint="eastAsia" w:ascii="Times New Roman" w:hAnsi="Times New Roman" w:eastAsia="宋体" w:cs="Times New Roman"/>
          <w:color w:val="000000" w:themeColor="text1"/>
          <w:szCs w:val="24"/>
          <w:lang w:eastAsia="zh-CN"/>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20%，表层中有机质含量1.66%、全氮含量0.123%、全磷含量0.141%、全钾含量3.23%。</w:t>
      </w:r>
    </w:p>
    <w:p w14:paraId="54C7B5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5）气象</w:t>
      </w:r>
    </w:p>
    <w:p w14:paraId="0660B2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海安市位于北亚热带湿润季风气候区，四季分明。多年平均气温14.6℃。1月最冷，月平均1.5℃。7、8两月最热，平均气温27.2℃。年最高平均气温19.5℃，年最低平均气温10.6℃，年极端最低气温-12℃（1969），年极端最高气温39.4℃（1959）。年平均蒸发量为1360mm。无霜期一般为222.6天，年降水量平均1021.9mm，年雨日平均117天，年日照平均时数2176.4小时，年平均日照率为49％。</w:t>
      </w:r>
    </w:p>
    <w:p w14:paraId="60609A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常年主导风向为东南风，风频9％。4～8月主导风向为东南风，2～3月和9～10月主导风向为东北风，11月至翌年1月为北风和西北风，年平均风速2.9m/s，最大风速13.4m/s。</w:t>
      </w:r>
    </w:p>
    <w:p w14:paraId="1FE212B5">
      <w:pPr>
        <w:adjustRightInd w:val="0"/>
        <w:snapToGrid w:val="0"/>
        <w:spacing w:line="500" w:lineRule="exact"/>
        <w:ind w:firstLine="561"/>
        <w:jc w:val="center"/>
        <w:rPr>
          <w:rFonts w:hint="eastAsia" w:ascii="Times New Roman" w:hAnsi="Times New Roman" w:eastAsia="宋体" w:cs="Times New Roman"/>
          <w:b/>
          <w:bCs/>
          <w:lang w:eastAsia="zh-CN"/>
        </w:rPr>
      </w:pPr>
      <w:r>
        <w:rPr>
          <w:rFonts w:eastAsia="宋体"/>
          <w:kern w:val="0"/>
        </w:rPr>
        <w:t>海安全年风玫瑰图，见图3-1。</w:t>
      </w:r>
    </w:p>
    <w:p w14:paraId="0A37C3C2">
      <w:pPr>
        <w:adjustRightInd w:val="0"/>
        <w:snapToGrid w:val="0"/>
        <w:spacing w:line="500" w:lineRule="exact"/>
        <w:ind w:firstLine="561"/>
        <w:jc w:val="center"/>
        <w:rPr>
          <w:rFonts w:hint="default" w:ascii="Times New Roman" w:hAnsi="Times New Roman" w:eastAsia="宋体" w:cs="Times New Roman"/>
          <w:b/>
          <w:bCs/>
        </w:rPr>
      </w:pPr>
      <w:r>
        <w:rPr>
          <w:rFonts w:hint="eastAsia" w:ascii="宋体" w:hAnsi="宋体" w:eastAsia="宋体" w:cs="宋体"/>
          <w:b/>
          <w:bCs/>
          <w:color w:val="FF0000"/>
        </w:rPr>
        <w:drawing>
          <wp:anchor distT="0" distB="0" distL="114300" distR="114300" simplePos="0" relativeHeight="251666432" behindDoc="0" locked="0" layoutInCell="1" allowOverlap="1">
            <wp:simplePos x="0" y="0"/>
            <wp:positionH relativeFrom="column">
              <wp:posOffset>1586230</wp:posOffset>
            </wp:positionH>
            <wp:positionV relativeFrom="paragraph">
              <wp:posOffset>86360</wp:posOffset>
            </wp:positionV>
            <wp:extent cx="2828925" cy="3886200"/>
            <wp:effectExtent l="0" t="0" r="9525" b="0"/>
            <wp:wrapTopAndBottom/>
            <wp:docPr id="13" name="图片 4" descr="海安县年风向玫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海安县年风向玫瑰"/>
                    <pic:cNvPicPr>
                      <a:picLocks noChangeAspect="1"/>
                    </pic:cNvPicPr>
                  </pic:nvPicPr>
                  <pic:blipFill>
                    <a:blip r:embed="rId16" cstate="print"/>
                    <a:stretch>
                      <a:fillRect/>
                    </a:stretch>
                  </pic:blipFill>
                  <pic:spPr>
                    <a:xfrm>
                      <a:off x="0" y="0"/>
                      <a:ext cx="2828925" cy="3886200"/>
                    </a:xfrm>
                    <a:prstGeom prst="rect">
                      <a:avLst/>
                    </a:prstGeom>
                    <a:noFill/>
                    <a:ln>
                      <a:noFill/>
                    </a:ln>
                  </pic:spPr>
                </pic:pic>
              </a:graphicData>
            </a:graphic>
          </wp:anchor>
        </w:drawing>
      </w:r>
    </w:p>
    <w:p w14:paraId="748C384B">
      <w:pPr>
        <w:adjustRightInd w:val="0"/>
        <w:snapToGrid w:val="0"/>
        <w:spacing w:line="500" w:lineRule="exact"/>
        <w:ind w:firstLine="561"/>
        <w:jc w:val="center"/>
        <w:rPr>
          <w:rFonts w:hint="default" w:ascii="Times New Roman" w:hAnsi="Times New Roman" w:eastAsia="宋体" w:cs="Times New Roman"/>
          <w:b/>
          <w:bCs/>
        </w:rPr>
      </w:pPr>
      <w:r>
        <w:rPr>
          <w:rFonts w:hint="default" w:ascii="Times New Roman" w:hAnsi="Times New Roman" w:eastAsia="宋体" w:cs="Times New Roman"/>
          <w:b/>
          <w:bCs/>
        </w:rPr>
        <w:t>图3-1海安全年风玫瑰图</w:t>
      </w:r>
    </w:p>
    <w:p w14:paraId="719E9C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6）水文</w:t>
      </w:r>
    </w:p>
    <w:p w14:paraId="6C194C5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海安市西向来水来自姜黄河各支流及新北凌河等，南向来水来自长江引水。</w:t>
      </w:r>
    </w:p>
    <w:p w14:paraId="2DAA3A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海安市地处江淮平原、滨海平原和长江三角洲交汇之处。全县河道以通扬公路、通榆公路为界，划分为长江和淮河两大水系。因县境地势平坦，高差甚小，河道之间又相互贯通，两大水系之间并无截然分界，现为了保护江水北调输水通道通榆河和新北凌河，由涵闸控制，使新、老北凌河分开，域内河道正常流向均为自南向北，自西向东。</w:t>
      </w:r>
    </w:p>
    <w:p w14:paraId="40A0CEC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A</w:t>
      </w:r>
      <w:r>
        <w:rPr>
          <w:rFonts w:eastAsia="宋体"/>
        </w:rPr>
        <w:t>）长江水系</w:t>
      </w:r>
    </w:p>
    <w:p w14:paraId="744B64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通扬公路以南、通榆公路以东属长江水系，总面积703.8km</w:t>
      </w:r>
      <w:r>
        <w:rPr>
          <w:rFonts w:eastAsia="宋体"/>
          <w:vertAlign w:val="superscript"/>
        </w:rPr>
        <w:t>2</w:t>
      </w:r>
      <w:r>
        <w:rPr>
          <w:rFonts w:eastAsia="宋体"/>
        </w:rPr>
        <w:t>，平均水位2.01m，最高水位4.49m，最低水位0.08m。主要河流有北凌河、栟茶运河、如海河、焦港河、丁堡河等。焦港河、如海运河、丁堡河为引水骨干河道，南引长江水；栟茶运河、为排水骨干河道，东流至小洋口闸入海。栟茶运河贯通河南、河东两地区，横穿焦港</w:t>
      </w:r>
      <w:r>
        <w:rPr>
          <w:rFonts w:hint="eastAsia" w:eastAsia="宋体"/>
          <w:lang w:eastAsia="zh-CN"/>
        </w:rPr>
        <w:t>、</w:t>
      </w:r>
      <w:r>
        <w:rPr>
          <w:rFonts w:eastAsia="宋体"/>
        </w:rPr>
        <w:t>海运河、北凌河、丁堡河等河道，兼起着调度引江水源的作用。</w:t>
      </w:r>
    </w:p>
    <w:p w14:paraId="443415E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栟茶运河由泰州市塔子里入境，由西往东，途径海安市雅周、营溪、仁桥、城东、</w:t>
      </w:r>
      <w:r>
        <w:rPr>
          <w:rFonts w:hint="eastAsia" w:eastAsia="宋体"/>
          <w:lang w:eastAsia="zh-CN"/>
        </w:rPr>
        <w:t>胡墩河</w:t>
      </w:r>
      <w:r>
        <w:rPr>
          <w:rFonts w:eastAsia="宋体"/>
        </w:rPr>
        <w:t>、西场、李堡镇、角斜镇等8个乡镇。出境经如东小洋口入海。是海安市高沙土片和河东盐碱片东区的主要干河，境内总长度53.64公里，沿河两岸有不少工业废水及</w:t>
      </w:r>
      <w:r>
        <w:rPr>
          <w:rFonts w:hint="eastAsia" w:eastAsia="宋体"/>
          <w:lang w:eastAsia="zh-CN"/>
        </w:rPr>
        <w:t>生活污水</w:t>
      </w:r>
      <w:r>
        <w:rPr>
          <w:rFonts w:eastAsia="宋体"/>
        </w:rPr>
        <w:t>排入，污染较重的</w:t>
      </w:r>
      <w:r>
        <w:rPr>
          <w:rFonts w:hint="eastAsia" w:eastAsia="宋体"/>
          <w:lang w:eastAsia="zh-CN"/>
        </w:rPr>
        <w:t>胡墩河</w:t>
      </w:r>
      <w:r>
        <w:rPr>
          <w:rFonts w:eastAsia="宋体"/>
        </w:rPr>
        <w:t>在</w:t>
      </w:r>
      <w:r>
        <w:rPr>
          <w:rFonts w:hint="eastAsia" w:eastAsia="宋体"/>
          <w:lang w:eastAsia="zh-CN"/>
        </w:rPr>
        <w:t>墩头镇</w:t>
      </w:r>
      <w:r>
        <w:rPr>
          <w:rFonts w:eastAsia="宋体"/>
        </w:rPr>
        <w:t>出境时，与拼茶运河交汇，也对其水质产生一定影响。</w:t>
      </w:r>
    </w:p>
    <w:p w14:paraId="137F44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rPr>
        <w:t>栟茶运河海安段河床比降小，水流缓慢，流向基本上是由西往东，但因受小洋口闸坝控制，常会出现滞流或倒流的现象。</w:t>
      </w:r>
      <w:r>
        <w:rPr>
          <w:rFonts w:eastAsia="宋体"/>
          <w:kern w:val="0"/>
        </w:rPr>
        <w:t>栟茶运河主要功能为工业和农业用水。</w:t>
      </w:r>
    </w:p>
    <w:p w14:paraId="19CAC7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如海运河和焦港河均为南北向的河流，也是连接长江、淮河两大水系的南北枢纽，分别由如皋市柴湾和夏堡入境，县内长度为13km和22km，两条河流均从长江引水，向北输送，是栟茶运河、</w:t>
      </w:r>
      <w:r>
        <w:rPr>
          <w:rFonts w:hint="eastAsia" w:eastAsia="宋体"/>
          <w:kern w:val="0"/>
          <w:lang w:eastAsia="zh-CN"/>
        </w:rPr>
        <w:t>胡墩河</w:t>
      </w:r>
      <w:r>
        <w:rPr>
          <w:rFonts w:eastAsia="宋体"/>
          <w:kern w:val="0"/>
        </w:rPr>
        <w:t>的补水河，水流方向基本由南向北，沿河工业污染源较少。如海运河、焦港河主要功能为工业和农业用水。</w:t>
      </w:r>
    </w:p>
    <w:p w14:paraId="14EB23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B</w:t>
      </w:r>
      <w:r>
        <w:rPr>
          <w:rFonts w:eastAsia="宋体"/>
        </w:rPr>
        <w:t>）淮河水系</w:t>
      </w:r>
    </w:p>
    <w:p w14:paraId="36F17D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通扬公路以北、通榆公路以西为里下河地区，属淮河水系，总面积422.4km</w:t>
      </w:r>
      <w:r>
        <w:rPr>
          <w:rFonts w:eastAsia="宋体"/>
          <w:vertAlign w:val="superscript"/>
        </w:rPr>
        <w:t>2</w:t>
      </w:r>
      <w:r>
        <w:rPr>
          <w:rFonts w:eastAsia="宋体"/>
        </w:rPr>
        <w:t>，平均水位1.34m，最高水位3.57m，最低水位0.32m。主要河流有新北凌河、通榆运河、串场河等。新北凌河为</w:t>
      </w:r>
      <w:r>
        <w:rPr>
          <w:rFonts w:hint="eastAsia" w:eastAsia="宋体"/>
          <w:lang w:eastAsia="zh-CN"/>
        </w:rPr>
        <w:t>南水北调</w:t>
      </w:r>
      <w:r>
        <w:rPr>
          <w:rFonts w:eastAsia="宋体"/>
        </w:rPr>
        <w:t>引水骨干河道，通榆运河、串场河为输水骨干河道。</w:t>
      </w:r>
    </w:p>
    <w:p w14:paraId="2D661063">
      <w:pPr>
        <w:pStyle w:val="4"/>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eastAsia="宋体"/>
        </w:rPr>
      </w:pPr>
      <w:r>
        <w:rPr>
          <w:rFonts w:eastAsia="宋体"/>
        </w:rPr>
        <w:t>新</w:t>
      </w:r>
      <w:r>
        <w:rPr>
          <w:rFonts w:hint="eastAsia" w:eastAsia="宋体"/>
          <w:lang w:eastAsia="zh-CN"/>
        </w:rPr>
        <w:t>胡墩河</w:t>
      </w:r>
      <w:r>
        <w:rPr>
          <w:rFonts w:eastAsia="宋体"/>
        </w:rPr>
        <w:t>——通榆运河，新</w:t>
      </w:r>
      <w:r>
        <w:rPr>
          <w:rFonts w:hint="eastAsia" w:eastAsia="宋体"/>
          <w:lang w:eastAsia="zh-CN"/>
        </w:rPr>
        <w:t>胡墩河</w:t>
      </w:r>
      <w:r>
        <w:rPr>
          <w:rFonts w:eastAsia="宋体"/>
        </w:rPr>
        <w:t>从泰州市经海安市章郭乡入境，途经双搂、胡集至海安镇，与通榆运河相接，境内全长20.7公里，水流常年流向由西往东；通榆运河由海安镇向北入盐城市，境内全长7.8公里，水流常年流向由南往北，新</w:t>
      </w:r>
      <w:r>
        <w:rPr>
          <w:rFonts w:hint="eastAsia" w:eastAsia="宋体"/>
          <w:lang w:eastAsia="zh-CN"/>
        </w:rPr>
        <w:t>胡墩河</w:t>
      </w:r>
      <w:r>
        <w:rPr>
          <w:rFonts w:eastAsia="宋体"/>
        </w:rPr>
        <w:t>——通榆运河是海安境内主要水路交通通道，同时也是海安境内工业、农业、城镇饮用水源。</w:t>
      </w:r>
    </w:p>
    <w:p w14:paraId="036076BA">
      <w:pPr>
        <w:pStyle w:val="4"/>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eastAsia="宋体"/>
        </w:rPr>
      </w:pPr>
      <w:r>
        <w:rPr>
          <w:rFonts w:hint="eastAsia" w:eastAsia="宋体"/>
          <w:lang w:eastAsia="zh-CN"/>
        </w:rPr>
        <w:t>（</w:t>
      </w:r>
      <w:r>
        <w:rPr>
          <w:rFonts w:hint="eastAsia" w:eastAsia="宋体"/>
          <w:lang w:val="en-US" w:eastAsia="zh-CN"/>
        </w:rPr>
        <w:t>C</w:t>
      </w:r>
      <w:r>
        <w:rPr>
          <w:rFonts w:hint="eastAsia" w:eastAsia="宋体"/>
          <w:lang w:eastAsia="zh-CN"/>
        </w:rPr>
        <w:t>）</w:t>
      </w:r>
      <w:r>
        <w:rPr>
          <w:rFonts w:eastAsia="宋体"/>
        </w:rPr>
        <w:t>水源保护区</w:t>
      </w:r>
    </w:p>
    <w:p w14:paraId="679F2817">
      <w:pPr>
        <w:pStyle w:val="4"/>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eastAsia="宋体"/>
        </w:rPr>
      </w:pPr>
      <w:r>
        <w:rPr>
          <w:rFonts w:eastAsia="宋体"/>
        </w:rPr>
        <w:t>海安市在地面水厂位于胡集镇内，新通扬河南岸。根据《江苏省人民代表大会常务委员会关于加强饮用水源地保护的决定》第九条（二）其他河道：取水口上游一千米至下游五百米，及其两岸背水坡堤脚外一百米范围内的水域和陆域为一级保护区；一级保护区以外上溯二千米、下延五百米范围内的水域和陆域为二级保护区；二级保护区以外上溯二千米、下延一千米范围内的水域和陆域为准保护区。</w:t>
      </w:r>
    </w:p>
    <w:p w14:paraId="0FB22D08">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textAlignment w:val="auto"/>
        <w:rPr>
          <w:rFonts w:eastAsia="宋体"/>
          <w:b w:val="0"/>
          <w:bCs w:val="0"/>
          <w:color w:val="000000" w:themeColor="text1"/>
          <w14:textFill>
            <w14:solidFill>
              <w14:schemeClr w14:val="tx1"/>
            </w14:solidFill>
          </w14:textFill>
        </w:rPr>
      </w:pPr>
      <w:r>
        <w:rPr>
          <w:rFonts w:eastAsia="宋体"/>
          <w:b w:val="0"/>
          <w:bCs w:val="0"/>
          <w:color w:val="000000" w:themeColor="text1"/>
          <w14:textFill>
            <w14:solidFill>
              <w14:schemeClr w14:val="tx1"/>
            </w14:solidFill>
          </w14:textFill>
        </w:rPr>
        <w:t>7）生态环境</w:t>
      </w:r>
    </w:p>
    <w:p w14:paraId="3981650D">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Ansi="宋体" w:eastAsia="宋体" w:cs="宋体"/>
          <w:b/>
          <w:bCs/>
          <w:color w:val="000000" w:themeColor="text1"/>
          <w:sz w:val="28"/>
          <w:szCs w:val="28"/>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由于人类多年的开发活动，该区域的自然生态已为人工农业生态所取代，本地天然植被较少，除住宅、工业和道路用地外，主要是农业用地，种植稻、麦、油菜和蔬菜等。此外还有人工种植的水杉、杨树、柳树、广玉兰、女贞、银杏等木本植物和芦苇、芦竹、茅草、葎草、牛筋草、狗尾草、蒲公英等草本植物；野生动物有蛙、鸟、蛇、野兔、黄鼠狼等。</w:t>
      </w:r>
    </w:p>
    <w:p w14:paraId="73631D44">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rPr>
      </w:pPr>
      <w:bookmarkStart w:id="53" w:name="_Toc23991"/>
      <w:bookmarkStart w:id="54" w:name="_Toc20763"/>
      <w:bookmarkStart w:id="55" w:name="_Toc510092932"/>
      <w:bookmarkStart w:id="56" w:name="_Toc496887105"/>
      <w:bookmarkStart w:id="57" w:name="_Toc24036"/>
      <w:r>
        <w:rPr>
          <w:rFonts w:hint="default" w:ascii="Times New Roman" w:hAnsi="Times New Roman" w:eastAsia="宋体" w:cs="Times New Roman"/>
        </w:rPr>
        <w:t>3.1.3环境功能区划及环境质量</w:t>
      </w:r>
      <w:bookmarkEnd w:id="53"/>
      <w:bookmarkEnd w:id="54"/>
      <w:bookmarkEnd w:id="55"/>
      <w:bookmarkEnd w:id="56"/>
      <w:bookmarkEnd w:id="57"/>
    </w:p>
    <w:p w14:paraId="18AE8C45">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rPr>
      </w:pPr>
      <w:r>
        <w:rPr>
          <w:rFonts w:hint="eastAsia" w:ascii="宋体" w:hAnsi="宋体" w:eastAsia="宋体" w:cs="宋体"/>
        </w:rPr>
        <w:t>环境质量标准</w:t>
      </w:r>
    </w:p>
    <w:p w14:paraId="0111BE47">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szCs w:val="24"/>
        </w:rPr>
      </w:pP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begin"/>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separate"/>
      </w:r>
      <w:r>
        <w:rPr>
          <w:rStyle w:val="39"/>
          <w:rFonts w:hint="eastAsia" w:ascii="Times New Roman" w:hAnsi="Times New Roman" w:eastAsia="宋体" w:cs="Times New Roman"/>
          <w:i w:val="0"/>
          <w:iCs w:val="0"/>
          <w:caps w:val="0"/>
          <w:color w:val="000000" w:themeColor="text1"/>
          <w:spacing w:val="0"/>
          <w:sz w:val="24"/>
          <w:szCs w:val="24"/>
          <w:u w:val="none"/>
          <w:lang w:eastAsia="zh-CN"/>
          <w14:textFill>
            <w14:solidFill>
              <w14:schemeClr w14:val="tx1"/>
            </w14:solidFill>
          </w14:textFill>
        </w:rPr>
        <w:t>孟泉环保新能源</w:t>
      </w:r>
      <w:r>
        <w:rPr>
          <w:rFonts w:hint="default"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end"/>
      </w:r>
      <w:r>
        <w:rPr>
          <w:rFonts w:ascii="Times New Roman" w:hAnsi="Times New Roman" w:eastAsia="宋体" w:cs="Times New Roman"/>
          <w:szCs w:val="24"/>
        </w:rPr>
        <w:t>所在地区域大气、地表水、土壤环境</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声环境</w:t>
      </w:r>
      <w:r>
        <w:rPr>
          <w:rFonts w:ascii="Times New Roman" w:hAnsi="Times New Roman" w:eastAsia="宋体" w:cs="Times New Roman"/>
          <w:szCs w:val="24"/>
        </w:rPr>
        <w:t>功能类别划分见表3</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w:t>
      </w:r>
    </w:p>
    <w:p w14:paraId="49AEE890">
      <w:pPr>
        <w:snapToGrid w:val="0"/>
        <w:spacing w:line="500" w:lineRule="exact"/>
        <w:jc w:val="center"/>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lang w:val="en-US" w:eastAsia="zh-CN"/>
          <w14:textFill>
            <w14:solidFill>
              <w14:schemeClr w14:val="tx1"/>
            </w14:solidFill>
          </w14:textFill>
        </w:rPr>
        <w:t>-3</w:t>
      </w:r>
      <w:r>
        <w:rPr>
          <w:rFonts w:hint="eastAsia" w:eastAsia="宋体"/>
          <w:b/>
          <w:color w:val="000000" w:themeColor="text1"/>
          <w:lang w:eastAsia="zh-CN"/>
          <w14:textFill>
            <w14:solidFill>
              <w14:schemeClr w14:val="tx1"/>
            </w14:solidFill>
          </w14:textFill>
        </w:rPr>
        <w:t>孟泉环保新能源</w:t>
      </w:r>
      <w:r>
        <w:rPr>
          <w:rFonts w:eastAsia="宋体"/>
          <w:b/>
          <w:color w:val="000000" w:themeColor="text1"/>
          <w14:textFill>
            <w14:solidFill>
              <w14:schemeClr w14:val="tx1"/>
            </w14:solidFill>
          </w14:textFill>
        </w:rPr>
        <w:t>所在地环境功能区划</w:t>
      </w:r>
    </w:p>
    <w:tbl>
      <w:tblPr>
        <w:tblStyle w:val="37"/>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59"/>
        <w:gridCol w:w="2770"/>
        <w:gridCol w:w="4930"/>
      </w:tblGrid>
      <w:tr w14:paraId="64315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6D56608D">
            <w:pPr>
              <w:adjustRightInd w:val="0"/>
              <w:snapToGrid w:val="0"/>
              <w:jc w:val="center"/>
              <w:rPr>
                <w:rFonts w:eastAsia="宋体"/>
                <w:b/>
                <w:sz w:val="21"/>
                <w:szCs w:val="21"/>
              </w:rPr>
            </w:pPr>
            <w:r>
              <w:rPr>
                <w:rFonts w:eastAsia="宋体"/>
                <w:b/>
                <w:sz w:val="21"/>
                <w:szCs w:val="21"/>
              </w:rPr>
              <w:t>环境要素</w:t>
            </w:r>
          </w:p>
        </w:tc>
        <w:tc>
          <w:tcPr>
            <w:tcW w:w="2770" w:type="dxa"/>
            <w:tcBorders>
              <w:tl2br w:val="nil"/>
              <w:tr2bl w:val="nil"/>
            </w:tcBorders>
            <w:vAlign w:val="center"/>
          </w:tcPr>
          <w:p w14:paraId="7FB5FF8B">
            <w:pPr>
              <w:adjustRightInd w:val="0"/>
              <w:snapToGrid w:val="0"/>
              <w:jc w:val="center"/>
              <w:rPr>
                <w:rFonts w:hint="eastAsia" w:eastAsia="宋体"/>
                <w:b/>
                <w:sz w:val="21"/>
                <w:szCs w:val="21"/>
                <w:lang w:val="en-US" w:eastAsia="zh-CN"/>
              </w:rPr>
            </w:pPr>
            <w:r>
              <w:rPr>
                <w:rFonts w:hint="eastAsia" w:eastAsia="宋体"/>
                <w:b/>
                <w:sz w:val="21"/>
                <w:szCs w:val="21"/>
                <w:lang w:val="en-US" w:eastAsia="zh-CN"/>
              </w:rPr>
              <w:t>功能区划</w:t>
            </w:r>
          </w:p>
        </w:tc>
        <w:tc>
          <w:tcPr>
            <w:tcW w:w="4930" w:type="dxa"/>
            <w:tcBorders>
              <w:tl2br w:val="nil"/>
              <w:tr2bl w:val="nil"/>
            </w:tcBorders>
            <w:vAlign w:val="center"/>
          </w:tcPr>
          <w:p w14:paraId="67199EA5">
            <w:pPr>
              <w:adjustRightInd w:val="0"/>
              <w:snapToGrid w:val="0"/>
              <w:jc w:val="center"/>
              <w:rPr>
                <w:rFonts w:eastAsia="宋体"/>
                <w:b/>
                <w:sz w:val="21"/>
                <w:szCs w:val="21"/>
              </w:rPr>
            </w:pPr>
            <w:r>
              <w:rPr>
                <w:rFonts w:eastAsia="宋体"/>
                <w:b/>
                <w:sz w:val="21"/>
                <w:szCs w:val="21"/>
              </w:rPr>
              <w:t>环境功能要求</w:t>
            </w:r>
          </w:p>
        </w:tc>
      </w:tr>
      <w:tr w14:paraId="1F54F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012552B4">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环境空气</w:t>
            </w:r>
          </w:p>
        </w:tc>
        <w:tc>
          <w:tcPr>
            <w:tcW w:w="2770" w:type="dxa"/>
            <w:tcBorders>
              <w:tl2br w:val="nil"/>
              <w:tr2bl w:val="nil"/>
            </w:tcBorders>
            <w:vAlign w:val="center"/>
          </w:tcPr>
          <w:p w14:paraId="346127ED">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工业区、居住、工商文教、农村地区</w:t>
            </w:r>
          </w:p>
        </w:tc>
        <w:tc>
          <w:tcPr>
            <w:tcW w:w="4930" w:type="dxa"/>
            <w:tcBorders>
              <w:tl2br w:val="nil"/>
              <w:tr2bl w:val="nil"/>
            </w:tcBorders>
            <w:vAlign w:val="center"/>
          </w:tcPr>
          <w:p w14:paraId="3D0CB6D1">
            <w:pPr>
              <w:adjustRightInd w:val="0"/>
              <w:snapToGrid w:val="0"/>
              <w:jc w:val="left"/>
              <w:rPr>
                <w:rFonts w:eastAsia="宋体"/>
                <w:sz w:val="21"/>
                <w:szCs w:val="21"/>
              </w:rPr>
            </w:pPr>
            <w:r>
              <w:rPr>
                <w:rFonts w:eastAsia="宋体"/>
                <w:sz w:val="21"/>
                <w:szCs w:val="21"/>
              </w:rPr>
              <w:t>《环境空气质量标准》（GB3095-2012）中二级标准</w:t>
            </w:r>
          </w:p>
        </w:tc>
      </w:tr>
      <w:tr w14:paraId="4AB45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restart"/>
            <w:tcBorders>
              <w:tl2br w:val="nil"/>
              <w:tr2bl w:val="nil"/>
            </w:tcBorders>
            <w:vAlign w:val="center"/>
          </w:tcPr>
          <w:p w14:paraId="2CCEAF9E">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地表水</w:t>
            </w:r>
          </w:p>
        </w:tc>
        <w:tc>
          <w:tcPr>
            <w:tcW w:w="2770" w:type="dxa"/>
            <w:tcBorders>
              <w:tl2br w:val="nil"/>
              <w:tr2bl w:val="nil"/>
            </w:tcBorders>
            <w:vAlign w:val="center"/>
          </w:tcPr>
          <w:p w14:paraId="4075681A">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瓦南河</w:t>
            </w:r>
          </w:p>
        </w:tc>
        <w:tc>
          <w:tcPr>
            <w:tcW w:w="4930" w:type="dxa"/>
            <w:vMerge w:val="restart"/>
            <w:tcBorders>
              <w:tl2br w:val="nil"/>
              <w:tr2bl w:val="nil"/>
            </w:tcBorders>
            <w:vAlign w:val="center"/>
          </w:tcPr>
          <w:p w14:paraId="5C205B46">
            <w:pPr>
              <w:adjustRightInd w:val="0"/>
              <w:snapToGrid w:val="0"/>
              <w:jc w:val="left"/>
              <w:rPr>
                <w:rFonts w:eastAsia="宋体"/>
                <w:sz w:val="21"/>
                <w:szCs w:val="21"/>
              </w:rPr>
            </w:pPr>
            <w:r>
              <w:rPr>
                <w:rFonts w:eastAsia="宋体"/>
                <w:sz w:val="21"/>
                <w:szCs w:val="21"/>
              </w:rPr>
              <w:t>《地表水环境质量标准》（GB3838-2002）</w:t>
            </w:r>
            <w:r>
              <w:rPr>
                <w:rFonts w:hint="default" w:eastAsia="宋体"/>
                <w:sz w:val="21"/>
                <w:szCs w:val="21"/>
                <w:lang w:val="en-US"/>
              </w:rPr>
              <w:t>Ⅲ</w:t>
            </w:r>
            <w:r>
              <w:rPr>
                <w:rFonts w:eastAsia="宋体"/>
                <w:sz w:val="21"/>
                <w:szCs w:val="21"/>
              </w:rPr>
              <w:t>类标准</w:t>
            </w:r>
          </w:p>
        </w:tc>
      </w:tr>
      <w:tr w14:paraId="079BE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6052E3AC">
            <w:pPr>
              <w:pStyle w:val="140"/>
              <w:spacing w:line="240" w:lineRule="auto"/>
              <w:ind w:left="0" w:leftChars="0" w:right="0" w:rightChars="0"/>
              <w:jc w:val="center"/>
            </w:pPr>
          </w:p>
        </w:tc>
        <w:tc>
          <w:tcPr>
            <w:tcW w:w="2770" w:type="dxa"/>
            <w:tcBorders>
              <w:tl2br w:val="nil"/>
              <w:tr2bl w:val="nil"/>
            </w:tcBorders>
            <w:vAlign w:val="center"/>
          </w:tcPr>
          <w:p w14:paraId="5B87B4D1">
            <w:pPr>
              <w:pStyle w:val="140"/>
              <w:spacing w:line="240" w:lineRule="auto"/>
              <w:ind w:left="0" w:leftChars="0" w:right="0" w:rightChars="0"/>
              <w:jc w:val="center"/>
              <w:rPr>
                <w:rFonts w:hint="default" w:eastAsia="宋体"/>
                <w:sz w:val="21"/>
                <w:lang w:val="en-US" w:eastAsia="zh-CN"/>
              </w:rPr>
            </w:pPr>
            <w:r>
              <w:rPr>
                <w:rFonts w:hint="eastAsia"/>
                <w:sz w:val="21"/>
                <w:lang w:val="en-US" w:eastAsia="zh-CN"/>
              </w:rPr>
              <w:t>七里长河</w:t>
            </w:r>
          </w:p>
        </w:tc>
        <w:tc>
          <w:tcPr>
            <w:tcW w:w="4930" w:type="dxa"/>
            <w:vMerge w:val="continue"/>
            <w:tcBorders>
              <w:tl2br w:val="nil"/>
              <w:tr2bl w:val="nil"/>
            </w:tcBorders>
            <w:vAlign w:val="center"/>
          </w:tcPr>
          <w:p w14:paraId="26868ED7">
            <w:pPr>
              <w:pStyle w:val="140"/>
              <w:spacing w:line="240" w:lineRule="auto"/>
              <w:ind w:left="0" w:leftChars="0" w:right="0" w:rightChars="0"/>
              <w:jc w:val="center"/>
              <w:rPr>
                <w:sz w:val="21"/>
              </w:rPr>
            </w:pPr>
          </w:p>
        </w:tc>
      </w:tr>
      <w:tr w14:paraId="6178C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63EE2089">
            <w:pPr>
              <w:pStyle w:val="140"/>
              <w:spacing w:line="240" w:lineRule="auto"/>
              <w:ind w:left="0" w:leftChars="0" w:right="0" w:rightChars="0"/>
              <w:jc w:val="center"/>
              <w:rPr>
                <w:sz w:val="21"/>
              </w:rPr>
            </w:pPr>
          </w:p>
        </w:tc>
        <w:tc>
          <w:tcPr>
            <w:tcW w:w="2770" w:type="dxa"/>
            <w:tcBorders>
              <w:tl2br w:val="nil"/>
              <w:tr2bl w:val="nil"/>
            </w:tcBorders>
            <w:vAlign w:val="center"/>
          </w:tcPr>
          <w:p w14:paraId="1305BA25">
            <w:pPr>
              <w:pStyle w:val="140"/>
              <w:spacing w:line="240" w:lineRule="auto"/>
              <w:ind w:left="0" w:leftChars="0" w:right="0" w:rightChars="0"/>
              <w:jc w:val="center"/>
              <w:rPr>
                <w:rFonts w:hint="default" w:eastAsia="宋体"/>
                <w:sz w:val="21"/>
                <w:lang w:val="en-US" w:eastAsia="zh-CN"/>
              </w:rPr>
            </w:pPr>
            <w:r>
              <w:rPr>
                <w:rFonts w:hint="eastAsia"/>
                <w:sz w:val="21"/>
                <w:lang w:val="en-US" w:eastAsia="zh-CN"/>
              </w:rPr>
              <w:t>倒塘</w:t>
            </w:r>
          </w:p>
        </w:tc>
        <w:tc>
          <w:tcPr>
            <w:tcW w:w="4930" w:type="dxa"/>
            <w:vMerge w:val="continue"/>
            <w:tcBorders>
              <w:tl2br w:val="nil"/>
              <w:tr2bl w:val="nil"/>
            </w:tcBorders>
            <w:vAlign w:val="center"/>
          </w:tcPr>
          <w:p w14:paraId="6D1159A9">
            <w:pPr>
              <w:pStyle w:val="140"/>
              <w:spacing w:line="240" w:lineRule="auto"/>
              <w:ind w:left="0" w:leftChars="0" w:right="0" w:rightChars="0"/>
              <w:jc w:val="center"/>
              <w:rPr>
                <w:sz w:val="21"/>
              </w:rPr>
            </w:pPr>
          </w:p>
        </w:tc>
      </w:tr>
      <w:tr w14:paraId="2CD6A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481FD208">
            <w:pPr>
              <w:pStyle w:val="140"/>
              <w:spacing w:line="240" w:lineRule="auto"/>
              <w:ind w:left="0" w:leftChars="0" w:right="0" w:rightChars="0"/>
              <w:jc w:val="center"/>
              <w:rPr>
                <w:sz w:val="21"/>
              </w:rPr>
            </w:pPr>
          </w:p>
        </w:tc>
        <w:tc>
          <w:tcPr>
            <w:tcW w:w="2770" w:type="dxa"/>
            <w:tcBorders>
              <w:tl2br w:val="nil"/>
              <w:tr2bl w:val="nil"/>
            </w:tcBorders>
            <w:vAlign w:val="center"/>
          </w:tcPr>
          <w:p w14:paraId="782A532F">
            <w:pPr>
              <w:pStyle w:val="140"/>
              <w:spacing w:line="240" w:lineRule="auto"/>
              <w:ind w:left="0" w:leftChars="0" w:right="0" w:rightChars="0"/>
              <w:jc w:val="center"/>
              <w:rPr>
                <w:rFonts w:hint="default" w:eastAsia="宋体"/>
                <w:sz w:val="21"/>
                <w:lang w:val="en-US" w:eastAsia="zh-CN"/>
              </w:rPr>
            </w:pPr>
            <w:r>
              <w:rPr>
                <w:rFonts w:hint="eastAsia"/>
                <w:sz w:val="21"/>
                <w:lang w:val="en-US" w:eastAsia="zh-CN"/>
              </w:rPr>
              <w:t>七里横</w:t>
            </w:r>
          </w:p>
        </w:tc>
        <w:tc>
          <w:tcPr>
            <w:tcW w:w="4930" w:type="dxa"/>
            <w:vMerge w:val="continue"/>
            <w:tcBorders>
              <w:tl2br w:val="nil"/>
              <w:tr2bl w:val="nil"/>
            </w:tcBorders>
            <w:vAlign w:val="center"/>
          </w:tcPr>
          <w:p w14:paraId="71DE1B45">
            <w:pPr>
              <w:pStyle w:val="140"/>
              <w:spacing w:line="240" w:lineRule="auto"/>
              <w:ind w:left="0" w:leftChars="0" w:right="0" w:rightChars="0"/>
              <w:jc w:val="center"/>
              <w:rPr>
                <w:sz w:val="21"/>
              </w:rPr>
            </w:pPr>
          </w:p>
        </w:tc>
      </w:tr>
      <w:tr w14:paraId="11FAC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3914E183">
            <w:pPr>
              <w:pStyle w:val="140"/>
              <w:spacing w:line="240" w:lineRule="auto"/>
              <w:ind w:left="0" w:leftChars="0" w:right="0" w:rightChars="0"/>
              <w:jc w:val="center"/>
              <w:rPr>
                <w:sz w:val="21"/>
              </w:rPr>
            </w:pPr>
          </w:p>
        </w:tc>
        <w:tc>
          <w:tcPr>
            <w:tcW w:w="2770" w:type="dxa"/>
            <w:tcBorders>
              <w:tl2br w:val="nil"/>
              <w:tr2bl w:val="nil"/>
            </w:tcBorders>
            <w:vAlign w:val="center"/>
          </w:tcPr>
          <w:p w14:paraId="71C652C8">
            <w:pPr>
              <w:pStyle w:val="140"/>
              <w:spacing w:line="240" w:lineRule="auto"/>
              <w:ind w:left="0" w:leftChars="0" w:right="0" w:rightChars="0"/>
              <w:jc w:val="center"/>
              <w:rPr>
                <w:rFonts w:hint="default" w:eastAsia="宋体"/>
                <w:sz w:val="21"/>
                <w:lang w:val="en-US" w:eastAsia="zh-CN"/>
              </w:rPr>
            </w:pPr>
            <w:r>
              <w:rPr>
                <w:rFonts w:hint="eastAsia"/>
                <w:sz w:val="21"/>
                <w:lang w:val="en-US" w:eastAsia="zh-CN"/>
              </w:rPr>
              <w:t>新通扬运河</w:t>
            </w:r>
          </w:p>
        </w:tc>
        <w:tc>
          <w:tcPr>
            <w:tcW w:w="4930" w:type="dxa"/>
            <w:vMerge w:val="continue"/>
            <w:tcBorders>
              <w:tl2br w:val="nil"/>
              <w:tr2bl w:val="nil"/>
            </w:tcBorders>
            <w:vAlign w:val="center"/>
          </w:tcPr>
          <w:p w14:paraId="67DC5766">
            <w:pPr>
              <w:pStyle w:val="140"/>
              <w:spacing w:line="240" w:lineRule="auto"/>
              <w:ind w:left="0" w:leftChars="0" w:right="0" w:rightChars="0"/>
              <w:jc w:val="center"/>
              <w:rPr>
                <w:sz w:val="21"/>
              </w:rPr>
            </w:pPr>
          </w:p>
        </w:tc>
      </w:tr>
      <w:tr w14:paraId="36EBB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1E7AA666">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声环境</w:t>
            </w:r>
          </w:p>
        </w:tc>
        <w:tc>
          <w:tcPr>
            <w:tcW w:w="2770" w:type="dxa"/>
            <w:tcBorders>
              <w:tl2br w:val="nil"/>
              <w:tr2bl w:val="nil"/>
            </w:tcBorders>
            <w:vAlign w:val="center"/>
          </w:tcPr>
          <w:p w14:paraId="669023AE">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项目厂界</w:t>
            </w:r>
          </w:p>
        </w:tc>
        <w:tc>
          <w:tcPr>
            <w:tcW w:w="4930" w:type="dxa"/>
            <w:tcBorders>
              <w:tl2br w:val="nil"/>
              <w:tr2bl w:val="nil"/>
            </w:tcBorders>
            <w:vAlign w:val="center"/>
          </w:tcPr>
          <w:p w14:paraId="6BB6B93A">
            <w:pPr>
              <w:adjustRightInd w:val="0"/>
              <w:snapToGrid w:val="0"/>
              <w:jc w:val="left"/>
              <w:rPr>
                <w:rFonts w:eastAsia="宋体"/>
                <w:sz w:val="21"/>
                <w:szCs w:val="21"/>
              </w:rPr>
            </w:pPr>
            <w:r>
              <w:rPr>
                <w:rFonts w:eastAsia="宋体"/>
                <w:sz w:val="21"/>
                <w:szCs w:val="21"/>
              </w:rPr>
              <w:t>《声环境质量标准》</w:t>
            </w:r>
            <w:r>
              <w:rPr>
                <w:rFonts w:eastAsia="宋体"/>
                <w:sz w:val="21"/>
                <w:szCs w:val="21"/>
                <w:lang w:val="en-US" w:eastAsia="en-US"/>
              </w:rPr>
              <w:t>(GB3096</w:t>
            </w:r>
            <w:r>
              <w:rPr>
                <w:rFonts w:eastAsia="宋体"/>
                <w:sz w:val="21"/>
                <w:szCs w:val="21"/>
              </w:rPr>
              <w:t>—2008)</w:t>
            </w:r>
            <w:r>
              <w:rPr>
                <w:rFonts w:hint="eastAsia" w:eastAsia="宋体"/>
                <w:sz w:val="21"/>
                <w:szCs w:val="21"/>
                <w:lang w:val="en-US" w:eastAsia="zh-CN"/>
              </w:rPr>
              <w:t>3</w:t>
            </w:r>
            <w:r>
              <w:rPr>
                <w:rFonts w:eastAsia="宋体"/>
                <w:sz w:val="21"/>
                <w:szCs w:val="21"/>
              </w:rPr>
              <w:t>类标准</w:t>
            </w:r>
          </w:p>
        </w:tc>
      </w:tr>
      <w:tr w14:paraId="4F7F0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416E8718">
            <w:pPr>
              <w:pStyle w:val="140"/>
              <w:spacing w:before="0" w:line="240" w:lineRule="auto"/>
              <w:ind w:left="0" w:leftChars="0" w:right="0" w:rightChars="0"/>
              <w:jc w:val="center"/>
              <w:rPr>
                <w:rFonts w:hint="eastAsia" w:ascii="宋体" w:hAnsi="宋体" w:eastAsia="宋体" w:cs="宋体"/>
                <w:kern w:val="2"/>
                <w:sz w:val="21"/>
                <w:szCs w:val="24"/>
                <w:lang w:val="en-US" w:eastAsia="zh-CN" w:bidi="ar-SA"/>
              </w:rPr>
            </w:pPr>
            <w:r>
              <w:rPr>
                <w:rFonts w:hint="eastAsia"/>
                <w:sz w:val="21"/>
                <w:lang w:val="en-US" w:eastAsia="zh-CN"/>
              </w:rPr>
              <w:t>生态环境</w:t>
            </w:r>
          </w:p>
        </w:tc>
        <w:tc>
          <w:tcPr>
            <w:tcW w:w="2770" w:type="dxa"/>
            <w:tcBorders>
              <w:tl2br w:val="nil"/>
              <w:tr2bl w:val="nil"/>
            </w:tcBorders>
            <w:vAlign w:val="center"/>
          </w:tcPr>
          <w:p w14:paraId="53DD797F">
            <w:pPr>
              <w:pStyle w:val="140"/>
              <w:rPr>
                <w:rFonts w:hint="default" w:ascii="Times New Roman" w:hAnsi="宋体" w:eastAsia="宋体" w:cs="宋体"/>
                <w:kern w:val="2"/>
                <w:sz w:val="20"/>
                <w:szCs w:val="24"/>
                <w:lang w:val="en-US" w:eastAsia="zh-CN" w:bidi="ar-SA"/>
              </w:rPr>
            </w:pPr>
            <w:r>
              <w:rPr>
                <w:rFonts w:hint="eastAsia"/>
                <w:sz w:val="21"/>
                <w:lang w:val="en-US" w:eastAsia="zh-CN"/>
              </w:rPr>
              <w:t>新通扬-通榆运河清水通道维护区</w:t>
            </w:r>
          </w:p>
        </w:tc>
        <w:tc>
          <w:tcPr>
            <w:tcW w:w="4930" w:type="dxa"/>
            <w:tcBorders>
              <w:tl2br w:val="nil"/>
              <w:tr2bl w:val="nil"/>
            </w:tcBorders>
            <w:vAlign w:val="center"/>
          </w:tcPr>
          <w:p w14:paraId="359643D5">
            <w:pPr>
              <w:adjustRightInd w:val="0"/>
              <w:snapToGrid w:val="0"/>
              <w:jc w:val="left"/>
              <w:rPr>
                <w:rFonts w:eastAsia="宋体"/>
                <w:sz w:val="21"/>
                <w:szCs w:val="21"/>
              </w:rPr>
            </w:pPr>
            <w:r>
              <w:rPr>
                <w:rFonts w:hint="eastAsia" w:eastAsia="宋体"/>
                <w:sz w:val="21"/>
                <w:szCs w:val="21"/>
                <w:lang w:val="en-US" w:eastAsia="zh-CN"/>
              </w:rPr>
              <w:t>水源水质保护</w:t>
            </w:r>
          </w:p>
        </w:tc>
      </w:tr>
    </w:tbl>
    <w:p w14:paraId="688A227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（2）环境质量现状</w:t>
      </w:r>
    </w:p>
    <w:p w14:paraId="38A07066">
      <w:pPr>
        <w:adjustRightInd w:val="0"/>
        <w:snapToGrid w:val="0"/>
        <w:spacing w:line="500" w:lineRule="exact"/>
        <w:ind w:firstLine="480" w:firstLineChars="200"/>
        <w:rPr>
          <w:rFonts w:eastAsia="宋体"/>
        </w:rPr>
      </w:pPr>
      <w:r>
        <w:rPr>
          <w:rFonts w:eastAsia="宋体"/>
        </w:rPr>
        <w:t>①环境空气</w:t>
      </w:r>
    </w:p>
    <w:p w14:paraId="364EB71E">
      <w:pPr>
        <w:adjustRightInd w:val="0"/>
        <w:snapToGrid w:val="0"/>
        <w:spacing w:line="500" w:lineRule="exact"/>
        <w:ind w:firstLine="480" w:firstLineChars="200"/>
        <w:rPr>
          <w:rFonts w:eastAsia="宋体"/>
        </w:rPr>
      </w:pPr>
      <w:bookmarkStart w:id="58" w:name="_Toc5947"/>
      <w:bookmarkStart w:id="59" w:name="_Toc23710"/>
      <w:bookmarkStart w:id="60" w:name="_Toc17812"/>
      <w:r>
        <w:rPr>
          <w:rFonts w:eastAsia="宋体"/>
        </w:rPr>
        <w:t>由《20</w:t>
      </w:r>
      <w:r>
        <w:rPr>
          <w:rFonts w:hint="eastAsia" w:eastAsia="宋体"/>
        </w:rPr>
        <w:t>2</w:t>
      </w:r>
      <w:r>
        <w:rPr>
          <w:rFonts w:hint="eastAsia" w:eastAsia="宋体"/>
          <w:lang w:val="en-US" w:eastAsia="zh-CN"/>
        </w:rPr>
        <w:t>3</w:t>
      </w:r>
      <w:r>
        <w:rPr>
          <w:rFonts w:eastAsia="宋体"/>
        </w:rPr>
        <w:t>年度南通市环境质量公报》可知，</w:t>
      </w:r>
      <w:r>
        <w:rPr>
          <w:rFonts w:hint="eastAsia" w:eastAsia="宋体"/>
        </w:rPr>
        <w:t>全市环境空气中可吸入颗粒物（PM</w:t>
      </w:r>
      <w:r>
        <w:rPr>
          <w:rFonts w:hint="eastAsia" w:eastAsia="宋体"/>
          <w:vertAlign w:val="subscript"/>
        </w:rPr>
        <w:t>10</w:t>
      </w:r>
      <w:r>
        <w:rPr>
          <w:rFonts w:hint="eastAsia" w:eastAsia="宋体"/>
        </w:rPr>
        <w:t>）、二氧化硫（SO</w:t>
      </w:r>
      <w:r>
        <w:rPr>
          <w:rFonts w:hint="eastAsia" w:eastAsia="宋体"/>
          <w:vertAlign w:val="subscript"/>
        </w:rPr>
        <w:t>2</w:t>
      </w:r>
      <w:r>
        <w:rPr>
          <w:rFonts w:hint="eastAsia" w:eastAsia="宋体"/>
        </w:rPr>
        <w:t>）、二氧化氮（NO</w:t>
      </w:r>
      <w:r>
        <w:rPr>
          <w:rFonts w:hint="eastAsia" w:eastAsia="宋体"/>
          <w:vertAlign w:val="subscript"/>
        </w:rPr>
        <w:t>2</w:t>
      </w:r>
      <w:r>
        <w:rPr>
          <w:rFonts w:hint="eastAsia" w:eastAsia="宋体"/>
        </w:rPr>
        <w:t>）、一氧化碳第95百分位浓度（CO-95%）和臭氧日最大8小时滑动平均值第90百分位浓度（O</w:t>
      </w:r>
      <w:r>
        <w:rPr>
          <w:rFonts w:hint="eastAsia" w:eastAsia="宋体"/>
          <w:vertAlign w:val="subscript"/>
        </w:rPr>
        <w:t>3</w:t>
      </w:r>
      <w:r>
        <w:rPr>
          <w:rFonts w:hint="eastAsia" w:eastAsia="宋体"/>
        </w:rPr>
        <w:t>-8h-90%）分别为</w:t>
      </w:r>
      <w:r>
        <w:rPr>
          <w:rFonts w:hint="eastAsia" w:eastAsia="宋体"/>
          <w:lang w:val="en-US" w:eastAsia="zh-CN"/>
        </w:rPr>
        <w:t>47</w:t>
      </w:r>
      <w:r>
        <w:rPr>
          <w:rFonts w:hint="eastAsia" w:eastAsia="宋体"/>
        </w:rPr>
        <w:t>微克/立方米、</w:t>
      </w:r>
      <w:r>
        <w:rPr>
          <w:rFonts w:hint="eastAsia" w:eastAsia="宋体"/>
          <w:lang w:val="en-US" w:eastAsia="zh-CN"/>
        </w:rPr>
        <w:t>7</w:t>
      </w:r>
      <w:r>
        <w:rPr>
          <w:rFonts w:hint="eastAsia" w:eastAsia="宋体"/>
        </w:rPr>
        <w:t>微克/立方米、</w:t>
      </w:r>
      <w:r>
        <w:rPr>
          <w:rFonts w:hint="eastAsia" w:eastAsia="宋体"/>
          <w:lang w:val="en-US" w:eastAsia="zh-CN"/>
        </w:rPr>
        <w:t>27</w:t>
      </w:r>
      <w:r>
        <w:rPr>
          <w:rFonts w:hint="eastAsia" w:eastAsia="宋体"/>
        </w:rPr>
        <w:t>微克/立方米、</w:t>
      </w:r>
      <w:r>
        <w:rPr>
          <w:rFonts w:hint="eastAsia" w:eastAsia="宋体"/>
          <w:lang w:val="en-US" w:eastAsia="zh-CN"/>
        </w:rPr>
        <w:t>0.9</w:t>
      </w:r>
      <w:r>
        <w:rPr>
          <w:rFonts w:hint="eastAsia" w:eastAsia="宋体"/>
        </w:rPr>
        <w:t>毫克/立方米和</w:t>
      </w:r>
      <w:r>
        <w:rPr>
          <w:rFonts w:hint="eastAsia" w:eastAsia="宋体"/>
          <w:lang w:val="en-US" w:eastAsia="zh-CN"/>
        </w:rPr>
        <w:t>166</w:t>
      </w:r>
      <w:r>
        <w:rPr>
          <w:rFonts w:hint="eastAsia" w:eastAsia="宋体"/>
        </w:rPr>
        <w:t>微克/立方米。与202</w:t>
      </w:r>
      <w:r>
        <w:rPr>
          <w:rFonts w:hint="eastAsia" w:eastAsia="宋体"/>
          <w:lang w:val="en-US" w:eastAsia="zh-CN"/>
        </w:rPr>
        <w:t>2</w:t>
      </w:r>
      <w:r>
        <w:rPr>
          <w:rFonts w:hint="eastAsia" w:eastAsia="宋体"/>
        </w:rPr>
        <w:t>年相比，PM</w:t>
      </w:r>
      <w:r>
        <w:rPr>
          <w:rFonts w:hint="eastAsia" w:eastAsia="宋体"/>
          <w:vertAlign w:val="subscript"/>
        </w:rPr>
        <w:t>2.5</w:t>
      </w:r>
      <w:r>
        <w:rPr>
          <w:rFonts w:hint="eastAsia" w:eastAsia="宋体"/>
        </w:rPr>
        <w:t>、PM</w:t>
      </w:r>
      <w:r>
        <w:rPr>
          <w:rFonts w:hint="eastAsia" w:eastAsia="宋体"/>
          <w:vertAlign w:val="subscript"/>
        </w:rPr>
        <w:t>10</w:t>
      </w:r>
      <w:r>
        <w:rPr>
          <w:rFonts w:hint="eastAsia" w:eastAsia="宋体"/>
        </w:rPr>
        <w:t>NO</w:t>
      </w:r>
      <w:r>
        <w:rPr>
          <w:rFonts w:hint="eastAsia" w:eastAsia="宋体"/>
          <w:vertAlign w:val="subscript"/>
        </w:rPr>
        <w:t>2</w:t>
      </w:r>
      <w:r>
        <w:rPr>
          <w:rFonts w:hint="eastAsia" w:eastAsia="宋体"/>
        </w:rPr>
        <w:t>和CO第95百分位数浓度均有下降，降幅分别为</w:t>
      </w:r>
      <w:r>
        <w:rPr>
          <w:rFonts w:hint="eastAsia" w:eastAsia="宋体"/>
          <w:lang w:val="en-US" w:eastAsia="zh-CN"/>
        </w:rPr>
        <w:t>3.8</w:t>
      </w:r>
      <w:r>
        <w:rPr>
          <w:rFonts w:hint="eastAsia" w:eastAsia="宋体"/>
        </w:rPr>
        <w:t>%、</w:t>
      </w:r>
      <w:r>
        <w:rPr>
          <w:rFonts w:hint="eastAsia" w:eastAsia="宋体"/>
          <w:lang w:val="en-US" w:eastAsia="zh-CN"/>
        </w:rPr>
        <w:t>11.9</w:t>
      </w:r>
      <w:r>
        <w:rPr>
          <w:rFonts w:hint="eastAsia" w:eastAsia="宋体"/>
        </w:rPr>
        <w:t>%、</w:t>
      </w:r>
      <w:r>
        <w:rPr>
          <w:rFonts w:hint="eastAsia" w:eastAsia="宋体"/>
          <w:lang w:val="en-US" w:eastAsia="zh-CN"/>
        </w:rPr>
        <w:t>17.4</w:t>
      </w:r>
      <w:r>
        <w:rPr>
          <w:rFonts w:hint="eastAsia" w:eastAsia="宋体"/>
        </w:rPr>
        <w:t>%、</w:t>
      </w:r>
      <w:r>
        <w:rPr>
          <w:rFonts w:hint="eastAsia" w:eastAsia="宋体"/>
          <w:lang w:val="en-US" w:eastAsia="zh-CN"/>
        </w:rPr>
        <w:t>12.5</w:t>
      </w:r>
      <w:r>
        <w:rPr>
          <w:rFonts w:hint="eastAsia" w:eastAsia="宋体"/>
        </w:rPr>
        <w:t>%和9.1%；SO</w:t>
      </w:r>
      <w:r>
        <w:rPr>
          <w:rFonts w:hint="eastAsia" w:eastAsia="宋体"/>
          <w:vertAlign w:val="subscript"/>
        </w:rPr>
        <w:t>2</w:t>
      </w:r>
      <w:r>
        <w:rPr>
          <w:rFonts w:hint="eastAsia" w:eastAsia="宋体"/>
          <w:lang w:val="en-US" w:eastAsia="zh-CN"/>
        </w:rPr>
        <w:t>浓度持平，</w:t>
      </w:r>
      <w:r>
        <w:rPr>
          <w:rFonts w:hint="eastAsia" w:eastAsia="宋体"/>
        </w:rPr>
        <w:t>O</w:t>
      </w:r>
      <w:r>
        <w:rPr>
          <w:rFonts w:hint="eastAsia" w:eastAsia="宋体"/>
          <w:vertAlign w:val="subscript"/>
        </w:rPr>
        <w:t>3</w:t>
      </w:r>
      <w:r>
        <w:rPr>
          <w:rFonts w:hint="eastAsia" w:eastAsia="宋体"/>
        </w:rPr>
        <w:t>第90百分位数浓度</w:t>
      </w:r>
      <w:r>
        <w:rPr>
          <w:rFonts w:hint="eastAsia" w:eastAsia="宋体"/>
          <w:lang w:val="en-US" w:eastAsia="zh-CN"/>
        </w:rPr>
        <w:t>下降</w:t>
      </w:r>
      <w:r>
        <w:rPr>
          <w:rFonts w:hint="eastAsia" w:eastAsia="宋体"/>
        </w:rPr>
        <w:t>，升幅为</w:t>
      </w:r>
      <w:r>
        <w:rPr>
          <w:rFonts w:hint="eastAsia" w:eastAsia="宋体"/>
          <w:lang w:val="en-US" w:eastAsia="zh-CN"/>
        </w:rPr>
        <w:t>7.3</w:t>
      </w:r>
      <w:r>
        <w:rPr>
          <w:rFonts w:hint="eastAsia" w:eastAsia="宋体"/>
        </w:rPr>
        <w:t>%。</w:t>
      </w:r>
    </w:p>
    <w:p w14:paraId="01E52F25">
      <w:pPr>
        <w:adjustRightInd w:val="0"/>
        <w:snapToGrid w:val="0"/>
        <w:spacing w:line="500" w:lineRule="exact"/>
        <w:ind w:firstLine="480" w:firstLineChars="200"/>
        <w:rPr>
          <w:rFonts w:eastAsia="宋体"/>
        </w:rPr>
      </w:pPr>
      <w:r>
        <w:rPr>
          <w:rFonts w:hint="eastAsia" w:eastAsia="宋体"/>
        </w:rPr>
        <w:t>202</w:t>
      </w:r>
      <w:r>
        <w:rPr>
          <w:rFonts w:hint="eastAsia" w:eastAsia="宋体"/>
          <w:lang w:val="en-US" w:eastAsia="zh-CN"/>
        </w:rPr>
        <w:t>3</w:t>
      </w:r>
      <w:r>
        <w:rPr>
          <w:rFonts w:hint="eastAsia" w:eastAsia="宋体"/>
        </w:rPr>
        <w:t>年，按照省政府发布的《江苏省重污染天气应急预案》，我市共发布</w:t>
      </w:r>
      <w:r>
        <w:rPr>
          <w:rFonts w:hint="eastAsia" w:eastAsia="宋体"/>
          <w:lang w:val="en-US" w:eastAsia="zh-CN"/>
        </w:rPr>
        <w:t>3</w:t>
      </w:r>
      <w:r>
        <w:rPr>
          <w:rFonts w:hint="eastAsia" w:eastAsia="宋体"/>
        </w:rPr>
        <w:t>次黄色预警，其中2次升级为橙色预警。</w:t>
      </w:r>
    </w:p>
    <w:p w14:paraId="5A9D074E">
      <w:pPr>
        <w:adjustRightInd w:val="0"/>
        <w:snapToGrid w:val="0"/>
        <w:spacing w:line="500" w:lineRule="exact"/>
        <w:ind w:firstLine="480" w:firstLineChars="200"/>
        <w:rPr>
          <w:rFonts w:eastAsia="宋体"/>
        </w:rPr>
      </w:pPr>
      <w:r>
        <w:rPr>
          <w:rFonts w:eastAsia="宋体"/>
        </w:rPr>
        <w:t>②水环境</w:t>
      </w:r>
    </w:p>
    <w:p w14:paraId="694BF1F6">
      <w:pPr>
        <w:adjustRightInd w:val="0"/>
        <w:snapToGrid w:val="0"/>
        <w:spacing w:line="500" w:lineRule="exact"/>
        <w:ind w:firstLine="480" w:firstLineChars="200"/>
        <w:rPr>
          <w:rFonts w:hint="eastAsia" w:eastAsia="宋体"/>
        </w:rPr>
      </w:pPr>
      <w:r>
        <w:rPr>
          <w:rFonts w:hint="eastAsia" w:eastAsia="宋体"/>
        </w:rPr>
        <w:t>南通市共有16个国家考核断面，均达到或优于《地表水环境质量标准》(GB3838-2002)Ⅲ类标准。55个省考以上断面中碾砣港闸、聚南大桥、营船港闸、通吕二号桥等19个断面水质符合工类标准，孙窑大桥、嫩江路桥、新江海河桥、团结新大杯等36个断面水质符合Ⅲ类标准，优亚类比例100%，高于省定98.2%的考核标准;无V类和劣V类断面,</w:t>
      </w:r>
    </w:p>
    <w:p w14:paraId="6390BFA1">
      <w:pPr>
        <w:adjustRightInd w:val="0"/>
        <w:snapToGrid w:val="0"/>
        <w:spacing w:line="500" w:lineRule="exact"/>
        <w:ind w:firstLine="480" w:firstLineChars="200"/>
        <w:rPr>
          <w:rFonts w:eastAsia="宋体"/>
        </w:rPr>
      </w:pPr>
      <w:r>
        <w:rPr>
          <w:rFonts w:hint="eastAsia" w:eastAsia="宋体"/>
          <w:lang w:val="en-US" w:eastAsia="zh-CN"/>
        </w:rPr>
        <w:t>饮用水源</w:t>
      </w:r>
      <w:r>
        <w:rPr>
          <w:rFonts w:eastAsia="宋体"/>
        </w:rPr>
        <w:t>：</w:t>
      </w:r>
    </w:p>
    <w:p w14:paraId="2F15BA67">
      <w:pPr>
        <w:adjustRightInd w:val="0"/>
        <w:snapToGrid w:val="0"/>
        <w:spacing w:line="500" w:lineRule="exact"/>
        <w:ind w:firstLine="480" w:firstLineChars="200"/>
        <w:rPr>
          <w:rFonts w:hint="eastAsia" w:eastAsia="宋体"/>
        </w:rPr>
      </w:pPr>
      <w:r>
        <w:rPr>
          <w:rFonts w:hint="eastAsia" w:eastAsia="宋体"/>
        </w:rPr>
        <w:t>全市均以长江水作为饮用水源，长江狼山水源地（对应狼山水厂、崇海水厂）、长江洪港水源地（洪港水厂）、长江长青沙水源地（对应如皋鹏鹞水厂）、长江海门水源地（海门长江水厂）符合地表水Ⅲ类及以上标准，水质优良。全市共计年取水量亿吨，饮用水源地水质达标率均为</w:t>
      </w:r>
      <w:r>
        <w:rPr>
          <w:rFonts w:hint="eastAsia" w:eastAsia="宋体"/>
          <w:lang w:val="en-US" w:eastAsia="zh-CN"/>
        </w:rPr>
        <w:t>100%</w:t>
      </w:r>
      <w:r>
        <w:rPr>
          <w:rFonts w:hint="eastAsia" w:eastAsia="宋体"/>
        </w:rPr>
        <w:t>。</w:t>
      </w:r>
    </w:p>
    <w:p w14:paraId="759A0769">
      <w:pPr>
        <w:adjustRightInd w:val="0"/>
        <w:snapToGrid w:val="0"/>
        <w:spacing w:line="500" w:lineRule="exact"/>
        <w:ind w:firstLine="480" w:firstLineChars="200"/>
        <w:rPr>
          <w:rFonts w:eastAsia="宋体"/>
        </w:rPr>
      </w:pPr>
      <w:r>
        <w:rPr>
          <w:rFonts w:eastAsia="宋体"/>
        </w:rPr>
        <w:t>长江（南通段）水质：</w:t>
      </w:r>
    </w:p>
    <w:p w14:paraId="3309DC56">
      <w:pPr>
        <w:adjustRightInd w:val="0"/>
        <w:snapToGrid w:val="0"/>
        <w:spacing w:line="500" w:lineRule="exact"/>
        <w:ind w:firstLine="480" w:firstLineChars="200"/>
        <w:rPr>
          <w:rFonts w:eastAsia="宋体"/>
        </w:rPr>
      </w:pPr>
      <w:r>
        <w:rPr>
          <w:rFonts w:eastAsia="宋体"/>
        </w:rPr>
        <w:t>长江（南通段）水质为Ⅱ类，水质优良。其中，姚港（左岸）、团结闸（左岸）、小李港（左岸）断面水质保持Ⅱ类。</w:t>
      </w:r>
    </w:p>
    <w:p w14:paraId="4EC97730">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地下水水质：</w:t>
      </w:r>
    </w:p>
    <w:p w14:paraId="5EFE6B8E">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年，南通市省控以上23个地下水区域监测点位，水质达Ⅲ类的6个，满足IV类标准的14个，水质为V类的3个，分别占比26.1%、60.9%、13.0%，与2022年相比，地下水水质总体有所好转,IV类及以上水质占比为87.0%,增加13.3个百分点相应V类比例减少13.3个百分点。</w:t>
      </w:r>
    </w:p>
    <w:p w14:paraId="37D5028B">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近岸海域水质：</w:t>
      </w:r>
    </w:p>
    <w:p w14:paraId="215A8B41">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年，南通市近岸海域达或优于《海水水质标准》(GB3097-1997)二类标准面积比例为87.5%，达三类标准面积比例为4.2%，达四类标准面积比例为2.6%，劣四类标准面积比例为5.7%。优良(一、二类)标准面积比例比上年增加0.3个百分点，劣四类标准面积比例比上年增加1.7个百分点，基本保持稳定，主要超标指标为无机氮。</w:t>
      </w:r>
    </w:p>
    <w:p w14:paraId="75B1C1DB">
      <w:pPr>
        <w:adjustRightInd w:val="0"/>
        <w:snapToGrid w:val="0"/>
        <w:spacing w:line="500" w:lineRule="exact"/>
        <w:ind w:firstLine="480" w:firstLineChars="200"/>
        <w:rPr>
          <w:rFonts w:eastAsia="宋体"/>
        </w:rPr>
      </w:pPr>
      <w:r>
        <w:rPr>
          <w:rFonts w:eastAsia="宋体"/>
        </w:rPr>
        <w:fldChar w:fldCharType="begin"/>
      </w:r>
      <w:r>
        <w:rPr>
          <w:rFonts w:eastAsia="宋体"/>
        </w:rPr>
        <w:instrText xml:space="preserve"> = 3 \* GB3 </w:instrText>
      </w:r>
      <w:r>
        <w:rPr>
          <w:rFonts w:eastAsia="宋体"/>
        </w:rPr>
        <w:fldChar w:fldCharType="separate"/>
      </w:r>
      <w:r>
        <w:rPr>
          <w:rFonts w:eastAsia="宋体"/>
        </w:rPr>
        <w:t>③</w:t>
      </w:r>
      <w:r>
        <w:rPr>
          <w:rFonts w:eastAsia="宋体"/>
        </w:rPr>
        <w:fldChar w:fldCharType="end"/>
      </w:r>
      <w:r>
        <w:rPr>
          <w:rFonts w:eastAsia="宋体"/>
        </w:rPr>
        <w:t>土壤环境质量</w:t>
      </w:r>
    </w:p>
    <w:p w14:paraId="337A1407">
      <w:pPr>
        <w:adjustRightInd w:val="0"/>
        <w:snapToGrid w:val="0"/>
        <w:spacing w:line="500" w:lineRule="exact"/>
        <w:ind w:firstLine="480" w:firstLineChars="200"/>
        <w:rPr>
          <w:rFonts w:hint="eastAsia" w:eastAsia="宋体"/>
        </w:rPr>
      </w:pPr>
      <w:r>
        <w:rPr>
          <w:rFonts w:hint="eastAsia" w:eastAsia="宋体"/>
        </w:rPr>
        <w:t>2023年南通市共监测96个国家网土壤环境监测点，包括88个基础点和8个背景点，均为耕地类型，士环境质量状况总体良好。与“十三五”期间相比，土壤环境质量未发生显著变化。</w:t>
      </w:r>
    </w:p>
    <w:p w14:paraId="601FAB64">
      <w:pPr>
        <w:adjustRightInd w:val="0"/>
        <w:snapToGrid w:val="0"/>
        <w:spacing w:line="500" w:lineRule="exact"/>
        <w:ind w:firstLine="480" w:firstLineChars="200"/>
        <w:rPr>
          <w:rFonts w:eastAsia="宋体"/>
        </w:rPr>
      </w:pPr>
      <w:r>
        <w:rPr>
          <w:rFonts w:eastAsia="宋体"/>
        </w:rPr>
        <w:t>④声环境质量</w:t>
      </w:r>
    </w:p>
    <w:p w14:paraId="0FB7B78C">
      <w:pPr>
        <w:adjustRightInd w:val="0"/>
        <w:snapToGrid w:val="0"/>
        <w:spacing w:line="500" w:lineRule="exact"/>
        <w:ind w:firstLine="480" w:firstLineChars="200"/>
        <w:rPr>
          <w:rFonts w:hint="eastAsia" w:eastAsia="宋体"/>
        </w:rPr>
      </w:pPr>
      <w:r>
        <w:rPr>
          <w:rFonts w:hint="eastAsia" w:eastAsia="宋体"/>
        </w:rPr>
        <w:t>南通全市声环境质量总体较好并且保持稳定:区域唇间声环境质量总体处于二级(较好)水平，同比保持稳定，夜间声环境质量总体由原来的三级(一般)水平上升到二级(较好)水平夜间声环境质量相较“十三五”期间明显改善;功能区昼、夜间声环境质量达标率稳定保持在90%以上，同比保持稳定;道路交通昼、夜间声环境质量均处于一级(好)水平,同比保持稳定。</w:t>
      </w:r>
    </w:p>
    <w:p w14:paraId="12477715">
      <w:pPr>
        <w:adjustRightInd w:val="0"/>
        <w:snapToGrid w:val="0"/>
        <w:spacing w:line="500" w:lineRule="exact"/>
        <w:ind w:firstLine="480" w:firstLineChars="200"/>
        <w:rPr>
          <w:rFonts w:eastAsia="宋体"/>
        </w:rPr>
      </w:pPr>
      <w:r>
        <w:rPr>
          <w:rFonts w:hint="eastAsia" w:eastAsia="宋体"/>
        </w:rPr>
        <w:t>⑤</w:t>
      </w:r>
      <w:r>
        <w:rPr>
          <w:rFonts w:eastAsia="宋体"/>
        </w:rPr>
        <w:t>生态环境状况指数</w:t>
      </w:r>
    </w:p>
    <w:p w14:paraId="2C15D07E">
      <w:pPr>
        <w:pStyle w:val="3"/>
        <w:adjustRightInd w:val="0"/>
        <w:snapToGrid w:val="0"/>
        <w:spacing w:line="480" w:lineRule="exact"/>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2023年南通市生态质量指数为53.51，类别为“三类”，各县(市、区)生态质量指数介于44.83~58.28之间。南通市共有7个县(市、区)参与生态质量评价，其中如东、启东、海安为二类”，通州、崇川、海门、如皋为“三类”。2023年南通全市除启东、海门、通州上升0.60、0.23和0.18外，其余4个区县EOI均下降;其中如皋、海安、如东、崇川EOI下降分别为-1.01、-0.73、-0.53和-0.03。由于生物多样性指数全省统一值各县区该指标无差别;崇川生态胁迫指数最高，为100;如东生态格局指数最高，为37.31;海安生态功能指数最高，为83.23</w:t>
      </w:r>
      <w:r>
        <w:rPr>
          <w:rFonts w:hint="eastAsia" w:eastAsia="宋体" w:cs="Times New Roman"/>
          <w:b w:val="0"/>
          <w:bCs w:val="0"/>
          <w:kern w:val="2"/>
          <w:sz w:val="24"/>
          <w:szCs w:val="24"/>
          <w:lang w:val="en-US" w:eastAsia="zh-CN" w:bidi="ar-SA"/>
        </w:rPr>
        <w:t>。</w:t>
      </w:r>
    </w:p>
    <w:p w14:paraId="622016DA">
      <w:pPr>
        <w:pStyle w:val="3"/>
        <w:adjustRightInd w:val="0"/>
        <w:snapToGrid w:val="0"/>
        <w:spacing w:line="4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3.2企业周边环境风险受体情况</w:t>
      </w:r>
      <w:bookmarkEnd w:id="58"/>
      <w:bookmarkEnd w:id="59"/>
      <w:bookmarkEnd w:id="60"/>
    </w:p>
    <w:p w14:paraId="1044DE3E">
      <w:pPr>
        <w:pStyle w:val="5"/>
        <w:adjustRightInd w:val="0"/>
        <w:snapToGrid w:val="0"/>
        <w:spacing w:line="480" w:lineRule="exact"/>
        <w:rPr>
          <w:rFonts w:hint="default" w:ascii="Times New Roman" w:hAnsi="Times New Roman" w:eastAsia="宋体" w:cs="Times New Roman"/>
          <w:sz w:val="24"/>
          <w:szCs w:val="24"/>
        </w:rPr>
      </w:pPr>
      <w:bookmarkStart w:id="61" w:name="_Toc16476"/>
      <w:bookmarkStart w:id="62" w:name="_Toc4629"/>
      <w:bookmarkStart w:id="63" w:name="_Toc32178"/>
      <w:r>
        <w:rPr>
          <w:rFonts w:hint="default" w:ascii="Times New Roman" w:hAnsi="Times New Roman" w:eastAsia="宋体" w:cs="Times New Roman"/>
          <w:sz w:val="24"/>
          <w:szCs w:val="24"/>
        </w:rPr>
        <w:t>3.2.1大气环境风险受体</w:t>
      </w:r>
      <w:bookmarkEnd w:id="61"/>
      <w:bookmarkEnd w:id="62"/>
      <w:bookmarkEnd w:id="63"/>
    </w:p>
    <w:p w14:paraId="1B3F28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begin"/>
      </w: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separate"/>
      </w:r>
      <w:r>
        <w:rPr>
          <w:rStyle w:val="39"/>
          <w:rFonts w:hint="eastAsia" w:eastAsia="宋体" w:cs="Times New Roman"/>
          <w:i w:val="0"/>
          <w:iCs w:val="0"/>
          <w:caps w:val="0"/>
          <w:color w:val="000000" w:themeColor="text1"/>
          <w:spacing w:val="0"/>
          <w:sz w:val="24"/>
          <w:szCs w:val="24"/>
          <w:u w:val="none"/>
          <w:lang w:eastAsia="zh-CN"/>
          <w14:textFill>
            <w14:solidFill>
              <w14:schemeClr w14:val="tx1"/>
            </w14:solidFill>
          </w14:textFill>
        </w:rPr>
        <w:t>孟泉环保新能源</w:t>
      </w: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end"/>
      </w:r>
      <w:r>
        <w:rPr>
          <w:rFonts w:hint="default" w:ascii="Times New Roman" w:hAnsi="Times New Roman" w:eastAsia="宋体" w:cs="Times New Roman"/>
        </w:rPr>
        <w:t>位于</w:t>
      </w:r>
      <w:r>
        <w:rPr>
          <w:rFonts w:hint="eastAsia" w:eastAsia="宋体" w:cs="Times New Roman"/>
          <w:lang w:eastAsia="zh-CN"/>
        </w:rPr>
        <w:t>江苏省南通市海安市墩头镇吉庆村五组</w:t>
      </w:r>
      <w:r>
        <w:rPr>
          <w:rFonts w:hint="default" w:ascii="Times New Roman" w:hAnsi="Times New Roman" w:eastAsia="宋体" w:cs="Times New Roman"/>
        </w:rPr>
        <w:t>，</w:t>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begin"/>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separate"/>
      </w:r>
      <w:r>
        <w:rPr>
          <w:rStyle w:val="39"/>
          <w:rFonts w:hint="eastAsia" w:eastAsia="宋体" w:cs="Times New Roman"/>
          <w:i w:val="0"/>
          <w:iCs w:val="0"/>
          <w:caps w:val="0"/>
          <w:color w:val="000000" w:themeColor="text1"/>
          <w:spacing w:val="0"/>
          <w:sz w:val="24"/>
          <w:szCs w:val="24"/>
          <w:u w:val="none"/>
          <w:lang w:eastAsia="zh-CN"/>
          <w14:textFill>
            <w14:solidFill>
              <w14:schemeClr w14:val="tx1"/>
            </w14:solidFill>
          </w14:textFill>
        </w:rPr>
        <w:t>孟泉环保新能源</w:t>
      </w:r>
      <w:r>
        <w:rPr>
          <w:rFonts w:hint="default"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t>周围环境详见附</w:t>
      </w:r>
      <w:r>
        <w:rPr>
          <w:rFonts w:hint="eastAsia" w:eastAsia="宋体" w:cs="Times New Roman"/>
          <w:color w:val="000000" w:themeColor="text1"/>
          <w:lang w:val="en-US" w:eastAsia="zh-CN"/>
          <w14:textFill>
            <w14:solidFill>
              <w14:schemeClr w14:val="tx1"/>
            </w14:solidFill>
          </w14:textFill>
        </w:rPr>
        <w:t>图</w:t>
      </w:r>
      <w:r>
        <w:rPr>
          <w:rFonts w:hint="default" w:ascii="Times New Roman" w:hAnsi="Times New Roman" w:eastAsia="宋体" w:cs="Times New Roman"/>
          <w:color w:val="000000" w:themeColor="text1"/>
          <w14:textFill>
            <w14:solidFill>
              <w14:schemeClr w14:val="tx1"/>
            </w14:solidFill>
          </w14:textFill>
        </w:rPr>
        <w:t>。</w:t>
      </w:r>
    </w:p>
    <w:p w14:paraId="6C255A1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企业周边</w:t>
      </w:r>
      <w:r>
        <w:rPr>
          <w:rFonts w:hint="eastAsia" w:eastAsia="宋体" w:cs="Times New Roman"/>
          <w:color w:val="000000" w:themeColor="text1"/>
          <w:lang w:val="en-US" w:eastAsia="zh-CN"/>
          <w14:textFill>
            <w14:solidFill>
              <w14:schemeClr w14:val="tx1"/>
            </w14:solidFill>
          </w14:textFill>
        </w:rPr>
        <w:t>500m、</w:t>
      </w:r>
      <w:r>
        <w:rPr>
          <w:rFonts w:hint="default" w:ascii="Times New Roman" w:hAnsi="Times New Roman" w:eastAsia="宋体" w:cs="Times New Roman"/>
          <w:color w:val="000000" w:themeColor="text1"/>
          <w14:textFill>
            <w14:solidFill>
              <w14:schemeClr w14:val="tx1"/>
            </w14:solidFill>
          </w14:textFill>
        </w:rPr>
        <w:t>5公里范围内大气环境风险受体情况见表</w:t>
      </w:r>
      <w:r>
        <w:rPr>
          <w:rFonts w:hint="eastAsia" w:eastAsia="宋体" w:cs="Times New Roman"/>
          <w:color w:val="000000" w:themeColor="text1"/>
          <w:lang w:val="en-US" w:eastAsia="zh-CN"/>
          <w14:textFill>
            <w14:solidFill>
              <w14:schemeClr w14:val="tx1"/>
            </w14:solidFill>
          </w14:textFill>
        </w:rPr>
        <w:t>3-4、</w:t>
      </w:r>
      <w:r>
        <w:rPr>
          <w:rFonts w:hint="default" w:ascii="Times New Roman" w:hAnsi="Times New Roman" w:eastAsia="宋体" w:cs="Times New Roman"/>
          <w:color w:val="000000" w:themeColor="text1"/>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5</w:t>
      </w:r>
      <w:r>
        <w:rPr>
          <w:rFonts w:hint="default" w:ascii="Times New Roman" w:hAnsi="Times New Roman" w:eastAsia="宋体" w:cs="Times New Roman"/>
          <w:color w:val="000000" w:themeColor="text1"/>
          <w14:textFill>
            <w14:solidFill>
              <w14:schemeClr w14:val="tx1"/>
            </w14:solidFill>
          </w14:textFill>
        </w:rPr>
        <w:t>。</w:t>
      </w:r>
    </w:p>
    <w:p w14:paraId="61057178">
      <w:pPr>
        <w:adjustRightInd w:val="0"/>
        <w:snapToGrid w:val="0"/>
        <w:spacing w:line="480" w:lineRule="exact"/>
        <w:jc w:val="center"/>
        <w:rPr>
          <w:rFonts w:hint="default" w:ascii="Times New Roman" w:hAnsi="Times New Roman" w:eastAsia="宋体" w:cs="Times New Roman"/>
          <w:b/>
          <w:bCs/>
          <w:color w:val="000000" w:themeColor="text1"/>
          <w:highlight w:val="yellow"/>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表3-</w:t>
      </w:r>
      <w:r>
        <w:rPr>
          <w:rFonts w:hint="eastAsia" w:eastAsia="宋体" w:cs="Times New Roman"/>
          <w:b/>
          <w:bCs/>
          <w:color w:val="000000" w:themeColor="text1"/>
          <w:highlight w:val="none"/>
          <w:lang w:val="en-US" w:eastAsia="zh-CN"/>
          <w14:textFill>
            <w14:solidFill>
              <w14:schemeClr w14:val="tx1"/>
            </w14:solidFill>
          </w14:textFill>
        </w:rPr>
        <w:t>4</w: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begin"/>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separate"/>
      </w:r>
      <w:r>
        <w:rPr>
          <w:rStyle w:val="39"/>
          <w:rFonts w:hint="eastAsia" w:eastAsia="宋体" w:cs="Times New Roman"/>
          <w:b/>
          <w:bCs/>
          <w:i w:val="0"/>
          <w:iCs w:val="0"/>
          <w:caps w:val="0"/>
          <w:color w:val="000000" w:themeColor="text1"/>
          <w:spacing w:val="0"/>
          <w:sz w:val="24"/>
          <w:szCs w:val="24"/>
          <w:highlight w:val="none"/>
          <w:u w:val="none"/>
          <w:lang w:eastAsia="zh-CN"/>
          <w14:textFill>
            <w14:solidFill>
              <w14:schemeClr w14:val="tx1"/>
            </w14:solidFill>
          </w14:textFill>
        </w:rPr>
        <w:t>孟泉环保新能源</w:t>
      </w:r>
      <w:r>
        <w:rPr>
          <w:rFonts w:hint="default"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end"/>
      </w:r>
      <w:r>
        <w:rPr>
          <w:rFonts w:hint="default" w:ascii="Times New Roman" w:hAnsi="Times New Roman" w:eastAsia="宋体" w:cs="Times New Roman"/>
          <w:b/>
          <w:bCs/>
          <w:color w:val="000000" w:themeColor="text1"/>
          <w:highlight w:val="none"/>
          <w14:textFill>
            <w14:solidFill>
              <w14:schemeClr w14:val="tx1"/>
            </w14:solidFill>
          </w14:textFill>
        </w:rPr>
        <w:t>周边</w:t>
      </w:r>
      <w:r>
        <w:rPr>
          <w:rFonts w:hint="eastAsia" w:eastAsia="宋体" w:cs="Times New Roman"/>
          <w:b/>
          <w:bCs/>
          <w:color w:val="000000" w:themeColor="text1"/>
          <w:highlight w:val="none"/>
          <w:lang w:val="en-US" w:eastAsia="zh-CN"/>
          <w14:textFill>
            <w14:solidFill>
              <w14:schemeClr w14:val="tx1"/>
            </w14:solidFill>
          </w14:textFill>
        </w:rPr>
        <w:t>500m</w:t>
      </w:r>
      <w:r>
        <w:rPr>
          <w:rFonts w:hint="default" w:ascii="Times New Roman" w:hAnsi="Times New Roman" w:eastAsia="宋体" w:cs="Times New Roman"/>
          <w:b/>
          <w:bCs/>
          <w:color w:val="000000" w:themeColor="text1"/>
          <w:highlight w:val="none"/>
          <w14:textFill>
            <w14:solidFill>
              <w14:schemeClr w14:val="tx1"/>
            </w14:solidFill>
          </w14:textFill>
        </w:rPr>
        <w:t>范围内大气环境风险受体</w:t>
      </w:r>
    </w:p>
    <w:tbl>
      <w:tblPr>
        <w:tblStyle w:val="3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537"/>
        <w:gridCol w:w="1674"/>
        <w:gridCol w:w="987"/>
        <w:gridCol w:w="951"/>
        <w:gridCol w:w="1159"/>
        <w:gridCol w:w="1574"/>
        <w:gridCol w:w="1839"/>
      </w:tblGrid>
      <w:tr w14:paraId="0C145D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restart"/>
            <w:tcBorders>
              <w:tl2br w:val="nil"/>
              <w:tr2bl w:val="nil"/>
            </w:tcBorders>
            <w:noWrap w:val="0"/>
            <w:vAlign w:val="center"/>
          </w:tcPr>
          <w:p w14:paraId="022BD7F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w:t>
            </w:r>
          </w:p>
          <w:p w14:paraId="59894AE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要素</w:t>
            </w:r>
          </w:p>
        </w:tc>
        <w:tc>
          <w:tcPr>
            <w:tcW w:w="1178" w:type="pct"/>
            <w:gridSpan w:val="2"/>
            <w:tcBorders>
              <w:tl2br w:val="nil"/>
              <w:tr2bl w:val="nil"/>
            </w:tcBorders>
            <w:noWrap w:val="0"/>
            <w:vAlign w:val="center"/>
          </w:tcPr>
          <w:p w14:paraId="10C1FE8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环境保护对象名称</w:t>
            </w:r>
          </w:p>
        </w:tc>
        <w:tc>
          <w:tcPr>
            <w:tcW w:w="526" w:type="pct"/>
            <w:vMerge w:val="restart"/>
            <w:tcBorders>
              <w:tl2br w:val="nil"/>
              <w:tr2bl w:val="nil"/>
            </w:tcBorders>
            <w:noWrap w:val="0"/>
            <w:vAlign w:val="center"/>
          </w:tcPr>
          <w:p w14:paraId="02C5737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方位</w:t>
            </w:r>
          </w:p>
        </w:tc>
        <w:tc>
          <w:tcPr>
            <w:tcW w:w="507" w:type="pct"/>
            <w:vMerge w:val="restart"/>
            <w:tcBorders>
              <w:tl2br w:val="nil"/>
              <w:tr2bl w:val="nil"/>
            </w:tcBorders>
            <w:noWrap w:val="0"/>
            <w:vAlign w:val="center"/>
          </w:tcPr>
          <w:p w14:paraId="624867C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距项目厂界最近距离（m）</w:t>
            </w:r>
          </w:p>
        </w:tc>
        <w:tc>
          <w:tcPr>
            <w:tcW w:w="618" w:type="pct"/>
            <w:vMerge w:val="restart"/>
            <w:tcBorders>
              <w:tl2br w:val="nil"/>
              <w:tr2bl w:val="nil"/>
            </w:tcBorders>
            <w:noWrap w:val="0"/>
            <w:vAlign w:val="center"/>
          </w:tcPr>
          <w:p w14:paraId="5266C98E">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规模（人）</w:t>
            </w:r>
          </w:p>
        </w:tc>
        <w:tc>
          <w:tcPr>
            <w:tcW w:w="839" w:type="pct"/>
            <w:vMerge w:val="restart"/>
            <w:tcBorders>
              <w:tl2br w:val="nil"/>
              <w:tr2bl w:val="nil"/>
            </w:tcBorders>
            <w:noWrap w:val="0"/>
            <w:vAlign w:val="center"/>
          </w:tcPr>
          <w:p w14:paraId="239971D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eastAsia" w:ascii="Times New Roman" w:eastAsia="宋体" w:cs="Times New Roman"/>
                <w:b/>
                <w:bCs/>
                <w:color w:val="auto"/>
                <w:sz w:val="21"/>
                <w:szCs w:val="21"/>
                <w:vertAlign w:val="baseline"/>
                <w:lang w:val="en-US" w:eastAsia="zh-CN" w:bidi="ar-SA"/>
              </w:rPr>
              <w:t>联系方式</w:t>
            </w:r>
          </w:p>
        </w:tc>
        <w:tc>
          <w:tcPr>
            <w:tcW w:w="980" w:type="pct"/>
            <w:vMerge w:val="restart"/>
            <w:tcBorders>
              <w:tl2br w:val="nil"/>
              <w:tr2bl w:val="nil"/>
            </w:tcBorders>
            <w:noWrap w:val="0"/>
            <w:vAlign w:val="center"/>
          </w:tcPr>
          <w:p w14:paraId="02205B6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环境功能</w:t>
            </w:r>
          </w:p>
        </w:tc>
      </w:tr>
      <w:tr w14:paraId="0D394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2E01B55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6" w:type="pct"/>
            <w:tcBorders>
              <w:tl2br w:val="nil"/>
              <w:tr2bl w:val="nil"/>
            </w:tcBorders>
            <w:noWrap w:val="0"/>
            <w:vAlign w:val="center"/>
          </w:tcPr>
          <w:p w14:paraId="73F160D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序号</w:t>
            </w:r>
          </w:p>
        </w:tc>
        <w:tc>
          <w:tcPr>
            <w:tcW w:w="891" w:type="pct"/>
            <w:tcBorders>
              <w:tl2br w:val="nil"/>
              <w:tr2bl w:val="nil"/>
            </w:tcBorders>
            <w:noWrap w:val="0"/>
            <w:vAlign w:val="center"/>
          </w:tcPr>
          <w:p w14:paraId="3CBE0F7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敏感点</w:t>
            </w:r>
          </w:p>
        </w:tc>
        <w:tc>
          <w:tcPr>
            <w:tcW w:w="526" w:type="pct"/>
            <w:vMerge w:val="continue"/>
            <w:tcBorders>
              <w:tl2br w:val="nil"/>
              <w:tr2bl w:val="nil"/>
            </w:tcBorders>
            <w:noWrap w:val="0"/>
            <w:vAlign w:val="center"/>
          </w:tcPr>
          <w:p w14:paraId="5C57927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507" w:type="pct"/>
            <w:vMerge w:val="continue"/>
            <w:tcBorders>
              <w:tl2br w:val="nil"/>
              <w:tr2bl w:val="nil"/>
            </w:tcBorders>
            <w:noWrap w:val="0"/>
            <w:vAlign w:val="center"/>
          </w:tcPr>
          <w:p w14:paraId="197E4AF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618" w:type="pct"/>
            <w:vMerge w:val="continue"/>
            <w:tcBorders>
              <w:tl2br w:val="nil"/>
              <w:tr2bl w:val="nil"/>
            </w:tcBorders>
            <w:noWrap w:val="0"/>
            <w:vAlign w:val="center"/>
          </w:tcPr>
          <w:p w14:paraId="4AC55AC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839" w:type="pct"/>
            <w:vMerge w:val="continue"/>
            <w:tcBorders>
              <w:tl2br w:val="nil"/>
              <w:tr2bl w:val="nil"/>
            </w:tcBorders>
            <w:noWrap w:val="0"/>
            <w:vAlign w:val="center"/>
          </w:tcPr>
          <w:p w14:paraId="0B364A6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980" w:type="pct"/>
            <w:vMerge w:val="continue"/>
            <w:tcBorders>
              <w:tl2br w:val="nil"/>
              <w:tr2bl w:val="nil"/>
            </w:tcBorders>
            <w:noWrap w:val="0"/>
            <w:vAlign w:val="center"/>
          </w:tcPr>
          <w:p w14:paraId="69530D4E">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4E03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3393011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6" w:type="pct"/>
            <w:tcBorders>
              <w:tl2br w:val="nil"/>
              <w:tr2bl w:val="nil"/>
            </w:tcBorders>
            <w:noWrap w:val="0"/>
            <w:vAlign w:val="center"/>
          </w:tcPr>
          <w:p w14:paraId="0D55DC2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w:t>
            </w:r>
          </w:p>
        </w:tc>
        <w:tc>
          <w:tcPr>
            <w:tcW w:w="891" w:type="pct"/>
            <w:tcBorders>
              <w:tl2br w:val="nil"/>
              <w:tr2bl w:val="nil"/>
            </w:tcBorders>
            <w:noWrap w:val="0"/>
            <w:vAlign w:val="center"/>
          </w:tcPr>
          <w:p w14:paraId="28379CAE">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olor w:val="auto"/>
                <w:kern w:val="0"/>
                <w:sz w:val="21"/>
                <w:szCs w:val="21"/>
                <w:highlight w:val="none"/>
                <w:lang w:val="en-US" w:eastAsia="zh-CN"/>
              </w:rPr>
              <w:t>南通佳卫机械科技有限公司</w:t>
            </w:r>
          </w:p>
        </w:tc>
        <w:tc>
          <w:tcPr>
            <w:tcW w:w="526" w:type="pct"/>
            <w:tcBorders>
              <w:tl2br w:val="nil"/>
              <w:tr2bl w:val="nil"/>
            </w:tcBorders>
            <w:noWrap w:val="0"/>
            <w:vAlign w:val="center"/>
          </w:tcPr>
          <w:p w14:paraId="5B30FCD3">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N</w:t>
            </w:r>
          </w:p>
        </w:tc>
        <w:tc>
          <w:tcPr>
            <w:tcW w:w="507" w:type="pct"/>
            <w:tcBorders>
              <w:tl2br w:val="nil"/>
              <w:tr2bl w:val="nil"/>
            </w:tcBorders>
            <w:noWrap w:val="0"/>
            <w:vAlign w:val="center"/>
          </w:tcPr>
          <w:p w14:paraId="51FB1175">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10</w:t>
            </w:r>
          </w:p>
        </w:tc>
        <w:tc>
          <w:tcPr>
            <w:tcW w:w="618" w:type="pct"/>
            <w:tcBorders>
              <w:tl2br w:val="nil"/>
              <w:tr2bl w:val="nil"/>
            </w:tcBorders>
            <w:noWrap w:val="0"/>
            <w:vAlign w:val="center"/>
          </w:tcPr>
          <w:p w14:paraId="0C6945BA">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50</w:t>
            </w:r>
          </w:p>
        </w:tc>
        <w:tc>
          <w:tcPr>
            <w:tcW w:w="839" w:type="pct"/>
            <w:tcBorders>
              <w:tl2br w:val="nil"/>
              <w:tr2bl w:val="nil"/>
            </w:tcBorders>
            <w:noWrap w:val="0"/>
            <w:vAlign w:val="center"/>
          </w:tcPr>
          <w:p w14:paraId="6475B17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980" w:type="pct"/>
            <w:vMerge w:val="restart"/>
            <w:tcBorders>
              <w:tl2br w:val="nil"/>
              <w:tr2bl w:val="nil"/>
            </w:tcBorders>
            <w:noWrap w:val="0"/>
            <w:vAlign w:val="center"/>
          </w:tcPr>
          <w:p w14:paraId="66A0329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《环境空气质量标准》（GB3095-2012）中的二级标准</w:t>
            </w:r>
          </w:p>
        </w:tc>
      </w:tr>
      <w:tr w14:paraId="0C527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582B4CC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6" w:type="pct"/>
            <w:tcBorders>
              <w:tl2br w:val="nil"/>
              <w:tr2bl w:val="nil"/>
            </w:tcBorders>
            <w:noWrap w:val="0"/>
            <w:vAlign w:val="center"/>
          </w:tcPr>
          <w:p w14:paraId="0884DED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2</w:t>
            </w:r>
          </w:p>
        </w:tc>
        <w:tc>
          <w:tcPr>
            <w:tcW w:w="891" w:type="pct"/>
            <w:tcBorders>
              <w:tl2br w:val="nil"/>
              <w:tr2bl w:val="nil"/>
            </w:tcBorders>
            <w:noWrap w:val="0"/>
            <w:vAlign w:val="center"/>
          </w:tcPr>
          <w:p w14:paraId="3E462CE6">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江苏凤腾塑料有限公司</w:t>
            </w:r>
          </w:p>
        </w:tc>
        <w:tc>
          <w:tcPr>
            <w:tcW w:w="526" w:type="pct"/>
            <w:tcBorders>
              <w:tl2br w:val="nil"/>
              <w:tr2bl w:val="nil"/>
            </w:tcBorders>
            <w:noWrap w:val="0"/>
            <w:vAlign w:val="center"/>
          </w:tcPr>
          <w:p w14:paraId="0656B6D1">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E</w:t>
            </w:r>
          </w:p>
        </w:tc>
        <w:tc>
          <w:tcPr>
            <w:tcW w:w="507" w:type="pct"/>
            <w:tcBorders>
              <w:tl2br w:val="nil"/>
              <w:tr2bl w:val="nil"/>
            </w:tcBorders>
            <w:noWrap w:val="0"/>
            <w:vAlign w:val="center"/>
          </w:tcPr>
          <w:p w14:paraId="7BDE68E5">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317</w:t>
            </w:r>
          </w:p>
        </w:tc>
        <w:tc>
          <w:tcPr>
            <w:tcW w:w="618" w:type="pct"/>
            <w:tcBorders>
              <w:tl2br w:val="nil"/>
              <w:tr2bl w:val="nil"/>
            </w:tcBorders>
            <w:noWrap w:val="0"/>
            <w:vAlign w:val="center"/>
          </w:tcPr>
          <w:p w14:paraId="3193D17C">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50</w:t>
            </w:r>
          </w:p>
        </w:tc>
        <w:tc>
          <w:tcPr>
            <w:tcW w:w="839" w:type="pct"/>
            <w:tcBorders>
              <w:tl2br w:val="nil"/>
              <w:tr2bl w:val="nil"/>
            </w:tcBorders>
            <w:noWrap w:val="0"/>
            <w:vAlign w:val="center"/>
          </w:tcPr>
          <w:p w14:paraId="070173E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0513-88937388</w:t>
            </w:r>
          </w:p>
        </w:tc>
        <w:tc>
          <w:tcPr>
            <w:tcW w:w="980" w:type="pct"/>
            <w:vMerge w:val="continue"/>
            <w:tcBorders>
              <w:tl2br w:val="nil"/>
              <w:tr2bl w:val="nil"/>
            </w:tcBorders>
            <w:noWrap w:val="0"/>
            <w:vAlign w:val="center"/>
          </w:tcPr>
          <w:p w14:paraId="64D0761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B3BA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78B4BB8E">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6" w:type="pct"/>
            <w:tcBorders>
              <w:tl2br w:val="nil"/>
              <w:tr2bl w:val="nil"/>
            </w:tcBorders>
            <w:noWrap w:val="0"/>
            <w:vAlign w:val="center"/>
          </w:tcPr>
          <w:p w14:paraId="2EBFAE8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3</w:t>
            </w:r>
          </w:p>
        </w:tc>
        <w:tc>
          <w:tcPr>
            <w:tcW w:w="891" w:type="pct"/>
            <w:tcBorders>
              <w:tl2br w:val="nil"/>
              <w:tr2bl w:val="nil"/>
            </w:tcBorders>
            <w:noWrap w:val="0"/>
            <w:vAlign w:val="center"/>
          </w:tcPr>
          <w:p w14:paraId="344E7AF3">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江苏叙施建筑科技有限公司</w:t>
            </w:r>
          </w:p>
        </w:tc>
        <w:tc>
          <w:tcPr>
            <w:tcW w:w="526" w:type="pct"/>
            <w:tcBorders>
              <w:tl2br w:val="nil"/>
              <w:tr2bl w:val="nil"/>
            </w:tcBorders>
            <w:noWrap w:val="0"/>
            <w:vAlign w:val="center"/>
          </w:tcPr>
          <w:p w14:paraId="3CBD0BBC">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NE</w:t>
            </w:r>
          </w:p>
        </w:tc>
        <w:tc>
          <w:tcPr>
            <w:tcW w:w="507" w:type="pct"/>
            <w:tcBorders>
              <w:tl2br w:val="nil"/>
              <w:tr2bl w:val="nil"/>
            </w:tcBorders>
            <w:noWrap w:val="0"/>
            <w:vAlign w:val="center"/>
          </w:tcPr>
          <w:p w14:paraId="41F00A95">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448</w:t>
            </w:r>
          </w:p>
        </w:tc>
        <w:tc>
          <w:tcPr>
            <w:tcW w:w="618" w:type="pct"/>
            <w:tcBorders>
              <w:tl2br w:val="nil"/>
              <w:tr2bl w:val="nil"/>
            </w:tcBorders>
            <w:noWrap w:val="0"/>
            <w:vAlign w:val="center"/>
          </w:tcPr>
          <w:p w14:paraId="06D50E2A">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30</w:t>
            </w:r>
          </w:p>
        </w:tc>
        <w:tc>
          <w:tcPr>
            <w:tcW w:w="839" w:type="pct"/>
            <w:tcBorders>
              <w:tl2br w:val="nil"/>
              <w:tr2bl w:val="nil"/>
            </w:tcBorders>
            <w:noWrap w:val="0"/>
            <w:vAlign w:val="center"/>
          </w:tcPr>
          <w:p w14:paraId="159CB7E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18915501888</w:t>
            </w:r>
          </w:p>
        </w:tc>
        <w:tc>
          <w:tcPr>
            <w:tcW w:w="980" w:type="pct"/>
            <w:vMerge w:val="continue"/>
            <w:tcBorders>
              <w:tl2br w:val="nil"/>
              <w:tr2bl w:val="nil"/>
            </w:tcBorders>
            <w:noWrap w:val="0"/>
            <w:vAlign w:val="center"/>
          </w:tcPr>
          <w:p w14:paraId="695BD02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4ACF4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7D446D1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6" w:type="pct"/>
            <w:tcBorders>
              <w:tl2br w:val="nil"/>
              <w:tr2bl w:val="nil"/>
            </w:tcBorders>
            <w:noWrap w:val="0"/>
            <w:vAlign w:val="center"/>
          </w:tcPr>
          <w:p w14:paraId="26D9185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4</w:t>
            </w:r>
          </w:p>
        </w:tc>
        <w:tc>
          <w:tcPr>
            <w:tcW w:w="891" w:type="pct"/>
            <w:tcBorders>
              <w:tl2br w:val="nil"/>
              <w:tr2bl w:val="nil"/>
            </w:tcBorders>
            <w:noWrap w:val="0"/>
            <w:vAlign w:val="center"/>
          </w:tcPr>
          <w:p w14:paraId="73E0800D">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南通浩鸿包装材料有限公司</w:t>
            </w:r>
          </w:p>
        </w:tc>
        <w:tc>
          <w:tcPr>
            <w:tcW w:w="526" w:type="pct"/>
            <w:tcBorders>
              <w:tl2br w:val="nil"/>
              <w:tr2bl w:val="nil"/>
            </w:tcBorders>
            <w:noWrap w:val="0"/>
            <w:vAlign w:val="center"/>
          </w:tcPr>
          <w:p w14:paraId="7B1ED867">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S</w:t>
            </w:r>
          </w:p>
        </w:tc>
        <w:tc>
          <w:tcPr>
            <w:tcW w:w="507" w:type="pct"/>
            <w:tcBorders>
              <w:tl2br w:val="nil"/>
              <w:tr2bl w:val="nil"/>
            </w:tcBorders>
            <w:noWrap w:val="0"/>
            <w:vAlign w:val="center"/>
          </w:tcPr>
          <w:p w14:paraId="444A5100">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441</w:t>
            </w:r>
          </w:p>
        </w:tc>
        <w:tc>
          <w:tcPr>
            <w:tcW w:w="618" w:type="pct"/>
            <w:tcBorders>
              <w:tl2br w:val="nil"/>
              <w:tr2bl w:val="nil"/>
            </w:tcBorders>
            <w:noWrap w:val="0"/>
            <w:vAlign w:val="center"/>
          </w:tcPr>
          <w:p w14:paraId="24A881EB">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40</w:t>
            </w:r>
          </w:p>
        </w:tc>
        <w:tc>
          <w:tcPr>
            <w:tcW w:w="839" w:type="pct"/>
            <w:tcBorders>
              <w:tl2br w:val="nil"/>
              <w:tr2bl w:val="nil"/>
            </w:tcBorders>
            <w:noWrap w:val="0"/>
            <w:vAlign w:val="center"/>
          </w:tcPr>
          <w:p w14:paraId="3B721FE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w:t>
            </w:r>
          </w:p>
        </w:tc>
        <w:tc>
          <w:tcPr>
            <w:tcW w:w="980" w:type="pct"/>
            <w:vMerge w:val="continue"/>
            <w:tcBorders>
              <w:tl2br w:val="nil"/>
              <w:tr2bl w:val="nil"/>
            </w:tcBorders>
            <w:noWrap w:val="0"/>
            <w:vAlign w:val="center"/>
          </w:tcPr>
          <w:p w14:paraId="751D2CB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41D47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47DD8B2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6" w:type="pct"/>
            <w:tcBorders>
              <w:tl2br w:val="nil"/>
              <w:tr2bl w:val="nil"/>
            </w:tcBorders>
            <w:noWrap w:val="0"/>
            <w:vAlign w:val="center"/>
          </w:tcPr>
          <w:p w14:paraId="50E64A7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5</w:t>
            </w:r>
          </w:p>
        </w:tc>
        <w:tc>
          <w:tcPr>
            <w:tcW w:w="891" w:type="pct"/>
            <w:tcBorders>
              <w:tl2br w:val="nil"/>
              <w:tr2bl w:val="nil"/>
            </w:tcBorders>
            <w:noWrap w:val="0"/>
            <w:vAlign w:val="center"/>
          </w:tcPr>
          <w:p w14:paraId="47D31045">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江苏桂铭机械有限公司</w:t>
            </w:r>
          </w:p>
        </w:tc>
        <w:tc>
          <w:tcPr>
            <w:tcW w:w="526" w:type="pct"/>
            <w:tcBorders>
              <w:tl2br w:val="nil"/>
              <w:tr2bl w:val="nil"/>
            </w:tcBorders>
            <w:noWrap w:val="0"/>
            <w:vAlign w:val="center"/>
          </w:tcPr>
          <w:p w14:paraId="5576733B">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SE</w:t>
            </w:r>
          </w:p>
        </w:tc>
        <w:tc>
          <w:tcPr>
            <w:tcW w:w="507" w:type="pct"/>
            <w:tcBorders>
              <w:tl2br w:val="nil"/>
              <w:tr2bl w:val="nil"/>
            </w:tcBorders>
            <w:noWrap w:val="0"/>
            <w:vAlign w:val="center"/>
          </w:tcPr>
          <w:p w14:paraId="222C5EF2">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418</w:t>
            </w:r>
          </w:p>
        </w:tc>
        <w:tc>
          <w:tcPr>
            <w:tcW w:w="618" w:type="pct"/>
            <w:tcBorders>
              <w:tl2br w:val="nil"/>
              <w:tr2bl w:val="nil"/>
            </w:tcBorders>
            <w:noWrap w:val="0"/>
            <w:vAlign w:val="center"/>
          </w:tcPr>
          <w:p w14:paraId="0167E1F5">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40</w:t>
            </w:r>
          </w:p>
        </w:tc>
        <w:tc>
          <w:tcPr>
            <w:tcW w:w="839" w:type="pct"/>
            <w:tcBorders>
              <w:tl2br w:val="nil"/>
              <w:tr2bl w:val="nil"/>
            </w:tcBorders>
            <w:noWrap w:val="0"/>
            <w:vAlign w:val="center"/>
          </w:tcPr>
          <w:p w14:paraId="2BB5D53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15370605171</w:t>
            </w:r>
          </w:p>
        </w:tc>
        <w:tc>
          <w:tcPr>
            <w:tcW w:w="980" w:type="pct"/>
            <w:vMerge w:val="continue"/>
            <w:tcBorders>
              <w:tl2br w:val="nil"/>
              <w:tr2bl w:val="nil"/>
            </w:tcBorders>
            <w:noWrap w:val="0"/>
            <w:vAlign w:val="center"/>
          </w:tcPr>
          <w:p w14:paraId="6525A50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6B3EA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18695C5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6" w:type="pct"/>
            <w:tcBorders>
              <w:tl2br w:val="nil"/>
              <w:tr2bl w:val="nil"/>
            </w:tcBorders>
            <w:noWrap w:val="0"/>
            <w:vAlign w:val="center"/>
          </w:tcPr>
          <w:p w14:paraId="16B9E76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6</w:t>
            </w:r>
          </w:p>
        </w:tc>
        <w:tc>
          <w:tcPr>
            <w:tcW w:w="891" w:type="pct"/>
            <w:tcBorders>
              <w:tl2br w:val="nil"/>
              <w:tr2bl w:val="nil"/>
            </w:tcBorders>
            <w:noWrap w:val="0"/>
            <w:vAlign w:val="center"/>
          </w:tcPr>
          <w:p w14:paraId="479AFEC6">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南通聪茁新材料科技有限公司司</w:t>
            </w:r>
          </w:p>
        </w:tc>
        <w:tc>
          <w:tcPr>
            <w:tcW w:w="526" w:type="pct"/>
            <w:tcBorders>
              <w:tl2br w:val="nil"/>
              <w:tr2bl w:val="nil"/>
            </w:tcBorders>
            <w:noWrap w:val="0"/>
            <w:vAlign w:val="center"/>
          </w:tcPr>
          <w:p w14:paraId="0F4E6F4D">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t>
            </w:r>
          </w:p>
        </w:tc>
        <w:tc>
          <w:tcPr>
            <w:tcW w:w="507" w:type="pct"/>
            <w:tcBorders>
              <w:tl2br w:val="nil"/>
              <w:tr2bl w:val="nil"/>
            </w:tcBorders>
            <w:noWrap w:val="0"/>
            <w:vAlign w:val="center"/>
          </w:tcPr>
          <w:p w14:paraId="46754597">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307</w:t>
            </w:r>
          </w:p>
        </w:tc>
        <w:tc>
          <w:tcPr>
            <w:tcW w:w="618" w:type="pct"/>
            <w:tcBorders>
              <w:tl2br w:val="nil"/>
              <w:tr2bl w:val="nil"/>
            </w:tcBorders>
            <w:noWrap w:val="0"/>
            <w:vAlign w:val="center"/>
          </w:tcPr>
          <w:p w14:paraId="76041FE8">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40</w:t>
            </w:r>
          </w:p>
        </w:tc>
        <w:tc>
          <w:tcPr>
            <w:tcW w:w="839" w:type="pct"/>
            <w:tcBorders>
              <w:tl2br w:val="nil"/>
              <w:tr2bl w:val="nil"/>
            </w:tcBorders>
            <w:noWrap w:val="0"/>
            <w:vAlign w:val="center"/>
          </w:tcPr>
          <w:p w14:paraId="53B5D38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0513-88211181</w:t>
            </w:r>
          </w:p>
        </w:tc>
        <w:tc>
          <w:tcPr>
            <w:tcW w:w="980" w:type="pct"/>
            <w:vMerge w:val="continue"/>
            <w:tcBorders>
              <w:tl2br w:val="nil"/>
              <w:tr2bl w:val="nil"/>
            </w:tcBorders>
            <w:noWrap w:val="0"/>
            <w:vAlign w:val="center"/>
          </w:tcPr>
          <w:p w14:paraId="7D11F45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64077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51836A2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211" w:type="pct"/>
            <w:gridSpan w:val="4"/>
            <w:tcBorders>
              <w:tl2br w:val="nil"/>
              <w:tr2bl w:val="nil"/>
            </w:tcBorders>
            <w:noWrap w:val="0"/>
            <w:vAlign w:val="center"/>
          </w:tcPr>
          <w:p w14:paraId="123A885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总计人数</w:t>
            </w:r>
          </w:p>
        </w:tc>
        <w:tc>
          <w:tcPr>
            <w:tcW w:w="618" w:type="pct"/>
            <w:tcBorders>
              <w:tl2br w:val="nil"/>
              <w:tr2bl w:val="nil"/>
            </w:tcBorders>
            <w:noWrap w:val="0"/>
            <w:vAlign w:val="center"/>
          </w:tcPr>
          <w:p w14:paraId="297292F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839" w:type="pct"/>
            <w:tcBorders>
              <w:tl2br w:val="nil"/>
              <w:tr2bl w:val="nil"/>
            </w:tcBorders>
            <w:noWrap w:val="0"/>
            <w:vAlign w:val="center"/>
          </w:tcPr>
          <w:p w14:paraId="21D1716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w:t>
            </w:r>
          </w:p>
        </w:tc>
        <w:tc>
          <w:tcPr>
            <w:tcW w:w="980" w:type="pct"/>
            <w:vMerge w:val="continue"/>
            <w:tcBorders>
              <w:tl2br w:val="nil"/>
              <w:tr2bl w:val="nil"/>
            </w:tcBorders>
            <w:noWrap w:val="0"/>
            <w:vAlign w:val="center"/>
          </w:tcPr>
          <w:p w14:paraId="5CA4A7C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bl>
    <w:p w14:paraId="672DC8AD">
      <w:pPr>
        <w:adjustRightInd w:val="0"/>
        <w:snapToGrid w:val="0"/>
        <w:spacing w:line="480" w:lineRule="exact"/>
        <w:jc w:val="center"/>
        <w:rPr>
          <w:rFonts w:hint="default" w:ascii="Times New Roman" w:hAnsi="Times New Roman" w:eastAsia="宋体" w:cs="Times New Roman"/>
          <w:b/>
          <w:bCs/>
          <w:color w:val="000000" w:themeColor="text1"/>
          <w:highlight w:val="yellow"/>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表3-</w:t>
      </w:r>
      <w:r>
        <w:rPr>
          <w:rFonts w:hint="eastAsia" w:eastAsia="宋体" w:cs="Times New Roman"/>
          <w:b/>
          <w:bCs/>
          <w:color w:val="000000" w:themeColor="text1"/>
          <w:highlight w:val="none"/>
          <w:lang w:val="en-US" w:eastAsia="zh-CN"/>
          <w14:textFill>
            <w14:solidFill>
              <w14:schemeClr w14:val="tx1"/>
            </w14:solidFill>
          </w14:textFill>
        </w:rPr>
        <w:t>5</w: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begin"/>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separate"/>
      </w:r>
      <w:r>
        <w:rPr>
          <w:rStyle w:val="39"/>
          <w:rFonts w:hint="eastAsia" w:eastAsia="宋体" w:cs="Times New Roman"/>
          <w:b/>
          <w:bCs/>
          <w:i w:val="0"/>
          <w:iCs w:val="0"/>
          <w:caps w:val="0"/>
          <w:color w:val="000000" w:themeColor="text1"/>
          <w:spacing w:val="0"/>
          <w:sz w:val="24"/>
          <w:szCs w:val="24"/>
          <w:highlight w:val="none"/>
          <w:u w:val="none"/>
          <w:lang w:eastAsia="zh-CN"/>
          <w14:textFill>
            <w14:solidFill>
              <w14:schemeClr w14:val="tx1"/>
            </w14:solidFill>
          </w14:textFill>
        </w:rPr>
        <w:t>孟泉环保新能源</w:t>
      </w:r>
      <w:r>
        <w:rPr>
          <w:rFonts w:hint="default"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end"/>
      </w:r>
      <w:r>
        <w:rPr>
          <w:rFonts w:hint="default" w:ascii="Times New Roman" w:hAnsi="Times New Roman" w:eastAsia="宋体" w:cs="Times New Roman"/>
          <w:b/>
          <w:bCs/>
          <w:color w:val="000000" w:themeColor="text1"/>
          <w:highlight w:val="none"/>
          <w14:textFill>
            <w14:solidFill>
              <w14:schemeClr w14:val="tx1"/>
            </w14:solidFill>
          </w14:textFill>
        </w:rPr>
        <w:t>周边5公里范围内大气环境风险受体</w:t>
      </w:r>
    </w:p>
    <w:tbl>
      <w:tblPr>
        <w:tblStyle w:val="3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689"/>
        <w:gridCol w:w="2058"/>
        <w:gridCol w:w="1231"/>
        <w:gridCol w:w="1186"/>
        <w:gridCol w:w="1441"/>
        <w:gridCol w:w="1942"/>
      </w:tblGrid>
      <w:tr w14:paraId="2208D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restart"/>
            <w:tcBorders>
              <w:tl2br w:val="nil"/>
              <w:tr2bl w:val="nil"/>
            </w:tcBorders>
            <w:noWrap w:val="0"/>
            <w:vAlign w:val="center"/>
          </w:tcPr>
          <w:p w14:paraId="3DE6A5D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bookmarkStart w:id="64" w:name="_Toc16025"/>
            <w:bookmarkStart w:id="65" w:name="_Toc510092935"/>
            <w:bookmarkStart w:id="66" w:name="_Toc3725"/>
            <w:bookmarkStart w:id="67" w:name="_Toc24780"/>
            <w:r>
              <w:rPr>
                <w:rFonts w:hint="default" w:ascii="Times New Roman" w:hAnsi="Times New Roman" w:eastAsia="宋体" w:cs="Times New Roman"/>
                <w:b/>
                <w:bCs/>
                <w:color w:val="auto"/>
                <w:sz w:val="21"/>
                <w:szCs w:val="21"/>
                <w:vertAlign w:val="baseline"/>
                <w:lang w:val="en-US" w:eastAsia="zh-CN" w:bidi="ar-SA"/>
              </w:rPr>
              <w:t>环境</w:t>
            </w:r>
          </w:p>
          <w:p w14:paraId="44861E8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要素</w:t>
            </w:r>
          </w:p>
        </w:tc>
        <w:tc>
          <w:tcPr>
            <w:tcW w:w="1464" w:type="pct"/>
            <w:gridSpan w:val="2"/>
            <w:tcBorders>
              <w:tl2br w:val="nil"/>
              <w:tr2bl w:val="nil"/>
            </w:tcBorders>
            <w:noWrap w:val="0"/>
            <w:vAlign w:val="center"/>
          </w:tcPr>
          <w:p w14:paraId="4FE72A1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环境保护对象名称</w:t>
            </w:r>
          </w:p>
        </w:tc>
        <w:tc>
          <w:tcPr>
            <w:tcW w:w="656" w:type="pct"/>
            <w:vMerge w:val="restart"/>
            <w:tcBorders>
              <w:tl2br w:val="nil"/>
              <w:tr2bl w:val="nil"/>
            </w:tcBorders>
            <w:noWrap w:val="0"/>
            <w:vAlign w:val="center"/>
          </w:tcPr>
          <w:p w14:paraId="53929DA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方位</w:t>
            </w:r>
          </w:p>
        </w:tc>
        <w:tc>
          <w:tcPr>
            <w:tcW w:w="631" w:type="pct"/>
            <w:vMerge w:val="restart"/>
            <w:tcBorders>
              <w:tl2br w:val="nil"/>
              <w:tr2bl w:val="nil"/>
            </w:tcBorders>
            <w:noWrap w:val="0"/>
            <w:vAlign w:val="center"/>
          </w:tcPr>
          <w:p w14:paraId="149863A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距项目厂界最近距离（m）</w:t>
            </w:r>
          </w:p>
        </w:tc>
        <w:tc>
          <w:tcPr>
            <w:tcW w:w="768" w:type="pct"/>
            <w:vMerge w:val="restart"/>
            <w:tcBorders>
              <w:tl2br w:val="nil"/>
              <w:tr2bl w:val="nil"/>
            </w:tcBorders>
            <w:noWrap w:val="0"/>
            <w:vAlign w:val="center"/>
          </w:tcPr>
          <w:p w14:paraId="7108E82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规模（人）</w:t>
            </w:r>
          </w:p>
        </w:tc>
        <w:tc>
          <w:tcPr>
            <w:tcW w:w="1035" w:type="pct"/>
            <w:vMerge w:val="restart"/>
            <w:tcBorders>
              <w:tl2br w:val="nil"/>
              <w:tr2bl w:val="nil"/>
            </w:tcBorders>
            <w:noWrap w:val="0"/>
            <w:vAlign w:val="center"/>
          </w:tcPr>
          <w:p w14:paraId="4896018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环境功能</w:t>
            </w:r>
          </w:p>
        </w:tc>
      </w:tr>
      <w:tr w14:paraId="3F0E5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14:paraId="4838FD4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2047B31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序号</w:t>
            </w:r>
          </w:p>
        </w:tc>
        <w:tc>
          <w:tcPr>
            <w:tcW w:w="1097" w:type="pct"/>
            <w:tcBorders>
              <w:tl2br w:val="nil"/>
              <w:tr2bl w:val="nil"/>
            </w:tcBorders>
            <w:noWrap w:val="0"/>
            <w:vAlign w:val="center"/>
          </w:tcPr>
          <w:p w14:paraId="117280C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敏感点</w:t>
            </w:r>
          </w:p>
        </w:tc>
        <w:tc>
          <w:tcPr>
            <w:tcW w:w="656" w:type="pct"/>
            <w:vMerge w:val="continue"/>
            <w:tcBorders>
              <w:tl2br w:val="nil"/>
              <w:tr2bl w:val="nil"/>
            </w:tcBorders>
            <w:noWrap w:val="0"/>
            <w:vAlign w:val="center"/>
          </w:tcPr>
          <w:p w14:paraId="76ED4A2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631" w:type="pct"/>
            <w:vMerge w:val="continue"/>
            <w:tcBorders>
              <w:tl2br w:val="nil"/>
              <w:tr2bl w:val="nil"/>
            </w:tcBorders>
            <w:noWrap w:val="0"/>
            <w:vAlign w:val="center"/>
          </w:tcPr>
          <w:p w14:paraId="211D431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768" w:type="pct"/>
            <w:vMerge w:val="continue"/>
            <w:tcBorders>
              <w:tl2br w:val="nil"/>
              <w:tr2bl w:val="nil"/>
            </w:tcBorders>
            <w:noWrap w:val="0"/>
            <w:vAlign w:val="center"/>
          </w:tcPr>
          <w:p w14:paraId="6914D35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1035" w:type="pct"/>
            <w:vMerge w:val="continue"/>
            <w:tcBorders>
              <w:tl2br w:val="nil"/>
              <w:tr2bl w:val="nil"/>
            </w:tcBorders>
            <w:noWrap w:val="0"/>
            <w:vAlign w:val="center"/>
          </w:tcPr>
          <w:p w14:paraId="0F4A011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1A857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14:paraId="29627FF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53299EC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w:t>
            </w:r>
          </w:p>
        </w:tc>
        <w:tc>
          <w:tcPr>
            <w:tcW w:w="1097" w:type="pct"/>
            <w:tcBorders>
              <w:tl2br w:val="nil"/>
              <w:tr2bl w:val="nil"/>
            </w:tcBorders>
            <w:noWrap w:val="0"/>
            <w:vAlign w:val="center"/>
          </w:tcPr>
          <w:p w14:paraId="0E908BCF">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韦家墩</w:t>
            </w:r>
          </w:p>
        </w:tc>
        <w:tc>
          <w:tcPr>
            <w:tcW w:w="656" w:type="pct"/>
            <w:tcBorders>
              <w:tl2br w:val="nil"/>
              <w:tr2bl w:val="nil"/>
            </w:tcBorders>
            <w:noWrap w:val="0"/>
            <w:vAlign w:val="center"/>
          </w:tcPr>
          <w:p w14:paraId="4C06DFA3">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w:t>
            </w:r>
          </w:p>
        </w:tc>
        <w:tc>
          <w:tcPr>
            <w:tcW w:w="631" w:type="pct"/>
            <w:tcBorders>
              <w:tl2br w:val="nil"/>
              <w:tr2bl w:val="nil"/>
            </w:tcBorders>
            <w:noWrap w:val="0"/>
            <w:vAlign w:val="center"/>
          </w:tcPr>
          <w:p w14:paraId="472933A9">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253</w:t>
            </w:r>
          </w:p>
        </w:tc>
        <w:tc>
          <w:tcPr>
            <w:tcW w:w="768" w:type="pct"/>
            <w:tcBorders>
              <w:tl2br w:val="nil"/>
              <w:tr2bl w:val="nil"/>
            </w:tcBorders>
            <w:noWrap w:val="0"/>
            <w:vAlign w:val="center"/>
          </w:tcPr>
          <w:p w14:paraId="15AB7782">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2000</w:t>
            </w:r>
          </w:p>
        </w:tc>
        <w:tc>
          <w:tcPr>
            <w:tcW w:w="1035" w:type="pct"/>
            <w:vMerge w:val="restart"/>
            <w:tcBorders>
              <w:tl2br w:val="nil"/>
              <w:tr2bl w:val="nil"/>
            </w:tcBorders>
            <w:noWrap w:val="0"/>
            <w:vAlign w:val="center"/>
          </w:tcPr>
          <w:p w14:paraId="2BC9E70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《环境空气质量标准》（GB3095-2012）中的二级标准</w:t>
            </w:r>
          </w:p>
        </w:tc>
      </w:tr>
      <w:tr w14:paraId="12D56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43" w:type="pct"/>
            <w:vMerge w:val="continue"/>
            <w:tcBorders>
              <w:tl2br w:val="nil"/>
              <w:tr2bl w:val="nil"/>
            </w:tcBorders>
            <w:noWrap w:val="0"/>
            <w:vAlign w:val="center"/>
          </w:tcPr>
          <w:p w14:paraId="3A1A4AC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C26243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2</w:t>
            </w:r>
          </w:p>
        </w:tc>
        <w:tc>
          <w:tcPr>
            <w:tcW w:w="1097" w:type="pct"/>
            <w:tcBorders>
              <w:tl2br w:val="nil"/>
              <w:tr2bl w:val="nil"/>
            </w:tcBorders>
            <w:noWrap w:val="0"/>
            <w:vAlign w:val="center"/>
          </w:tcPr>
          <w:p w14:paraId="0A451588">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傅舍村</w:t>
            </w:r>
          </w:p>
        </w:tc>
        <w:tc>
          <w:tcPr>
            <w:tcW w:w="656" w:type="pct"/>
            <w:tcBorders>
              <w:tl2br w:val="nil"/>
              <w:tr2bl w:val="nil"/>
            </w:tcBorders>
            <w:noWrap w:val="0"/>
            <w:vAlign w:val="center"/>
          </w:tcPr>
          <w:p w14:paraId="28362279">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w:t>
            </w:r>
          </w:p>
        </w:tc>
        <w:tc>
          <w:tcPr>
            <w:tcW w:w="631" w:type="pct"/>
            <w:tcBorders>
              <w:tl2br w:val="nil"/>
              <w:tr2bl w:val="nil"/>
            </w:tcBorders>
            <w:noWrap w:val="0"/>
            <w:vAlign w:val="center"/>
          </w:tcPr>
          <w:p w14:paraId="264BDF92">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759</w:t>
            </w:r>
          </w:p>
        </w:tc>
        <w:tc>
          <w:tcPr>
            <w:tcW w:w="768" w:type="pct"/>
            <w:tcBorders>
              <w:tl2br w:val="nil"/>
              <w:tr2bl w:val="nil"/>
            </w:tcBorders>
            <w:noWrap w:val="0"/>
            <w:vAlign w:val="center"/>
          </w:tcPr>
          <w:p w14:paraId="28AE54C1">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3909</w:t>
            </w:r>
          </w:p>
        </w:tc>
        <w:tc>
          <w:tcPr>
            <w:tcW w:w="1035" w:type="pct"/>
            <w:vMerge w:val="continue"/>
            <w:tcBorders>
              <w:tl2br w:val="nil"/>
              <w:tr2bl w:val="nil"/>
            </w:tcBorders>
            <w:noWrap w:val="0"/>
            <w:vAlign w:val="center"/>
          </w:tcPr>
          <w:p w14:paraId="3063155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4909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14:paraId="0DF7183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70FEAA6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3</w:t>
            </w:r>
          </w:p>
        </w:tc>
        <w:tc>
          <w:tcPr>
            <w:tcW w:w="1097" w:type="pct"/>
            <w:tcBorders>
              <w:tl2br w:val="nil"/>
              <w:tr2bl w:val="nil"/>
            </w:tcBorders>
            <w:noWrap w:val="0"/>
            <w:vAlign w:val="center"/>
          </w:tcPr>
          <w:p w14:paraId="03E414E3">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墩北村</w:t>
            </w:r>
          </w:p>
        </w:tc>
        <w:tc>
          <w:tcPr>
            <w:tcW w:w="656" w:type="pct"/>
            <w:tcBorders>
              <w:tl2br w:val="nil"/>
              <w:tr2bl w:val="nil"/>
            </w:tcBorders>
            <w:noWrap w:val="0"/>
            <w:vAlign w:val="center"/>
          </w:tcPr>
          <w:p w14:paraId="6F1F85D1">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SE</w:t>
            </w:r>
          </w:p>
        </w:tc>
        <w:tc>
          <w:tcPr>
            <w:tcW w:w="631" w:type="pct"/>
            <w:tcBorders>
              <w:tl2br w:val="nil"/>
              <w:tr2bl w:val="nil"/>
            </w:tcBorders>
            <w:noWrap w:val="0"/>
            <w:vAlign w:val="center"/>
          </w:tcPr>
          <w:p w14:paraId="3931E946">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874</w:t>
            </w:r>
          </w:p>
        </w:tc>
        <w:tc>
          <w:tcPr>
            <w:tcW w:w="768" w:type="pct"/>
            <w:tcBorders>
              <w:tl2br w:val="nil"/>
              <w:tr2bl w:val="nil"/>
            </w:tcBorders>
            <w:noWrap w:val="0"/>
            <w:vAlign w:val="center"/>
          </w:tcPr>
          <w:p w14:paraId="7B0D2AA6">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3828</w:t>
            </w:r>
          </w:p>
        </w:tc>
        <w:tc>
          <w:tcPr>
            <w:tcW w:w="1035" w:type="pct"/>
            <w:vMerge w:val="continue"/>
            <w:tcBorders>
              <w:tl2br w:val="nil"/>
              <w:tr2bl w:val="nil"/>
            </w:tcBorders>
            <w:noWrap w:val="0"/>
            <w:vAlign w:val="center"/>
          </w:tcPr>
          <w:p w14:paraId="3E6159E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37F15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43" w:type="pct"/>
            <w:vMerge w:val="continue"/>
            <w:tcBorders>
              <w:tl2br w:val="nil"/>
              <w:tr2bl w:val="nil"/>
            </w:tcBorders>
            <w:noWrap w:val="0"/>
            <w:vAlign w:val="center"/>
          </w:tcPr>
          <w:p w14:paraId="694DA95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2278AC2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4</w:t>
            </w:r>
          </w:p>
        </w:tc>
        <w:tc>
          <w:tcPr>
            <w:tcW w:w="1097" w:type="pct"/>
            <w:tcBorders>
              <w:tl2br w:val="nil"/>
              <w:tr2bl w:val="nil"/>
            </w:tcBorders>
            <w:noWrap w:val="0"/>
            <w:vAlign w:val="center"/>
          </w:tcPr>
          <w:p w14:paraId="631E99CE">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张家尖</w:t>
            </w:r>
          </w:p>
        </w:tc>
        <w:tc>
          <w:tcPr>
            <w:tcW w:w="656" w:type="pct"/>
            <w:tcBorders>
              <w:tl2br w:val="nil"/>
              <w:tr2bl w:val="nil"/>
            </w:tcBorders>
            <w:noWrap w:val="0"/>
            <w:vAlign w:val="center"/>
          </w:tcPr>
          <w:p w14:paraId="2CDA9E5B">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NE</w:t>
            </w:r>
          </w:p>
        </w:tc>
        <w:tc>
          <w:tcPr>
            <w:tcW w:w="631" w:type="pct"/>
            <w:tcBorders>
              <w:tl2br w:val="nil"/>
              <w:tr2bl w:val="nil"/>
            </w:tcBorders>
            <w:noWrap w:val="0"/>
            <w:vAlign w:val="center"/>
          </w:tcPr>
          <w:p w14:paraId="1A17D431">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670</w:t>
            </w:r>
          </w:p>
        </w:tc>
        <w:tc>
          <w:tcPr>
            <w:tcW w:w="768" w:type="pct"/>
            <w:tcBorders>
              <w:tl2br w:val="nil"/>
              <w:tr2bl w:val="nil"/>
            </w:tcBorders>
            <w:noWrap w:val="0"/>
            <w:vAlign w:val="center"/>
          </w:tcPr>
          <w:p w14:paraId="14C86570">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3085</w:t>
            </w:r>
          </w:p>
        </w:tc>
        <w:tc>
          <w:tcPr>
            <w:tcW w:w="1035" w:type="pct"/>
            <w:vMerge w:val="continue"/>
            <w:tcBorders>
              <w:tl2br w:val="nil"/>
              <w:tr2bl w:val="nil"/>
            </w:tcBorders>
            <w:noWrap w:val="0"/>
            <w:vAlign w:val="center"/>
          </w:tcPr>
          <w:p w14:paraId="0B029F6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9C45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14:paraId="714A493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375BCE8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5</w:t>
            </w:r>
          </w:p>
        </w:tc>
        <w:tc>
          <w:tcPr>
            <w:tcW w:w="1097" w:type="pct"/>
            <w:tcBorders>
              <w:tl2br w:val="nil"/>
              <w:tr2bl w:val="nil"/>
            </w:tcBorders>
            <w:noWrap w:val="0"/>
            <w:vAlign w:val="center"/>
          </w:tcPr>
          <w:p w14:paraId="0501B0A7">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瓦甸村委会</w:t>
            </w:r>
          </w:p>
        </w:tc>
        <w:tc>
          <w:tcPr>
            <w:tcW w:w="656" w:type="pct"/>
            <w:tcBorders>
              <w:tl2br w:val="nil"/>
              <w:tr2bl w:val="nil"/>
            </w:tcBorders>
            <w:noWrap w:val="0"/>
            <w:vAlign w:val="center"/>
          </w:tcPr>
          <w:p w14:paraId="721C44EC">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NW</w:t>
            </w:r>
          </w:p>
        </w:tc>
        <w:tc>
          <w:tcPr>
            <w:tcW w:w="631" w:type="pct"/>
            <w:tcBorders>
              <w:tl2br w:val="nil"/>
              <w:tr2bl w:val="nil"/>
            </w:tcBorders>
            <w:noWrap w:val="0"/>
            <w:vAlign w:val="center"/>
          </w:tcPr>
          <w:p w14:paraId="3135C92C">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1227</w:t>
            </w:r>
          </w:p>
        </w:tc>
        <w:tc>
          <w:tcPr>
            <w:tcW w:w="768" w:type="pct"/>
            <w:tcBorders>
              <w:tl2br w:val="nil"/>
              <w:tr2bl w:val="nil"/>
            </w:tcBorders>
            <w:noWrap w:val="0"/>
            <w:vAlign w:val="center"/>
          </w:tcPr>
          <w:p w14:paraId="564E368D">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260</w:t>
            </w:r>
          </w:p>
        </w:tc>
        <w:tc>
          <w:tcPr>
            <w:tcW w:w="1035" w:type="pct"/>
            <w:vMerge w:val="continue"/>
            <w:tcBorders>
              <w:tl2br w:val="nil"/>
              <w:tr2bl w:val="nil"/>
            </w:tcBorders>
            <w:noWrap w:val="0"/>
            <w:vAlign w:val="center"/>
          </w:tcPr>
          <w:p w14:paraId="00A80F4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4A544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14:paraId="070B04D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558F41C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6</w:t>
            </w:r>
          </w:p>
        </w:tc>
        <w:tc>
          <w:tcPr>
            <w:tcW w:w="1097" w:type="pct"/>
            <w:tcBorders>
              <w:tl2br w:val="nil"/>
              <w:tr2bl w:val="nil"/>
            </w:tcBorders>
            <w:noWrap w:val="0"/>
            <w:vAlign w:val="center"/>
          </w:tcPr>
          <w:p w14:paraId="068E530B">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瓦甸村</w:t>
            </w:r>
          </w:p>
        </w:tc>
        <w:tc>
          <w:tcPr>
            <w:tcW w:w="656" w:type="pct"/>
            <w:tcBorders>
              <w:tl2br w:val="nil"/>
              <w:tr2bl w:val="nil"/>
            </w:tcBorders>
            <w:noWrap w:val="0"/>
            <w:vAlign w:val="center"/>
          </w:tcPr>
          <w:p w14:paraId="6B1440C6">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E</w:t>
            </w:r>
          </w:p>
        </w:tc>
        <w:tc>
          <w:tcPr>
            <w:tcW w:w="631" w:type="pct"/>
            <w:tcBorders>
              <w:tl2br w:val="nil"/>
              <w:tr2bl w:val="nil"/>
            </w:tcBorders>
            <w:noWrap w:val="0"/>
            <w:vAlign w:val="center"/>
          </w:tcPr>
          <w:p w14:paraId="3CD82C1F">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1057</w:t>
            </w:r>
          </w:p>
        </w:tc>
        <w:tc>
          <w:tcPr>
            <w:tcW w:w="768" w:type="pct"/>
            <w:tcBorders>
              <w:tl2br w:val="nil"/>
              <w:tr2bl w:val="nil"/>
            </w:tcBorders>
            <w:noWrap w:val="0"/>
            <w:vAlign w:val="center"/>
          </w:tcPr>
          <w:p w14:paraId="631FD5F8">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3468</w:t>
            </w:r>
          </w:p>
        </w:tc>
        <w:tc>
          <w:tcPr>
            <w:tcW w:w="1035" w:type="pct"/>
            <w:vMerge w:val="continue"/>
            <w:tcBorders>
              <w:tl2br w:val="nil"/>
              <w:tr2bl w:val="nil"/>
            </w:tcBorders>
            <w:noWrap w:val="0"/>
            <w:vAlign w:val="center"/>
          </w:tcPr>
          <w:p w14:paraId="2C2B0BC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1270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14:paraId="1BF4080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512D102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7</w:t>
            </w:r>
          </w:p>
        </w:tc>
        <w:tc>
          <w:tcPr>
            <w:tcW w:w="1097" w:type="pct"/>
            <w:tcBorders>
              <w:tl2br w:val="nil"/>
              <w:tr2bl w:val="nil"/>
            </w:tcBorders>
            <w:noWrap w:val="0"/>
            <w:vAlign w:val="center"/>
          </w:tcPr>
          <w:p w14:paraId="3561E42A">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翟尖河</w:t>
            </w:r>
          </w:p>
        </w:tc>
        <w:tc>
          <w:tcPr>
            <w:tcW w:w="656" w:type="pct"/>
            <w:tcBorders>
              <w:tl2br w:val="nil"/>
              <w:tr2bl w:val="nil"/>
            </w:tcBorders>
            <w:noWrap w:val="0"/>
            <w:vAlign w:val="center"/>
          </w:tcPr>
          <w:p w14:paraId="15887CCE">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NE</w:t>
            </w:r>
          </w:p>
        </w:tc>
        <w:tc>
          <w:tcPr>
            <w:tcW w:w="631" w:type="pct"/>
            <w:tcBorders>
              <w:tl2br w:val="nil"/>
              <w:tr2bl w:val="nil"/>
            </w:tcBorders>
            <w:noWrap w:val="0"/>
            <w:vAlign w:val="center"/>
          </w:tcPr>
          <w:p w14:paraId="759CECFB">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1125</w:t>
            </w:r>
          </w:p>
        </w:tc>
        <w:tc>
          <w:tcPr>
            <w:tcW w:w="768" w:type="pct"/>
            <w:tcBorders>
              <w:tl2br w:val="nil"/>
              <w:tr2bl w:val="nil"/>
            </w:tcBorders>
            <w:noWrap w:val="0"/>
            <w:vAlign w:val="center"/>
          </w:tcPr>
          <w:p w14:paraId="2CF4A05D">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w:t>
            </w:r>
          </w:p>
        </w:tc>
        <w:tc>
          <w:tcPr>
            <w:tcW w:w="1035" w:type="pct"/>
            <w:vMerge w:val="continue"/>
            <w:tcBorders>
              <w:tl2br w:val="nil"/>
              <w:tr2bl w:val="nil"/>
            </w:tcBorders>
            <w:noWrap w:val="0"/>
            <w:vAlign w:val="center"/>
          </w:tcPr>
          <w:p w14:paraId="1C1C2AF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14F6A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continue"/>
            <w:tcBorders>
              <w:tl2br w:val="nil"/>
              <w:tr2bl w:val="nil"/>
            </w:tcBorders>
            <w:noWrap w:val="0"/>
            <w:vAlign w:val="center"/>
          </w:tcPr>
          <w:p w14:paraId="7D736F2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0D55721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8</w:t>
            </w:r>
          </w:p>
        </w:tc>
        <w:tc>
          <w:tcPr>
            <w:tcW w:w="1097" w:type="pct"/>
            <w:tcBorders>
              <w:tl2br w:val="nil"/>
              <w:tr2bl w:val="nil"/>
            </w:tcBorders>
            <w:noWrap w:val="0"/>
            <w:vAlign w:val="center"/>
          </w:tcPr>
          <w:p w14:paraId="1927F179">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丁庄河</w:t>
            </w:r>
          </w:p>
        </w:tc>
        <w:tc>
          <w:tcPr>
            <w:tcW w:w="656" w:type="pct"/>
            <w:tcBorders>
              <w:tl2br w:val="nil"/>
              <w:tr2bl w:val="nil"/>
            </w:tcBorders>
            <w:noWrap w:val="0"/>
            <w:vAlign w:val="center"/>
          </w:tcPr>
          <w:p w14:paraId="77B9013B">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E</w:t>
            </w:r>
          </w:p>
        </w:tc>
        <w:tc>
          <w:tcPr>
            <w:tcW w:w="631" w:type="pct"/>
            <w:tcBorders>
              <w:tl2br w:val="nil"/>
              <w:tr2bl w:val="nil"/>
            </w:tcBorders>
            <w:noWrap w:val="0"/>
            <w:vAlign w:val="center"/>
          </w:tcPr>
          <w:p w14:paraId="46A21D31">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987</w:t>
            </w:r>
          </w:p>
        </w:tc>
        <w:tc>
          <w:tcPr>
            <w:tcW w:w="768" w:type="pct"/>
            <w:tcBorders>
              <w:tl2br w:val="nil"/>
              <w:tr2bl w:val="nil"/>
            </w:tcBorders>
            <w:noWrap w:val="0"/>
            <w:vAlign w:val="center"/>
          </w:tcPr>
          <w:p w14:paraId="38751627">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w:t>
            </w:r>
          </w:p>
        </w:tc>
        <w:tc>
          <w:tcPr>
            <w:tcW w:w="1035" w:type="pct"/>
            <w:vMerge w:val="continue"/>
            <w:tcBorders>
              <w:tl2br w:val="nil"/>
              <w:tr2bl w:val="nil"/>
            </w:tcBorders>
            <w:noWrap w:val="0"/>
            <w:vAlign w:val="center"/>
          </w:tcPr>
          <w:p w14:paraId="106505EE">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37A3B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continue"/>
            <w:tcBorders>
              <w:tl2br w:val="nil"/>
              <w:tr2bl w:val="nil"/>
            </w:tcBorders>
            <w:noWrap w:val="0"/>
            <w:vAlign w:val="center"/>
          </w:tcPr>
          <w:p w14:paraId="70F8295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28CE4D6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9</w:t>
            </w:r>
          </w:p>
        </w:tc>
        <w:tc>
          <w:tcPr>
            <w:tcW w:w="1097" w:type="pct"/>
            <w:tcBorders>
              <w:tl2br w:val="nil"/>
              <w:tr2bl w:val="nil"/>
            </w:tcBorders>
            <w:noWrap w:val="0"/>
            <w:vAlign w:val="center"/>
          </w:tcPr>
          <w:p w14:paraId="7A5718E5">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新海村</w:t>
            </w:r>
          </w:p>
        </w:tc>
        <w:tc>
          <w:tcPr>
            <w:tcW w:w="656" w:type="pct"/>
            <w:tcBorders>
              <w:tl2br w:val="nil"/>
              <w:tr2bl w:val="nil"/>
            </w:tcBorders>
            <w:noWrap w:val="0"/>
            <w:vAlign w:val="center"/>
          </w:tcPr>
          <w:p w14:paraId="0017BEEE">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t>
            </w:r>
            <w:r>
              <w:rPr>
                <w:rFonts w:hint="default" w:eastAsia="宋体" w:cs="Times New Roman"/>
                <w:color w:val="auto"/>
                <w:kern w:val="0"/>
                <w:sz w:val="21"/>
                <w:szCs w:val="21"/>
                <w:highlight w:val="none"/>
                <w:lang w:val="en-US" w:eastAsia="zh-CN"/>
              </w:rPr>
              <w:t>W</w:t>
            </w:r>
          </w:p>
        </w:tc>
        <w:tc>
          <w:tcPr>
            <w:tcW w:w="631" w:type="pct"/>
            <w:tcBorders>
              <w:tl2br w:val="nil"/>
              <w:tr2bl w:val="nil"/>
            </w:tcBorders>
            <w:noWrap w:val="0"/>
            <w:vAlign w:val="center"/>
          </w:tcPr>
          <w:p w14:paraId="37D2E498">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1142</w:t>
            </w:r>
          </w:p>
        </w:tc>
        <w:tc>
          <w:tcPr>
            <w:tcW w:w="768" w:type="pct"/>
            <w:tcBorders>
              <w:tl2br w:val="nil"/>
              <w:tr2bl w:val="nil"/>
            </w:tcBorders>
            <w:noWrap w:val="0"/>
            <w:vAlign w:val="center"/>
          </w:tcPr>
          <w:p w14:paraId="0B803AF9">
            <w:pPr>
              <w:spacing w:before="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2234</w:t>
            </w:r>
          </w:p>
        </w:tc>
        <w:tc>
          <w:tcPr>
            <w:tcW w:w="1035" w:type="pct"/>
            <w:vMerge w:val="continue"/>
            <w:tcBorders>
              <w:tl2br w:val="nil"/>
              <w:tr2bl w:val="nil"/>
            </w:tcBorders>
            <w:noWrap w:val="0"/>
            <w:vAlign w:val="center"/>
          </w:tcPr>
          <w:p w14:paraId="07129B4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371C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continue"/>
            <w:tcBorders>
              <w:tl2br w:val="nil"/>
              <w:tr2bl w:val="nil"/>
            </w:tcBorders>
            <w:noWrap w:val="0"/>
            <w:vAlign w:val="center"/>
          </w:tcPr>
          <w:p w14:paraId="1525A20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2B11AA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10</w:t>
            </w:r>
          </w:p>
        </w:tc>
        <w:tc>
          <w:tcPr>
            <w:tcW w:w="1097" w:type="pct"/>
            <w:tcBorders>
              <w:tl2br w:val="nil"/>
              <w:tr2bl w:val="nil"/>
            </w:tcBorders>
            <w:noWrap w:val="0"/>
            <w:vAlign w:val="center"/>
          </w:tcPr>
          <w:p w14:paraId="7C8480C1">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王家圩子</w:t>
            </w:r>
          </w:p>
        </w:tc>
        <w:tc>
          <w:tcPr>
            <w:tcW w:w="656" w:type="pct"/>
            <w:tcBorders>
              <w:tl2br w:val="nil"/>
              <w:tr2bl w:val="nil"/>
            </w:tcBorders>
            <w:noWrap w:val="0"/>
            <w:vAlign w:val="center"/>
          </w:tcPr>
          <w:p w14:paraId="4430E058">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N</w:t>
            </w:r>
            <w:r>
              <w:rPr>
                <w:rFonts w:hint="eastAsia" w:eastAsia="宋体" w:cs="Times New Roman"/>
                <w:color w:val="auto"/>
                <w:kern w:val="0"/>
                <w:sz w:val="21"/>
                <w:szCs w:val="21"/>
                <w:highlight w:val="none"/>
                <w:lang w:val="en-US" w:eastAsia="zh-CN"/>
              </w:rPr>
              <w:t>E</w:t>
            </w:r>
          </w:p>
        </w:tc>
        <w:tc>
          <w:tcPr>
            <w:tcW w:w="631" w:type="pct"/>
            <w:tcBorders>
              <w:tl2br w:val="nil"/>
              <w:tr2bl w:val="nil"/>
            </w:tcBorders>
            <w:noWrap w:val="0"/>
            <w:vAlign w:val="center"/>
          </w:tcPr>
          <w:p w14:paraId="124D81C8">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1093</w:t>
            </w:r>
          </w:p>
        </w:tc>
        <w:tc>
          <w:tcPr>
            <w:tcW w:w="768" w:type="pct"/>
            <w:tcBorders>
              <w:tl2br w:val="nil"/>
              <w:tr2bl w:val="nil"/>
            </w:tcBorders>
            <w:noWrap w:val="0"/>
            <w:vAlign w:val="center"/>
          </w:tcPr>
          <w:p w14:paraId="31615149">
            <w:pPr>
              <w:spacing w:before="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3774</w:t>
            </w:r>
          </w:p>
        </w:tc>
        <w:tc>
          <w:tcPr>
            <w:tcW w:w="1035" w:type="pct"/>
            <w:vMerge w:val="continue"/>
            <w:tcBorders>
              <w:tl2br w:val="nil"/>
              <w:tr2bl w:val="nil"/>
            </w:tcBorders>
            <w:noWrap w:val="0"/>
            <w:vAlign w:val="center"/>
          </w:tcPr>
          <w:p w14:paraId="7C7579F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1408A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continue"/>
            <w:tcBorders>
              <w:tl2br w:val="nil"/>
              <w:tr2bl w:val="nil"/>
            </w:tcBorders>
            <w:noWrap w:val="0"/>
            <w:vAlign w:val="center"/>
          </w:tcPr>
          <w:p w14:paraId="7E46097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0D8195D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11</w:t>
            </w:r>
          </w:p>
        </w:tc>
        <w:tc>
          <w:tcPr>
            <w:tcW w:w="1097" w:type="pct"/>
            <w:tcBorders>
              <w:tl2br w:val="nil"/>
              <w:tr2bl w:val="nil"/>
            </w:tcBorders>
            <w:noWrap w:val="0"/>
            <w:vAlign w:val="center"/>
          </w:tcPr>
          <w:p w14:paraId="46D5F01C">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瓦南河</w:t>
            </w:r>
          </w:p>
        </w:tc>
        <w:tc>
          <w:tcPr>
            <w:tcW w:w="656" w:type="pct"/>
            <w:tcBorders>
              <w:tl2br w:val="nil"/>
              <w:tr2bl w:val="nil"/>
            </w:tcBorders>
            <w:noWrap w:val="0"/>
            <w:vAlign w:val="center"/>
          </w:tcPr>
          <w:p w14:paraId="7756CFA8">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t>
            </w:r>
          </w:p>
        </w:tc>
        <w:tc>
          <w:tcPr>
            <w:tcW w:w="631" w:type="pct"/>
            <w:tcBorders>
              <w:tl2br w:val="nil"/>
              <w:tr2bl w:val="nil"/>
            </w:tcBorders>
            <w:noWrap w:val="0"/>
            <w:vAlign w:val="center"/>
          </w:tcPr>
          <w:p w14:paraId="0F260EF6">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1327</w:t>
            </w:r>
          </w:p>
        </w:tc>
        <w:tc>
          <w:tcPr>
            <w:tcW w:w="768" w:type="pct"/>
            <w:tcBorders>
              <w:tl2br w:val="nil"/>
              <w:tr2bl w:val="nil"/>
            </w:tcBorders>
            <w:noWrap w:val="0"/>
            <w:vAlign w:val="center"/>
          </w:tcPr>
          <w:p w14:paraId="69A8DC60">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3896</w:t>
            </w:r>
          </w:p>
        </w:tc>
        <w:tc>
          <w:tcPr>
            <w:tcW w:w="1035" w:type="pct"/>
            <w:vMerge w:val="continue"/>
            <w:tcBorders>
              <w:tl2br w:val="nil"/>
              <w:tr2bl w:val="nil"/>
            </w:tcBorders>
            <w:noWrap w:val="0"/>
            <w:vAlign w:val="center"/>
          </w:tcPr>
          <w:p w14:paraId="68E3B7B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CCD9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14:paraId="56659F2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752" w:type="pct"/>
            <w:gridSpan w:val="4"/>
            <w:tcBorders>
              <w:tl2br w:val="nil"/>
              <w:tr2bl w:val="nil"/>
            </w:tcBorders>
            <w:noWrap w:val="0"/>
            <w:vAlign w:val="center"/>
          </w:tcPr>
          <w:p w14:paraId="5539867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总计人数</w:t>
            </w:r>
          </w:p>
        </w:tc>
        <w:tc>
          <w:tcPr>
            <w:tcW w:w="768" w:type="pct"/>
            <w:tcBorders>
              <w:tl2br w:val="nil"/>
              <w:tr2bl w:val="nil"/>
            </w:tcBorders>
            <w:noWrap w:val="0"/>
            <w:vAlign w:val="center"/>
          </w:tcPr>
          <w:p w14:paraId="3735395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约</w:t>
            </w:r>
            <w:r>
              <w:rPr>
                <w:rFonts w:hint="eastAsia" w:ascii="Times New Roman" w:eastAsia="宋体" w:cs="Times New Roman"/>
                <w:color w:val="auto"/>
                <w:sz w:val="21"/>
                <w:szCs w:val="21"/>
                <w:vertAlign w:val="baseline"/>
                <w:lang w:val="en-US" w:eastAsia="zh-CN" w:bidi="ar-SA"/>
              </w:rPr>
              <w:t>26454</w:t>
            </w:r>
            <w:r>
              <w:rPr>
                <w:rFonts w:hint="default" w:ascii="Times New Roman" w:hAnsi="Times New Roman" w:eastAsia="宋体" w:cs="Times New Roman"/>
                <w:color w:val="auto"/>
                <w:sz w:val="21"/>
                <w:szCs w:val="21"/>
                <w:vertAlign w:val="baseline"/>
                <w:lang w:val="en-US" w:eastAsia="zh-CN" w:bidi="ar-SA"/>
              </w:rPr>
              <w:t>人</w:t>
            </w:r>
          </w:p>
        </w:tc>
        <w:tc>
          <w:tcPr>
            <w:tcW w:w="1035" w:type="pct"/>
            <w:vMerge w:val="continue"/>
            <w:tcBorders>
              <w:tl2br w:val="nil"/>
              <w:tr2bl w:val="nil"/>
            </w:tcBorders>
            <w:noWrap w:val="0"/>
            <w:vAlign w:val="center"/>
          </w:tcPr>
          <w:p w14:paraId="38C9B60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bl>
    <w:p w14:paraId="5A89D817">
      <w:pPr>
        <w:pStyle w:val="5"/>
        <w:adjustRightInd w:val="0"/>
        <w:snapToGrid w:val="0"/>
        <w:spacing w:line="500" w:lineRule="exac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3.2.2水环境风险受体</w:t>
      </w:r>
      <w:bookmarkEnd w:id="64"/>
      <w:bookmarkEnd w:id="65"/>
      <w:bookmarkEnd w:id="66"/>
      <w:bookmarkEnd w:id="67"/>
    </w:p>
    <w:p w14:paraId="3464055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imes New Roman" w:hAnsi="Times New Roman" w:eastAsia="宋体" w:cs="Times New Roman"/>
          <w:b/>
          <w:bCs/>
          <w:color w:val="000000" w:themeColor="text1"/>
          <w14:textFill>
            <w14:solidFill>
              <w14:schemeClr w14:val="tx1"/>
            </w14:solidFill>
          </w14:textFill>
        </w:rPr>
      </w:pPr>
      <w:r>
        <w:rPr>
          <w:rFonts w:hint="eastAsia" w:eastAsia="宋体" w:cs="Times New Roman"/>
          <w:b/>
          <w:bCs/>
          <w:color w:val="000000" w:themeColor="text1"/>
          <w:lang w:val="en-US" w:eastAsia="zh-CN"/>
          <w14:textFill>
            <w14:solidFill>
              <w14:schemeClr w14:val="tx1"/>
            </w14:solidFill>
          </w14:textFill>
        </w:rPr>
        <w:t>3.2.2.1</w:t>
      </w:r>
      <w:r>
        <w:rPr>
          <w:rFonts w:hint="default" w:ascii="Times New Roman" w:hAnsi="Times New Roman" w:eastAsia="宋体" w:cs="Times New Roman"/>
          <w:b/>
          <w:bCs/>
          <w:color w:val="000000" w:themeColor="text1"/>
          <w14:textFill>
            <w14:solidFill>
              <w14:schemeClr w14:val="tx1"/>
            </w14:solidFill>
          </w14:textFill>
        </w:rPr>
        <w:t>地表水环境</w:t>
      </w:r>
    </w:p>
    <w:p w14:paraId="167AB7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建设项目实行雨污分流、清污分流。雨水经雨水管网收集后排入市政雨水管网；生活污水</w:t>
      </w:r>
      <w:r>
        <w:rPr>
          <w:rFonts w:hint="eastAsia" w:eastAsia="宋体" w:cs="Times New Roman"/>
          <w:color w:val="000000" w:themeColor="text1"/>
          <w:lang w:val="en-US" w:eastAsia="zh-CN"/>
          <w14:textFill>
            <w14:solidFill>
              <w14:schemeClr w14:val="tx1"/>
            </w14:solidFill>
          </w14:textFill>
        </w:rPr>
        <w:t>经</w:t>
      </w:r>
      <w:r>
        <w:rPr>
          <w:rFonts w:hint="default" w:ascii="Times New Roman" w:hAnsi="Times New Roman" w:eastAsia="宋体" w:cs="Times New Roman"/>
          <w:color w:val="000000" w:themeColor="text1"/>
          <w:lang w:val="en-US" w:eastAsia="zh-CN"/>
          <w14:textFill>
            <w14:solidFill>
              <w14:schemeClr w14:val="tx1"/>
            </w14:solidFill>
          </w14:textFill>
        </w:rPr>
        <w:t>化粪池处理，达标接管至</w:t>
      </w:r>
      <w:r>
        <w:rPr>
          <w:rFonts w:hint="eastAsia" w:eastAsia="宋体" w:cs="Times New Roman"/>
          <w:color w:val="000000" w:themeColor="text1"/>
          <w:lang w:val="en-US" w:eastAsia="zh-CN"/>
          <w14:textFill>
            <w14:solidFill>
              <w14:schemeClr w14:val="tx1"/>
            </w14:solidFill>
          </w14:textFill>
        </w:rPr>
        <w:t>海安市墩头镇污水处理厂</w:t>
      </w:r>
      <w:r>
        <w:rPr>
          <w:rFonts w:hint="default" w:ascii="Times New Roman" w:hAnsi="Times New Roman" w:eastAsia="宋体" w:cs="Times New Roman"/>
          <w:color w:val="000000" w:themeColor="text1"/>
          <w:lang w:val="en-US" w:eastAsia="zh-CN"/>
          <w14:textFill>
            <w14:solidFill>
              <w14:schemeClr w14:val="tx1"/>
            </w14:solidFill>
          </w14:textFill>
        </w:rPr>
        <w:t>集中处理，达标尾水排入</w:t>
      </w:r>
      <w:r>
        <w:rPr>
          <w:rFonts w:hint="eastAsia" w:eastAsia="宋体" w:cs="Times New Roman"/>
          <w:color w:val="000000" w:themeColor="text1"/>
          <w:lang w:val="en-US" w:eastAsia="zh-CN"/>
          <w14:textFill>
            <w14:solidFill>
              <w14:schemeClr w14:val="tx1"/>
            </w14:solidFill>
          </w14:textFill>
        </w:rPr>
        <w:t>胡墩河</w:t>
      </w:r>
      <w:r>
        <w:rPr>
          <w:rFonts w:hint="default" w:ascii="Times New Roman" w:hAnsi="Times New Roman" w:eastAsia="宋体" w:cs="Times New Roman"/>
          <w:color w:val="000000" w:themeColor="text1"/>
          <w:lang w:val="en-US" w:eastAsia="zh-CN"/>
          <w14:textFill>
            <w14:solidFill>
              <w14:schemeClr w14:val="tx1"/>
            </w14:solidFill>
          </w14:textFill>
        </w:rPr>
        <w:t>。</w:t>
      </w:r>
    </w:p>
    <w:p w14:paraId="39208F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公司位于</w:t>
      </w:r>
      <w:r>
        <w:rPr>
          <w:rFonts w:hint="eastAsia" w:eastAsia="宋体" w:cs="Times New Roman"/>
          <w:color w:val="000000" w:themeColor="text1"/>
          <w:lang w:eastAsia="zh-CN"/>
          <w14:textFill>
            <w14:solidFill>
              <w14:schemeClr w14:val="tx1"/>
            </w14:solidFill>
          </w14:textFill>
        </w:rPr>
        <w:t>江苏省南通市海安市墩头镇吉庆村五组的部分厂房</w:t>
      </w:r>
      <w:r>
        <w:rPr>
          <w:rFonts w:hint="default" w:ascii="Times New Roman" w:hAnsi="Times New Roman" w:eastAsia="宋体" w:cs="Times New Roman"/>
          <w:color w:val="000000" w:themeColor="text1"/>
          <w14:textFill>
            <w14:solidFill>
              <w14:schemeClr w14:val="tx1"/>
            </w14:solidFill>
          </w14:textFill>
        </w:rPr>
        <w:t>，根据调查，公司周边及下游10km范围内水环境风险受体分布详见表3</w:t>
      </w:r>
      <w:r>
        <w:rPr>
          <w:rFonts w:hint="eastAsia" w:eastAsia="宋体" w:cs="Times New Roman"/>
          <w:color w:val="000000" w:themeColor="text1"/>
          <w:lang w:val="en-US" w:eastAsia="zh-CN"/>
          <w14:textFill>
            <w14:solidFill>
              <w14:schemeClr w14:val="tx1"/>
            </w14:solidFill>
          </w14:textFill>
        </w:rPr>
        <w:t>-6</w:t>
      </w:r>
      <w:r>
        <w:rPr>
          <w:rFonts w:hint="default" w:ascii="Times New Roman" w:hAnsi="Times New Roman" w:eastAsia="宋体" w:cs="Times New Roman"/>
          <w:color w:val="000000" w:themeColor="text1"/>
          <w14:textFill>
            <w14:solidFill>
              <w14:schemeClr w14:val="tx1"/>
            </w14:solidFill>
          </w14:textFill>
        </w:rPr>
        <w:t>和水系图。</w:t>
      </w:r>
    </w:p>
    <w:p w14:paraId="4694F298">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表3-</w:t>
      </w:r>
      <w:r>
        <w:rPr>
          <w:rFonts w:hint="eastAsia" w:eastAsia="宋体" w:cs="Times New Roman"/>
          <w:b/>
          <w:bCs/>
          <w:lang w:val="en-US" w:eastAsia="zh-CN"/>
        </w:rPr>
        <w:t>6</w:t>
      </w:r>
      <w:r>
        <w:rPr>
          <w:rFonts w:hint="default" w:ascii="Times New Roman" w:hAnsi="Times New Roman" w:eastAsia="宋体" w:cs="Times New Roman"/>
          <w:b/>
          <w:bCs/>
        </w:rPr>
        <w:t>公司周边水环境</w:t>
      </w:r>
      <w:r>
        <w:rPr>
          <w:rFonts w:hint="eastAsia" w:eastAsia="宋体" w:cs="Times New Roman"/>
          <w:b/>
          <w:bCs/>
          <w:lang w:val="en-US" w:eastAsia="zh-CN"/>
        </w:rPr>
        <w:t>风险受体</w:t>
      </w:r>
      <w:r>
        <w:rPr>
          <w:rFonts w:hint="default" w:ascii="Times New Roman" w:hAnsi="Times New Roman" w:eastAsia="宋体" w:cs="Times New Roman"/>
          <w:b/>
          <w:bCs/>
        </w:rPr>
        <w:t>（</w:t>
      </w:r>
      <w:r>
        <w:rPr>
          <w:rFonts w:hint="default" w:ascii="Times New Roman" w:hAnsi="Times New Roman" w:eastAsia="宋体" w:cs="Times New Roman"/>
          <w:b/>
          <w:bCs/>
          <w:lang w:val="en-US"/>
        </w:rPr>
        <w:t>10</w:t>
      </w:r>
      <w:r>
        <w:rPr>
          <w:rFonts w:hint="default" w:ascii="Times New Roman" w:hAnsi="Times New Roman" w:eastAsia="宋体" w:cs="Times New Roman"/>
          <w:b/>
          <w:bCs/>
        </w:rPr>
        <w:t>公里）</w:t>
      </w:r>
    </w:p>
    <w:tbl>
      <w:tblPr>
        <w:tblStyle w:val="37"/>
        <w:tblW w:w="529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524"/>
        <w:gridCol w:w="758"/>
        <w:gridCol w:w="1067"/>
        <w:gridCol w:w="590"/>
        <w:gridCol w:w="3796"/>
      </w:tblGrid>
      <w:tr w14:paraId="00CE0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1" w:hRule="atLeast"/>
          <w:tblHeader/>
          <w:jc w:val="center"/>
        </w:trPr>
        <w:tc>
          <w:tcPr>
            <w:tcW w:w="1809" w:type="pct"/>
            <w:tcBorders>
              <w:tl2br w:val="nil"/>
              <w:tr2bl w:val="nil"/>
            </w:tcBorders>
            <w:vAlign w:val="center"/>
          </w:tcPr>
          <w:p w14:paraId="4E90A6FF">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水环境敏感目标</w:t>
            </w:r>
          </w:p>
        </w:tc>
        <w:tc>
          <w:tcPr>
            <w:tcW w:w="389" w:type="pct"/>
            <w:tcBorders>
              <w:tl2br w:val="nil"/>
              <w:tr2bl w:val="nil"/>
            </w:tcBorders>
            <w:vAlign w:val="center"/>
          </w:tcPr>
          <w:p w14:paraId="4E8A546B">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方位</w:t>
            </w:r>
          </w:p>
        </w:tc>
        <w:tc>
          <w:tcPr>
            <w:tcW w:w="548" w:type="pct"/>
            <w:tcBorders>
              <w:tl2br w:val="nil"/>
              <w:tr2bl w:val="nil"/>
            </w:tcBorders>
            <w:vAlign w:val="center"/>
          </w:tcPr>
          <w:p w14:paraId="30E534AB">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距离（m）</w:t>
            </w:r>
          </w:p>
        </w:tc>
        <w:tc>
          <w:tcPr>
            <w:tcW w:w="303" w:type="pct"/>
            <w:tcBorders>
              <w:tl2br w:val="nil"/>
              <w:tr2bl w:val="nil"/>
            </w:tcBorders>
            <w:vAlign w:val="center"/>
          </w:tcPr>
          <w:p w14:paraId="5076C008">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规模</w:t>
            </w:r>
          </w:p>
        </w:tc>
        <w:tc>
          <w:tcPr>
            <w:tcW w:w="1949" w:type="pct"/>
            <w:tcBorders>
              <w:tl2br w:val="nil"/>
              <w:tr2bl w:val="nil"/>
            </w:tcBorders>
            <w:vAlign w:val="center"/>
          </w:tcPr>
          <w:p w14:paraId="78EA3888">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环境功能</w:t>
            </w:r>
          </w:p>
        </w:tc>
      </w:tr>
      <w:tr w14:paraId="34DBC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9" w:type="pct"/>
            <w:vAlign w:val="center"/>
          </w:tcPr>
          <w:p w14:paraId="4062CD69">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eastAsia="宋体" w:cs="Times New Roman"/>
                <w:color w:val="auto"/>
                <w:kern w:val="0"/>
                <w:sz w:val="21"/>
                <w:szCs w:val="21"/>
                <w:highlight w:val="none"/>
                <w:lang w:val="en-US" w:eastAsia="zh-CN"/>
              </w:rPr>
              <w:t>翟尖河</w:t>
            </w:r>
          </w:p>
        </w:tc>
        <w:tc>
          <w:tcPr>
            <w:tcW w:w="389" w:type="pct"/>
            <w:vAlign w:val="center"/>
          </w:tcPr>
          <w:p w14:paraId="7D5CBB0A">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NE</w:t>
            </w:r>
          </w:p>
        </w:tc>
        <w:tc>
          <w:tcPr>
            <w:tcW w:w="548" w:type="pct"/>
            <w:vAlign w:val="center"/>
          </w:tcPr>
          <w:p w14:paraId="64C090FC">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980</w:t>
            </w:r>
          </w:p>
        </w:tc>
        <w:tc>
          <w:tcPr>
            <w:tcW w:w="303" w:type="pct"/>
            <w:vAlign w:val="center"/>
          </w:tcPr>
          <w:p w14:paraId="5F8A26E5">
            <w:pPr>
              <w:widowControl/>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大</w:t>
            </w:r>
            <w:r>
              <w:rPr>
                <w:rFonts w:hint="default" w:ascii="Times New Roman" w:hAnsi="Times New Roman" w:eastAsia="宋体" w:cs="Times New Roman"/>
                <w:color w:val="auto"/>
                <w:kern w:val="2"/>
                <w:sz w:val="21"/>
                <w:szCs w:val="21"/>
                <w:highlight w:val="none"/>
                <w:vertAlign w:val="baseline"/>
                <w:lang w:val="en-US" w:eastAsia="zh-CN" w:bidi="ar-SA"/>
              </w:rPr>
              <w:t>河</w:t>
            </w:r>
          </w:p>
        </w:tc>
        <w:tc>
          <w:tcPr>
            <w:tcW w:w="1949" w:type="pct"/>
            <w:vMerge w:val="restart"/>
            <w:vAlign w:val="center"/>
          </w:tcPr>
          <w:p w14:paraId="266CCAAF">
            <w:pPr>
              <w:tabs>
                <w:tab w:val="left" w:pos="1021"/>
              </w:tabs>
              <w:adjustRightInd w:val="0"/>
              <w:snapToGrid w:val="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《地表水环境质量标准》（GB3838-2002）中</w:t>
            </w:r>
            <w:r>
              <w:rPr>
                <w:rFonts w:hint="default" w:ascii="Times New Roman" w:hAnsi="Times New Roman" w:cs="Times New Roman"/>
                <w:szCs w:val="21"/>
                <w:lang w:val="en-US"/>
              </w:rPr>
              <w:t>Ⅲ</w:t>
            </w:r>
            <w:r>
              <w:rPr>
                <w:rFonts w:hint="default" w:ascii="Times New Roman" w:hAnsi="Times New Roman" w:eastAsia="宋体" w:cs="Times New Roman"/>
                <w:bCs/>
                <w:sz w:val="21"/>
                <w:szCs w:val="21"/>
                <w:highlight w:val="none"/>
              </w:rPr>
              <w:t>类标准</w:t>
            </w:r>
          </w:p>
        </w:tc>
      </w:tr>
      <w:tr w14:paraId="6EECA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9" w:type="pct"/>
            <w:vAlign w:val="center"/>
          </w:tcPr>
          <w:p w14:paraId="34447029">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eastAsia="宋体" w:cs="Times New Roman"/>
                <w:color w:val="auto"/>
                <w:kern w:val="0"/>
                <w:sz w:val="21"/>
                <w:szCs w:val="21"/>
                <w:highlight w:val="none"/>
                <w:lang w:val="en-US" w:eastAsia="zh-CN"/>
              </w:rPr>
              <w:t>瓦南河</w:t>
            </w:r>
          </w:p>
        </w:tc>
        <w:tc>
          <w:tcPr>
            <w:tcW w:w="389" w:type="pct"/>
            <w:vAlign w:val="center"/>
          </w:tcPr>
          <w:p w14:paraId="7B336077">
            <w:pPr>
              <w:pStyle w:val="140"/>
              <w:spacing w:before="0"/>
              <w:ind w:left="0" w:lef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w w:val="100"/>
                <w:sz w:val="21"/>
                <w:szCs w:val="21"/>
                <w:highlight w:val="none"/>
                <w:lang w:val="en-US" w:eastAsia="zh-CN"/>
              </w:rPr>
              <w:t>S</w:t>
            </w:r>
          </w:p>
        </w:tc>
        <w:tc>
          <w:tcPr>
            <w:tcW w:w="548" w:type="pct"/>
            <w:vAlign w:val="center"/>
          </w:tcPr>
          <w:p w14:paraId="31F1209A">
            <w:pPr>
              <w:pStyle w:val="140"/>
              <w:spacing w:before="0"/>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727</w:t>
            </w:r>
          </w:p>
        </w:tc>
        <w:tc>
          <w:tcPr>
            <w:tcW w:w="303" w:type="pct"/>
            <w:vAlign w:val="center"/>
          </w:tcPr>
          <w:p w14:paraId="3D8C8279">
            <w:pPr>
              <w:adjustRightInd w:val="0"/>
              <w:snapToGrid w:val="0"/>
              <w:jc w:val="center"/>
              <w:textAlignment w:val="baseline"/>
              <w:rPr>
                <w:rFonts w:hint="default" w:eastAsia="宋体" w:cs="Times New Roman"/>
                <w:color w:val="auto"/>
                <w:kern w:val="2"/>
                <w:sz w:val="21"/>
                <w:szCs w:val="21"/>
                <w:highlight w:val="none"/>
                <w:vertAlign w:val="baseline"/>
                <w:lang w:val="en-US" w:eastAsia="zh-CN" w:bidi="ar-SA"/>
              </w:rPr>
            </w:pPr>
            <w:r>
              <w:rPr>
                <w:rFonts w:hint="default" w:eastAsia="宋体" w:cs="Times New Roman"/>
                <w:color w:val="auto"/>
                <w:kern w:val="2"/>
                <w:sz w:val="21"/>
                <w:szCs w:val="21"/>
                <w:highlight w:val="none"/>
                <w:vertAlign w:val="baseline"/>
                <w:lang w:val="en-US" w:eastAsia="zh-CN" w:bidi="ar-SA"/>
              </w:rPr>
              <w:t>小河</w:t>
            </w:r>
          </w:p>
        </w:tc>
        <w:tc>
          <w:tcPr>
            <w:tcW w:w="1949" w:type="pct"/>
            <w:vMerge w:val="continue"/>
            <w:vAlign w:val="center"/>
          </w:tcPr>
          <w:p w14:paraId="19370418">
            <w:pPr>
              <w:adjustRightInd w:val="0"/>
              <w:snapToGrid w:val="0"/>
              <w:jc w:val="center"/>
              <w:textAlignment w:val="baseline"/>
              <w:rPr>
                <w:rFonts w:hint="default" w:ascii="Times New Roman" w:hAnsi="Times New Roman" w:eastAsia="宋体" w:cs="Times New Roman"/>
                <w:sz w:val="21"/>
                <w:szCs w:val="21"/>
                <w:highlight w:val="none"/>
              </w:rPr>
            </w:pPr>
          </w:p>
        </w:tc>
      </w:tr>
      <w:tr w14:paraId="51C5D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9" w:type="pct"/>
            <w:vAlign w:val="center"/>
          </w:tcPr>
          <w:p w14:paraId="28F8223C">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cs="宋体"/>
                <w:kern w:val="2"/>
                <w:sz w:val="21"/>
                <w:szCs w:val="24"/>
                <w:lang w:val="en-US" w:eastAsia="zh-CN" w:bidi="ar-SA"/>
              </w:rPr>
              <w:t>白甸墩头界河</w:t>
            </w:r>
          </w:p>
        </w:tc>
        <w:tc>
          <w:tcPr>
            <w:tcW w:w="389" w:type="pct"/>
            <w:vAlign w:val="center"/>
          </w:tcPr>
          <w:p w14:paraId="75E4B869">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w w:val="100"/>
                <w:sz w:val="21"/>
                <w:szCs w:val="21"/>
                <w:highlight w:val="none"/>
                <w:lang w:val="en-US" w:eastAsia="zh-CN"/>
              </w:rPr>
              <w:t>NW</w:t>
            </w:r>
          </w:p>
        </w:tc>
        <w:tc>
          <w:tcPr>
            <w:tcW w:w="548" w:type="pct"/>
            <w:vAlign w:val="center"/>
          </w:tcPr>
          <w:p w14:paraId="6E349400">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650</w:t>
            </w:r>
          </w:p>
        </w:tc>
        <w:tc>
          <w:tcPr>
            <w:tcW w:w="303" w:type="pct"/>
            <w:vAlign w:val="center"/>
          </w:tcPr>
          <w:p w14:paraId="6FB81DF4">
            <w:pPr>
              <w:widowControl/>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大</w:t>
            </w:r>
            <w:r>
              <w:rPr>
                <w:rFonts w:hint="default" w:ascii="Times New Roman" w:hAnsi="Times New Roman" w:eastAsia="宋体" w:cs="Times New Roman"/>
                <w:color w:val="auto"/>
                <w:kern w:val="2"/>
                <w:sz w:val="21"/>
                <w:szCs w:val="21"/>
                <w:highlight w:val="none"/>
                <w:vertAlign w:val="baseline"/>
                <w:lang w:val="en-US" w:eastAsia="zh-CN" w:bidi="ar-SA"/>
              </w:rPr>
              <w:t>河</w:t>
            </w:r>
          </w:p>
        </w:tc>
        <w:tc>
          <w:tcPr>
            <w:tcW w:w="1949" w:type="pct"/>
            <w:vMerge w:val="continue"/>
            <w:vAlign w:val="center"/>
          </w:tcPr>
          <w:p w14:paraId="42E742C0">
            <w:pPr>
              <w:adjustRightInd w:val="0"/>
              <w:snapToGrid w:val="0"/>
              <w:jc w:val="center"/>
              <w:textAlignment w:val="baseline"/>
              <w:rPr>
                <w:rFonts w:hint="default" w:ascii="Times New Roman" w:hAnsi="Times New Roman" w:eastAsia="宋体" w:cs="Times New Roman"/>
                <w:sz w:val="21"/>
                <w:szCs w:val="21"/>
                <w:highlight w:val="none"/>
              </w:rPr>
            </w:pPr>
          </w:p>
        </w:tc>
      </w:tr>
    </w:tbl>
    <w:p w14:paraId="605285A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imes New Roman" w:hAnsi="Times New Roman" w:eastAsia="宋体" w:cs="Times New Roman"/>
          <w:b/>
          <w:bCs/>
          <w:color w:val="000000" w:themeColor="text1"/>
          <w14:textFill>
            <w14:solidFill>
              <w14:schemeClr w14:val="tx1"/>
            </w14:solidFill>
          </w14:textFill>
        </w:rPr>
      </w:pPr>
      <w:r>
        <w:rPr>
          <w:rFonts w:hint="eastAsia" w:eastAsia="宋体" w:cs="Times New Roman"/>
          <w:b/>
          <w:bCs/>
          <w:color w:val="000000" w:themeColor="text1"/>
          <w:lang w:val="en-US" w:eastAsia="zh-CN"/>
          <w14:textFill>
            <w14:solidFill>
              <w14:schemeClr w14:val="tx1"/>
            </w14:solidFill>
          </w14:textFill>
        </w:rPr>
        <w:t>3.2.2.2</w:t>
      </w:r>
      <w:r>
        <w:rPr>
          <w:rFonts w:hint="default" w:ascii="Times New Roman" w:hAnsi="Times New Roman" w:eastAsia="宋体" w:cs="Times New Roman"/>
          <w:b/>
          <w:bCs/>
          <w:color w:val="000000" w:themeColor="text1"/>
          <w14:textFill>
            <w14:solidFill>
              <w14:schemeClr w14:val="tx1"/>
            </w14:solidFill>
          </w14:textFill>
        </w:rPr>
        <w:t>地下水环境</w:t>
      </w:r>
    </w:p>
    <w:p w14:paraId="30EE42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根据海安市地质资料，公司所在地岩土层厚度大于1米，渗透系数10</w:t>
      </w:r>
      <w:r>
        <w:rPr>
          <w:rFonts w:hint="default" w:ascii="Times New Roman" w:hAnsi="Times New Roman" w:eastAsia="宋体" w:cs="Times New Roman"/>
          <w:color w:val="000000" w:themeColor="text1"/>
          <w:vertAlign w:val="superscript"/>
          <w14:textFill>
            <w14:solidFill>
              <w14:schemeClr w14:val="tx1"/>
            </w14:solidFill>
          </w14:textFill>
        </w:rPr>
        <w:t>-7</w:t>
      </w:r>
      <w:r>
        <w:rPr>
          <w:rFonts w:hint="default" w:ascii="Times New Roman" w:hAnsi="Times New Roman" w:eastAsia="宋体" w:cs="Times New Roman"/>
          <w:color w:val="000000" w:themeColor="text1"/>
          <w14:textFill>
            <w14:solidFill>
              <w14:schemeClr w14:val="tx1"/>
            </w14:solidFill>
          </w14:textFill>
        </w:rPr>
        <w:t>﹤K≤10</w:t>
      </w:r>
      <w:r>
        <w:rPr>
          <w:rFonts w:hint="eastAsia"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vertAlign w:val="superscript"/>
          <w14:textFill>
            <w14:solidFill>
              <w14:schemeClr w14:val="tx1"/>
            </w14:solidFill>
          </w14:textFill>
        </w:rPr>
        <w:t>4</w:t>
      </w:r>
      <w:r>
        <w:rPr>
          <w:rFonts w:hint="default" w:ascii="Times New Roman" w:hAnsi="Times New Roman" w:eastAsia="宋体" w:cs="Times New Roman"/>
          <w:color w:val="000000" w:themeColor="text1"/>
          <w14:textFill>
            <w14:solidFill>
              <w14:schemeClr w14:val="tx1"/>
            </w14:solidFill>
          </w14:textFill>
        </w:rPr>
        <w:t>cm/s，包气带防污性能中等，含水层易污染程度中等，公司所在区域不属于生活供水水源地准保护区，不属于热水、矿泉水、温泉等特殊地下水源保护区，也不属于补给径流区，同时公司占地为规划的工业用地，场地内无分散居民饮用水源</w:t>
      </w:r>
      <w:r>
        <w:rPr>
          <w:rFonts w:hint="eastAsia" w:eastAsia="宋体" w:cs="Times New Roman"/>
          <w:color w:val="000000" w:themeColor="text1"/>
          <w:lang w:eastAsia="zh-CN"/>
          <w14:textFill>
            <w14:solidFill>
              <w14:schemeClr w14:val="tx1"/>
            </w14:solidFill>
          </w14:textFill>
        </w:rPr>
        <w:t>等其他</w:t>
      </w:r>
      <w:r>
        <w:rPr>
          <w:rFonts w:hint="default" w:ascii="Times New Roman" w:hAnsi="Times New Roman" w:eastAsia="宋体" w:cs="Times New Roman"/>
          <w:color w:val="000000" w:themeColor="text1"/>
          <w14:textFill>
            <w14:solidFill>
              <w14:schemeClr w14:val="tx1"/>
            </w14:solidFill>
          </w14:textFill>
        </w:rPr>
        <w:t>环境敏感区，周边居民饮用水来自市政自来水管网。</w:t>
      </w:r>
    </w:p>
    <w:p w14:paraId="7EEDFE9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outlineLvl w:val="2"/>
        <w:rPr>
          <w:rFonts w:hint="default" w:ascii="Times New Roman" w:hAnsi="Times New Roman" w:eastAsia="宋体" w:cs="Times New Roman"/>
          <w:b/>
          <w:bCs/>
          <w:color w:val="000000" w:themeColor="text1"/>
          <w14:textFill>
            <w14:solidFill>
              <w14:schemeClr w14:val="tx1"/>
            </w14:solidFill>
          </w14:textFill>
        </w:rPr>
      </w:pPr>
      <w:bookmarkStart w:id="68" w:name="3.2.4生态环境保护目标"/>
      <w:bookmarkEnd w:id="68"/>
      <w:bookmarkStart w:id="69" w:name="3.2.4生态环境保护目标"/>
      <w:bookmarkEnd w:id="69"/>
      <w:bookmarkStart w:id="70" w:name="_Toc21141"/>
      <w:bookmarkStart w:id="71" w:name="_Toc30336"/>
      <w:r>
        <w:rPr>
          <w:rFonts w:hint="eastAsia" w:eastAsia="宋体" w:cs="Times New Roman"/>
          <w:b/>
          <w:bCs/>
          <w:color w:val="000000" w:themeColor="text1"/>
          <w:lang w:val="en-US" w:eastAsia="zh-CN"/>
          <w14:textFill>
            <w14:solidFill>
              <w14:schemeClr w14:val="tx1"/>
            </w14:solidFill>
          </w14:textFill>
        </w:rPr>
        <w:t>3.2.3</w:t>
      </w:r>
      <w:r>
        <w:rPr>
          <w:rFonts w:hint="default" w:ascii="Times New Roman" w:hAnsi="Times New Roman" w:eastAsia="宋体" w:cs="Times New Roman"/>
          <w:b/>
          <w:bCs/>
          <w:color w:val="000000" w:themeColor="text1"/>
          <w14:textFill>
            <w14:solidFill>
              <w14:schemeClr w14:val="tx1"/>
            </w14:solidFill>
          </w14:textFill>
        </w:rPr>
        <w:t>生态环境保护目标</w:t>
      </w:r>
      <w:bookmarkEnd w:id="70"/>
      <w:bookmarkEnd w:id="71"/>
    </w:p>
    <w:p w14:paraId="1334A3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①生态保护红线</w:t>
      </w:r>
    </w:p>
    <w:p w14:paraId="2ABD0A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江苏省生态红线区域保护规划是在原《江苏省重要生态功能保护区区域规划》基础上，按照“保护为主、应保尽保，科学评估、合理布局，分级管控、强化措施”的思路和原则，全省共划定十五类（自然保护区、风景名胜区、森林公园、地质遗迹保护区、湿地公园、饮用水水源保护区、海洋特别保护区、洪水调蓄区、重要水源涵养区、重要渔业水域、重要湿地、清水通道维护区、生态公益林、太湖重要保护区、特殊物种保护区）生态红线区域。生态红线区域的划定，是我省生态文明建设的基础性工作，是在主体功能区规划指导下实施生态空间保护和管控的细化，也是贯彻节约优先，保护优先，自然恢复为主方针的具体化，对于妥善处理保护与发展的关系，从根本上预防和控制各种不合理的开发建设活动对生态功能的破坏，构建生态安全格局，推动科学发展具有重要作用。</w:t>
      </w:r>
    </w:p>
    <w:p w14:paraId="015C9C7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根据《省政府关于印发江苏省国家级生态保护红线规划的通知》（苏政发</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2018</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74号），距本项目最近的江苏省国家级生态红线保护区域为西侧</w:t>
      </w:r>
      <w:r>
        <w:rPr>
          <w:rFonts w:hint="eastAsia" w:eastAsia="宋体" w:cs="Times New Roman"/>
          <w:color w:val="000000" w:themeColor="text1"/>
          <w:lang w:val="en-US" w:eastAsia="zh-CN"/>
          <w14:textFill>
            <w14:solidFill>
              <w14:schemeClr w14:val="tx1"/>
            </w14:solidFill>
          </w14:textFill>
        </w:rPr>
        <w:t>4.4</w:t>
      </w:r>
      <w:r>
        <w:rPr>
          <w:rFonts w:hint="default" w:ascii="Times New Roman" w:hAnsi="Times New Roman" w:eastAsia="宋体" w:cs="Times New Roman"/>
          <w:color w:val="000000" w:themeColor="text1"/>
          <w:lang w:val="en-US" w:eastAsia="zh-CN"/>
          <w14:textFill>
            <w14:solidFill>
              <w14:schemeClr w14:val="tx1"/>
            </w14:solidFill>
          </w14:textFill>
        </w:rPr>
        <w:t>km的新通扬</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通榆运河清水通道维护区，本项目不在管控区范围内，满足江苏省生态红线区域保护规划要求。</w:t>
      </w:r>
    </w:p>
    <w:p w14:paraId="38D883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根据《江苏省通榆河水污染防治条例》通榆河实行分级保护，划分为三级保护区。通榆河及其两侧各一公里、主要供水河道及其两侧各一公里区域为通榆河一级保护区；新沂河南偏泓、盐河和斗龙港、新洋港、黄沙港、射阳河、车路河、沂南小河、沭新河等与通榆河平交的主要河道上溯五公里以及沿岸两侧各一公里区域为通榆河二级保护区；其他与通榆河平交的河道上溯五公里以及沿岸两侧各一公里区域为通榆河三级保护区。</w:t>
      </w:r>
    </w:p>
    <w:p w14:paraId="56EE82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本项目不在通榆河一级、二级、三级保护区内，因此本项目的建设符合《江苏省通榆河水污染防治条例》。</w:t>
      </w:r>
    </w:p>
    <w:p w14:paraId="3FE92C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②符合产业政策</w:t>
      </w:r>
    </w:p>
    <w:p w14:paraId="4CD8A0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建设项目</w:t>
      </w:r>
      <w:r>
        <w:rPr>
          <w:rFonts w:hint="eastAsia" w:eastAsia="宋体" w:cs="Times New Roman"/>
          <w:color w:val="000000" w:themeColor="text1"/>
          <w:lang w:eastAsia="zh-CN"/>
          <w14:textFill>
            <w14:solidFill>
              <w14:schemeClr w14:val="tx1"/>
            </w14:solidFill>
          </w14:textFill>
        </w:rPr>
        <w:t>属于</w:t>
      </w:r>
      <w:r>
        <w:rPr>
          <w:rFonts w:hint="default" w:ascii="Times New Roman" w:hAnsi="Times New Roman" w:eastAsia="宋体" w:cs="Times New Roman"/>
          <w:color w:val="000000" w:themeColor="text1"/>
          <w:lang w:val="en-US" w:eastAsia="zh-CN"/>
          <w14:textFill>
            <w14:solidFill>
              <w14:schemeClr w14:val="tx1"/>
            </w14:solidFill>
          </w14:textFill>
        </w:rPr>
        <w:t>[C2</w:t>
      </w:r>
      <w:r>
        <w:rPr>
          <w:rFonts w:hint="eastAsia" w:eastAsia="宋体" w:cs="Times New Roman"/>
          <w:color w:val="000000" w:themeColor="text1"/>
          <w:lang w:val="en-US" w:eastAsia="zh-CN"/>
          <w14:textFill>
            <w14:solidFill>
              <w14:schemeClr w14:val="tx1"/>
            </w14:solidFill>
          </w14:textFill>
        </w:rPr>
        <w:t>542</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生物质致密成型燃料加工、</w:t>
      </w:r>
      <w:r>
        <w:rPr>
          <w:rFonts w:hint="default" w:ascii="Times New Roman" w:hAnsi="Times New Roman" w:eastAsia="宋体" w:cs="Times New Roman"/>
          <w:color w:val="000000" w:themeColor="text1"/>
          <w:lang w:val="en-US" w:eastAsia="zh-CN"/>
          <w14:textFill>
            <w14:solidFill>
              <w14:schemeClr w14:val="tx1"/>
            </w14:solidFill>
          </w14:textFill>
        </w:rPr>
        <w:t>[C</w:t>
      </w:r>
      <w:r>
        <w:rPr>
          <w:rFonts w:hint="eastAsia" w:ascii="Times New Roman" w:hAnsi="Times New Roman" w:eastAsia="宋体" w:cs="Times New Roman"/>
          <w:color w:val="000000" w:themeColor="text1"/>
          <w:lang w:val="en-US" w:eastAsia="zh-CN"/>
          <w14:textFill>
            <w14:solidFill>
              <w14:schemeClr w14:val="tx1"/>
            </w14:solidFill>
          </w14:textFill>
        </w:rPr>
        <w:t>4220</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非金属废料和碎屑加工处理</w:t>
      </w:r>
      <w:r>
        <w:rPr>
          <w:rFonts w:hint="default" w:ascii="Times New Roman" w:hAnsi="Times New Roman" w:eastAsia="宋体" w:cs="Times New Roman"/>
          <w:color w:val="000000" w:themeColor="text1"/>
          <w14:textFill>
            <w14:solidFill>
              <w14:schemeClr w14:val="tx1"/>
            </w14:solidFill>
          </w14:textFill>
        </w:rPr>
        <w:t>，对照《产业结构调整指导目录（201</w:t>
      </w:r>
      <w:r>
        <w:rPr>
          <w:rFonts w:hint="eastAsia" w:eastAsia="宋体"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14:textFill>
            <w14:solidFill>
              <w14:schemeClr w14:val="tx1"/>
            </w14:solidFill>
          </w14:textFill>
        </w:rPr>
        <w:t>年本）》及《江苏省工业和信息产业结构调整指导目录（2012年本）》修正版，本项目不属于其中规定的限制类或淘汰类项目。建设项目不属于《禁止用地项目目录（2012年本）》及《限制用地项目目录（2012年本）》中淘汰和限制项目。</w:t>
      </w:r>
    </w:p>
    <w:p w14:paraId="66E07C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因此，本项目符合国家和地方产业政策。</w:t>
      </w:r>
    </w:p>
    <w:p w14:paraId="65C56F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③</w:t>
      </w:r>
      <w:r>
        <w:rPr>
          <w:rFonts w:hint="default" w:ascii="Times New Roman" w:hAnsi="Times New Roman" w:eastAsia="宋体" w:cs="Times New Roman"/>
          <w:color w:val="000000" w:themeColor="text1"/>
          <w14:textFill>
            <w14:solidFill>
              <w14:schemeClr w14:val="tx1"/>
            </w14:solidFill>
          </w14:textFill>
        </w:rPr>
        <w:t>环保措施及达标排放</w:t>
      </w:r>
    </w:p>
    <w:p w14:paraId="678934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废水：</w:t>
      </w:r>
      <w:r>
        <w:rPr>
          <w:rFonts w:hint="default" w:ascii="Times New Roman" w:hAnsi="Times New Roman" w:eastAsia="宋体" w:cs="Times New Roman"/>
          <w:color w:val="000000" w:themeColor="text1"/>
          <w:lang w:val="en-US" w:eastAsia="zh-CN"/>
          <w14:textFill>
            <w14:solidFill>
              <w14:schemeClr w14:val="tx1"/>
            </w14:solidFill>
          </w14:textFill>
        </w:rPr>
        <w:t>建设项目</w:t>
      </w:r>
      <w:r>
        <w:rPr>
          <w:rFonts w:hint="eastAsia" w:eastAsia="宋体" w:cs="Times New Roman"/>
          <w:color w:val="000000" w:themeColor="text1"/>
          <w:lang w:val="en-US" w:eastAsia="zh-CN"/>
          <w14:textFill>
            <w14:solidFill>
              <w14:schemeClr w14:val="tx1"/>
            </w14:solidFill>
          </w14:textFill>
        </w:rPr>
        <w:t>产生的废水主要为生活污水</w:t>
      </w:r>
      <w:r>
        <w:rPr>
          <w:rFonts w:hint="default" w:ascii="Times New Roman" w:hAnsi="Times New Roman" w:eastAsia="宋体" w:cs="Times New Roman"/>
          <w:color w:val="000000" w:themeColor="text1"/>
          <w:lang w:val="en-US" w:eastAsia="zh-CN"/>
          <w14:textFill>
            <w14:solidFill>
              <w14:schemeClr w14:val="tx1"/>
            </w14:solidFill>
          </w14:textFill>
        </w:rPr>
        <w:t>。生活污水经化粪池处理后接管</w:t>
      </w:r>
      <w:r>
        <w:rPr>
          <w:rFonts w:hint="eastAsia" w:eastAsia="宋体" w:cs="Times New Roman"/>
          <w:color w:val="000000" w:themeColor="text1"/>
          <w:lang w:val="en-US" w:eastAsia="zh-CN"/>
          <w14:textFill>
            <w14:solidFill>
              <w14:schemeClr w14:val="tx1"/>
            </w14:solidFill>
          </w14:textFill>
        </w:rPr>
        <w:t>海安市墩头镇污水处理厂；</w:t>
      </w:r>
      <w:r>
        <w:rPr>
          <w:rFonts w:hint="eastAsia" w:cs="Times New Roman" w:eastAsiaTheme="minorEastAsia"/>
          <w:color w:val="auto"/>
          <w:sz w:val="24"/>
          <w:szCs w:val="24"/>
          <w:highlight w:val="none"/>
          <w:lang w:val="en-US" w:eastAsia="zh-CN"/>
        </w:rPr>
        <w:t>无生产废水</w:t>
      </w:r>
      <w:r>
        <w:rPr>
          <w:rFonts w:hint="eastAsia" w:eastAsia="宋体" w:cs="Times New Roman"/>
          <w:color w:val="000000" w:themeColor="text1"/>
          <w:lang w:val="en-US" w:eastAsia="zh-CN"/>
          <w14:textFill>
            <w14:solidFill>
              <w14:schemeClr w14:val="tx1"/>
            </w14:solidFill>
          </w14:textFill>
        </w:rPr>
        <w:t>。</w:t>
      </w:r>
    </w:p>
    <w:p w14:paraId="7428E5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废气：</w:t>
      </w:r>
      <w:r>
        <w:rPr>
          <w:rFonts w:hint="eastAsia" w:eastAsia="宋体" w:cs="Times New Roman"/>
          <w:color w:val="000000" w:themeColor="text1"/>
          <w:lang w:val="en-US" w:eastAsia="zh-CN"/>
          <w14:textFill>
            <w14:solidFill>
              <w14:schemeClr w14:val="tx1"/>
            </w14:solidFill>
          </w14:textFill>
        </w:rPr>
        <w:t>破碎粉尘</w:t>
      </w:r>
      <w:r>
        <w:rPr>
          <w:rFonts w:hint="default" w:eastAsia="宋体"/>
          <w:color w:val="000000" w:themeColor="text1"/>
          <w:sz w:val="24"/>
          <w:szCs w:val="24"/>
          <w14:textFill>
            <w14:solidFill>
              <w14:schemeClr w14:val="tx1"/>
            </w14:solidFill>
          </w14:textFill>
        </w:rPr>
        <w:t>中央集尘系统</w:t>
      </w:r>
      <w:r>
        <w:rPr>
          <w:rFonts w:hint="eastAsia" w:eastAsia="宋体"/>
          <w:color w:val="000000" w:themeColor="text1"/>
          <w:sz w:val="24"/>
          <w:szCs w:val="24"/>
          <w:lang w:val="en-US" w:eastAsia="zh-CN"/>
          <w14:textFill>
            <w14:solidFill>
              <w14:schemeClr w14:val="tx1"/>
            </w14:solidFill>
          </w14:textFill>
        </w:rPr>
        <w:t>15</w:t>
      </w:r>
      <w:r>
        <w:rPr>
          <w:rFonts w:hint="default" w:eastAsia="宋体"/>
          <w:color w:val="000000" w:themeColor="text1"/>
          <w:sz w:val="24"/>
          <w:szCs w:val="24"/>
          <w14:textFill>
            <w14:solidFill>
              <w14:schemeClr w14:val="tx1"/>
            </w14:solidFill>
          </w14:textFill>
        </w:rPr>
        <w:t>m高排气筒</w:t>
      </w:r>
      <w:r>
        <w:rPr>
          <w:rFonts w:hint="eastAsia" w:eastAsia="宋体"/>
          <w:color w:val="000000" w:themeColor="text1"/>
          <w:sz w:val="24"/>
          <w:szCs w:val="24"/>
          <w:lang w:val="en-US" w:eastAsia="zh-CN"/>
          <w14:textFill>
            <w14:solidFill>
              <w14:schemeClr w14:val="tx1"/>
            </w14:solidFill>
          </w14:textFill>
        </w:rPr>
        <w:t>1</w:t>
      </w:r>
      <w:r>
        <w:rPr>
          <w:rFonts w:hint="default" w:eastAsia="宋体"/>
          <w:color w:val="000000" w:themeColor="text1"/>
          <w:sz w:val="24"/>
          <w:szCs w:val="24"/>
          <w14:textFill>
            <w14:solidFill>
              <w14:schemeClr w14:val="tx1"/>
            </w14:solidFill>
          </w14:textFill>
        </w:rPr>
        <w:t>组，排气筒DA001</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制粒筛分粉尘中央除尘系统</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15</w:t>
      </w:r>
      <w:r>
        <w:rPr>
          <w:rFonts w:hint="default" w:ascii="Times New Roman" w:hAnsi="Times New Roman" w:eastAsia="宋体" w:cs="Times New Roman"/>
          <w:color w:val="000000" w:themeColor="text1"/>
          <w:lang w:val="en-US" w:eastAsia="zh-CN"/>
          <w14:textFill>
            <w14:solidFill>
              <w14:schemeClr w14:val="tx1"/>
            </w14:solidFill>
          </w14:textFill>
        </w:rPr>
        <w:t>m高排气筒</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lang w:val="en-US" w:eastAsia="zh-CN"/>
          <w14:textFill>
            <w14:solidFill>
              <w14:schemeClr w14:val="tx1"/>
            </w14:solidFill>
          </w14:textFill>
        </w:rPr>
        <w:t>组，排气筒DA00</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eastAsia="宋体" w:cs="Times New Roman"/>
          <w:color w:val="000000" w:themeColor="text1"/>
          <w:lang w:val="en-US" w:eastAsia="zh-CN"/>
          <w14:textFill>
            <w14:solidFill>
              <w14:schemeClr w14:val="tx1"/>
            </w14:solidFill>
          </w14:textFill>
        </w:rPr>
        <w:t>。</w:t>
      </w:r>
    </w:p>
    <w:p w14:paraId="50F60B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噪声：</w:t>
      </w:r>
      <w:r>
        <w:rPr>
          <w:rFonts w:hint="default" w:ascii="Times New Roman" w:hAnsi="Times New Roman" w:eastAsia="宋体" w:cs="Times New Roman"/>
          <w:color w:val="000000" w:themeColor="text1"/>
          <w:lang w:val="en-US" w:eastAsia="zh-CN"/>
          <w14:textFill>
            <w14:solidFill>
              <w14:schemeClr w14:val="tx1"/>
            </w14:solidFill>
          </w14:textFill>
        </w:rPr>
        <w:t>建设项目主要噪声源为</w:t>
      </w:r>
      <w:r>
        <w:rPr>
          <w:rFonts w:hint="eastAsia" w:eastAsia="宋体" w:cs="Times New Roman"/>
          <w:color w:val="000000" w:themeColor="text1"/>
          <w:lang w:val="en-US" w:eastAsia="zh-CN"/>
          <w14:textFill>
            <w14:solidFill>
              <w14:schemeClr w14:val="tx1"/>
            </w14:solidFill>
          </w14:textFill>
        </w:rPr>
        <w:t>各类生产设备、风机</w:t>
      </w:r>
      <w:r>
        <w:rPr>
          <w:rFonts w:hint="default" w:ascii="Times New Roman" w:hAnsi="Times New Roman" w:eastAsia="宋体" w:cs="Times New Roman"/>
          <w:color w:val="000000" w:themeColor="text1"/>
          <w:lang w:val="en-US" w:eastAsia="zh-CN"/>
          <w14:textFill>
            <w14:solidFill>
              <w14:schemeClr w14:val="tx1"/>
            </w14:solidFill>
          </w14:textFill>
        </w:rPr>
        <w:t>等设备，其噪声源强约80~90dB(A)。建设单位主要噪声防治措施如下：</w:t>
      </w:r>
    </w:p>
    <w:p w14:paraId="6A4329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a</w:t>
      </w:r>
      <w:r>
        <w:rPr>
          <w:rFonts w:hint="default" w:ascii="Times New Roman" w:hAnsi="Times New Roman" w:eastAsia="宋体" w:cs="Times New Roman"/>
          <w:color w:val="000000" w:themeColor="text1"/>
          <w:lang w:val="en-US" w:eastAsia="zh-CN"/>
          <w14:textFill>
            <w14:solidFill>
              <w14:schemeClr w14:val="tx1"/>
            </w14:solidFill>
          </w14:textFill>
        </w:rPr>
        <w:t>设备选型时采用性能先进、高效节能、低噪设备，并加强对设备的维护管理，从源头上控制噪声的产生；</w:t>
      </w:r>
    </w:p>
    <w:p w14:paraId="36BE02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b</w:t>
      </w:r>
      <w:r>
        <w:rPr>
          <w:rFonts w:hint="default" w:ascii="Times New Roman" w:hAnsi="Times New Roman" w:eastAsia="宋体" w:cs="Times New Roman"/>
          <w:color w:val="000000" w:themeColor="text1"/>
          <w:lang w:val="en-US" w:eastAsia="zh-CN"/>
          <w14:textFill>
            <w14:solidFill>
              <w14:schemeClr w14:val="tx1"/>
            </w14:solidFill>
          </w14:textFill>
        </w:rPr>
        <w:t>合理布局，将高噪声设备设置在厂房内，并且布置在远离厂界的一侧。通过厂房隔声和距离衰减，减少对周围环境的影响。</w:t>
      </w:r>
    </w:p>
    <w:p w14:paraId="33E74C05">
      <w:pPr>
        <w:keepNext w:val="0"/>
        <w:keepLines w:val="0"/>
        <w:adjustRightInd w:val="0"/>
        <w:snapToGrid w:val="0"/>
        <w:spacing w:line="500" w:lineRule="exact"/>
        <w:ind w:firstLine="480" w:firstLineChars="200"/>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c</w:t>
      </w:r>
      <w:r>
        <w:rPr>
          <w:rFonts w:hint="default" w:eastAsia="宋体" w:cs="Times New Roman"/>
          <w:color w:val="000000" w:themeColor="text1"/>
          <w:lang w:val="en-US" w:eastAsia="zh-CN"/>
          <w14:textFill>
            <w14:solidFill>
              <w14:schemeClr w14:val="tx1"/>
            </w14:solidFill>
          </w14:textFill>
        </w:rPr>
        <w:t>厂区建设绿化隔离带，对噪声进行削减，减少对厂界外声环境影响。固体废物：建设项目产生的固废主要为</w:t>
      </w:r>
      <w:r>
        <w:rPr>
          <w:rFonts w:hint="eastAsia" w:eastAsia="宋体" w:cs="Times New Roman"/>
          <w:color w:val="000000" w:themeColor="text1"/>
          <w:lang w:val="en-US" w:eastAsia="zh-CN"/>
          <w14:textFill>
            <w14:solidFill>
              <w14:schemeClr w14:val="tx1"/>
            </w14:solidFill>
          </w14:textFill>
        </w:rPr>
        <w:t>废铁、废包装袋、废布袋、收集尘、废电瓶、废劳保用品、废润滑油、废润滑油桶。</w:t>
      </w:r>
    </w:p>
    <w:p w14:paraId="424FD6FE">
      <w:pPr>
        <w:keepNext w:val="0"/>
        <w:keepLines w:val="0"/>
        <w:adjustRightInd w:val="0"/>
        <w:snapToGrid w:val="0"/>
        <w:spacing w:line="500" w:lineRule="exact"/>
        <w:ind w:firstLine="480" w:firstLineChars="200"/>
        <w:rPr>
          <w:rFonts w:hint="default"/>
          <w:lang w:val="en-US" w:eastAsia="zh-CN"/>
        </w:rPr>
      </w:pPr>
      <w:r>
        <w:rPr>
          <w:rFonts w:hint="eastAsia" w:eastAsia="宋体" w:cs="Times New Roman"/>
          <w:color w:val="000000" w:themeColor="text1"/>
          <w:lang w:val="en-US" w:eastAsia="zh-CN"/>
          <w14:textFill>
            <w14:solidFill>
              <w14:schemeClr w14:val="tx1"/>
            </w14:solidFill>
          </w14:textFill>
        </w:rPr>
        <w:t>生活垃圾由环卫清运，废铁、废包装袋、废布袋、收集尘收集后外售综合利用；废电瓶、废劳保用品、废润滑油、废润滑油桶收集后委</w:t>
      </w:r>
      <w:r>
        <w:rPr>
          <w:rFonts w:ascii="宋体" w:hAnsi="宋体" w:eastAsia="宋体" w:cs="宋体"/>
          <w:sz w:val="24"/>
          <w:szCs w:val="24"/>
        </w:rPr>
        <w:t>托</w:t>
      </w:r>
      <w:r>
        <w:rPr>
          <w:rFonts w:hint="eastAsia" w:ascii="宋体" w:hAnsi="宋体" w:eastAsia="宋体" w:cs="宋体"/>
          <w:sz w:val="24"/>
          <w:szCs w:val="24"/>
          <w:lang w:val="en-US" w:eastAsia="zh-CN"/>
        </w:rPr>
        <w:t>南通海佳环境科技有限公司</w:t>
      </w:r>
      <w:r>
        <w:rPr>
          <w:rFonts w:hint="eastAsia" w:eastAsia="宋体" w:cs="Times New Roman"/>
          <w:color w:val="000000" w:themeColor="text1"/>
          <w:lang w:val="en-US" w:eastAsia="zh-CN"/>
          <w14:textFill>
            <w14:solidFill>
              <w14:schemeClr w14:val="tx1"/>
            </w14:solidFill>
          </w14:textFill>
        </w:rPr>
        <w:t>处置。</w:t>
      </w:r>
    </w:p>
    <w:p w14:paraId="0D4B2E5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outlineLvl w:val="2"/>
        <w:rPr>
          <w:rFonts w:hint="default" w:ascii="Times New Roman" w:hAnsi="Times New Roman" w:eastAsia="宋体" w:cs="Times New Roman"/>
          <w:b/>
          <w:bCs/>
          <w:color w:val="000000" w:themeColor="text1"/>
          <w14:textFill>
            <w14:solidFill>
              <w14:schemeClr w14:val="tx1"/>
            </w14:solidFill>
          </w14:textFill>
        </w:rPr>
      </w:pPr>
      <w:bookmarkStart w:id="72" w:name="3.2.5土壤环境敏感度"/>
      <w:bookmarkEnd w:id="72"/>
      <w:bookmarkStart w:id="73" w:name="3.2.5土壤环境敏感度"/>
      <w:bookmarkEnd w:id="73"/>
      <w:bookmarkStart w:id="74" w:name="_Toc6964"/>
      <w:bookmarkStart w:id="75" w:name="_Toc19141"/>
      <w:r>
        <w:rPr>
          <w:rFonts w:hint="eastAsia" w:eastAsia="宋体" w:cs="Times New Roman"/>
          <w:b/>
          <w:bCs/>
          <w:color w:val="000000" w:themeColor="text1"/>
          <w:lang w:val="en-US" w:eastAsia="zh-CN"/>
          <w14:textFill>
            <w14:solidFill>
              <w14:schemeClr w14:val="tx1"/>
            </w14:solidFill>
          </w14:textFill>
        </w:rPr>
        <w:t>3.2.4</w:t>
      </w:r>
      <w:r>
        <w:rPr>
          <w:rFonts w:hint="default" w:ascii="Times New Roman" w:hAnsi="Times New Roman" w:eastAsia="宋体" w:cs="Times New Roman"/>
          <w:b/>
          <w:bCs/>
          <w:color w:val="000000" w:themeColor="text1"/>
          <w14:textFill>
            <w14:solidFill>
              <w14:schemeClr w14:val="tx1"/>
            </w14:solidFill>
          </w14:textFill>
        </w:rPr>
        <w:t>土壤环境敏感度</w:t>
      </w:r>
      <w:bookmarkEnd w:id="74"/>
      <w:bookmarkEnd w:id="75"/>
    </w:p>
    <w:p w14:paraId="327A6C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本项目位于</w:t>
      </w:r>
      <w:r>
        <w:rPr>
          <w:rFonts w:hint="eastAsia" w:eastAsia="宋体" w:cs="Times New Roman"/>
          <w:color w:val="000000" w:themeColor="text1"/>
          <w:lang w:val="en-US" w:eastAsia="zh-CN"/>
          <w14:textFill>
            <w14:solidFill>
              <w14:schemeClr w14:val="tx1"/>
            </w14:solidFill>
          </w14:textFill>
        </w:rPr>
        <w:t>江苏省南通市海安市墩头镇吉庆村五组的部分厂房</w:t>
      </w:r>
      <w:r>
        <w:rPr>
          <w:rFonts w:hint="default" w:ascii="Times New Roman" w:hAnsi="Times New Roman" w:eastAsia="宋体" w:cs="Times New Roman"/>
          <w:color w:val="000000" w:themeColor="text1"/>
          <w:lang w:val="en-US" w:eastAsia="zh-CN"/>
          <w14:textFill>
            <w14:solidFill>
              <w14:schemeClr w14:val="tx1"/>
            </w14:solidFill>
          </w14:textFill>
        </w:rPr>
        <w:t>，本项目周边50m范围内无居民等敏感点，本项目属于不敏感土壤环境</w:t>
      </w:r>
      <w:r>
        <w:rPr>
          <w:rFonts w:hint="default" w:ascii="Times New Roman" w:hAnsi="Times New Roman" w:eastAsia="宋体" w:cs="Times New Roman"/>
          <w:color w:val="000000" w:themeColor="text1"/>
          <w14:textFill>
            <w14:solidFill>
              <w14:schemeClr w14:val="tx1"/>
            </w14:solidFill>
          </w14:textFill>
        </w:rPr>
        <w:t>。</w:t>
      </w:r>
    </w:p>
    <w:p w14:paraId="3F1732C6">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76" w:name="_Toc32010"/>
      <w:bookmarkStart w:id="77" w:name="_Toc4967"/>
      <w:bookmarkStart w:id="78" w:name="_Toc24977"/>
      <w:r>
        <w:rPr>
          <w:rFonts w:hint="default" w:ascii="Times New Roman" w:hAnsi="Times New Roman" w:eastAsia="宋体" w:cs="Times New Roman"/>
          <w:sz w:val="24"/>
          <w:szCs w:val="24"/>
        </w:rPr>
        <w:t>3.3风险物质识别</w:t>
      </w:r>
      <w:bookmarkEnd w:id="76"/>
      <w:bookmarkEnd w:id="77"/>
      <w:bookmarkEnd w:id="78"/>
    </w:p>
    <w:p w14:paraId="360D2D85">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79" w:name="_Toc25602"/>
      <w:bookmarkStart w:id="80" w:name="_Toc12112"/>
      <w:bookmarkStart w:id="81" w:name="_Toc7850"/>
      <w:bookmarkStart w:id="82" w:name="_Toc451631652"/>
      <w:r>
        <w:rPr>
          <w:rFonts w:hint="default" w:ascii="Times New Roman" w:hAnsi="Times New Roman" w:eastAsia="宋体" w:cs="Times New Roman"/>
          <w:sz w:val="24"/>
          <w:szCs w:val="24"/>
        </w:rPr>
        <w:t>3.3.1物质性质</w:t>
      </w:r>
      <w:bookmarkEnd w:id="79"/>
      <w:bookmarkEnd w:id="80"/>
      <w:bookmarkEnd w:id="81"/>
      <w:bookmarkEnd w:id="82"/>
    </w:p>
    <w:p w14:paraId="6E6E2C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pPr>
      <w:r>
        <w:rPr>
          <w:rFonts w:hint="eastAsia" w:ascii="宋体" w:hAnsi="宋体" w:eastAsia="宋体" w:cs="宋体"/>
        </w:rPr>
        <w:t>对企业所涉及的环境风险物质的名称、数量、贮存方式、位置等进行调查，并对照《企业突发环境事件环境风险分级方法</w:t>
      </w:r>
      <w:r>
        <w:rPr>
          <w:rFonts w:eastAsia="宋体"/>
        </w:rPr>
        <w:t>（HJ941-2018）</w:t>
      </w:r>
      <w:r>
        <w:rPr>
          <w:rFonts w:hint="eastAsia" w:ascii="宋体" w:hAnsi="宋体" w:eastAsia="宋体" w:cs="宋体"/>
        </w:rPr>
        <w:t>》附录</w:t>
      </w:r>
      <w:r>
        <w:rPr>
          <w:rFonts w:hint="default" w:ascii="Times New Roman" w:hAnsi="Times New Roman" w:eastAsia="宋体" w:cs="Times New Roman"/>
        </w:rPr>
        <w:t>A</w:t>
      </w:r>
      <w:r>
        <w:rPr>
          <w:rFonts w:hint="eastAsia" w:ascii="宋体" w:hAnsi="宋体" w:eastAsia="宋体" w:cs="宋体"/>
        </w:rPr>
        <w:t>突发环境事件风险物质及临界量清单，识别企业环境风险物质，涉及原辅材料、能源、产品、中间品、“三废”污染物统计情况见表</w:t>
      </w:r>
      <w:r>
        <w:rPr>
          <w:rFonts w:eastAsia="宋体"/>
        </w:rPr>
        <w:t>3</w:t>
      </w:r>
      <w:r>
        <w:rPr>
          <w:rFonts w:hint="eastAsia" w:eastAsia="宋体"/>
          <w:lang w:val="en-US" w:eastAsia="zh-CN"/>
        </w:rPr>
        <w:t>-7</w:t>
      </w:r>
      <w:r>
        <w:rPr>
          <w:rFonts w:eastAsia="宋体"/>
        </w:rPr>
        <w:t>。涉环境风险物质危险特性见表3</w:t>
      </w:r>
      <w:r>
        <w:rPr>
          <w:rFonts w:hint="eastAsia" w:eastAsia="宋体"/>
          <w:lang w:val="en-US" w:eastAsia="zh-CN"/>
        </w:rPr>
        <w:t>-9</w:t>
      </w:r>
      <w:r>
        <w:rPr>
          <w:rFonts w:hint="eastAsia" w:ascii="宋体" w:hAnsi="宋体" w:eastAsia="宋体" w:cs="宋体"/>
        </w:rPr>
        <w:t>。</w:t>
      </w:r>
    </w:p>
    <w:p w14:paraId="5E5B95C5">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14:textFill>
            <w14:solidFill>
              <w14:schemeClr w14:val="tx1"/>
            </w14:solidFill>
          </w14:textFill>
        </w:rPr>
        <w:t>3</w:t>
      </w:r>
      <w:r>
        <w:rPr>
          <w:rFonts w:hint="eastAsia" w:eastAsiaTheme="minorEastAsia"/>
          <w:b/>
          <w:color w:val="000000" w:themeColor="text1"/>
          <w:sz w:val="24"/>
          <w:szCs w:val="24"/>
          <w:lang w:val="en-US" w:eastAsia="zh-CN"/>
          <w14:textFill>
            <w14:solidFill>
              <w14:schemeClr w14:val="tx1"/>
            </w14:solidFill>
          </w14:textFill>
        </w:rPr>
        <w:t>-7</w:t>
      </w:r>
      <w:r>
        <w:rPr>
          <w:rFonts w:eastAsiaTheme="minorEastAsia"/>
          <w:b/>
          <w:color w:val="000000" w:themeColor="text1"/>
          <w:sz w:val="24"/>
          <w:szCs w:val="24"/>
          <w14:textFill>
            <w14:solidFill>
              <w14:schemeClr w14:val="tx1"/>
            </w14:solidFill>
          </w14:textFill>
        </w:rPr>
        <w:t>公司</w:t>
      </w:r>
      <w:r>
        <w:rPr>
          <w:rFonts w:hint="eastAsia" w:eastAsiaTheme="minorEastAsia"/>
          <w:b/>
          <w:color w:val="000000" w:themeColor="text1"/>
          <w:sz w:val="24"/>
          <w:szCs w:val="24"/>
          <w14:textFill>
            <w14:solidFill>
              <w14:schemeClr w14:val="tx1"/>
            </w14:solidFill>
          </w14:textFill>
        </w:rPr>
        <w:t>生产所涉及的各类</w:t>
      </w:r>
      <w:r>
        <w:rPr>
          <w:rFonts w:eastAsiaTheme="minorEastAsia"/>
          <w:b/>
          <w:color w:val="000000" w:themeColor="text1"/>
          <w:sz w:val="24"/>
          <w:szCs w:val="24"/>
          <w14:textFill>
            <w14:solidFill>
              <w14:schemeClr w14:val="tx1"/>
            </w14:solidFill>
          </w14:textFill>
        </w:rPr>
        <w:t>物质</w:t>
      </w:r>
      <w:r>
        <w:rPr>
          <w:rFonts w:hint="eastAsia" w:eastAsiaTheme="minorEastAsia"/>
          <w:b/>
          <w:color w:val="000000" w:themeColor="text1"/>
          <w:sz w:val="24"/>
          <w:szCs w:val="24"/>
          <w14:textFill>
            <w14:solidFill>
              <w14:schemeClr w14:val="tx1"/>
            </w14:solidFill>
          </w14:textFill>
        </w:rPr>
        <w:t>统计</w:t>
      </w:r>
      <w:r>
        <w:rPr>
          <w:rFonts w:eastAsiaTheme="minorEastAsia"/>
          <w:b/>
          <w:color w:val="000000" w:themeColor="text1"/>
          <w:sz w:val="24"/>
          <w:szCs w:val="24"/>
          <w14:textFill>
            <w14:solidFill>
              <w14:schemeClr w14:val="tx1"/>
            </w14:solidFill>
          </w14:textFill>
        </w:rPr>
        <w:t>情况表</w:t>
      </w:r>
    </w:p>
    <w:tbl>
      <w:tblPr>
        <w:tblStyle w:val="3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86"/>
        <w:gridCol w:w="2738"/>
        <w:gridCol w:w="1562"/>
        <w:gridCol w:w="1562"/>
        <w:gridCol w:w="762"/>
        <w:gridCol w:w="604"/>
        <w:gridCol w:w="636"/>
      </w:tblGrid>
      <w:tr w14:paraId="68A4E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Align w:val="center"/>
          </w:tcPr>
          <w:p w14:paraId="7BD7F916">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类型</w:t>
            </w:r>
          </w:p>
        </w:tc>
        <w:tc>
          <w:tcPr>
            <w:tcW w:w="579" w:type="pct"/>
            <w:vAlign w:val="center"/>
          </w:tcPr>
          <w:p w14:paraId="597CEDAB">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物质名称</w:t>
            </w:r>
          </w:p>
        </w:tc>
        <w:tc>
          <w:tcPr>
            <w:tcW w:w="1459" w:type="pct"/>
            <w:vAlign w:val="center"/>
          </w:tcPr>
          <w:p w14:paraId="695EEA5E">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规格/成分</w:t>
            </w:r>
          </w:p>
        </w:tc>
        <w:tc>
          <w:tcPr>
            <w:tcW w:w="832" w:type="pct"/>
            <w:vAlign w:val="center"/>
          </w:tcPr>
          <w:p w14:paraId="7E0A6849">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年耗量t</w:t>
            </w:r>
          </w:p>
        </w:tc>
        <w:tc>
          <w:tcPr>
            <w:tcW w:w="832" w:type="pct"/>
            <w:vAlign w:val="center"/>
          </w:tcPr>
          <w:p w14:paraId="2CBD1764">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zh-CN" w:eastAsia="zh-CN" w:bidi="ar-SA"/>
              </w:rPr>
              <w:t>最大</w:t>
            </w:r>
            <w:r>
              <w:rPr>
                <w:rFonts w:hint="default" w:ascii="Times New Roman" w:hAnsi="Times New Roman" w:eastAsia="宋体" w:cs="Times New Roman"/>
                <w:b/>
                <w:bCs w:val="0"/>
                <w:color w:val="auto"/>
                <w:kern w:val="2"/>
                <w:sz w:val="21"/>
                <w:szCs w:val="21"/>
                <w:highlight w:val="none"/>
                <w:lang w:val="en-US" w:eastAsia="zh-CN" w:bidi="ar-SA"/>
              </w:rPr>
              <w:t>存在</w:t>
            </w:r>
            <w:r>
              <w:rPr>
                <w:rFonts w:hint="default" w:ascii="Times New Roman" w:hAnsi="Times New Roman" w:eastAsia="宋体" w:cs="Times New Roman"/>
                <w:b/>
                <w:bCs w:val="0"/>
                <w:color w:val="auto"/>
                <w:kern w:val="2"/>
                <w:sz w:val="21"/>
                <w:szCs w:val="21"/>
                <w:highlight w:val="none"/>
                <w:lang w:val="zh-CN" w:eastAsia="zh-CN" w:bidi="ar-SA"/>
              </w:rPr>
              <w:t>量t</w:t>
            </w:r>
          </w:p>
        </w:tc>
        <w:tc>
          <w:tcPr>
            <w:tcW w:w="406" w:type="pct"/>
            <w:vAlign w:val="center"/>
          </w:tcPr>
          <w:p w14:paraId="34FF075F">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en-US" w:eastAsia="zh-CN" w:bidi="ar-SA"/>
              </w:rPr>
              <w:t>包装</w:t>
            </w:r>
            <w:r>
              <w:rPr>
                <w:rFonts w:hint="default" w:ascii="Times New Roman" w:hAnsi="Times New Roman" w:eastAsia="宋体" w:cs="Times New Roman"/>
                <w:b/>
                <w:bCs w:val="0"/>
                <w:color w:val="auto"/>
                <w:kern w:val="2"/>
                <w:sz w:val="21"/>
                <w:szCs w:val="21"/>
                <w:highlight w:val="none"/>
                <w:lang w:val="zh-CN" w:eastAsia="zh-CN" w:bidi="ar-SA"/>
              </w:rPr>
              <w:t>方式</w:t>
            </w:r>
          </w:p>
        </w:tc>
        <w:tc>
          <w:tcPr>
            <w:tcW w:w="322" w:type="pct"/>
            <w:vAlign w:val="center"/>
          </w:tcPr>
          <w:p w14:paraId="29C2D4DE">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zh-CN" w:eastAsia="zh-CN" w:bidi="ar-SA"/>
              </w:rPr>
              <w:t>贮存地点</w:t>
            </w:r>
          </w:p>
        </w:tc>
        <w:tc>
          <w:tcPr>
            <w:tcW w:w="339" w:type="pct"/>
            <w:vAlign w:val="center"/>
          </w:tcPr>
          <w:p w14:paraId="11400499">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环境风险物质类型</w:t>
            </w:r>
          </w:p>
        </w:tc>
      </w:tr>
      <w:tr w14:paraId="61B3F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restart"/>
            <w:vAlign w:val="center"/>
          </w:tcPr>
          <w:p w14:paraId="1FA4E920">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原辅材料</w:t>
            </w:r>
          </w:p>
          <w:p w14:paraId="491B9D8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p w14:paraId="0995948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1C1AC90C">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废木条</w:t>
            </w:r>
          </w:p>
        </w:tc>
        <w:tc>
          <w:tcPr>
            <w:tcW w:w="1459" w:type="pct"/>
            <w:shd w:val="clear" w:color="auto" w:fill="auto"/>
            <w:vAlign w:val="center"/>
          </w:tcPr>
          <w:p w14:paraId="4946BAEA">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w:t>
            </w:r>
          </w:p>
        </w:tc>
        <w:tc>
          <w:tcPr>
            <w:tcW w:w="832" w:type="pct"/>
            <w:shd w:val="clear" w:color="auto" w:fill="auto"/>
            <w:vAlign w:val="center"/>
          </w:tcPr>
          <w:p w14:paraId="03DB949C">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3150</w:t>
            </w:r>
          </w:p>
        </w:tc>
        <w:tc>
          <w:tcPr>
            <w:tcW w:w="832" w:type="pct"/>
            <w:vAlign w:val="center"/>
          </w:tcPr>
          <w:p w14:paraId="1BDC9D4C">
            <w:pPr>
              <w:pStyle w:val="140"/>
              <w:spacing w:before="0"/>
              <w:ind w:left="0" w:right="0"/>
              <w:rPr>
                <w:rFonts w:hint="default" w:ascii="Times New Roman"/>
                <w:sz w:val="21"/>
                <w:lang w:val="en-US" w:eastAsia="zh-CN"/>
              </w:rPr>
            </w:pPr>
            <w:r>
              <w:rPr>
                <w:rFonts w:hint="eastAsia" w:ascii="Times New Roman"/>
                <w:sz w:val="21"/>
                <w:lang w:val="en-US" w:eastAsia="zh-CN"/>
              </w:rPr>
              <w:t>31.5</w:t>
            </w:r>
          </w:p>
        </w:tc>
        <w:tc>
          <w:tcPr>
            <w:tcW w:w="406" w:type="pct"/>
            <w:vAlign w:val="center"/>
          </w:tcPr>
          <w:p w14:paraId="40E3463E">
            <w:pPr>
              <w:pStyle w:val="74"/>
              <w:adjustRightInd w:val="0"/>
              <w:snapToGrid w:val="0"/>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color w:val="auto"/>
                <w:kern w:val="2"/>
                <w:sz w:val="21"/>
              </w:rPr>
              <w:t>散装</w:t>
            </w:r>
          </w:p>
        </w:tc>
        <w:tc>
          <w:tcPr>
            <w:tcW w:w="322" w:type="pct"/>
            <w:vAlign w:val="center"/>
          </w:tcPr>
          <w:p w14:paraId="2F3671B3">
            <w:pPr>
              <w:pStyle w:val="140"/>
              <w:rPr>
                <w:rFonts w:hint="default"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原料仓库</w:t>
            </w:r>
          </w:p>
        </w:tc>
        <w:tc>
          <w:tcPr>
            <w:tcW w:w="339" w:type="pct"/>
            <w:vAlign w:val="center"/>
          </w:tcPr>
          <w:p w14:paraId="35D9874F">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19CB4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191AE67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323F9C75">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秸秆</w:t>
            </w:r>
          </w:p>
        </w:tc>
        <w:tc>
          <w:tcPr>
            <w:tcW w:w="1459" w:type="pct"/>
            <w:shd w:val="clear" w:color="auto" w:fill="auto"/>
            <w:vAlign w:val="center"/>
          </w:tcPr>
          <w:p w14:paraId="6159F04D">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eastAsia"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w:t>
            </w:r>
          </w:p>
        </w:tc>
        <w:tc>
          <w:tcPr>
            <w:tcW w:w="832" w:type="pct"/>
            <w:shd w:val="clear" w:color="auto" w:fill="auto"/>
            <w:vAlign w:val="center"/>
          </w:tcPr>
          <w:p w14:paraId="1EB9303B">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4200</w:t>
            </w:r>
          </w:p>
        </w:tc>
        <w:tc>
          <w:tcPr>
            <w:tcW w:w="832" w:type="pct"/>
            <w:vAlign w:val="center"/>
          </w:tcPr>
          <w:p w14:paraId="2697440D">
            <w:pPr>
              <w:pStyle w:val="140"/>
              <w:spacing w:before="0"/>
              <w:ind w:left="0" w:right="0"/>
              <w:rPr>
                <w:rFonts w:hint="default" w:ascii="Times New Roman"/>
                <w:sz w:val="21"/>
                <w:lang w:val="en-US" w:eastAsia="zh-CN"/>
              </w:rPr>
            </w:pPr>
            <w:r>
              <w:rPr>
                <w:rFonts w:hint="eastAsia" w:ascii="Times New Roman"/>
                <w:sz w:val="21"/>
                <w:lang w:val="en-US" w:eastAsia="zh-CN"/>
              </w:rPr>
              <w:t>42</w:t>
            </w:r>
          </w:p>
        </w:tc>
        <w:tc>
          <w:tcPr>
            <w:tcW w:w="406" w:type="pct"/>
            <w:vAlign w:val="center"/>
          </w:tcPr>
          <w:p w14:paraId="626CCE57">
            <w:pPr>
              <w:adjustRightInd w:val="0"/>
              <w:snapToGrid w:val="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olor w:val="auto"/>
                <w:kern w:val="2"/>
                <w:sz w:val="21"/>
              </w:rPr>
              <w:t>散装</w:t>
            </w:r>
          </w:p>
        </w:tc>
        <w:tc>
          <w:tcPr>
            <w:tcW w:w="322" w:type="pct"/>
            <w:vAlign w:val="center"/>
          </w:tcPr>
          <w:p w14:paraId="3698E154">
            <w:pPr>
              <w:pStyle w:val="14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原料仓库</w:t>
            </w:r>
          </w:p>
        </w:tc>
        <w:tc>
          <w:tcPr>
            <w:tcW w:w="339" w:type="pct"/>
            <w:vAlign w:val="center"/>
          </w:tcPr>
          <w:p w14:paraId="617A5EA0">
            <w:pPr>
              <w:jc w:val="center"/>
              <w:rPr>
                <w:rFonts w:hint="default"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不涉及</w:t>
            </w:r>
          </w:p>
        </w:tc>
      </w:tr>
      <w:tr w14:paraId="31FA9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47834EB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65DEEA13">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树根</w:t>
            </w:r>
          </w:p>
        </w:tc>
        <w:tc>
          <w:tcPr>
            <w:tcW w:w="1459" w:type="pct"/>
            <w:shd w:val="clear" w:color="auto" w:fill="auto"/>
            <w:vAlign w:val="center"/>
          </w:tcPr>
          <w:p w14:paraId="28D0A422">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w:t>
            </w:r>
          </w:p>
        </w:tc>
        <w:tc>
          <w:tcPr>
            <w:tcW w:w="832" w:type="pct"/>
            <w:shd w:val="clear" w:color="auto" w:fill="auto"/>
            <w:vAlign w:val="center"/>
          </w:tcPr>
          <w:p w14:paraId="1D7012BD">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3150</w:t>
            </w:r>
          </w:p>
        </w:tc>
        <w:tc>
          <w:tcPr>
            <w:tcW w:w="832" w:type="pct"/>
            <w:vAlign w:val="center"/>
          </w:tcPr>
          <w:p w14:paraId="48A4D5AD">
            <w:pPr>
              <w:pStyle w:val="140"/>
              <w:spacing w:before="0"/>
              <w:ind w:left="0" w:right="0"/>
              <w:rPr>
                <w:rFonts w:hint="default" w:ascii="Times New Roman"/>
                <w:sz w:val="21"/>
                <w:lang w:val="en-US" w:eastAsia="zh-CN"/>
              </w:rPr>
            </w:pPr>
            <w:r>
              <w:rPr>
                <w:rFonts w:hint="eastAsia" w:ascii="Times New Roman"/>
                <w:sz w:val="21"/>
                <w:lang w:val="en-US" w:eastAsia="zh-CN"/>
              </w:rPr>
              <w:t>31.5</w:t>
            </w:r>
          </w:p>
        </w:tc>
        <w:tc>
          <w:tcPr>
            <w:tcW w:w="406" w:type="pct"/>
            <w:vAlign w:val="center"/>
          </w:tcPr>
          <w:p w14:paraId="2165B3F6">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kern w:val="2"/>
                <w:sz w:val="21"/>
              </w:rPr>
              <w:t>散装</w:t>
            </w:r>
          </w:p>
        </w:tc>
        <w:tc>
          <w:tcPr>
            <w:tcW w:w="322" w:type="pct"/>
            <w:vAlign w:val="center"/>
          </w:tcPr>
          <w:p w14:paraId="24F3E6D8">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原料仓库</w:t>
            </w:r>
          </w:p>
        </w:tc>
        <w:tc>
          <w:tcPr>
            <w:tcW w:w="339" w:type="pct"/>
            <w:vAlign w:val="center"/>
          </w:tcPr>
          <w:p w14:paraId="587532F2">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涉气、涉水</w:t>
            </w:r>
          </w:p>
        </w:tc>
      </w:tr>
      <w:tr w14:paraId="1C16F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2990DA19">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783E691B">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木屑</w:t>
            </w:r>
          </w:p>
        </w:tc>
        <w:tc>
          <w:tcPr>
            <w:tcW w:w="1459" w:type="pct"/>
            <w:shd w:val="clear" w:color="auto" w:fill="auto"/>
            <w:vAlign w:val="center"/>
          </w:tcPr>
          <w:p w14:paraId="6FD3EFEC">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w:t>
            </w:r>
          </w:p>
        </w:tc>
        <w:tc>
          <w:tcPr>
            <w:tcW w:w="832" w:type="pct"/>
            <w:shd w:val="clear" w:color="auto" w:fill="auto"/>
            <w:vAlign w:val="center"/>
          </w:tcPr>
          <w:p w14:paraId="2ECEFC42">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7350</w:t>
            </w:r>
          </w:p>
        </w:tc>
        <w:tc>
          <w:tcPr>
            <w:tcW w:w="832" w:type="pct"/>
            <w:vAlign w:val="center"/>
          </w:tcPr>
          <w:p w14:paraId="49618AA1">
            <w:pPr>
              <w:pStyle w:val="140"/>
              <w:spacing w:before="0"/>
              <w:ind w:left="0" w:right="0"/>
              <w:rPr>
                <w:rFonts w:hint="default" w:ascii="Times New Roman"/>
                <w:sz w:val="21"/>
                <w:lang w:val="en-US" w:eastAsia="zh-CN"/>
              </w:rPr>
            </w:pPr>
            <w:r>
              <w:rPr>
                <w:rFonts w:hint="eastAsia" w:ascii="Times New Roman"/>
                <w:sz w:val="21"/>
                <w:lang w:val="en-US" w:eastAsia="zh-CN"/>
              </w:rPr>
              <w:t>73.5</w:t>
            </w:r>
          </w:p>
        </w:tc>
        <w:tc>
          <w:tcPr>
            <w:tcW w:w="406" w:type="pct"/>
            <w:vAlign w:val="center"/>
          </w:tcPr>
          <w:p w14:paraId="7D531696">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kern w:val="2"/>
                <w:sz w:val="21"/>
              </w:rPr>
              <w:t>散装</w:t>
            </w:r>
          </w:p>
        </w:tc>
        <w:tc>
          <w:tcPr>
            <w:tcW w:w="322" w:type="pct"/>
            <w:vAlign w:val="center"/>
          </w:tcPr>
          <w:p w14:paraId="2063C817">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原料仓库</w:t>
            </w:r>
          </w:p>
        </w:tc>
        <w:tc>
          <w:tcPr>
            <w:tcW w:w="339" w:type="pct"/>
            <w:vAlign w:val="center"/>
          </w:tcPr>
          <w:p w14:paraId="5F4BD463">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058F8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6B72160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1DCAD22F">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稻壳</w:t>
            </w:r>
          </w:p>
        </w:tc>
        <w:tc>
          <w:tcPr>
            <w:tcW w:w="1459" w:type="pct"/>
            <w:shd w:val="clear" w:color="auto" w:fill="auto"/>
            <w:vAlign w:val="center"/>
          </w:tcPr>
          <w:p w14:paraId="46F9A8D1">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eastAsia"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w:t>
            </w:r>
          </w:p>
        </w:tc>
        <w:tc>
          <w:tcPr>
            <w:tcW w:w="832" w:type="pct"/>
            <w:shd w:val="clear" w:color="auto" w:fill="auto"/>
            <w:vAlign w:val="center"/>
          </w:tcPr>
          <w:p w14:paraId="57B15E3C">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6300</w:t>
            </w:r>
          </w:p>
        </w:tc>
        <w:tc>
          <w:tcPr>
            <w:tcW w:w="832" w:type="pct"/>
            <w:vAlign w:val="center"/>
          </w:tcPr>
          <w:p w14:paraId="1C5F1218">
            <w:pPr>
              <w:pStyle w:val="140"/>
              <w:spacing w:before="0"/>
              <w:ind w:left="0" w:right="0"/>
              <w:rPr>
                <w:rFonts w:hint="default" w:ascii="Times New Roman"/>
                <w:sz w:val="21"/>
                <w:lang w:val="en-US" w:eastAsia="zh-CN"/>
              </w:rPr>
            </w:pPr>
            <w:r>
              <w:rPr>
                <w:rFonts w:hint="eastAsia" w:ascii="Times New Roman"/>
                <w:sz w:val="21"/>
                <w:lang w:val="en-US" w:eastAsia="zh-CN"/>
              </w:rPr>
              <w:t>63</w:t>
            </w:r>
          </w:p>
        </w:tc>
        <w:tc>
          <w:tcPr>
            <w:tcW w:w="406" w:type="pct"/>
            <w:vAlign w:val="center"/>
          </w:tcPr>
          <w:p w14:paraId="660FA44E">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kern w:val="2"/>
                <w:sz w:val="21"/>
              </w:rPr>
              <w:t>散装</w:t>
            </w:r>
          </w:p>
        </w:tc>
        <w:tc>
          <w:tcPr>
            <w:tcW w:w="322" w:type="pct"/>
            <w:vAlign w:val="center"/>
          </w:tcPr>
          <w:p w14:paraId="374EABCB">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原料仓库</w:t>
            </w:r>
          </w:p>
        </w:tc>
        <w:tc>
          <w:tcPr>
            <w:tcW w:w="339" w:type="pct"/>
            <w:vAlign w:val="center"/>
          </w:tcPr>
          <w:p w14:paraId="729C5981">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3D08D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2F8CF9BF">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5737DAE1">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润滑油</w:t>
            </w:r>
          </w:p>
        </w:tc>
        <w:tc>
          <w:tcPr>
            <w:tcW w:w="1459" w:type="pct"/>
            <w:shd w:val="clear" w:color="auto" w:fill="auto"/>
            <w:vAlign w:val="center"/>
          </w:tcPr>
          <w:p w14:paraId="65680569">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sz w:val="21"/>
                <w:szCs w:val="21"/>
                <w:lang w:val="en-US" w:eastAsia="zh-CN"/>
              </w:rPr>
              <w:t>/</w:t>
            </w:r>
          </w:p>
        </w:tc>
        <w:tc>
          <w:tcPr>
            <w:tcW w:w="832" w:type="pct"/>
            <w:shd w:val="clear" w:color="auto" w:fill="auto"/>
            <w:vAlign w:val="center"/>
          </w:tcPr>
          <w:p w14:paraId="3D1FA2AC">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21.6</w:t>
            </w:r>
          </w:p>
        </w:tc>
        <w:tc>
          <w:tcPr>
            <w:tcW w:w="832" w:type="pct"/>
            <w:vAlign w:val="center"/>
          </w:tcPr>
          <w:p w14:paraId="18197391">
            <w:pPr>
              <w:pStyle w:val="140"/>
              <w:spacing w:before="0"/>
              <w:ind w:left="0" w:right="0"/>
              <w:rPr>
                <w:rFonts w:hint="default" w:ascii="Times New Roman"/>
                <w:sz w:val="21"/>
                <w:lang w:val="en-US" w:eastAsia="zh-CN"/>
              </w:rPr>
            </w:pPr>
            <w:r>
              <w:rPr>
                <w:rFonts w:hint="eastAsia" w:ascii="Times New Roman"/>
                <w:sz w:val="21"/>
                <w:lang w:val="en-US" w:eastAsia="zh-CN"/>
              </w:rPr>
              <w:t>0.216</w:t>
            </w:r>
          </w:p>
        </w:tc>
        <w:tc>
          <w:tcPr>
            <w:tcW w:w="406" w:type="pct"/>
            <w:vAlign w:val="center"/>
          </w:tcPr>
          <w:p w14:paraId="656465F9">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散装</w:t>
            </w:r>
          </w:p>
        </w:tc>
        <w:tc>
          <w:tcPr>
            <w:tcW w:w="322" w:type="pct"/>
            <w:vAlign w:val="center"/>
          </w:tcPr>
          <w:p w14:paraId="468505E6">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原料仓库</w:t>
            </w:r>
          </w:p>
        </w:tc>
        <w:tc>
          <w:tcPr>
            <w:tcW w:w="339" w:type="pct"/>
            <w:vAlign w:val="center"/>
          </w:tcPr>
          <w:p w14:paraId="2977312F">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13734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Align w:val="center"/>
          </w:tcPr>
          <w:p w14:paraId="3E8EC88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废气</w:t>
            </w:r>
          </w:p>
        </w:tc>
        <w:tc>
          <w:tcPr>
            <w:tcW w:w="579" w:type="pct"/>
            <w:vAlign w:val="center"/>
          </w:tcPr>
          <w:p w14:paraId="408B525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有组织废气</w:t>
            </w:r>
          </w:p>
        </w:tc>
        <w:tc>
          <w:tcPr>
            <w:tcW w:w="1459" w:type="pct"/>
            <w:vAlign w:val="center"/>
          </w:tcPr>
          <w:p w14:paraId="44C8CA9E">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颗粒物</w:t>
            </w:r>
          </w:p>
        </w:tc>
        <w:tc>
          <w:tcPr>
            <w:tcW w:w="832" w:type="pct"/>
            <w:vAlign w:val="center"/>
          </w:tcPr>
          <w:p w14:paraId="7CA09EEE">
            <w:pPr>
              <w:pStyle w:val="140"/>
              <w:spacing w:before="0"/>
              <w:ind w:left="0" w:right="0"/>
              <w:rPr>
                <w:rFonts w:hint="default" w:ascii="Times New Roman"/>
                <w:sz w:val="21"/>
                <w:lang w:val="en-US" w:eastAsia="zh-CN"/>
              </w:rPr>
            </w:pPr>
            <w:r>
              <w:rPr>
                <w:rFonts w:hint="default" w:ascii="Times New Roman"/>
                <w:sz w:val="21"/>
                <w:lang w:val="en-US" w:eastAsia="zh-CN"/>
              </w:rPr>
              <w:t>/</w:t>
            </w:r>
          </w:p>
        </w:tc>
        <w:tc>
          <w:tcPr>
            <w:tcW w:w="832" w:type="pct"/>
            <w:vAlign w:val="center"/>
          </w:tcPr>
          <w:p w14:paraId="390181C6">
            <w:pPr>
              <w:pStyle w:val="140"/>
              <w:spacing w:before="0"/>
              <w:ind w:left="0" w:right="0"/>
              <w:rPr>
                <w:rFonts w:hint="default" w:ascii="Times New Roman"/>
                <w:sz w:val="21"/>
                <w:lang w:val="zh-CN" w:eastAsia="zh-CN"/>
              </w:rPr>
            </w:pPr>
            <w:r>
              <w:rPr>
                <w:rFonts w:hint="default" w:ascii="Times New Roman"/>
                <w:sz w:val="21"/>
                <w:lang w:val="en-US" w:eastAsia="zh-CN"/>
              </w:rPr>
              <w:t>/</w:t>
            </w:r>
          </w:p>
        </w:tc>
        <w:tc>
          <w:tcPr>
            <w:tcW w:w="406" w:type="pct"/>
            <w:vAlign w:val="center"/>
          </w:tcPr>
          <w:p w14:paraId="241B3948">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22" w:type="pct"/>
            <w:vAlign w:val="center"/>
          </w:tcPr>
          <w:p w14:paraId="1FB9752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39" w:type="pct"/>
            <w:vAlign w:val="center"/>
          </w:tcPr>
          <w:p w14:paraId="225F32A0">
            <w:pPr>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涉气</w:t>
            </w:r>
          </w:p>
        </w:tc>
      </w:tr>
      <w:tr w14:paraId="261DC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Align w:val="center"/>
          </w:tcPr>
          <w:p w14:paraId="68317A7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产品</w:t>
            </w:r>
          </w:p>
        </w:tc>
        <w:tc>
          <w:tcPr>
            <w:tcW w:w="579" w:type="pct"/>
            <w:vAlign w:val="center"/>
          </w:tcPr>
          <w:p w14:paraId="6530507C">
            <w:pPr>
              <w:jc w:val="center"/>
              <w:rPr>
                <w:rFonts w:hint="default"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生物质致密成型燃料</w:t>
            </w:r>
          </w:p>
        </w:tc>
        <w:tc>
          <w:tcPr>
            <w:tcW w:w="1459" w:type="pct"/>
            <w:vAlign w:val="center"/>
          </w:tcPr>
          <w:p w14:paraId="51D774FF">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lang w:val="en-US" w:eastAsia="zh-CN"/>
              </w:rPr>
              <w:t>/</w:t>
            </w:r>
          </w:p>
        </w:tc>
        <w:tc>
          <w:tcPr>
            <w:tcW w:w="832" w:type="pct"/>
            <w:vAlign w:val="center"/>
          </w:tcPr>
          <w:p w14:paraId="200134F0">
            <w:pPr>
              <w:spacing w:before="0"/>
              <w:ind w:left="0" w:right="0" w:firstLine="420" w:firstLineChars="200"/>
              <w:rPr>
                <w:rFonts w:hint="default" w:ascii="Times New Roman"/>
                <w:sz w:val="21"/>
                <w:lang w:val="en-US" w:eastAsia="zh-CN"/>
              </w:rPr>
            </w:pPr>
            <w:r>
              <w:rPr>
                <w:rFonts w:hint="eastAsia"/>
                <w:sz w:val="21"/>
                <w:lang w:val="en-US" w:eastAsia="zh-CN"/>
              </w:rPr>
              <w:t>23000吨</w:t>
            </w:r>
          </w:p>
        </w:tc>
        <w:tc>
          <w:tcPr>
            <w:tcW w:w="832" w:type="pct"/>
            <w:vAlign w:val="center"/>
          </w:tcPr>
          <w:p w14:paraId="62C8B34C">
            <w:pPr>
              <w:spacing w:before="0"/>
              <w:ind w:left="0" w:right="0" w:firstLine="420" w:firstLineChars="200"/>
              <w:rPr>
                <w:rFonts w:hint="default" w:ascii="Times New Roman"/>
                <w:sz w:val="21"/>
                <w:lang w:val="en-US" w:eastAsia="zh-CN"/>
              </w:rPr>
            </w:pPr>
            <w:r>
              <w:rPr>
                <w:rFonts w:hint="eastAsia"/>
                <w:sz w:val="21"/>
                <w:lang w:val="en-US" w:eastAsia="zh-CN"/>
              </w:rPr>
              <w:t>23000吨</w:t>
            </w:r>
          </w:p>
        </w:tc>
        <w:tc>
          <w:tcPr>
            <w:tcW w:w="406" w:type="pct"/>
            <w:vAlign w:val="center"/>
          </w:tcPr>
          <w:p w14:paraId="7D4FCA4F">
            <w:pPr>
              <w:pStyle w:val="140"/>
              <w:spacing w:before="0"/>
              <w:ind w:left="0" w:leftChars="0"/>
              <w:jc w:val="center"/>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散装</w:t>
            </w:r>
          </w:p>
        </w:tc>
        <w:tc>
          <w:tcPr>
            <w:tcW w:w="322" w:type="pct"/>
            <w:vAlign w:val="center"/>
          </w:tcPr>
          <w:p w14:paraId="781AA286">
            <w:pPr>
              <w:pStyle w:val="140"/>
              <w:spacing w:before="0"/>
              <w:ind w:left="0" w:leftChars="0" w:right="0" w:rightChars="0"/>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成品仓库</w:t>
            </w:r>
          </w:p>
        </w:tc>
        <w:tc>
          <w:tcPr>
            <w:tcW w:w="339" w:type="pct"/>
            <w:vAlign w:val="center"/>
          </w:tcPr>
          <w:p w14:paraId="3C1A939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07DDB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Align w:val="center"/>
          </w:tcPr>
          <w:p w14:paraId="388DB13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废水</w:t>
            </w:r>
          </w:p>
        </w:tc>
        <w:tc>
          <w:tcPr>
            <w:tcW w:w="579" w:type="pct"/>
            <w:vAlign w:val="center"/>
          </w:tcPr>
          <w:p w14:paraId="71925557">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水帘</w:t>
            </w:r>
            <w:r>
              <w:rPr>
                <w:rFonts w:hint="default" w:ascii="Times New Roman" w:hAnsi="Times New Roman" w:eastAsia="宋体" w:cs="Times New Roman"/>
                <w:kern w:val="2"/>
                <w:sz w:val="21"/>
                <w:szCs w:val="21"/>
                <w:lang w:val="en-US" w:eastAsia="zh-CN" w:bidi="ar-SA"/>
              </w:rPr>
              <w:t>废水</w:t>
            </w:r>
          </w:p>
        </w:tc>
        <w:tc>
          <w:tcPr>
            <w:tcW w:w="1459" w:type="pct"/>
            <w:vAlign w:val="center"/>
          </w:tcPr>
          <w:p w14:paraId="219126D6">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pH、COD、SS、NH3-N、TP、TN</w:t>
            </w:r>
          </w:p>
        </w:tc>
        <w:tc>
          <w:tcPr>
            <w:tcW w:w="832" w:type="pct"/>
            <w:vAlign w:val="center"/>
          </w:tcPr>
          <w:p w14:paraId="56B9915E">
            <w:pPr>
              <w:pStyle w:val="140"/>
              <w:spacing w:before="0"/>
              <w:ind w:left="0" w:right="0"/>
              <w:rPr>
                <w:rFonts w:hint="default" w:ascii="Times New Roman"/>
                <w:sz w:val="21"/>
                <w:lang w:val="en-US" w:eastAsia="zh-CN"/>
              </w:rPr>
            </w:pPr>
            <w:r>
              <w:rPr>
                <w:rFonts w:hint="default" w:ascii="Times New Roman"/>
                <w:sz w:val="21"/>
                <w:lang w:val="en-US" w:eastAsia="zh-CN"/>
              </w:rPr>
              <w:t>/</w:t>
            </w:r>
          </w:p>
        </w:tc>
        <w:tc>
          <w:tcPr>
            <w:tcW w:w="832" w:type="pct"/>
            <w:vAlign w:val="center"/>
          </w:tcPr>
          <w:p w14:paraId="0C0A7890">
            <w:pPr>
              <w:pStyle w:val="140"/>
              <w:spacing w:before="0"/>
              <w:ind w:left="0" w:right="0"/>
              <w:rPr>
                <w:rFonts w:hint="default" w:ascii="Times New Roman"/>
                <w:sz w:val="21"/>
                <w:lang w:val="en-US" w:eastAsia="zh-CN"/>
              </w:rPr>
            </w:pPr>
            <w:r>
              <w:rPr>
                <w:rFonts w:hint="eastAsia" w:ascii="Times New Roman"/>
                <w:sz w:val="21"/>
                <w:lang w:val="en-US" w:eastAsia="zh-CN"/>
              </w:rPr>
              <w:t>/</w:t>
            </w:r>
          </w:p>
        </w:tc>
        <w:tc>
          <w:tcPr>
            <w:tcW w:w="406" w:type="pct"/>
            <w:vAlign w:val="center"/>
          </w:tcPr>
          <w:p w14:paraId="6505C37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22" w:type="pct"/>
            <w:vAlign w:val="center"/>
          </w:tcPr>
          <w:p w14:paraId="09A93CF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39" w:type="pct"/>
            <w:vAlign w:val="center"/>
          </w:tcPr>
          <w:p w14:paraId="34D7399B">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涉水</w:t>
            </w:r>
          </w:p>
        </w:tc>
      </w:tr>
      <w:tr w14:paraId="5926C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restart"/>
            <w:vAlign w:val="center"/>
          </w:tcPr>
          <w:p w14:paraId="6DF26AE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w:t>
            </w:r>
          </w:p>
        </w:tc>
        <w:tc>
          <w:tcPr>
            <w:tcW w:w="579" w:type="pct"/>
            <w:vAlign w:val="center"/>
          </w:tcPr>
          <w:p w14:paraId="3A5BE9BE">
            <w:pPr>
              <w:pStyle w:val="14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废电瓶</w:t>
            </w:r>
          </w:p>
        </w:tc>
        <w:tc>
          <w:tcPr>
            <w:tcW w:w="1459" w:type="pct"/>
            <w:vAlign w:val="center"/>
          </w:tcPr>
          <w:p w14:paraId="146A486B">
            <w:pPr>
              <w:pStyle w:val="140"/>
              <w:ind w:left="0" w:leftChars="0"/>
              <w:jc w:val="center"/>
              <w:rPr>
                <w:rFonts w:hint="default" w:ascii="Times New Roman" w:hAnsi="Times New Roman" w:eastAsia="宋体" w:cs="Times New Roman"/>
                <w:color w:val="auto"/>
                <w:kern w:val="0"/>
                <w:sz w:val="21"/>
                <w:szCs w:val="21"/>
                <w:lang w:val="en-US" w:eastAsia="zh-CN" w:bidi="zh-CN"/>
              </w:rPr>
            </w:pPr>
          </w:p>
        </w:tc>
        <w:tc>
          <w:tcPr>
            <w:tcW w:w="832" w:type="pct"/>
            <w:vAlign w:val="center"/>
          </w:tcPr>
          <w:p w14:paraId="24562722">
            <w:pPr>
              <w:pStyle w:val="140"/>
              <w:spacing w:before="0"/>
              <w:ind w:left="0" w:right="0"/>
              <w:rPr>
                <w:rFonts w:hint="default" w:ascii="Times New Roman"/>
                <w:sz w:val="21"/>
                <w:lang w:val="en-US" w:eastAsia="zh-CN"/>
              </w:rPr>
            </w:pPr>
            <w:r>
              <w:rPr>
                <w:rFonts w:hint="eastAsia" w:ascii="Times New Roman"/>
                <w:sz w:val="21"/>
                <w:lang w:val="en-US" w:eastAsia="zh-CN"/>
              </w:rPr>
              <w:t>0.8</w:t>
            </w:r>
          </w:p>
        </w:tc>
        <w:tc>
          <w:tcPr>
            <w:tcW w:w="832" w:type="pct"/>
            <w:vAlign w:val="center"/>
          </w:tcPr>
          <w:p w14:paraId="2918C520">
            <w:pPr>
              <w:pStyle w:val="140"/>
              <w:spacing w:before="0"/>
              <w:ind w:left="0" w:right="0"/>
              <w:rPr>
                <w:rFonts w:hint="default" w:ascii="Times New Roman"/>
                <w:sz w:val="21"/>
                <w:lang w:val="en-US" w:eastAsia="zh-CN"/>
              </w:rPr>
            </w:pPr>
            <w:r>
              <w:rPr>
                <w:rFonts w:hint="eastAsia" w:ascii="Times New Roman"/>
                <w:sz w:val="21"/>
                <w:lang w:val="en-US" w:eastAsia="zh-CN"/>
              </w:rPr>
              <w:t>0.08</w:t>
            </w:r>
          </w:p>
        </w:tc>
        <w:tc>
          <w:tcPr>
            <w:tcW w:w="406" w:type="pct"/>
            <w:vAlign w:val="center"/>
          </w:tcPr>
          <w:p w14:paraId="3E11210E">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sz w:val="21"/>
                <w:szCs w:val="21"/>
                <w:lang w:val="en-US" w:eastAsia="zh-CN"/>
              </w:rPr>
              <w:t>散</w:t>
            </w:r>
            <w:r>
              <w:rPr>
                <w:rFonts w:hint="default" w:ascii="Times New Roman" w:hAnsi="Times New Roman" w:eastAsia="宋体" w:cs="Times New Roman"/>
                <w:sz w:val="21"/>
                <w:szCs w:val="21"/>
                <w:lang w:val="en-US" w:eastAsia="zh-CN"/>
              </w:rPr>
              <w:t>装</w:t>
            </w:r>
          </w:p>
        </w:tc>
        <w:tc>
          <w:tcPr>
            <w:tcW w:w="322" w:type="pct"/>
            <w:vAlign w:val="center"/>
          </w:tcPr>
          <w:p w14:paraId="38476B8F">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339" w:type="pct"/>
            <w:vAlign w:val="center"/>
          </w:tcPr>
          <w:p w14:paraId="32BF69DC">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1C97B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431B80D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vAlign w:val="center"/>
          </w:tcPr>
          <w:p w14:paraId="0ADA00AB">
            <w:pPr>
              <w:widowControl/>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废劳保用品</w:t>
            </w:r>
          </w:p>
        </w:tc>
        <w:tc>
          <w:tcPr>
            <w:tcW w:w="1459" w:type="pct"/>
            <w:vAlign w:val="center"/>
          </w:tcPr>
          <w:p w14:paraId="78724BCD">
            <w:pPr>
              <w:pStyle w:val="140"/>
              <w:ind w:left="0" w:leftChars="0"/>
              <w:jc w:val="center"/>
              <w:rPr>
                <w:rFonts w:hint="default" w:ascii="Times New Roman" w:hAnsi="Times New Roman" w:eastAsia="宋体" w:cs="Times New Roman"/>
                <w:color w:val="auto"/>
                <w:kern w:val="0"/>
                <w:sz w:val="21"/>
                <w:szCs w:val="21"/>
                <w:lang w:val="en-US" w:eastAsia="zh-CN" w:bidi="zh-CN"/>
              </w:rPr>
            </w:pPr>
            <w:r>
              <w:rPr>
                <w:rFonts w:hint="eastAsia" w:ascii="宋体" w:hAnsi="宋体" w:eastAsia="宋体" w:cs="Times New Roman"/>
                <w:color w:val="000000"/>
                <w:kern w:val="0"/>
                <w:sz w:val="21"/>
                <w:szCs w:val="21"/>
                <w:lang w:val="en-US" w:eastAsia="zh-CN" w:bidi="ar-SA"/>
              </w:rPr>
              <w:t>有机物</w:t>
            </w:r>
          </w:p>
        </w:tc>
        <w:tc>
          <w:tcPr>
            <w:tcW w:w="832" w:type="pct"/>
            <w:vAlign w:val="center"/>
          </w:tcPr>
          <w:p w14:paraId="36869792">
            <w:pPr>
              <w:pStyle w:val="140"/>
              <w:spacing w:before="0"/>
              <w:ind w:left="0" w:right="0"/>
              <w:rPr>
                <w:rFonts w:hint="default" w:ascii="Times New Roman"/>
                <w:sz w:val="21"/>
                <w:lang w:val="en-US" w:eastAsia="zh-CN"/>
              </w:rPr>
            </w:pPr>
            <w:r>
              <w:rPr>
                <w:rFonts w:hint="eastAsia" w:ascii="Times New Roman"/>
                <w:sz w:val="21"/>
                <w:lang w:val="en-US" w:eastAsia="zh-CN"/>
              </w:rPr>
              <w:t>0.5</w:t>
            </w:r>
          </w:p>
        </w:tc>
        <w:tc>
          <w:tcPr>
            <w:tcW w:w="832" w:type="pct"/>
            <w:vAlign w:val="center"/>
          </w:tcPr>
          <w:p w14:paraId="7A17446A">
            <w:pPr>
              <w:pStyle w:val="140"/>
              <w:spacing w:before="0"/>
              <w:ind w:left="0" w:right="0"/>
              <w:rPr>
                <w:rFonts w:hint="default" w:ascii="Times New Roman"/>
                <w:sz w:val="21"/>
                <w:lang w:val="en-US" w:eastAsia="zh-CN"/>
              </w:rPr>
            </w:pPr>
            <w:r>
              <w:rPr>
                <w:rFonts w:hint="eastAsia" w:ascii="Times New Roman"/>
                <w:sz w:val="21"/>
                <w:lang w:val="en-US" w:eastAsia="zh-CN"/>
              </w:rPr>
              <w:t>0.05</w:t>
            </w:r>
          </w:p>
        </w:tc>
        <w:tc>
          <w:tcPr>
            <w:tcW w:w="406" w:type="pct"/>
            <w:vAlign w:val="center"/>
          </w:tcPr>
          <w:p w14:paraId="3CED03FF">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lang w:val="en-US" w:eastAsia="zh-CN"/>
              </w:rPr>
              <w:t>袋装</w:t>
            </w:r>
          </w:p>
        </w:tc>
        <w:tc>
          <w:tcPr>
            <w:tcW w:w="322" w:type="pct"/>
            <w:vAlign w:val="center"/>
          </w:tcPr>
          <w:p w14:paraId="13B26303">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339" w:type="pct"/>
            <w:vAlign w:val="center"/>
          </w:tcPr>
          <w:p w14:paraId="65443704">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7C0EB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11DEB41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vAlign w:val="center"/>
          </w:tcPr>
          <w:p w14:paraId="319ED38E">
            <w:pPr>
              <w:widowControl w:val="0"/>
              <w:spacing w:line="240" w:lineRule="auto"/>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废润滑油</w:t>
            </w:r>
          </w:p>
        </w:tc>
        <w:tc>
          <w:tcPr>
            <w:tcW w:w="1459" w:type="pct"/>
            <w:vAlign w:val="center"/>
          </w:tcPr>
          <w:p w14:paraId="632C9327">
            <w:pPr>
              <w:widowControl w:val="0"/>
              <w:spacing w:line="240" w:lineRule="auto"/>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有机物</w:t>
            </w:r>
          </w:p>
        </w:tc>
        <w:tc>
          <w:tcPr>
            <w:tcW w:w="832" w:type="pct"/>
            <w:vAlign w:val="center"/>
          </w:tcPr>
          <w:p w14:paraId="2BD8CA6B">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832" w:type="pct"/>
            <w:vAlign w:val="center"/>
          </w:tcPr>
          <w:p w14:paraId="293E8626">
            <w:pPr>
              <w:pStyle w:val="140"/>
              <w:spacing w:before="0"/>
              <w:ind w:left="0" w:right="0"/>
              <w:rPr>
                <w:rFonts w:hint="default" w:ascii="Times New Roman"/>
                <w:sz w:val="21"/>
                <w:lang w:val="en-US" w:eastAsia="zh-CN"/>
              </w:rPr>
            </w:pPr>
            <w:r>
              <w:rPr>
                <w:rFonts w:hint="eastAsia" w:ascii="Times New Roman"/>
                <w:sz w:val="21"/>
                <w:lang w:val="en-US" w:eastAsia="zh-CN"/>
              </w:rPr>
              <w:t>0.1</w:t>
            </w:r>
          </w:p>
        </w:tc>
        <w:tc>
          <w:tcPr>
            <w:tcW w:w="406" w:type="pct"/>
            <w:vAlign w:val="center"/>
          </w:tcPr>
          <w:p w14:paraId="7B71433C">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sz w:val="21"/>
                <w:szCs w:val="21"/>
                <w:lang w:val="en-US" w:eastAsia="zh-CN"/>
              </w:rPr>
              <w:t>袋</w:t>
            </w:r>
            <w:r>
              <w:rPr>
                <w:rFonts w:hint="default" w:ascii="Times New Roman" w:hAnsi="Times New Roman" w:eastAsia="宋体" w:cs="Times New Roman"/>
                <w:sz w:val="21"/>
                <w:szCs w:val="21"/>
                <w:lang w:val="en-US" w:eastAsia="zh-CN"/>
              </w:rPr>
              <w:t>装</w:t>
            </w:r>
          </w:p>
        </w:tc>
        <w:tc>
          <w:tcPr>
            <w:tcW w:w="322" w:type="pct"/>
            <w:vAlign w:val="center"/>
          </w:tcPr>
          <w:p w14:paraId="4249DA47">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339" w:type="pct"/>
            <w:vAlign w:val="center"/>
          </w:tcPr>
          <w:p w14:paraId="17CF603A">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1574E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tcPr>
          <w:p w14:paraId="329FA716">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bookmarkStart w:id="83" w:name="_Toc32621"/>
            <w:bookmarkStart w:id="84" w:name="_Toc7621"/>
          </w:p>
        </w:tc>
        <w:tc>
          <w:tcPr>
            <w:tcW w:w="579" w:type="pct"/>
            <w:vAlign w:val="center"/>
          </w:tcPr>
          <w:p w14:paraId="4FF2016A">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Times New Roman"/>
                <w:color w:val="000000"/>
                <w:kern w:val="0"/>
                <w:sz w:val="21"/>
                <w:szCs w:val="21"/>
                <w:lang w:val="en-US" w:eastAsia="zh-CN" w:bidi="ar-SA"/>
              </w:rPr>
            </w:pPr>
            <w:r>
              <w:rPr>
                <w:rFonts w:hint="eastAsia" w:eastAsia="宋体" w:cs="Times New Roman"/>
                <w:sz w:val="21"/>
                <w:szCs w:val="21"/>
                <w:lang w:val="en-US" w:eastAsia="zh-CN"/>
              </w:rPr>
              <w:t>废润滑油桶</w:t>
            </w:r>
          </w:p>
        </w:tc>
        <w:tc>
          <w:tcPr>
            <w:tcW w:w="1459" w:type="pct"/>
            <w:vAlign w:val="center"/>
          </w:tcPr>
          <w:p w14:paraId="798D3F2E">
            <w:pPr>
              <w:widowControl w:val="0"/>
              <w:spacing w:line="240" w:lineRule="auto"/>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有机物</w:t>
            </w:r>
          </w:p>
        </w:tc>
        <w:tc>
          <w:tcPr>
            <w:tcW w:w="832" w:type="pct"/>
            <w:vAlign w:val="center"/>
          </w:tcPr>
          <w:p w14:paraId="4394538C">
            <w:pPr>
              <w:pStyle w:val="140"/>
              <w:spacing w:before="0"/>
              <w:ind w:left="0" w:right="0"/>
              <w:rPr>
                <w:rFonts w:hint="default" w:ascii="Times New Roman"/>
                <w:sz w:val="21"/>
                <w:lang w:val="en-US" w:eastAsia="zh-CN"/>
              </w:rPr>
            </w:pPr>
            <w:r>
              <w:rPr>
                <w:rFonts w:hint="eastAsia" w:ascii="Times New Roman"/>
                <w:sz w:val="21"/>
                <w:lang w:val="en-US" w:eastAsia="zh-CN"/>
              </w:rPr>
              <w:t>2.4</w:t>
            </w:r>
          </w:p>
        </w:tc>
        <w:tc>
          <w:tcPr>
            <w:tcW w:w="832" w:type="pct"/>
            <w:vAlign w:val="center"/>
          </w:tcPr>
          <w:p w14:paraId="61429638">
            <w:pPr>
              <w:pStyle w:val="140"/>
              <w:spacing w:before="0"/>
              <w:ind w:left="0" w:right="0"/>
              <w:rPr>
                <w:rFonts w:hint="default" w:ascii="Times New Roman"/>
                <w:sz w:val="21"/>
                <w:lang w:val="en-US" w:eastAsia="zh-CN"/>
              </w:rPr>
            </w:pPr>
            <w:r>
              <w:rPr>
                <w:rFonts w:hint="eastAsia" w:ascii="Times New Roman"/>
                <w:sz w:val="21"/>
                <w:lang w:val="en-US" w:eastAsia="zh-CN"/>
              </w:rPr>
              <w:t>0.24</w:t>
            </w:r>
          </w:p>
        </w:tc>
        <w:tc>
          <w:tcPr>
            <w:tcW w:w="406" w:type="pct"/>
            <w:vAlign w:val="center"/>
          </w:tcPr>
          <w:p w14:paraId="56EA21CF">
            <w:pPr>
              <w:jc w:val="center"/>
              <w:rPr>
                <w:rFonts w:hint="eastAsia"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lang w:val="en-US" w:eastAsia="zh-CN"/>
              </w:rPr>
              <w:t>袋装</w:t>
            </w:r>
          </w:p>
        </w:tc>
        <w:tc>
          <w:tcPr>
            <w:tcW w:w="322" w:type="pct"/>
            <w:vAlign w:val="center"/>
          </w:tcPr>
          <w:p w14:paraId="309D8ADB">
            <w:pPr>
              <w:jc w:val="center"/>
              <w:rPr>
                <w:rFonts w:hint="eastAsia"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339" w:type="pct"/>
            <w:vAlign w:val="center"/>
          </w:tcPr>
          <w:p w14:paraId="40C99C0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bl>
    <w:p w14:paraId="5F9DE2CA">
      <w:pPr>
        <w:pStyle w:val="3"/>
        <w:adjustRightInd w:val="0"/>
        <w:snapToGrid w:val="0"/>
        <w:spacing w:line="480" w:lineRule="exact"/>
        <w:rPr>
          <w:rFonts w:hint="default" w:ascii="Times New Roman" w:hAnsi="Times New Roman" w:eastAsia="宋体" w:cs="Times New Roman"/>
          <w:sz w:val="24"/>
          <w:szCs w:val="24"/>
          <w:lang w:val="en-US" w:eastAsia="zh-CN"/>
        </w:rPr>
      </w:pPr>
      <w:bookmarkStart w:id="85" w:name="_Toc31109"/>
      <w:r>
        <w:rPr>
          <w:rFonts w:hint="default" w:ascii="Times New Roman" w:hAnsi="Times New Roman" w:eastAsia="宋体" w:cs="Times New Roman"/>
          <w:sz w:val="24"/>
          <w:szCs w:val="24"/>
        </w:rPr>
        <w:t>3.4</w:t>
      </w:r>
      <w:r>
        <w:rPr>
          <w:rFonts w:hint="eastAsia" w:eastAsia="宋体" w:cs="Times New Roman"/>
          <w:sz w:val="24"/>
          <w:szCs w:val="24"/>
          <w:lang w:val="en-US" w:eastAsia="zh-CN"/>
        </w:rPr>
        <w:t>环境</w:t>
      </w:r>
      <w:bookmarkEnd w:id="83"/>
      <w:r>
        <w:rPr>
          <w:rFonts w:hint="eastAsia" w:eastAsia="宋体" w:cs="Times New Roman"/>
          <w:sz w:val="24"/>
          <w:szCs w:val="24"/>
          <w:lang w:val="en-US" w:eastAsia="zh-CN"/>
        </w:rPr>
        <w:t>风险单元识别</w:t>
      </w:r>
      <w:bookmarkEnd w:id="85"/>
    </w:p>
    <w:p w14:paraId="4340A775">
      <w:pPr>
        <w:pStyle w:val="13"/>
        <w:spacing w:before="0" w:after="0" w:line="500" w:lineRule="exact"/>
        <w:ind w:left="0" w:right="0" w:firstLine="480" w:firstLineChars="200"/>
        <w:jc w:val="both"/>
        <w:rPr>
          <w:rFonts w:hint="default" w:eastAsia="宋体"/>
        </w:rPr>
      </w:pPr>
      <w:r>
        <w:rPr>
          <w:rFonts w:hint="default" w:eastAsia="宋体"/>
          <w:spacing w:val="0"/>
        </w:rPr>
        <w:t>环境风险单元指长期或短期生产、加工、使用或储存环境风险物质的一个</w:t>
      </w:r>
      <w:r>
        <w:rPr>
          <w:rFonts w:hint="default" w:eastAsia="宋体"/>
        </w:rPr>
        <w:t>（套</w:t>
      </w:r>
      <w:r>
        <w:rPr>
          <w:rFonts w:hint="default" w:eastAsia="宋体"/>
          <w:spacing w:val="0"/>
        </w:rPr>
        <w:t>）生产装置、设施</w:t>
      </w:r>
      <w:r>
        <w:rPr>
          <w:rFonts w:hint="default" w:eastAsia="宋体"/>
        </w:rPr>
        <w:t>（</w:t>
      </w:r>
      <w:r>
        <w:rPr>
          <w:rFonts w:hint="default" w:eastAsia="宋体"/>
          <w:spacing w:val="0"/>
        </w:rPr>
        <w:t>贮存容器、管道等）及环保处理设施或同属一个企业且边缘距离小于</w:t>
      </w:r>
      <w:r>
        <w:rPr>
          <w:rFonts w:hint="default" w:ascii="Times New Roman" w:eastAsia="宋体"/>
          <w:spacing w:val="0"/>
        </w:rPr>
        <w:t>500</w:t>
      </w:r>
      <w:r>
        <w:rPr>
          <w:rFonts w:hint="default" w:eastAsia="宋体"/>
        </w:rPr>
        <w:t>米的几个（套）生产装置、设施或场所。</w:t>
      </w:r>
    </w:p>
    <w:p w14:paraId="3BFFFD1D">
      <w:pPr>
        <w:pStyle w:val="13"/>
        <w:spacing w:after="0" w:line="500" w:lineRule="exact"/>
        <w:ind w:left="0" w:right="0" w:firstLine="480" w:firstLineChars="200"/>
        <w:jc w:val="both"/>
        <w:rPr>
          <w:rFonts w:hint="default" w:ascii="Times New Roman" w:hAnsi="Times New Roman" w:eastAsia="宋体" w:cs="Times New Roman"/>
        </w:rPr>
      </w:pPr>
      <w:r>
        <w:rPr>
          <w:rFonts w:hint="default" w:eastAsia="宋体"/>
          <w:spacing w:val="0"/>
        </w:rPr>
        <w:t>公司环境风险单元有</w:t>
      </w:r>
      <w:r>
        <w:rPr>
          <w:rFonts w:hint="eastAsia" w:eastAsia="宋体"/>
          <w:spacing w:val="0"/>
          <w:lang w:val="en-US" w:eastAsia="zh-CN"/>
        </w:rPr>
        <w:t>生产车间、</w:t>
      </w:r>
      <w:r>
        <w:rPr>
          <w:rFonts w:hint="default" w:eastAsia="宋体"/>
          <w:spacing w:val="0"/>
        </w:rPr>
        <w:t>危废仓库</w:t>
      </w:r>
      <w:r>
        <w:rPr>
          <w:rFonts w:hint="eastAsia" w:eastAsia="宋体"/>
          <w:spacing w:val="0"/>
          <w:lang w:val="en-US" w:eastAsia="zh-CN"/>
        </w:rPr>
        <w:t>等</w:t>
      </w:r>
      <w:r>
        <w:rPr>
          <w:rFonts w:hint="default" w:eastAsia="宋体"/>
          <w:spacing w:val="0"/>
        </w:rPr>
        <w:t>，根据环保部《企业突</w:t>
      </w:r>
      <w:r>
        <w:rPr>
          <w:rFonts w:hint="default" w:eastAsia="宋体"/>
        </w:rPr>
        <w:t>发环境事件风险分级方法》（</w:t>
      </w:r>
      <w:r>
        <w:rPr>
          <w:rFonts w:hint="default" w:ascii="Times New Roman" w:eastAsia="宋体"/>
        </w:rPr>
        <w:t>HJ941-2018</w:t>
      </w:r>
      <w:r>
        <w:rPr>
          <w:rFonts w:hint="default" w:eastAsia="宋体"/>
        </w:rPr>
        <w:t>），</w:t>
      </w:r>
      <w:r>
        <w:rPr>
          <w:rFonts w:hint="default" w:eastAsia="宋体"/>
          <w:spacing w:val="0"/>
        </w:rPr>
        <w:t>重要环境风险单元识别见表</w:t>
      </w:r>
      <w:r>
        <w:rPr>
          <w:rFonts w:hint="default" w:ascii="Times New Roman" w:eastAsia="宋体"/>
        </w:rPr>
        <w:t>3-</w:t>
      </w:r>
      <w:r>
        <w:rPr>
          <w:rFonts w:hint="eastAsia" w:eastAsia="宋体"/>
          <w:lang w:val="en-US" w:eastAsia="zh-CN"/>
        </w:rPr>
        <w:t>10</w:t>
      </w:r>
      <w:r>
        <w:rPr>
          <w:rFonts w:hint="default" w:eastAsia="宋体"/>
        </w:rPr>
        <w:t>。</w:t>
      </w:r>
    </w:p>
    <w:p w14:paraId="5C13964C">
      <w:pPr>
        <w:snapToGrid w:val="0"/>
        <w:spacing w:line="500" w:lineRule="exact"/>
        <w:jc w:val="center"/>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eastAsia="宋体" w:cs="Times New Roman"/>
          <w:b/>
          <w:color w:val="000000" w:themeColor="text1"/>
          <w:sz w:val="24"/>
          <w:szCs w:val="24"/>
          <w:lang w:val="en-US" w:eastAsia="zh-CN"/>
          <w14:textFill>
            <w14:solidFill>
              <w14:schemeClr w14:val="tx1"/>
            </w14:solidFill>
          </w14:textFill>
        </w:rPr>
        <w:t>8</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重要环境风险单元识别表</w:t>
      </w:r>
    </w:p>
    <w:tbl>
      <w:tblPr>
        <w:tblStyle w:val="37"/>
        <w:tblW w:w="0" w:type="auto"/>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984"/>
        <w:gridCol w:w="1437"/>
        <w:gridCol w:w="1300"/>
        <w:gridCol w:w="1232"/>
        <w:gridCol w:w="1570"/>
      </w:tblGrid>
      <w:tr w14:paraId="73C2BB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197" w:type="dxa"/>
            <w:tcBorders>
              <w:tl2br w:val="nil"/>
              <w:tr2bl w:val="nil"/>
            </w:tcBorders>
            <w:vAlign w:val="center"/>
          </w:tcPr>
          <w:p w14:paraId="3086A63F">
            <w:pPr>
              <w:pStyle w:val="140"/>
              <w:spacing w:before="0"/>
              <w:ind w:left="0" w:right="0"/>
              <w:rPr>
                <w:b/>
                <w:sz w:val="21"/>
              </w:rPr>
            </w:pPr>
            <w:r>
              <w:rPr>
                <w:b/>
                <w:sz w:val="21"/>
              </w:rPr>
              <w:t>环境风险</w:t>
            </w:r>
          </w:p>
          <w:p w14:paraId="18918162">
            <w:pPr>
              <w:pStyle w:val="140"/>
              <w:spacing w:before="0" w:line="240" w:lineRule="auto"/>
              <w:ind w:left="0" w:right="0"/>
              <w:rPr>
                <w:b/>
                <w:sz w:val="21"/>
              </w:rPr>
            </w:pPr>
            <w:r>
              <w:rPr>
                <w:b/>
                <w:sz w:val="21"/>
              </w:rPr>
              <w:t>单元</w:t>
            </w:r>
          </w:p>
        </w:tc>
        <w:tc>
          <w:tcPr>
            <w:tcW w:w="1984" w:type="dxa"/>
            <w:tcBorders>
              <w:tl2br w:val="nil"/>
              <w:tr2bl w:val="nil"/>
            </w:tcBorders>
            <w:vAlign w:val="center"/>
          </w:tcPr>
          <w:p w14:paraId="6546A071">
            <w:pPr>
              <w:pStyle w:val="140"/>
              <w:spacing w:before="0"/>
              <w:ind w:left="0" w:right="0"/>
              <w:rPr>
                <w:b/>
                <w:sz w:val="21"/>
              </w:rPr>
            </w:pPr>
            <w:r>
              <w:rPr>
                <w:b/>
                <w:sz w:val="21"/>
              </w:rPr>
              <w:t>风险物质名称</w:t>
            </w:r>
          </w:p>
        </w:tc>
        <w:tc>
          <w:tcPr>
            <w:tcW w:w="1437" w:type="dxa"/>
            <w:tcBorders>
              <w:tl2br w:val="nil"/>
              <w:tr2bl w:val="nil"/>
            </w:tcBorders>
            <w:vAlign w:val="center"/>
          </w:tcPr>
          <w:p w14:paraId="243CD295">
            <w:pPr>
              <w:pStyle w:val="140"/>
              <w:spacing w:before="0"/>
              <w:ind w:left="0"/>
              <w:jc w:val="center"/>
              <w:rPr>
                <w:b/>
                <w:sz w:val="21"/>
              </w:rPr>
            </w:pPr>
            <w:r>
              <w:rPr>
                <w:b/>
                <w:sz w:val="21"/>
              </w:rPr>
              <w:t>最大存在总</w:t>
            </w:r>
          </w:p>
          <w:p w14:paraId="4F2B2E4B">
            <w:pPr>
              <w:pStyle w:val="140"/>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1300" w:type="dxa"/>
            <w:tcBorders>
              <w:tl2br w:val="nil"/>
              <w:tr2bl w:val="nil"/>
            </w:tcBorders>
            <w:vAlign w:val="center"/>
          </w:tcPr>
          <w:p w14:paraId="427B78C7">
            <w:pPr>
              <w:pStyle w:val="140"/>
              <w:spacing w:before="0"/>
              <w:ind w:left="0" w:right="0"/>
              <w:rPr>
                <w:rFonts w:ascii="Times New Roman" w:eastAsia="Times New Roman"/>
                <w:b/>
                <w:sz w:val="21"/>
              </w:rPr>
            </w:pPr>
            <w:r>
              <w:rPr>
                <w:b/>
                <w:sz w:val="21"/>
              </w:rPr>
              <w:t>临界量</w:t>
            </w:r>
            <w:r>
              <w:rPr>
                <w:rFonts w:ascii="Times New Roman" w:eastAsia="Times New Roman"/>
                <w:b/>
                <w:sz w:val="21"/>
              </w:rPr>
              <w:t>Qi</w:t>
            </w:r>
          </w:p>
          <w:p w14:paraId="20C19E2E">
            <w:pPr>
              <w:pStyle w:val="140"/>
              <w:spacing w:before="0" w:line="240" w:lineRule="auto"/>
              <w:ind w:left="0" w:right="0"/>
              <w:rPr>
                <w:b/>
                <w:sz w:val="21"/>
              </w:rPr>
            </w:pPr>
            <w:r>
              <w:rPr>
                <w:b/>
                <w:sz w:val="21"/>
              </w:rPr>
              <w:t>（</w:t>
            </w:r>
            <w:r>
              <w:rPr>
                <w:rFonts w:ascii="Times New Roman" w:eastAsia="Times New Roman"/>
                <w:b/>
                <w:sz w:val="21"/>
              </w:rPr>
              <w:t>t</w:t>
            </w:r>
            <w:r>
              <w:rPr>
                <w:b/>
                <w:sz w:val="21"/>
              </w:rPr>
              <w:t>）</w:t>
            </w:r>
          </w:p>
        </w:tc>
        <w:tc>
          <w:tcPr>
            <w:tcW w:w="1232" w:type="dxa"/>
            <w:tcBorders>
              <w:tl2br w:val="nil"/>
              <w:tr2bl w:val="nil"/>
            </w:tcBorders>
            <w:vAlign w:val="center"/>
          </w:tcPr>
          <w:p w14:paraId="67B1F8C6">
            <w:pPr>
              <w:pStyle w:val="140"/>
              <w:spacing w:before="0"/>
              <w:ind w:left="0"/>
              <w:jc w:val="center"/>
              <w:rPr>
                <w:rFonts w:ascii="Times New Roman"/>
                <w:b/>
                <w:sz w:val="21"/>
              </w:rPr>
            </w:pPr>
            <w:r>
              <w:rPr>
                <w:rFonts w:ascii="Times New Roman"/>
                <w:b/>
                <w:sz w:val="21"/>
              </w:rPr>
              <w:t>qi/Qi</w:t>
            </w:r>
          </w:p>
        </w:tc>
        <w:tc>
          <w:tcPr>
            <w:tcW w:w="1570" w:type="dxa"/>
            <w:tcBorders>
              <w:tl2br w:val="nil"/>
              <w:tr2bl w:val="nil"/>
            </w:tcBorders>
            <w:vAlign w:val="center"/>
          </w:tcPr>
          <w:p w14:paraId="1A843F4D">
            <w:pPr>
              <w:pStyle w:val="140"/>
              <w:spacing w:before="0"/>
              <w:ind w:left="0" w:right="0"/>
              <w:rPr>
                <w:b/>
                <w:sz w:val="21"/>
              </w:rPr>
            </w:pPr>
            <w:r>
              <w:rPr>
                <w:b/>
                <w:sz w:val="21"/>
              </w:rPr>
              <w:t>是否重要环境</w:t>
            </w:r>
          </w:p>
          <w:p w14:paraId="32776EAC">
            <w:pPr>
              <w:pStyle w:val="140"/>
              <w:spacing w:before="0" w:line="240" w:lineRule="auto"/>
              <w:ind w:left="0" w:right="0"/>
              <w:rPr>
                <w:b/>
                <w:sz w:val="21"/>
              </w:rPr>
            </w:pPr>
            <w:r>
              <w:rPr>
                <w:b/>
                <w:sz w:val="21"/>
              </w:rPr>
              <w:t>风险单元</w:t>
            </w:r>
          </w:p>
        </w:tc>
      </w:tr>
      <w:tr w14:paraId="79B356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tcBorders>
              <w:tl2br w:val="nil"/>
              <w:tr2bl w:val="nil"/>
            </w:tcBorders>
            <w:vAlign w:val="center"/>
          </w:tcPr>
          <w:p w14:paraId="04D7181B">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1984" w:type="dxa"/>
            <w:tcBorders>
              <w:tl2br w:val="nil"/>
              <w:tr2bl w:val="nil"/>
            </w:tcBorders>
            <w:vAlign w:val="center"/>
          </w:tcPr>
          <w:p w14:paraId="0737C905">
            <w:pPr>
              <w:keepNext w:val="0"/>
              <w:keepLines w:val="0"/>
              <w:widowControl/>
              <w:suppressLineNumbers w:val="0"/>
              <w:jc w:val="center"/>
              <w:rPr>
                <w:rFonts w:hint="eastAsia" w:ascii="宋体" w:hAnsi="宋体" w:eastAsia="宋体" w:cs="宋体"/>
                <w:kern w:val="2"/>
                <w:sz w:val="21"/>
                <w:szCs w:val="24"/>
                <w:lang w:val="en-US" w:eastAsia="zh-CN" w:bidi="ar-SA"/>
              </w:rPr>
            </w:pPr>
            <w:r>
              <w:rPr>
                <w:rFonts w:hint="eastAsia" w:eastAsia="宋体" w:cs="Times New Roman"/>
                <w:sz w:val="21"/>
                <w:szCs w:val="21"/>
                <w:lang w:val="en-US" w:eastAsia="zh-CN"/>
              </w:rPr>
              <w:t>润滑油</w:t>
            </w:r>
          </w:p>
        </w:tc>
        <w:tc>
          <w:tcPr>
            <w:tcW w:w="1437" w:type="dxa"/>
            <w:tcBorders>
              <w:tl2br w:val="nil"/>
              <w:tr2bl w:val="nil"/>
            </w:tcBorders>
            <w:vAlign w:val="center"/>
          </w:tcPr>
          <w:p w14:paraId="561312D5">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2.16</w:t>
            </w:r>
          </w:p>
        </w:tc>
        <w:tc>
          <w:tcPr>
            <w:tcW w:w="1300" w:type="dxa"/>
            <w:tcBorders>
              <w:tl2br w:val="nil"/>
              <w:tr2bl w:val="nil"/>
            </w:tcBorders>
            <w:vAlign w:val="center"/>
          </w:tcPr>
          <w:p w14:paraId="6EC7E1F5">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7668FF60">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0.0432</w:t>
            </w:r>
          </w:p>
        </w:tc>
        <w:tc>
          <w:tcPr>
            <w:tcW w:w="1570" w:type="dxa"/>
            <w:vMerge w:val="restart"/>
            <w:tcBorders>
              <w:tl2br w:val="nil"/>
              <w:tr2bl w:val="nil"/>
            </w:tcBorders>
            <w:vAlign w:val="center"/>
          </w:tcPr>
          <w:p w14:paraId="289EEBE4">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38390A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468AACFB">
            <w:pPr>
              <w:pStyle w:val="140"/>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1232" w:type="dxa"/>
            <w:tcBorders>
              <w:tl2br w:val="nil"/>
              <w:tr2bl w:val="nil"/>
            </w:tcBorders>
            <w:vAlign w:val="center"/>
          </w:tcPr>
          <w:p w14:paraId="20451BF8">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0.0432</w:t>
            </w:r>
          </w:p>
        </w:tc>
        <w:tc>
          <w:tcPr>
            <w:tcW w:w="1570" w:type="dxa"/>
            <w:vMerge w:val="continue"/>
            <w:tcBorders>
              <w:tl2br w:val="nil"/>
              <w:tr2bl w:val="nil"/>
            </w:tcBorders>
            <w:vAlign w:val="center"/>
          </w:tcPr>
          <w:p w14:paraId="77A20AA9">
            <w:pPr>
              <w:jc w:val="center"/>
              <w:rPr>
                <w:rFonts w:hint="eastAsia" w:ascii="宋体" w:hAnsi="宋体" w:eastAsia="宋体" w:cs="宋体"/>
                <w:sz w:val="21"/>
                <w:szCs w:val="24"/>
                <w:lang w:val="en-US" w:eastAsia="zh-CN"/>
              </w:rPr>
            </w:pPr>
          </w:p>
        </w:tc>
      </w:tr>
      <w:tr w14:paraId="3EF63F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7BD42D89">
            <w:pPr>
              <w:jc w:val="center"/>
              <w:rPr>
                <w:sz w:val="2"/>
                <w:szCs w:val="2"/>
              </w:rPr>
            </w:pPr>
            <w:r>
              <w:rPr>
                <w:rFonts w:hint="eastAsia" w:ascii="Times New Roman" w:eastAsia="宋体"/>
                <w:sz w:val="21"/>
                <w:lang w:val="en-US" w:eastAsia="zh-CN"/>
              </w:rPr>
              <w:t>危废仓库</w:t>
            </w:r>
          </w:p>
        </w:tc>
        <w:tc>
          <w:tcPr>
            <w:tcW w:w="1984" w:type="dxa"/>
            <w:tcBorders>
              <w:tl2br w:val="nil"/>
              <w:tr2bl w:val="nil"/>
            </w:tcBorders>
            <w:vAlign w:val="center"/>
          </w:tcPr>
          <w:p w14:paraId="68AED53D">
            <w:pPr>
              <w:pStyle w:val="14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kern w:val="0"/>
                <w:sz w:val="21"/>
                <w:szCs w:val="21"/>
                <w:lang w:val="en-US" w:eastAsia="zh-CN" w:bidi="zh-CN"/>
              </w:rPr>
            </w:pPr>
            <w:r>
              <w:rPr>
                <w:rFonts w:hint="eastAsia" w:ascii="Times New Roman" w:hAnsi="Times New Roman" w:cs="Times New Roman"/>
                <w:kern w:val="2"/>
                <w:sz w:val="21"/>
                <w:szCs w:val="21"/>
                <w:lang w:val="en-US" w:eastAsia="zh-CN" w:bidi="ar-SA"/>
              </w:rPr>
              <w:t>废电瓶</w:t>
            </w:r>
          </w:p>
        </w:tc>
        <w:tc>
          <w:tcPr>
            <w:tcW w:w="1437" w:type="dxa"/>
            <w:tcBorders>
              <w:tl2br w:val="nil"/>
              <w:tr2bl w:val="nil"/>
            </w:tcBorders>
            <w:vAlign w:val="center"/>
          </w:tcPr>
          <w:p w14:paraId="2A04F98C">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0.08</w:t>
            </w:r>
          </w:p>
        </w:tc>
        <w:tc>
          <w:tcPr>
            <w:tcW w:w="1300" w:type="dxa"/>
            <w:tcBorders>
              <w:tl2br w:val="nil"/>
              <w:tr2bl w:val="nil"/>
            </w:tcBorders>
            <w:vAlign w:val="center"/>
          </w:tcPr>
          <w:p w14:paraId="647E4248">
            <w:pPr>
              <w:pStyle w:val="140"/>
              <w:spacing w:before="0"/>
              <w:ind w:left="0" w:right="0"/>
              <w:rPr>
                <w:rFonts w:hint="default" w:ascii="Times New Roman" w:eastAsia="宋体"/>
                <w:sz w:val="21"/>
                <w:lang w:val="en-US" w:eastAsia="zh-CN"/>
              </w:rPr>
            </w:pPr>
            <w:r>
              <w:rPr>
                <w:rFonts w:hint="eastAsia" w:ascii="Times New Roman"/>
                <w:sz w:val="21"/>
                <w:lang w:val="en-US" w:eastAsia="zh-CN"/>
              </w:rPr>
              <w:t>0.5</w:t>
            </w:r>
          </w:p>
        </w:tc>
        <w:tc>
          <w:tcPr>
            <w:tcW w:w="1232" w:type="dxa"/>
            <w:tcBorders>
              <w:tl2br w:val="nil"/>
              <w:tr2bl w:val="nil"/>
            </w:tcBorders>
            <w:vAlign w:val="center"/>
          </w:tcPr>
          <w:p w14:paraId="1430FECB">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0.16</w:t>
            </w:r>
          </w:p>
        </w:tc>
        <w:tc>
          <w:tcPr>
            <w:tcW w:w="1570" w:type="dxa"/>
            <w:vMerge w:val="continue"/>
            <w:tcBorders>
              <w:tl2br w:val="nil"/>
              <w:tr2bl w:val="nil"/>
            </w:tcBorders>
            <w:vAlign w:val="center"/>
          </w:tcPr>
          <w:p w14:paraId="4E8419D0">
            <w:pPr>
              <w:jc w:val="center"/>
              <w:rPr>
                <w:sz w:val="2"/>
                <w:szCs w:val="2"/>
              </w:rPr>
            </w:pPr>
          </w:p>
        </w:tc>
      </w:tr>
      <w:tr w14:paraId="587029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55BBA0C0">
            <w:pPr>
              <w:jc w:val="center"/>
              <w:rPr>
                <w:sz w:val="2"/>
                <w:szCs w:val="2"/>
              </w:rPr>
            </w:pPr>
          </w:p>
        </w:tc>
        <w:tc>
          <w:tcPr>
            <w:tcW w:w="1984" w:type="dxa"/>
            <w:tcBorders>
              <w:tl2br w:val="nil"/>
              <w:tr2bl w:val="nil"/>
            </w:tcBorders>
            <w:vAlign w:val="center"/>
          </w:tcPr>
          <w:p w14:paraId="59D0288B">
            <w:pPr>
              <w:widowControl/>
              <w:jc w:val="center"/>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kern w:val="2"/>
                <w:sz w:val="21"/>
                <w:szCs w:val="21"/>
                <w:lang w:val="en-US" w:eastAsia="zh-CN" w:bidi="ar-SA"/>
              </w:rPr>
              <w:t>废</w:t>
            </w:r>
            <w:r>
              <w:rPr>
                <w:rFonts w:hint="eastAsia" w:eastAsia="宋体" w:cs="Times New Roman"/>
                <w:kern w:val="2"/>
                <w:sz w:val="21"/>
                <w:szCs w:val="21"/>
                <w:lang w:val="en-US" w:eastAsia="zh-CN" w:bidi="ar-SA"/>
              </w:rPr>
              <w:t>劳保用品</w:t>
            </w:r>
          </w:p>
        </w:tc>
        <w:tc>
          <w:tcPr>
            <w:tcW w:w="1437" w:type="dxa"/>
            <w:tcBorders>
              <w:tl2br w:val="nil"/>
              <w:tr2bl w:val="nil"/>
            </w:tcBorders>
            <w:vAlign w:val="center"/>
          </w:tcPr>
          <w:p w14:paraId="0A382D3A">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0.05</w:t>
            </w:r>
          </w:p>
        </w:tc>
        <w:tc>
          <w:tcPr>
            <w:tcW w:w="1300" w:type="dxa"/>
            <w:tcBorders>
              <w:tl2br w:val="nil"/>
              <w:tr2bl w:val="nil"/>
            </w:tcBorders>
            <w:vAlign w:val="center"/>
          </w:tcPr>
          <w:p w14:paraId="4212D247">
            <w:pPr>
              <w:spacing w:before="0"/>
              <w:ind w:left="0" w:right="0"/>
              <w:jc w:val="center"/>
              <w:rPr>
                <w:rFonts w:hint="default" w:ascii="Times New Roman"/>
                <w:sz w:val="21"/>
                <w:lang w:val="en-US" w:eastAsia="zh-CN"/>
              </w:rPr>
            </w:pPr>
            <w:r>
              <w:rPr>
                <w:rFonts w:hint="eastAsia"/>
                <w:sz w:val="21"/>
                <w:lang w:val="en-US" w:eastAsia="zh-CN"/>
              </w:rPr>
              <w:t>50</w:t>
            </w:r>
          </w:p>
        </w:tc>
        <w:tc>
          <w:tcPr>
            <w:tcW w:w="1232" w:type="dxa"/>
            <w:tcBorders>
              <w:tl2br w:val="nil"/>
              <w:tr2bl w:val="nil"/>
            </w:tcBorders>
            <w:vAlign w:val="center"/>
          </w:tcPr>
          <w:p w14:paraId="247C127A">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488F4D7F">
            <w:pPr>
              <w:jc w:val="center"/>
              <w:rPr>
                <w:sz w:val="2"/>
                <w:szCs w:val="2"/>
              </w:rPr>
            </w:pPr>
          </w:p>
        </w:tc>
      </w:tr>
      <w:tr w14:paraId="4944AE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00D16DAC">
            <w:pPr>
              <w:jc w:val="center"/>
              <w:rPr>
                <w:sz w:val="2"/>
                <w:szCs w:val="2"/>
              </w:rPr>
            </w:pPr>
          </w:p>
        </w:tc>
        <w:tc>
          <w:tcPr>
            <w:tcW w:w="1984" w:type="dxa"/>
            <w:tcBorders>
              <w:tl2br w:val="nil"/>
              <w:tr2bl w:val="nil"/>
            </w:tcBorders>
            <w:vAlign w:val="center"/>
          </w:tcPr>
          <w:p w14:paraId="1302909E">
            <w:pPr>
              <w:widowControl w:val="0"/>
              <w:spacing w:line="240" w:lineRule="auto"/>
              <w:ind w:left="0" w:leftChars="0" w:firstLine="0" w:firstLineChars="0"/>
              <w:jc w:val="center"/>
              <w:rPr>
                <w:rFonts w:hint="default"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废润滑油</w:t>
            </w:r>
          </w:p>
        </w:tc>
        <w:tc>
          <w:tcPr>
            <w:tcW w:w="1437" w:type="dxa"/>
            <w:tcBorders>
              <w:tl2br w:val="nil"/>
              <w:tr2bl w:val="nil"/>
            </w:tcBorders>
            <w:vAlign w:val="center"/>
          </w:tcPr>
          <w:p w14:paraId="58B5B0B2">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0.1</w:t>
            </w:r>
          </w:p>
        </w:tc>
        <w:tc>
          <w:tcPr>
            <w:tcW w:w="1300" w:type="dxa"/>
            <w:tcBorders>
              <w:tl2br w:val="nil"/>
              <w:tr2bl w:val="nil"/>
            </w:tcBorders>
            <w:vAlign w:val="center"/>
          </w:tcPr>
          <w:p w14:paraId="55C8D8C5">
            <w:pPr>
              <w:spacing w:before="0"/>
              <w:ind w:left="0" w:right="0"/>
              <w:jc w:val="center"/>
              <w:rPr>
                <w:rFonts w:hint="default" w:ascii="Times New Roman"/>
                <w:sz w:val="21"/>
                <w:lang w:val="en-US" w:eastAsia="zh-CN"/>
              </w:rPr>
            </w:pPr>
            <w:r>
              <w:rPr>
                <w:rFonts w:hint="eastAsia"/>
                <w:sz w:val="21"/>
                <w:lang w:val="en-US" w:eastAsia="zh-CN"/>
              </w:rPr>
              <w:t>10</w:t>
            </w:r>
          </w:p>
        </w:tc>
        <w:tc>
          <w:tcPr>
            <w:tcW w:w="1232" w:type="dxa"/>
            <w:tcBorders>
              <w:tl2br w:val="nil"/>
              <w:tr2bl w:val="nil"/>
            </w:tcBorders>
            <w:vAlign w:val="center"/>
          </w:tcPr>
          <w:p w14:paraId="15B48E56">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16E7D609">
            <w:pPr>
              <w:jc w:val="center"/>
              <w:rPr>
                <w:sz w:val="2"/>
                <w:szCs w:val="2"/>
              </w:rPr>
            </w:pPr>
          </w:p>
        </w:tc>
      </w:tr>
      <w:tr w14:paraId="35DBA0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27FE40CE">
            <w:pPr>
              <w:jc w:val="center"/>
              <w:rPr>
                <w:sz w:val="2"/>
                <w:szCs w:val="2"/>
              </w:rPr>
            </w:pPr>
          </w:p>
        </w:tc>
        <w:tc>
          <w:tcPr>
            <w:tcW w:w="1984" w:type="dxa"/>
            <w:tcBorders>
              <w:tl2br w:val="nil"/>
              <w:tr2bl w:val="nil"/>
            </w:tcBorders>
            <w:vAlign w:val="center"/>
          </w:tcPr>
          <w:p w14:paraId="5238C5E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废润滑油桶</w:t>
            </w:r>
          </w:p>
        </w:tc>
        <w:tc>
          <w:tcPr>
            <w:tcW w:w="1437" w:type="dxa"/>
            <w:tcBorders>
              <w:tl2br w:val="nil"/>
              <w:tr2bl w:val="nil"/>
            </w:tcBorders>
            <w:vAlign w:val="center"/>
          </w:tcPr>
          <w:p w14:paraId="5BD2CCC5">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0.24</w:t>
            </w:r>
          </w:p>
        </w:tc>
        <w:tc>
          <w:tcPr>
            <w:tcW w:w="1300" w:type="dxa"/>
            <w:tcBorders>
              <w:tl2br w:val="nil"/>
              <w:tr2bl w:val="nil"/>
            </w:tcBorders>
            <w:vAlign w:val="center"/>
          </w:tcPr>
          <w:p w14:paraId="35DFFE2F">
            <w:pPr>
              <w:spacing w:before="0"/>
              <w:ind w:left="0" w:right="0"/>
              <w:jc w:val="center"/>
              <w:rPr>
                <w:rFonts w:hint="default" w:ascii="Times New Roman"/>
                <w:sz w:val="21"/>
                <w:lang w:val="en-US" w:eastAsia="zh-CN"/>
              </w:rPr>
            </w:pPr>
            <w:r>
              <w:rPr>
                <w:rFonts w:hint="eastAsia"/>
                <w:sz w:val="21"/>
                <w:lang w:val="en-US" w:eastAsia="zh-CN"/>
              </w:rPr>
              <w:t>10</w:t>
            </w:r>
          </w:p>
        </w:tc>
        <w:tc>
          <w:tcPr>
            <w:tcW w:w="1232" w:type="dxa"/>
            <w:tcBorders>
              <w:tl2br w:val="nil"/>
              <w:tr2bl w:val="nil"/>
            </w:tcBorders>
            <w:vAlign w:val="center"/>
          </w:tcPr>
          <w:p w14:paraId="2D82629F">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0.024</w:t>
            </w:r>
          </w:p>
        </w:tc>
        <w:tc>
          <w:tcPr>
            <w:tcW w:w="1570" w:type="dxa"/>
            <w:vMerge w:val="continue"/>
            <w:tcBorders>
              <w:tl2br w:val="nil"/>
              <w:tr2bl w:val="nil"/>
            </w:tcBorders>
            <w:vAlign w:val="center"/>
          </w:tcPr>
          <w:p w14:paraId="3EDA92D7">
            <w:pPr>
              <w:jc w:val="center"/>
              <w:rPr>
                <w:sz w:val="2"/>
                <w:szCs w:val="2"/>
              </w:rPr>
            </w:pPr>
          </w:p>
        </w:tc>
      </w:tr>
      <w:tr w14:paraId="379459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18" w:type="dxa"/>
            <w:gridSpan w:val="4"/>
            <w:tcBorders>
              <w:tl2br w:val="nil"/>
              <w:tr2bl w:val="nil"/>
            </w:tcBorders>
            <w:vAlign w:val="center"/>
          </w:tcPr>
          <w:p w14:paraId="7AD68752">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48FE391E">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0.2382</w:t>
            </w:r>
          </w:p>
        </w:tc>
        <w:tc>
          <w:tcPr>
            <w:tcW w:w="1570" w:type="dxa"/>
            <w:vMerge w:val="continue"/>
            <w:tcBorders>
              <w:tl2br w:val="nil"/>
              <w:tr2bl w:val="nil"/>
            </w:tcBorders>
            <w:vAlign w:val="center"/>
          </w:tcPr>
          <w:p w14:paraId="1AC04948">
            <w:pPr>
              <w:jc w:val="center"/>
              <w:rPr>
                <w:sz w:val="2"/>
                <w:szCs w:val="2"/>
              </w:rPr>
            </w:pPr>
          </w:p>
        </w:tc>
      </w:tr>
    </w:tbl>
    <w:p w14:paraId="3B0E967A">
      <w:pPr>
        <w:pStyle w:val="13"/>
        <w:spacing w:before="0" w:after="0" w:line="500" w:lineRule="exact"/>
        <w:ind w:left="0" w:right="0" w:firstLine="480" w:firstLineChars="200"/>
        <w:jc w:val="both"/>
        <w:rPr>
          <w:rFonts w:eastAsia="宋体"/>
        </w:rPr>
      </w:pPr>
      <w:r>
        <w:rPr>
          <w:rFonts w:eastAsia="宋体"/>
          <w:spacing w:val="0"/>
        </w:rPr>
        <w:t>根据《企业事业单位突发环境事件应急预案评审工作指南》对于数量大于临界量的，应辨识重要环境风险单元。表</w:t>
      </w:r>
      <w:r>
        <w:rPr>
          <w:rFonts w:ascii="Times New Roman" w:eastAsia="宋体"/>
        </w:rPr>
        <w:t>3-</w:t>
      </w:r>
      <w:r>
        <w:rPr>
          <w:rFonts w:hint="eastAsia" w:eastAsia="宋体"/>
          <w:lang w:val="en-US" w:eastAsia="zh-CN"/>
        </w:rPr>
        <w:t>9</w:t>
      </w:r>
      <w:r>
        <w:rPr>
          <w:rFonts w:eastAsia="宋体"/>
          <w:spacing w:val="0"/>
        </w:rPr>
        <w:t>中企业存在环境风险的</w:t>
      </w:r>
      <w:r>
        <w:rPr>
          <w:rFonts w:hint="eastAsia" w:eastAsia="宋体" w:cs="Times New Roman"/>
          <w:spacing w:val="0"/>
          <w:lang w:val="en-US" w:eastAsia="zh-CN"/>
        </w:rPr>
        <w:t>生产车间</w:t>
      </w:r>
      <w:r>
        <w:rPr>
          <w:rFonts w:eastAsia="宋体"/>
          <w:spacing w:val="0"/>
        </w:rPr>
        <w:t>、危废仓库</w:t>
      </w:r>
      <w:r>
        <w:rPr>
          <w:rFonts w:ascii="Times New Roman" w:eastAsia="宋体"/>
        </w:rPr>
        <w:t>Q</w:t>
      </w:r>
      <w:r>
        <w:rPr>
          <w:rFonts w:eastAsia="宋体"/>
          <w:spacing w:val="0"/>
        </w:rPr>
        <w:t>值均小于</w:t>
      </w:r>
      <w:r>
        <w:rPr>
          <w:rFonts w:ascii="Times New Roman" w:eastAsia="宋体"/>
        </w:rPr>
        <w:t>1</w:t>
      </w:r>
      <w:r>
        <w:rPr>
          <w:rFonts w:eastAsia="宋体"/>
        </w:rPr>
        <w:t>，企业不存在重要环境风险单元。</w:t>
      </w:r>
    </w:p>
    <w:p w14:paraId="2CCDF869">
      <w:pPr>
        <w:snapToGrid w:val="0"/>
        <w:spacing w:line="500" w:lineRule="exact"/>
        <w:jc w:val="center"/>
        <w:rPr>
          <w:rFonts w:hint="eastAsia"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eastAsia="宋体" w:cs="Times New Roman"/>
          <w:b/>
          <w:color w:val="000000" w:themeColor="text1"/>
          <w:sz w:val="24"/>
          <w:szCs w:val="24"/>
          <w:lang w:val="en-US" w:eastAsia="zh-CN"/>
          <w14:textFill>
            <w14:solidFill>
              <w14:schemeClr w14:val="tx1"/>
            </w14:solidFill>
          </w14:textFill>
        </w:rPr>
        <w:t>9</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公司环境风险辨识清单</w:t>
      </w:r>
    </w:p>
    <w:tbl>
      <w:tblPr>
        <w:tblStyle w:val="37"/>
        <w:tblW w:w="520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083"/>
        <w:gridCol w:w="2376"/>
        <w:gridCol w:w="2099"/>
        <w:gridCol w:w="2323"/>
      </w:tblGrid>
      <w:tr w14:paraId="62F87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4FD35A72">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065" w:type="pct"/>
            <w:vAlign w:val="center"/>
          </w:tcPr>
          <w:p w14:paraId="37F0CB6A">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风险单元</w:t>
            </w:r>
          </w:p>
        </w:tc>
        <w:tc>
          <w:tcPr>
            <w:tcW w:w="1215" w:type="pct"/>
            <w:vAlign w:val="center"/>
          </w:tcPr>
          <w:p w14:paraId="1CAE3D78">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涉及风险工艺或设备</w:t>
            </w:r>
          </w:p>
        </w:tc>
        <w:tc>
          <w:tcPr>
            <w:tcW w:w="1073" w:type="pct"/>
            <w:vAlign w:val="center"/>
          </w:tcPr>
          <w:p w14:paraId="6054FC26">
            <w:pPr>
              <w:spacing w:beforeLines="30" w:afterLines="30"/>
              <w:jc w:val="center"/>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典型事件情景</w:t>
            </w:r>
          </w:p>
        </w:tc>
        <w:tc>
          <w:tcPr>
            <w:tcW w:w="1188" w:type="pct"/>
            <w:vAlign w:val="center"/>
          </w:tcPr>
          <w:p w14:paraId="249977F6">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事件级别</w:t>
            </w:r>
          </w:p>
        </w:tc>
      </w:tr>
      <w:tr w14:paraId="2D398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2A915020">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bookmarkStart w:id="299" w:name="_GoBack" w:colFirst="1" w:colLast="4"/>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065" w:type="pct"/>
            <w:vAlign w:val="center"/>
          </w:tcPr>
          <w:p w14:paraId="3D3E00E5">
            <w:pPr>
              <w:pStyle w:val="247"/>
              <w:keepNext w:val="0"/>
              <w:keepLines w:val="0"/>
              <w:pageBreakBefore w:val="0"/>
              <w:widowControl w:val="0"/>
              <w:kinsoku/>
              <w:wordWrap/>
              <w:overflowPunct/>
              <w:topLinePunct w:val="0"/>
              <w:bidi w:val="0"/>
              <w:snapToGrid/>
              <w:spacing w:line="24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危废暂存点</w:t>
            </w:r>
          </w:p>
        </w:tc>
        <w:tc>
          <w:tcPr>
            <w:tcW w:w="1215" w:type="pct"/>
            <w:vAlign w:val="center"/>
          </w:tcPr>
          <w:p w14:paraId="14E25442">
            <w:pPr>
              <w:keepNext w:val="0"/>
              <w:keepLines w:val="0"/>
              <w:widowControl/>
              <w:suppressLineNumbers w:val="0"/>
              <w:ind w:firstLine="720" w:firstLineChars="300"/>
              <w:jc w:val="left"/>
              <w:rPr>
                <w:rFonts w:hint="default" w:ascii="宋体" w:hAnsi="宋体" w:eastAsia="宋体" w:cs="宋体"/>
                <w:color w:val="auto"/>
                <w:kern w:val="2"/>
                <w:sz w:val="21"/>
                <w:szCs w:val="24"/>
                <w:lang w:val="en-US" w:eastAsia="zh-CN" w:bidi="ar-SA"/>
              </w:rPr>
            </w:pPr>
            <w:r>
              <w:rPr>
                <w:rFonts w:hint="eastAsia" w:ascii="宋体" w:hAnsi="宋体" w:eastAsia="宋体" w:cs="宋体"/>
                <w:color w:val="000000"/>
                <w:kern w:val="0"/>
                <w:sz w:val="24"/>
                <w:szCs w:val="24"/>
                <w:lang w:val="en-US" w:eastAsia="zh-CN" w:bidi="ar"/>
              </w:rPr>
              <w:t>不涉及</w:t>
            </w:r>
          </w:p>
        </w:tc>
        <w:tc>
          <w:tcPr>
            <w:tcW w:w="1073" w:type="pct"/>
            <w:vAlign w:val="center"/>
          </w:tcPr>
          <w:p w14:paraId="111DD25D">
            <w:pPr>
              <w:pStyle w:val="140"/>
              <w:spacing w:before="91"/>
              <w:ind w:left="26" w:leftChars="0"/>
              <w:rPr>
                <w:rFonts w:hint="default" w:ascii="Times New Roman" w:hAnsi="宋体" w:eastAsia="宋体" w:cs="宋体"/>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危废暂存点有机溶剂泄漏、火灾引发次生/伴生C0污染物排放</w:t>
            </w:r>
          </w:p>
        </w:tc>
        <w:tc>
          <w:tcPr>
            <w:tcW w:w="1188" w:type="pct"/>
            <w:vAlign w:val="center"/>
          </w:tcPr>
          <w:p w14:paraId="5638BD7E">
            <w:pPr>
              <w:spacing w:beforeLines="30" w:afterLines="30"/>
              <w:jc w:val="center"/>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车间级</w:t>
            </w:r>
          </w:p>
        </w:tc>
      </w:tr>
      <w:tr w14:paraId="25BBD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2B4BD3B3">
            <w:pPr>
              <w:spacing w:beforeLines="30" w:afterLines="3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2</w:t>
            </w:r>
          </w:p>
        </w:tc>
        <w:tc>
          <w:tcPr>
            <w:tcW w:w="1065" w:type="pct"/>
            <w:vAlign w:val="center"/>
          </w:tcPr>
          <w:p w14:paraId="1D5CAFEC">
            <w:pPr>
              <w:pStyle w:val="247"/>
              <w:keepNext w:val="0"/>
              <w:keepLines w:val="0"/>
              <w:pageBreakBefore w:val="0"/>
              <w:widowControl w:val="0"/>
              <w:kinsoku/>
              <w:wordWrap/>
              <w:overflowPunct/>
              <w:topLinePunct w:val="0"/>
              <w:bidi w:val="0"/>
              <w:snapToGrid/>
              <w:spacing w:line="240" w:lineRule="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生产车间</w:t>
            </w:r>
          </w:p>
        </w:tc>
        <w:tc>
          <w:tcPr>
            <w:tcW w:w="1215" w:type="pct"/>
            <w:vAlign w:val="center"/>
          </w:tcPr>
          <w:p w14:paraId="28102D11">
            <w:pPr>
              <w:keepNext w:val="0"/>
              <w:keepLines w:val="0"/>
              <w:widowControl/>
              <w:suppressLineNumbers w:val="0"/>
              <w:ind w:firstLine="720"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不涉及</w:t>
            </w:r>
          </w:p>
        </w:tc>
        <w:tc>
          <w:tcPr>
            <w:tcW w:w="1073" w:type="pct"/>
            <w:vAlign w:val="center"/>
          </w:tcPr>
          <w:p w14:paraId="3338B70F">
            <w:pPr>
              <w:pStyle w:val="140"/>
              <w:spacing w:before="91"/>
              <w:ind w:left="26" w:leftChars="0"/>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润滑油泄漏、火灾引发次生/伴生CO污染物排放。</w:t>
            </w:r>
          </w:p>
        </w:tc>
        <w:tc>
          <w:tcPr>
            <w:tcW w:w="1188" w:type="pct"/>
            <w:vAlign w:val="center"/>
          </w:tcPr>
          <w:p w14:paraId="67098CF2">
            <w:pPr>
              <w:spacing w:beforeLines="30" w:afterLines="30"/>
              <w:jc w:val="center"/>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车间级</w:t>
            </w:r>
          </w:p>
        </w:tc>
      </w:tr>
      <w:bookmarkEnd w:id="299"/>
    </w:tbl>
    <w:p w14:paraId="346B6BEA"/>
    <w:p w14:paraId="0375521C">
      <w:pPr>
        <w:pStyle w:val="3"/>
        <w:adjustRightInd w:val="0"/>
        <w:snapToGrid w:val="0"/>
        <w:spacing w:line="480" w:lineRule="exact"/>
        <w:rPr>
          <w:rFonts w:hint="default" w:ascii="Times New Roman" w:hAnsi="Times New Roman" w:eastAsia="宋体" w:cs="Times New Roman"/>
          <w:sz w:val="24"/>
          <w:szCs w:val="24"/>
        </w:rPr>
      </w:pPr>
      <w:bookmarkStart w:id="86" w:name="_Toc32620"/>
      <w:bookmarkStart w:id="87" w:name="_Toc18985"/>
      <w:r>
        <w:rPr>
          <w:rFonts w:hint="default" w:ascii="Times New Roman" w:hAnsi="Times New Roman" w:eastAsia="宋体" w:cs="Times New Roman"/>
          <w:sz w:val="24"/>
          <w:szCs w:val="24"/>
        </w:rPr>
        <w:t>3.</w:t>
      </w:r>
      <w:r>
        <w:rPr>
          <w:rFonts w:hint="eastAsia" w:eastAsia="宋体" w:cs="Times New Roman"/>
          <w:sz w:val="24"/>
          <w:szCs w:val="24"/>
          <w:lang w:val="en-US" w:eastAsia="zh-CN"/>
        </w:rPr>
        <w:t>5</w:t>
      </w:r>
      <w:r>
        <w:rPr>
          <w:rFonts w:hint="default" w:ascii="Times New Roman" w:hAnsi="Times New Roman" w:eastAsia="宋体" w:cs="Times New Roman"/>
          <w:sz w:val="24"/>
          <w:szCs w:val="24"/>
        </w:rPr>
        <w:t>生产工艺情况</w:t>
      </w:r>
      <w:bookmarkEnd w:id="84"/>
      <w:bookmarkEnd w:id="86"/>
      <w:bookmarkEnd w:id="87"/>
    </w:p>
    <w:p w14:paraId="3A1584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 w:val="28"/>
          <w:szCs w:val="28"/>
          <w14:textFill>
            <w14:solidFill>
              <w14:schemeClr w14:val="tx1"/>
            </w14:solidFill>
          </w14:textFill>
        </w:rPr>
      </w:pPr>
      <w:r>
        <w:rPr>
          <w:rFonts w:hint="eastAsia" w:eastAsiaTheme="minorEastAsia"/>
          <w:color w:val="000000" w:themeColor="text1"/>
          <w14:textFill>
            <w14:solidFill>
              <w14:schemeClr w14:val="tx1"/>
            </w14:solidFill>
          </w14:textFill>
        </w:rPr>
        <w:t>公司主要生产</w:t>
      </w:r>
      <w:r>
        <w:rPr>
          <w:rFonts w:hint="eastAsia" w:eastAsiaTheme="minorEastAsia"/>
          <w:color w:val="000000" w:themeColor="text1"/>
          <w:lang w:val="en-US" w:eastAsia="zh-CN"/>
          <w14:textFill>
            <w14:solidFill>
              <w14:schemeClr w14:val="tx1"/>
            </w14:solidFill>
          </w14:textFill>
        </w:rPr>
        <w:t>家具</w:t>
      </w:r>
      <w:r>
        <w:rPr>
          <w:rFonts w:hint="eastAsia"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公司主要产品概况见表</w:t>
      </w:r>
      <w:r>
        <w:rPr>
          <w:rFonts w:hint="eastAsia" w:eastAsiaTheme="minorEastAsia"/>
          <w:color w:val="000000" w:themeColor="text1"/>
          <w14:textFill>
            <w14:solidFill>
              <w14:schemeClr w14:val="tx1"/>
            </w14:solidFill>
          </w14:textFill>
        </w:rPr>
        <w:t>3</w:t>
      </w:r>
      <w:r>
        <w:rPr>
          <w:rFonts w:hint="eastAsia" w:eastAsiaTheme="minorEastAsia"/>
          <w:color w:val="000000" w:themeColor="text1"/>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w:t>
      </w:r>
    </w:p>
    <w:p w14:paraId="03A9D2AA">
      <w:pPr>
        <w:snapToGrid w:val="0"/>
        <w:spacing w:line="500" w:lineRule="exact"/>
        <w:jc w:val="center"/>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eastAsia="宋体" w:cs="Times New Roman"/>
          <w:b/>
          <w:color w:val="000000" w:themeColor="text1"/>
          <w:sz w:val="24"/>
          <w:szCs w:val="24"/>
          <w:lang w:val="en-US" w:eastAsia="zh-CN"/>
          <w14:textFill>
            <w14:solidFill>
              <w14:schemeClr w14:val="tx1"/>
            </w14:solidFill>
          </w14:textFill>
        </w:rPr>
        <w:t>10</w:t>
      </w:r>
      <w:r>
        <w:rPr>
          <w:rFonts w:hint="default" w:ascii="Times New Roman" w:hAnsi="Times New Roman" w:eastAsia="宋体" w:cs="Times New Roman"/>
          <w:b/>
          <w:color w:val="000000" w:themeColor="text1"/>
          <w:sz w:val="24"/>
          <w:szCs w:val="24"/>
          <w14:textFill>
            <w14:solidFill>
              <w14:schemeClr w14:val="tx1"/>
            </w14:solidFill>
          </w14:textFill>
        </w:rPr>
        <w:t>公司</w:t>
      </w:r>
      <w:r>
        <w:rPr>
          <w:rFonts w:hint="eastAsia" w:eastAsia="宋体" w:cs="Times New Roman"/>
          <w:b/>
          <w:color w:val="000000" w:themeColor="text1"/>
          <w:sz w:val="24"/>
          <w:szCs w:val="24"/>
          <w:lang w:val="en-US" w:eastAsia="zh-CN"/>
          <w14:textFill>
            <w14:solidFill>
              <w14:schemeClr w14:val="tx1"/>
            </w14:solidFill>
          </w14:textFill>
        </w:rPr>
        <w:t>现有</w:t>
      </w:r>
      <w:r>
        <w:rPr>
          <w:rFonts w:hint="default" w:ascii="Times New Roman" w:hAnsi="Times New Roman" w:eastAsia="宋体" w:cs="Times New Roman"/>
          <w:b/>
          <w:color w:val="000000" w:themeColor="text1"/>
          <w:sz w:val="24"/>
          <w:szCs w:val="24"/>
          <w14:textFill>
            <w14:solidFill>
              <w14:schemeClr w14:val="tx1"/>
            </w14:solidFill>
          </w14:textFill>
        </w:rPr>
        <w:t>产品概况</w:t>
      </w:r>
    </w:p>
    <w:tbl>
      <w:tblPr>
        <w:tblStyle w:val="37"/>
        <w:tblW w:w="520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083"/>
        <w:gridCol w:w="2376"/>
        <w:gridCol w:w="2099"/>
        <w:gridCol w:w="2323"/>
      </w:tblGrid>
      <w:tr w14:paraId="47EBA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1EABCE7A">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065" w:type="pct"/>
            <w:vAlign w:val="center"/>
          </w:tcPr>
          <w:p w14:paraId="352920BF">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主体工程名称</w:t>
            </w:r>
          </w:p>
        </w:tc>
        <w:tc>
          <w:tcPr>
            <w:tcW w:w="1215" w:type="pct"/>
            <w:vAlign w:val="center"/>
          </w:tcPr>
          <w:p w14:paraId="2CD4F5F0">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产品名称及规格</w:t>
            </w:r>
          </w:p>
        </w:tc>
        <w:tc>
          <w:tcPr>
            <w:tcW w:w="1073" w:type="pct"/>
            <w:vAlign w:val="center"/>
          </w:tcPr>
          <w:p w14:paraId="35626DA8">
            <w:pPr>
              <w:spacing w:beforeLines="30" w:afterLines="30"/>
              <w:jc w:val="center"/>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年设计加工能力</w:t>
            </w:r>
          </w:p>
        </w:tc>
        <w:tc>
          <w:tcPr>
            <w:tcW w:w="1188" w:type="pct"/>
            <w:vAlign w:val="center"/>
          </w:tcPr>
          <w:p w14:paraId="64F3E92B">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年运行时间</w:t>
            </w:r>
          </w:p>
        </w:tc>
      </w:tr>
      <w:tr w14:paraId="5753E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39EB5A97">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065" w:type="pct"/>
            <w:vAlign w:val="center"/>
          </w:tcPr>
          <w:p w14:paraId="550F116F">
            <w:pPr>
              <w:keepNext w:val="0"/>
              <w:keepLines w:val="0"/>
              <w:widowControl/>
              <w:suppressLineNumbers w:val="0"/>
              <w:jc w:val="left"/>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SA"/>
              </w:rPr>
              <w:t>生物质致密成型燃料加工</w:t>
            </w:r>
          </w:p>
        </w:tc>
        <w:tc>
          <w:tcPr>
            <w:tcW w:w="1215" w:type="pct"/>
            <w:vAlign w:val="center"/>
          </w:tcPr>
          <w:p w14:paraId="795A8742">
            <w:pPr>
              <w:keepNext w:val="0"/>
              <w:keepLines w:val="0"/>
              <w:widowControl/>
              <w:suppressLineNumbers w:val="0"/>
              <w:jc w:val="left"/>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生物质颗粒成型燃料</w:t>
            </w:r>
          </w:p>
        </w:tc>
        <w:tc>
          <w:tcPr>
            <w:tcW w:w="1073" w:type="pct"/>
            <w:vAlign w:val="center"/>
          </w:tcPr>
          <w:p w14:paraId="60E955AC">
            <w:pPr>
              <w:pStyle w:val="140"/>
              <w:spacing w:before="91"/>
              <w:ind w:left="26" w:leftChars="0"/>
              <w:rPr>
                <w:rFonts w:hint="default" w:ascii="宋体" w:hAnsi="宋体" w:eastAsia="宋体" w:cs="宋体"/>
                <w:color w:val="auto"/>
                <w:kern w:val="0"/>
                <w:sz w:val="21"/>
                <w:szCs w:val="21"/>
                <w:lang w:val="en-US" w:eastAsia="zh-CN" w:bidi="ar-SA"/>
              </w:rPr>
            </w:pPr>
            <w:r>
              <w:rPr>
                <w:rFonts w:hint="eastAsia" w:cs="宋体"/>
                <w:color w:val="auto"/>
                <w:kern w:val="0"/>
                <w:sz w:val="21"/>
                <w:szCs w:val="21"/>
                <w:lang w:val="en-US" w:eastAsia="zh-CN" w:bidi="ar-SA"/>
              </w:rPr>
              <w:t>23000吨</w:t>
            </w:r>
          </w:p>
        </w:tc>
        <w:tc>
          <w:tcPr>
            <w:tcW w:w="1188" w:type="pct"/>
            <w:vAlign w:val="center"/>
          </w:tcPr>
          <w:p w14:paraId="3C533115">
            <w:pPr>
              <w:spacing w:beforeLines="30" w:afterLines="30"/>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生产时数</w:t>
            </w:r>
            <w:r>
              <w:rPr>
                <w:rFonts w:hint="eastAsia" w:ascii="宋体" w:hAnsi="宋体" w:eastAsia="宋体" w:cs="宋体"/>
                <w:color w:val="auto"/>
                <w:kern w:val="0"/>
                <w:sz w:val="21"/>
                <w:szCs w:val="21"/>
                <w:lang w:val="en-US" w:eastAsia="zh-CN" w:bidi="ar-SA"/>
              </w:rPr>
              <w:t>5280</w:t>
            </w:r>
            <w:r>
              <w:rPr>
                <w:rFonts w:hint="default" w:ascii="宋体" w:hAnsi="宋体" w:eastAsia="宋体" w:cs="宋体"/>
                <w:color w:val="auto"/>
                <w:kern w:val="0"/>
                <w:sz w:val="21"/>
                <w:szCs w:val="21"/>
                <w:lang w:val="en-US" w:eastAsia="zh-CN" w:bidi="ar-SA"/>
              </w:rPr>
              <w:t>h/a</w:t>
            </w:r>
          </w:p>
        </w:tc>
      </w:tr>
    </w:tbl>
    <w:p w14:paraId="3F8E5BB8">
      <w:pPr>
        <w:pStyle w:val="5"/>
        <w:adjustRightInd w:val="0"/>
        <w:snapToGrid w:val="0"/>
        <w:spacing w:line="480" w:lineRule="exact"/>
        <w:rPr>
          <w:rFonts w:hint="default" w:ascii="Times New Roman" w:hAnsi="Times New Roman" w:eastAsia="宋体" w:cs="Times New Roman"/>
        </w:rPr>
      </w:pPr>
      <w:bookmarkStart w:id="88" w:name="_Toc20743"/>
      <w:bookmarkStart w:id="89" w:name="_Toc32524"/>
      <w:bookmarkStart w:id="90" w:name="_Toc11684"/>
      <w:r>
        <w:rPr>
          <w:rFonts w:hint="default" w:ascii="Times New Roman" w:hAnsi="Times New Roman" w:eastAsia="宋体" w:cs="Times New Roman"/>
        </w:rPr>
        <w:t>3.</w:t>
      </w:r>
      <w:r>
        <w:rPr>
          <w:rFonts w:hint="eastAsia" w:eastAsia="宋体" w:cs="Times New Roman"/>
          <w:lang w:val="en-US" w:eastAsia="zh-CN"/>
        </w:rPr>
        <w:t>5</w:t>
      </w:r>
      <w:r>
        <w:rPr>
          <w:rFonts w:hint="default" w:ascii="Times New Roman" w:hAnsi="Times New Roman" w:eastAsia="宋体" w:cs="Times New Roman"/>
        </w:rPr>
        <w:t>.1生产工艺简介</w:t>
      </w:r>
      <w:bookmarkEnd w:id="88"/>
      <w:bookmarkEnd w:id="89"/>
      <w:bookmarkEnd w:id="90"/>
    </w:p>
    <w:p w14:paraId="7D0C2FD3">
      <w:pPr>
        <w:rPr>
          <w:rFonts w:hint="eastAsia" w:ascii="Times New Roman" w:hAnsi="Times New Roman" w:cs="Times New Roman" w:eastAsiaTheme="minorEastAsia"/>
          <w:b w:val="0"/>
          <w:bCs/>
          <w:color w:val="auto"/>
          <w:sz w:val="24"/>
          <w:szCs w:val="24"/>
          <w:highlight w:val="none"/>
          <w:lang w:val="en-US" w:eastAsia="zh-CN"/>
        </w:rPr>
      </w:pPr>
      <w:r>
        <w:rPr>
          <w:rFonts w:hint="eastAsia" w:ascii="Times New Roman" w:hAnsi="Times New Roman" w:cs="Times New Roman" w:eastAsiaTheme="minorEastAsia"/>
          <w:b w:val="0"/>
          <w:bCs/>
          <w:color w:val="auto"/>
          <w:sz w:val="24"/>
          <w:szCs w:val="24"/>
          <w:highlight w:val="none"/>
          <w:lang w:val="en-US" w:eastAsia="zh-CN"/>
        </w:rPr>
        <w:t>项目生产工艺流程图见图3-2</w:t>
      </w:r>
      <w:r>
        <w:rPr>
          <w:rFonts w:hint="eastAsia" w:cs="Times New Roman" w:eastAsiaTheme="minorEastAsia"/>
          <w:b w:val="0"/>
          <w:bCs/>
          <w:color w:val="auto"/>
          <w:sz w:val="24"/>
          <w:szCs w:val="24"/>
          <w:highlight w:val="none"/>
          <w:lang w:val="en-US" w:eastAsia="zh-CN"/>
        </w:rPr>
        <w:t>、3-4</w:t>
      </w:r>
      <w:r>
        <w:rPr>
          <w:rFonts w:hint="eastAsia" w:ascii="Times New Roman" w:hAnsi="Times New Roman" w:cs="Times New Roman" w:eastAsiaTheme="minorEastAsia"/>
          <w:b w:val="0"/>
          <w:bCs/>
          <w:color w:val="auto"/>
          <w:sz w:val="24"/>
          <w:szCs w:val="24"/>
          <w:highlight w:val="none"/>
          <w:lang w:val="en-US" w:eastAsia="zh-CN"/>
        </w:rPr>
        <w:t>。</w:t>
      </w:r>
    </w:p>
    <w:p w14:paraId="478A5D8D">
      <w:pPr>
        <w:pStyle w:val="5"/>
        <w:jc w:val="center"/>
        <w:rPr>
          <w:rFonts w:hint="eastAsia" w:eastAsia="仿宋_GB2312"/>
          <w:lang w:eastAsia="zh-CN"/>
        </w:rPr>
      </w:pPr>
      <w:bookmarkStart w:id="91" w:name="_Toc11213"/>
      <w:r>
        <w:rPr>
          <w:rFonts w:hint="eastAsia" w:eastAsia="仿宋_GB2312"/>
          <w:lang w:eastAsia="zh-CN"/>
        </w:rPr>
        <w:drawing>
          <wp:inline distT="0" distB="0" distL="114300" distR="114300">
            <wp:extent cx="5818505" cy="4316095"/>
            <wp:effectExtent l="0" t="0" r="10795" b="8255"/>
            <wp:docPr id="2" name="图片 2" descr="2bc04e41ba90c42e37ea5e55cd570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c04e41ba90c42e37ea5e55cd5706b"/>
                    <pic:cNvPicPr>
                      <a:picLocks noChangeAspect="1"/>
                    </pic:cNvPicPr>
                  </pic:nvPicPr>
                  <pic:blipFill>
                    <a:blip r:embed="rId17"/>
                    <a:stretch>
                      <a:fillRect/>
                    </a:stretch>
                  </pic:blipFill>
                  <pic:spPr>
                    <a:xfrm>
                      <a:off x="0" y="0"/>
                      <a:ext cx="5818505" cy="4316095"/>
                    </a:xfrm>
                    <a:prstGeom prst="rect">
                      <a:avLst/>
                    </a:prstGeom>
                  </pic:spPr>
                </pic:pic>
              </a:graphicData>
            </a:graphic>
          </wp:inline>
        </w:drawing>
      </w:r>
    </w:p>
    <w:p w14:paraId="7E84230B">
      <w:pPr>
        <w:pStyle w:val="13"/>
        <w:spacing w:before="0" w:after="0" w:line="500" w:lineRule="exact"/>
        <w:ind w:left="0" w:right="0" w:firstLine="3132" w:firstLineChars="1300"/>
        <w:jc w:val="both"/>
        <w:rPr>
          <w:rFonts w:hint="eastAsia"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图</w:t>
      </w:r>
      <w:r>
        <w:rPr>
          <w:rFonts w:hint="eastAsia" w:eastAsia="宋体" w:cs="Times New Roman"/>
          <w:b/>
          <w:bCs/>
          <w:color w:val="auto"/>
          <w:kern w:val="0"/>
          <w:sz w:val="24"/>
          <w:szCs w:val="24"/>
          <w:highlight w:val="none"/>
          <w:lang w:val="en-US" w:eastAsia="zh-CN"/>
        </w:rPr>
        <w:t>3-2项目</w:t>
      </w:r>
      <w:r>
        <w:rPr>
          <w:rFonts w:hint="eastAsia" w:ascii="Times New Roman" w:hAnsi="Times New Roman" w:eastAsia="宋体" w:cs="Times New Roman"/>
          <w:b/>
          <w:bCs/>
          <w:color w:val="auto"/>
          <w:kern w:val="0"/>
          <w:sz w:val="24"/>
          <w:szCs w:val="24"/>
          <w:highlight w:val="none"/>
          <w:lang w:val="en-US" w:eastAsia="zh-CN"/>
        </w:rPr>
        <w:t>工艺流程图</w:t>
      </w:r>
    </w:p>
    <w:p w14:paraId="7FC98757">
      <w:pPr>
        <w:rPr>
          <w:rFonts w:hint="eastAsia" w:ascii="Times New Roman" w:hAnsi="Times New Roman" w:eastAsia="宋体" w:cs="Times New Roman"/>
          <w:b/>
          <w:bCs/>
          <w:color w:val="auto"/>
          <w:kern w:val="0"/>
          <w:sz w:val="24"/>
          <w:szCs w:val="24"/>
          <w:highlight w:val="none"/>
          <w:lang w:val="en-US" w:eastAsia="zh-CN"/>
        </w:rPr>
      </w:pPr>
    </w:p>
    <w:p w14:paraId="180E5F0C">
      <w:pPr>
        <w:pStyle w:val="4"/>
        <w:spacing w:line="360" w:lineRule="auto"/>
        <w:ind w:firstLine="482"/>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工艺流程说明：</w:t>
      </w:r>
    </w:p>
    <w:p w14:paraId="314E1B0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 xml:space="preserve">1、磁选破碎：废木条、秸秆、树根用抓机和输送带送入料槽内，投料过程中有少量粉尘 G1 和废铁 S1 产生，通过破碎机加工，初步形成小条块状物料，该过程会产生破碎粉尘 G2 和 设备运行噪声 N。 </w:t>
      </w:r>
    </w:p>
    <w:p w14:paraId="1D22CA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 xml:space="preserve">2、磁选粉碎：破碎后的物料以及木屑、稻壳运用铲车，送至粉碎机的输送带，输送带两 侧的磁选设备进行磁吸，选出混合料中的废铁 S2，该过程投料中会产生投料粉尘 G3 和设备 运行噪声 N。磁选后的物料进入粉碎机内进行粉碎，粉碎过程处于密闭状态。出料口与密封输 送管道连接，粉碎后的物料通过管道直接进入密闭料仓。该过程会产生粉碎粉尘 G4 和设备运 行噪声 N。 </w:t>
      </w:r>
    </w:p>
    <w:p w14:paraId="62DE20F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 xml:space="preserve">3、制粒：混合料进入生物颗粒机进行挤压造粒，在制粒仓内物料与压辊、模板之间产生 强压力磨擦而产生大量热量，使物料升温到 80-130 度左右，使木质纤维软化并且灭菌，整个 造粒过程不再另外用热源或热蒸汽。制粒过程中会物料中的水会挥发成水蒸气，水蒸气通过 生物颗粒机配备的管道冷凝回流到水箱内，用于厂区洒水降尘。该工序产生制粒粉尘 G5 和设 备运行噪声 N。 </w:t>
      </w:r>
    </w:p>
    <w:p w14:paraId="3F0E98E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kern w:val="0"/>
          <w:lang w:val="en-US" w:eastAsia="zh-CN"/>
        </w:rPr>
      </w:pPr>
      <w:r>
        <w:rPr>
          <w:rFonts w:hint="default" w:ascii="Times New Roman" w:hAnsi="Times New Roman" w:eastAsia="宋体" w:cs="Times New Roman"/>
          <w:kern w:val="0"/>
          <w:lang w:val="en-US" w:eastAsia="zh-CN"/>
        </w:rPr>
        <w:t xml:space="preserve">4、筛分、冷却：由于粒子上带有少量未压制成型的粉料，制得粒子产品通过输送带送至20 筛分机进行筛分时会产生粉尘 G6，筛分的粒子通过输送带进入冷却仓进行自然冷却。该过程会产生设备运行噪声 N。 </w:t>
      </w:r>
    </w:p>
    <w:p w14:paraId="3CB46C0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rPr>
      </w:pPr>
      <w:r>
        <w:rPr>
          <w:rFonts w:hint="default" w:ascii="Times New Roman" w:hAnsi="Times New Roman" w:eastAsia="宋体" w:cs="Times New Roman"/>
          <w:kern w:val="0"/>
          <w:lang w:val="en-US" w:eastAsia="zh-CN"/>
        </w:rPr>
        <w:t>5、打包：利用打包机对冷却后的生物质颗粒成型燃料进行打包，放入仓库待售。</w:t>
      </w:r>
    </w:p>
    <w:p w14:paraId="2E7610FD">
      <w:pPr>
        <w:pStyle w:val="5"/>
        <w:keepNext/>
        <w:keepLines/>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color w:val="000000"/>
          <w:sz w:val="24"/>
          <w:szCs w:val="24"/>
        </w:rPr>
      </w:pPr>
      <w:bookmarkStart w:id="92" w:name="_Toc10285"/>
      <w:bookmarkStart w:id="93" w:name="_Toc3593"/>
      <w:r>
        <w:rPr>
          <w:rFonts w:hint="default" w:ascii="Times New Roman" w:hAnsi="Times New Roman" w:eastAsia="宋体" w:cs="Times New Roman"/>
          <w:color w:val="000000"/>
          <w:sz w:val="24"/>
          <w:szCs w:val="24"/>
        </w:rPr>
        <w:t>10、包装：将组装好的产品进行包装，包装好入成品库。</w:t>
      </w:r>
    </w:p>
    <w:p w14:paraId="7105A132">
      <w:pPr>
        <w:pStyle w:val="5"/>
        <w:keepNext/>
        <w:keepLines/>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3.</w:t>
      </w:r>
      <w:r>
        <w:rPr>
          <w:rFonts w:hint="eastAsia" w:eastAsia="宋体" w:cs="Times New Roman"/>
          <w:szCs w:val="32"/>
          <w:lang w:val="en-US" w:eastAsia="zh-CN"/>
        </w:rPr>
        <w:t>5</w:t>
      </w:r>
      <w:r>
        <w:rPr>
          <w:rFonts w:hint="default" w:ascii="Times New Roman" w:hAnsi="Times New Roman" w:eastAsia="宋体" w:cs="Times New Roman"/>
          <w:szCs w:val="32"/>
        </w:rPr>
        <w:t>.2生产设备</w:t>
      </w:r>
      <w:bookmarkEnd w:id="91"/>
      <w:bookmarkEnd w:id="92"/>
      <w:bookmarkEnd w:id="93"/>
    </w:p>
    <w:p w14:paraId="76B6D5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kern w:val="0"/>
        </w:rPr>
        <w:t>公司生产及公用设备见表3-1</w:t>
      </w:r>
      <w:r>
        <w:rPr>
          <w:rFonts w:hint="eastAsia" w:eastAsia="宋体" w:cs="Times New Roman"/>
          <w:kern w:val="0"/>
          <w:lang w:val="en-US" w:eastAsia="zh-CN"/>
        </w:rPr>
        <w:t>1</w:t>
      </w:r>
      <w:r>
        <w:rPr>
          <w:rFonts w:hint="default" w:ascii="Times New Roman" w:hAnsi="Times New Roman" w:eastAsia="宋体" w:cs="Times New Roman"/>
          <w:kern w:val="0"/>
        </w:rPr>
        <w:t>。</w:t>
      </w:r>
    </w:p>
    <w:p w14:paraId="72FD63E7">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表3-</w:t>
      </w:r>
      <w:r>
        <w:rPr>
          <w:rFonts w:hint="eastAsia" w:eastAsia="宋体" w:cs="Times New Roman"/>
          <w:b/>
          <w:lang w:val="en-US" w:eastAsia="zh-CN"/>
        </w:rPr>
        <w:t>11</w:t>
      </w:r>
      <w:r>
        <w:rPr>
          <w:rFonts w:hint="default" w:ascii="Times New Roman" w:hAnsi="Times New Roman" w:eastAsia="宋体" w:cs="Times New Roman"/>
          <w:b/>
        </w:rPr>
        <w:t>主要生产及公用设备统计表</w:t>
      </w:r>
    </w:p>
    <w:tbl>
      <w:tblPr>
        <w:tblStyle w:val="37"/>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89"/>
        <w:gridCol w:w="1000"/>
        <w:gridCol w:w="1988"/>
        <w:gridCol w:w="1305"/>
        <w:gridCol w:w="1350"/>
        <w:gridCol w:w="1162"/>
        <w:gridCol w:w="1393"/>
      </w:tblGrid>
      <w:tr w14:paraId="0D3F9B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589" w:type="dxa"/>
            <w:tcBorders>
              <w:tl2br w:val="nil"/>
              <w:tr2bl w:val="nil"/>
            </w:tcBorders>
            <w:shd w:val="clear" w:color="auto" w:fill="auto"/>
            <w:vAlign w:val="center"/>
          </w:tcPr>
          <w:p w14:paraId="53BE4CCB">
            <w:pPr>
              <w:pStyle w:val="250"/>
              <w:keepNext w:val="0"/>
              <w:keepLines w:val="0"/>
              <w:pageBreakBefore w:val="0"/>
              <w:kinsoku/>
              <w:wordWrap/>
              <w:overflowPunct/>
              <w:topLinePunct w:val="0"/>
              <w:autoSpaceDE/>
              <w:autoSpaceDN/>
              <w:bidi w:val="0"/>
              <w:spacing w:line="240" w:lineRule="auto"/>
              <w:textAlignment w:val="auto"/>
              <w:rPr>
                <w:rFonts w:eastAsiaTheme="minorEastAsia"/>
                <w:b/>
                <w:bCs w:val="0"/>
                <w:color w:val="000000" w:themeColor="text1"/>
                <w:kern w:val="0"/>
                <w:lang w:val="zh-CN"/>
                <w14:textFill>
                  <w14:solidFill>
                    <w14:schemeClr w14:val="tx1"/>
                  </w14:solidFill>
                </w14:textFill>
              </w:rPr>
            </w:pPr>
            <w:r>
              <w:rPr>
                <w:rFonts w:eastAsiaTheme="minorEastAsia"/>
                <w:b/>
                <w:bCs w:val="0"/>
                <w:color w:val="000000" w:themeColor="text1"/>
                <w:kern w:val="0"/>
                <w:lang w:val="zh-CN"/>
                <w14:textFill>
                  <w14:solidFill>
                    <w14:schemeClr w14:val="tx1"/>
                  </w14:solidFill>
                </w14:textFill>
              </w:rPr>
              <w:t>序号</w:t>
            </w:r>
          </w:p>
        </w:tc>
        <w:tc>
          <w:tcPr>
            <w:tcW w:w="1000" w:type="dxa"/>
            <w:tcBorders>
              <w:tl2br w:val="nil"/>
              <w:tr2bl w:val="nil"/>
            </w:tcBorders>
            <w:shd w:val="clear" w:color="auto" w:fill="auto"/>
            <w:vAlign w:val="center"/>
          </w:tcPr>
          <w:p w14:paraId="107428AF">
            <w:pPr>
              <w:pStyle w:val="250"/>
              <w:keepNext w:val="0"/>
              <w:keepLines w:val="0"/>
              <w:pageBreakBefore w:val="0"/>
              <w:kinsoku/>
              <w:wordWrap/>
              <w:overflowPunct/>
              <w:topLinePunct w:val="0"/>
              <w:autoSpaceDE/>
              <w:autoSpaceDN/>
              <w:bidi w:val="0"/>
              <w:spacing w:line="240" w:lineRule="auto"/>
              <w:textAlignment w:val="auto"/>
              <w:rPr>
                <w:rFonts w:hint="eastAsia" w:eastAsiaTheme="minorEastAsia"/>
                <w:b/>
                <w:bCs w:val="0"/>
                <w:color w:val="000000" w:themeColor="text1"/>
                <w:kern w:val="0"/>
                <w:lang w:val="en-US" w:eastAsia="zh-CN"/>
                <w14:textFill>
                  <w14:solidFill>
                    <w14:schemeClr w14:val="tx1"/>
                  </w14:solidFill>
                </w14:textFill>
              </w:rPr>
            </w:pPr>
            <w:r>
              <w:rPr>
                <w:rFonts w:hint="eastAsia" w:eastAsiaTheme="minorEastAsia"/>
                <w:b/>
                <w:bCs w:val="0"/>
                <w:color w:val="000000" w:themeColor="text1"/>
                <w:kern w:val="0"/>
                <w:lang w:val="en-US" w:eastAsia="zh-CN"/>
                <w14:textFill>
                  <w14:solidFill>
                    <w14:schemeClr w14:val="tx1"/>
                  </w14:solidFill>
                </w14:textFill>
              </w:rPr>
              <w:t>位置</w:t>
            </w:r>
          </w:p>
        </w:tc>
        <w:tc>
          <w:tcPr>
            <w:tcW w:w="1988" w:type="dxa"/>
            <w:tcBorders>
              <w:tl2br w:val="nil"/>
              <w:tr2bl w:val="nil"/>
            </w:tcBorders>
            <w:shd w:val="clear" w:color="auto" w:fill="auto"/>
            <w:vAlign w:val="center"/>
          </w:tcPr>
          <w:p w14:paraId="5FD1AE56">
            <w:pPr>
              <w:pStyle w:val="250"/>
              <w:keepNext w:val="0"/>
              <w:keepLines w:val="0"/>
              <w:pageBreakBefore w:val="0"/>
              <w:kinsoku/>
              <w:wordWrap/>
              <w:overflowPunct/>
              <w:topLinePunct w:val="0"/>
              <w:autoSpaceDE/>
              <w:autoSpaceDN/>
              <w:bidi w:val="0"/>
              <w:spacing w:line="240" w:lineRule="auto"/>
              <w:textAlignment w:val="auto"/>
              <w:rPr>
                <w:rFonts w:eastAsiaTheme="minorEastAsia"/>
                <w:b/>
                <w:bCs w:val="0"/>
                <w:color w:val="000000" w:themeColor="text1"/>
                <w:kern w:val="0"/>
                <w:lang w:val="zh-CN"/>
                <w14:textFill>
                  <w14:solidFill>
                    <w14:schemeClr w14:val="tx1"/>
                  </w14:solidFill>
                </w14:textFill>
              </w:rPr>
            </w:pPr>
            <w:r>
              <w:rPr>
                <w:rFonts w:eastAsiaTheme="minorEastAsia"/>
                <w:b/>
                <w:bCs w:val="0"/>
                <w:color w:val="000000" w:themeColor="text1"/>
                <w:kern w:val="0"/>
                <w:lang w:val="zh-CN"/>
                <w14:textFill>
                  <w14:solidFill>
                    <w14:schemeClr w14:val="tx1"/>
                  </w14:solidFill>
                </w14:textFill>
              </w:rPr>
              <w:t>名称</w:t>
            </w:r>
          </w:p>
        </w:tc>
        <w:tc>
          <w:tcPr>
            <w:tcW w:w="1305" w:type="dxa"/>
            <w:tcBorders>
              <w:tl2br w:val="nil"/>
              <w:tr2bl w:val="nil"/>
            </w:tcBorders>
            <w:shd w:val="clear" w:color="auto" w:fill="auto"/>
            <w:vAlign w:val="center"/>
          </w:tcPr>
          <w:p w14:paraId="57D40649">
            <w:pPr>
              <w:pStyle w:val="250"/>
              <w:keepNext w:val="0"/>
              <w:keepLines w:val="0"/>
              <w:pageBreakBefore w:val="0"/>
              <w:kinsoku/>
              <w:wordWrap/>
              <w:overflowPunct/>
              <w:topLinePunct w:val="0"/>
              <w:autoSpaceDE/>
              <w:autoSpaceDN/>
              <w:bidi w:val="0"/>
              <w:spacing w:line="240" w:lineRule="auto"/>
              <w:textAlignment w:val="auto"/>
              <w:rPr>
                <w:rFonts w:eastAsiaTheme="minorEastAsia"/>
                <w:b/>
                <w:bCs w:val="0"/>
                <w:color w:val="000000" w:themeColor="text1"/>
                <w:kern w:val="0"/>
                <w:lang w:val="zh-CN"/>
                <w14:textFill>
                  <w14:solidFill>
                    <w14:schemeClr w14:val="tx1"/>
                  </w14:solidFill>
                </w14:textFill>
              </w:rPr>
            </w:pPr>
            <w:r>
              <w:rPr>
                <w:rFonts w:eastAsiaTheme="minorEastAsia"/>
                <w:b/>
                <w:bCs w:val="0"/>
                <w:color w:val="000000" w:themeColor="text1"/>
                <w:kern w:val="0"/>
                <w:lang w:val="zh-CN"/>
                <w14:textFill>
                  <w14:solidFill>
                    <w14:schemeClr w14:val="tx1"/>
                  </w14:solidFill>
                </w14:textFill>
              </w:rPr>
              <w:t>规格/型号</w:t>
            </w:r>
          </w:p>
        </w:tc>
        <w:tc>
          <w:tcPr>
            <w:tcW w:w="1350" w:type="dxa"/>
            <w:tcBorders>
              <w:tl2br w:val="nil"/>
              <w:tr2bl w:val="nil"/>
            </w:tcBorders>
            <w:shd w:val="clear" w:color="auto" w:fill="auto"/>
            <w:vAlign w:val="center"/>
          </w:tcPr>
          <w:p w14:paraId="2228377C">
            <w:pPr>
              <w:keepNext w:val="0"/>
              <w:keepLines w:val="0"/>
              <w:pageBreakBefore w:val="0"/>
              <w:kinsoku/>
              <w:wordWrap/>
              <w:overflowPunct/>
              <w:topLinePunct w:val="0"/>
              <w:autoSpaceDE/>
              <w:autoSpaceDN/>
              <w:bidi w:val="0"/>
              <w:snapToGrid w:val="0"/>
              <w:jc w:val="center"/>
              <w:textAlignment w:val="auto"/>
              <w:rPr>
                <w:rFonts w:eastAsiaTheme="minorEastAsia"/>
                <w:b/>
                <w:color w:val="000000" w:themeColor="text1"/>
                <w:szCs w:val="21"/>
                <w14:textFill>
                  <w14:solidFill>
                    <w14:schemeClr w14:val="tx1"/>
                  </w14:solidFill>
                </w14:textFill>
              </w:rPr>
            </w:pPr>
            <w:r>
              <w:rPr>
                <w:rFonts w:eastAsiaTheme="minorEastAsia"/>
                <w:b/>
                <w:color w:val="000000" w:themeColor="text1"/>
                <w:kern w:val="0"/>
                <w:szCs w:val="21"/>
                <w:lang w:val="zh-CN"/>
                <w14:textFill>
                  <w14:solidFill>
                    <w14:schemeClr w14:val="tx1"/>
                  </w14:solidFill>
                </w14:textFill>
              </w:rPr>
              <w:t>环评描述数量(台</w:t>
            </w:r>
            <w:r>
              <w:rPr>
                <w:rFonts w:hint="eastAsia" w:eastAsiaTheme="minorEastAsia"/>
                <w:b/>
                <w:color w:val="000000" w:themeColor="text1"/>
                <w:kern w:val="0"/>
                <w:szCs w:val="21"/>
                <w:lang w:val="zh-CN"/>
                <w14:textFill>
                  <w14:solidFill>
                    <w14:schemeClr w14:val="tx1"/>
                  </w14:solidFill>
                </w14:textFill>
              </w:rPr>
              <w:t>/套</w:t>
            </w:r>
            <w:r>
              <w:rPr>
                <w:rFonts w:eastAsiaTheme="minorEastAsia"/>
                <w:b/>
                <w:color w:val="000000" w:themeColor="text1"/>
                <w:kern w:val="0"/>
                <w:szCs w:val="21"/>
                <w:lang w:val="zh-CN"/>
                <w14:textFill>
                  <w14:solidFill>
                    <w14:schemeClr w14:val="tx1"/>
                  </w14:solidFill>
                </w14:textFill>
              </w:rPr>
              <w:t>)</w:t>
            </w:r>
          </w:p>
        </w:tc>
        <w:tc>
          <w:tcPr>
            <w:tcW w:w="1162" w:type="dxa"/>
            <w:tcBorders>
              <w:tl2br w:val="nil"/>
              <w:tr2bl w:val="nil"/>
            </w:tcBorders>
            <w:shd w:val="clear" w:color="auto" w:fill="auto"/>
            <w:vAlign w:val="center"/>
          </w:tcPr>
          <w:p w14:paraId="6D25C4C3">
            <w:pPr>
              <w:keepNext w:val="0"/>
              <w:keepLines w:val="0"/>
              <w:pageBreakBefore w:val="0"/>
              <w:kinsoku/>
              <w:wordWrap/>
              <w:overflowPunct/>
              <w:topLinePunct w:val="0"/>
              <w:autoSpaceDE/>
              <w:autoSpaceDN/>
              <w:bidi w:val="0"/>
              <w:snapToGrid w:val="0"/>
              <w:jc w:val="center"/>
              <w:textAlignment w:val="auto"/>
              <w:rPr>
                <w:rFonts w:eastAsiaTheme="minorEastAsia"/>
                <w:b/>
                <w:color w:val="000000" w:themeColor="text1"/>
                <w:kern w:val="0"/>
                <w:szCs w:val="21"/>
                <w:lang w:val="zh-CN"/>
                <w14:textFill>
                  <w14:solidFill>
                    <w14:schemeClr w14:val="tx1"/>
                  </w14:solidFill>
                </w14:textFill>
              </w:rPr>
            </w:pPr>
            <w:r>
              <w:rPr>
                <w:rFonts w:eastAsiaTheme="minorEastAsia"/>
                <w:b/>
                <w:color w:val="000000" w:themeColor="text1"/>
                <w:kern w:val="0"/>
                <w:szCs w:val="21"/>
                <w:lang w:val="zh-CN"/>
                <w14:textFill>
                  <w14:solidFill>
                    <w14:schemeClr w14:val="tx1"/>
                  </w14:solidFill>
                </w14:textFill>
              </w:rPr>
              <w:t>实际数量</w:t>
            </w:r>
          </w:p>
          <w:p w14:paraId="6E66E862">
            <w:pPr>
              <w:keepNext w:val="0"/>
              <w:keepLines w:val="0"/>
              <w:pageBreakBefore w:val="0"/>
              <w:kinsoku/>
              <w:wordWrap/>
              <w:overflowPunct/>
              <w:topLinePunct w:val="0"/>
              <w:autoSpaceDE/>
              <w:autoSpaceDN/>
              <w:bidi w:val="0"/>
              <w:snapToGrid w:val="0"/>
              <w:jc w:val="center"/>
              <w:textAlignment w:val="auto"/>
              <w:rPr>
                <w:rFonts w:eastAsiaTheme="minorEastAsia"/>
                <w:b/>
                <w:color w:val="000000" w:themeColor="text1"/>
                <w:szCs w:val="21"/>
                <w14:textFill>
                  <w14:solidFill>
                    <w14:schemeClr w14:val="tx1"/>
                  </w14:solidFill>
                </w14:textFill>
              </w:rPr>
            </w:pPr>
            <w:r>
              <w:rPr>
                <w:rFonts w:eastAsiaTheme="minorEastAsia"/>
                <w:b/>
                <w:color w:val="000000" w:themeColor="text1"/>
                <w:kern w:val="0"/>
                <w:szCs w:val="21"/>
                <w:lang w:val="zh-CN"/>
                <w14:textFill>
                  <w14:solidFill>
                    <w14:schemeClr w14:val="tx1"/>
                  </w14:solidFill>
                </w14:textFill>
              </w:rPr>
              <w:t>(台</w:t>
            </w:r>
            <w:r>
              <w:rPr>
                <w:rFonts w:hint="eastAsia" w:eastAsiaTheme="minorEastAsia"/>
                <w:b/>
                <w:color w:val="000000" w:themeColor="text1"/>
                <w:kern w:val="0"/>
                <w:szCs w:val="21"/>
                <w:lang w:val="zh-CN"/>
                <w14:textFill>
                  <w14:solidFill>
                    <w14:schemeClr w14:val="tx1"/>
                  </w14:solidFill>
                </w14:textFill>
              </w:rPr>
              <w:t>/套</w:t>
            </w:r>
            <w:r>
              <w:rPr>
                <w:rFonts w:eastAsiaTheme="minorEastAsia"/>
                <w:b/>
                <w:color w:val="000000" w:themeColor="text1"/>
                <w:kern w:val="0"/>
                <w:szCs w:val="21"/>
                <w:lang w:val="zh-CN"/>
                <w14:textFill>
                  <w14:solidFill>
                    <w14:schemeClr w14:val="tx1"/>
                  </w14:solidFill>
                </w14:textFill>
              </w:rPr>
              <w:t>)</w:t>
            </w:r>
          </w:p>
        </w:tc>
        <w:tc>
          <w:tcPr>
            <w:tcW w:w="1393" w:type="dxa"/>
            <w:tcBorders>
              <w:tl2br w:val="nil"/>
              <w:tr2bl w:val="nil"/>
            </w:tcBorders>
            <w:shd w:val="clear" w:color="auto" w:fill="auto"/>
            <w:vAlign w:val="center"/>
          </w:tcPr>
          <w:p w14:paraId="00F734EE">
            <w:pPr>
              <w:keepNext w:val="0"/>
              <w:keepLines w:val="0"/>
              <w:pageBreakBefore w:val="0"/>
              <w:kinsoku/>
              <w:wordWrap/>
              <w:overflowPunct/>
              <w:topLinePunct w:val="0"/>
              <w:autoSpaceDE/>
              <w:autoSpaceDN/>
              <w:bidi w:val="0"/>
              <w:snapToGrid w:val="0"/>
              <w:jc w:val="center"/>
              <w:textAlignment w:val="auto"/>
              <w:rPr>
                <w:rFonts w:hint="default" w:eastAsiaTheme="minorEastAsia"/>
                <w:b/>
                <w:color w:val="000000" w:themeColor="text1"/>
                <w:kern w:val="0"/>
                <w:szCs w:val="21"/>
                <w:lang w:val="en-US" w:eastAsia="zh-CN"/>
                <w14:textFill>
                  <w14:solidFill>
                    <w14:schemeClr w14:val="tx1"/>
                  </w14:solidFill>
                </w14:textFill>
              </w:rPr>
            </w:pPr>
            <w:r>
              <w:rPr>
                <w:rFonts w:hint="eastAsia" w:eastAsiaTheme="minorEastAsia"/>
                <w:b/>
                <w:color w:val="000000" w:themeColor="text1"/>
                <w:kern w:val="0"/>
                <w:szCs w:val="21"/>
                <w:lang w:val="en-US" w:eastAsia="zh-CN"/>
                <w14:textFill>
                  <w14:solidFill>
                    <w14:schemeClr w14:val="tx1"/>
                  </w14:solidFill>
                </w14:textFill>
              </w:rPr>
              <w:t>变动情况</w:t>
            </w:r>
          </w:p>
        </w:tc>
      </w:tr>
      <w:tr w14:paraId="2332DE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003E7BD6">
            <w:pPr>
              <w:pStyle w:val="250"/>
              <w:keepNext w:val="0"/>
              <w:keepLines w:val="0"/>
              <w:pageBreakBefore w:val="0"/>
              <w:kinsoku/>
              <w:wordWrap/>
              <w:overflowPunct/>
              <w:topLinePunct w:val="0"/>
              <w:autoSpaceDE/>
              <w:autoSpaceDN/>
              <w:bidi w:val="0"/>
              <w:spacing w:line="24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00" w:type="dxa"/>
            <w:vMerge w:val="restart"/>
            <w:tcBorders>
              <w:tl2br w:val="nil"/>
              <w:tr2bl w:val="nil"/>
            </w:tcBorders>
            <w:shd w:val="clear" w:color="auto" w:fill="auto"/>
            <w:vAlign w:val="center"/>
          </w:tcPr>
          <w:p w14:paraId="3F901DDC">
            <w:pPr>
              <w:keepNext w:val="0"/>
              <w:keepLines w:val="0"/>
              <w:pageBreakBefore w:val="0"/>
              <w:widowControl/>
              <w:kinsoku/>
              <w:wordWrap/>
              <w:overflowPunct/>
              <w:topLinePunct w:val="0"/>
              <w:autoSpaceDE/>
              <w:autoSpaceDN/>
              <w:bidi w:val="0"/>
              <w:jc w:val="center"/>
              <w:textAlignment w:val="auto"/>
              <w:rPr>
                <w:rFonts w:hint="default" w:eastAsia="宋体"/>
                <w:color w:val="000000" w:themeColor="text1"/>
                <w:kern w:val="0"/>
                <w:szCs w:val="21"/>
                <w:lang w:val="en-US" w:eastAsia="zh-CN" w:bidi="ar"/>
                <w14:textFill>
                  <w14:solidFill>
                    <w14:schemeClr w14:val="tx1"/>
                  </w14:solidFill>
                </w14:textFill>
              </w:rPr>
            </w:pPr>
          </w:p>
        </w:tc>
        <w:tc>
          <w:tcPr>
            <w:tcW w:w="1988" w:type="dxa"/>
            <w:tcBorders>
              <w:tl2br w:val="nil"/>
              <w:tr2bl w:val="nil"/>
            </w:tcBorders>
            <w:shd w:val="clear" w:color="auto" w:fill="auto"/>
            <w:vAlign w:val="center"/>
          </w:tcPr>
          <w:p w14:paraId="5A1F09C2">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破碎机</w:t>
            </w:r>
          </w:p>
        </w:tc>
        <w:tc>
          <w:tcPr>
            <w:tcW w:w="1305" w:type="dxa"/>
            <w:tcBorders>
              <w:tl2br w:val="nil"/>
              <w:tr2bl w:val="nil"/>
            </w:tcBorders>
            <w:shd w:val="clear" w:color="auto" w:fill="auto"/>
            <w:vAlign w:val="center"/>
          </w:tcPr>
          <w:p w14:paraId="447210A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355KW</w:t>
            </w:r>
          </w:p>
        </w:tc>
        <w:tc>
          <w:tcPr>
            <w:tcW w:w="1350" w:type="dxa"/>
            <w:tcBorders>
              <w:tl2br w:val="nil"/>
              <w:tr2bl w:val="nil"/>
            </w:tcBorders>
            <w:shd w:val="clear" w:color="auto" w:fill="auto"/>
            <w:vAlign w:val="center"/>
          </w:tcPr>
          <w:p w14:paraId="6E0DD0D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162" w:type="dxa"/>
            <w:tcBorders>
              <w:tl2br w:val="nil"/>
              <w:tr2bl w:val="nil"/>
            </w:tcBorders>
            <w:shd w:val="clear" w:color="auto" w:fill="auto"/>
            <w:vAlign w:val="center"/>
          </w:tcPr>
          <w:p w14:paraId="200BFD7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393" w:type="dxa"/>
            <w:tcBorders>
              <w:tl2br w:val="nil"/>
              <w:tr2bl w:val="nil"/>
            </w:tcBorders>
            <w:shd w:val="clear" w:color="auto" w:fill="auto"/>
            <w:vAlign w:val="center"/>
          </w:tcPr>
          <w:p w14:paraId="16A0FFC8">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75A5F7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5C62FEE4">
            <w:pPr>
              <w:pStyle w:val="250"/>
              <w:keepNext w:val="0"/>
              <w:keepLines w:val="0"/>
              <w:pageBreakBefore w:val="0"/>
              <w:kinsoku/>
              <w:wordWrap/>
              <w:overflowPunct/>
              <w:topLinePunct w:val="0"/>
              <w:autoSpaceDE/>
              <w:autoSpaceDN/>
              <w:bidi w:val="0"/>
              <w:spacing w:line="24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2</w:t>
            </w:r>
          </w:p>
        </w:tc>
        <w:tc>
          <w:tcPr>
            <w:tcW w:w="1000" w:type="dxa"/>
            <w:vMerge w:val="continue"/>
            <w:tcBorders>
              <w:tl2br w:val="nil"/>
              <w:tr2bl w:val="nil"/>
            </w:tcBorders>
            <w:shd w:val="clear" w:color="auto" w:fill="auto"/>
            <w:vAlign w:val="center"/>
          </w:tcPr>
          <w:p w14:paraId="1A5136B5">
            <w:pPr>
              <w:keepNext w:val="0"/>
              <w:keepLines w:val="0"/>
              <w:pageBreakBefore w:val="0"/>
              <w:widowControl/>
              <w:kinsoku/>
              <w:wordWrap/>
              <w:overflowPunct/>
              <w:topLinePunct w:val="0"/>
              <w:autoSpaceDE/>
              <w:autoSpaceDN/>
              <w:bidi w:val="0"/>
              <w:jc w:val="center"/>
              <w:textAlignment w:val="auto"/>
              <w:rPr>
                <w:color w:val="000000" w:themeColor="text1"/>
                <w:kern w:val="0"/>
                <w:szCs w:val="21"/>
                <w:lang w:bidi="ar"/>
                <w14:textFill>
                  <w14:solidFill>
                    <w14:schemeClr w14:val="tx1"/>
                  </w14:solidFill>
                </w14:textFill>
              </w:rPr>
            </w:pPr>
          </w:p>
        </w:tc>
        <w:tc>
          <w:tcPr>
            <w:tcW w:w="1988" w:type="dxa"/>
            <w:tcBorders>
              <w:tl2br w:val="nil"/>
              <w:tr2bl w:val="nil"/>
            </w:tcBorders>
            <w:shd w:val="clear" w:color="auto" w:fill="auto"/>
            <w:vAlign w:val="center"/>
          </w:tcPr>
          <w:p w14:paraId="2E642C9F">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粉碎机</w:t>
            </w:r>
          </w:p>
        </w:tc>
        <w:tc>
          <w:tcPr>
            <w:tcW w:w="1305" w:type="dxa"/>
            <w:tcBorders>
              <w:tl2br w:val="nil"/>
              <w:tr2bl w:val="nil"/>
            </w:tcBorders>
            <w:shd w:val="clear" w:color="auto" w:fill="auto"/>
            <w:vAlign w:val="center"/>
          </w:tcPr>
          <w:p w14:paraId="2E3BC2A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280kw</w:t>
            </w:r>
          </w:p>
        </w:tc>
        <w:tc>
          <w:tcPr>
            <w:tcW w:w="1350" w:type="dxa"/>
            <w:tcBorders>
              <w:tl2br w:val="nil"/>
              <w:tr2bl w:val="nil"/>
            </w:tcBorders>
            <w:shd w:val="clear" w:color="auto" w:fill="auto"/>
            <w:vAlign w:val="center"/>
          </w:tcPr>
          <w:p w14:paraId="605F0E4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eastAsia="宋体" w:cs="Times New Roman"/>
                <w:b w:val="0"/>
                <w:bCs/>
                <w:color w:val="000000"/>
                <w:kern w:val="2"/>
                <w:sz w:val="21"/>
                <w:szCs w:val="21"/>
                <w:highlight w:val="none"/>
                <w:lang w:val="en-US" w:eastAsia="zh-CN" w:bidi="ar-SA"/>
              </w:rPr>
              <w:t>2</w:t>
            </w:r>
          </w:p>
        </w:tc>
        <w:tc>
          <w:tcPr>
            <w:tcW w:w="1162" w:type="dxa"/>
            <w:tcBorders>
              <w:tl2br w:val="nil"/>
              <w:tr2bl w:val="nil"/>
            </w:tcBorders>
            <w:shd w:val="clear" w:color="auto" w:fill="auto"/>
            <w:vAlign w:val="center"/>
          </w:tcPr>
          <w:p w14:paraId="3F510DD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eastAsia="宋体" w:cs="Times New Roman"/>
                <w:b w:val="0"/>
                <w:bCs/>
                <w:color w:val="000000"/>
                <w:kern w:val="2"/>
                <w:sz w:val="21"/>
                <w:szCs w:val="21"/>
                <w:highlight w:val="none"/>
                <w:lang w:val="en-US" w:eastAsia="zh-CN" w:bidi="ar-SA"/>
              </w:rPr>
              <w:t>2</w:t>
            </w:r>
          </w:p>
        </w:tc>
        <w:tc>
          <w:tcPr>
            <w:tcW w:w="1393" w:type="dxa"/>
            <w:tcBorders>
              <w:tl2br w:val="nil"/>
              <w:tr2bl w:val="nil"/>
            </w:tcBorders>
            <w:shd w:val="clear" w:color="auto" w:fill="auto"/>
            <w:vAlign w:val="center"/>
          </w:tcPr>
          <w:p w14:paraId="1EC1B6A8">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148E09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6291F156">
            <w:pPr>
              <w:pStyle w:val="250"/>
              <w:keepNext w:val="0"/>
              <w:keepLines w:val="0"/>
              <w:pageBreakBefore w:val="0"/>
              <w:kinsoku/>
              <w:wordWrap/>
              <w:overflowPunct/>
              <w:topLinePunct w:val="0"/>
              <w:autoSpaceDE/>
              <w:autoSpaceDN/>
              <w:bidi w:val="0"/>
              <w:spacing w:line="24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w:t>
            </w:r>
          </w:p>
        </w:tc>
        <w:tc>
          <w:tcPr>
            <w:tcW w:w="1000" w:type="dxa"/>
            <w:vMerge w:val="continue"/>
            <w:tcBorders>
              <w:tl2br w:val="nil"/>
              <w:tr2bl w:val="nil"/>
            </w:tcBorders>
            <w:shd w:val="clear" w:color="auto" w:fill="auto"/>
            <w:vAlign w:val="center"/>
          </w:tcPr>
          <w:p w14:paraId="617A6093">
            <w:pPr>
              <w:keepNext w:val="0"/>
              <w:keepLines w:val="0"/>
              <w:pageBreakBefore w:val="0"/>
              <w:widowControl/>
              <w:kinsoku/>
              <w:wordWrap/>
              <w:overflowPunct/>
              <w:topLinePunct w:val="0"/>
              <w:autoSpaceDE/>
              <w:autoSpaceDN/>
              <w:bidi w:val="0"/>
              <w:jc w:val="center"/>
              <w:textAlignment w:val="auto"/>
              <w:rPr>
                <w:color w:val="000000" w:themeColor="text1"/>
                <w:kern w:val="0"/>
                <w:szCs w:val="21"/>
                <w:lang w:bidi="ar"/>
                <w14:textFill>
                  <w14:solidFill>
                    <w14:schemeClr w14:val="tx1"/>
                  </w14:solidFill>
                </w14:textFill>
              </w:rPr>
            </w:pPr>
          </w:p>
        </w:tc>
        <w:tc>
          <w:tcPr>
            <w:tcW w:w="1988" w:type="dxa"/>
            <w:tcBorders>
              <w:tl2br w:val="nil"/>
              <w:tr2bl w:val="nil"/>
            </w:tcBorders>
            <w:shd w:val="clear" w:color="auto" w:fill="auto"/>
            <w:vAlign w:val="center"/>
          </w:tcPr>
          <w:p w14:paraId="2F129341">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生物颗粒机</w:t>
            </w:r>
          </w:p>
        </w:tc>
        <w:tc>
          <w:tcPr>
            <w:tcW w:w="1305" w:type="dxa"/>
            <w:tcBorders>
              <w:tl2br w:val="nil"/>
              <w:tr2bl w:val="nil"/>
            </w:tcBorders>
            <w:shd w:val="clear" w:color="auto" w:fill="auto"/>
            <w:vAlign w:val="center"/>
          </w:tcPr>
          <w:p w14:paraId="46F9AB7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90kw</w:t>
            </w:r>
          </w:p>
        </w:tc>
        <w:tc>
          <w:tcPr>
            <w:tcW w:w="1350" w:type="dxa"/>
            <w:tcBorders>
              <w:tl2br w:val="nil"/>
              <w:tr2bl w:val="nil"/>
            </w:tcBorders>
            <w:shd w:val="clear" w:color="auto" w:fill="auto"/>
            <w:vAlign w:val="center"/>
          </w:tcPr>
          <w:p w14:paraId="589C33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lang w:val="en-US" w:eastAsia="zh-CN" w:bidi="ar-SA"/>
              </w:rPr>
            </w:pPr>
            <w:r>
              <w:rPr>
                <w:rFonts w:hint="eastAsia" w:eastAsia="宋体" w:cs="Times New Roman"/>
                <w:b w:val="0"/>
                <w:bCs/>
                <w:color w:val="000000"/>
                <w:kern w:val="2"/>
                <w:sz w:val="21"/>
                <w:szCs w:val="21"/>
                <w:lang w:val="en-US" w:eastAsia="zh-CN" w:bidi="ar-SA"/>
              </w:rPr>
              <w:t>24</w:t>
            </w:r>
          </w:p>
        </w:tc>
        <w:tc>
          <w:tcPr>
            <w:tcW w:w="1162" w:type="dxa"/>
            <w:tcBorders>
              <w:tl2br w:val="nil"/>
              <w:tr2bl w:val="nil"/>
            </w:tcBorders>
            <w:shd w:val="clear" w:color="auto" w:fill="auto"/>
            <w:vAlign w:val="center"/>
          </w:tcPr>
          <w:p w14:paraId="2809031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lang w:val="en-US" w:eastAsia="zh-CN" w:bidi="ar-SA"/>
              </w:rPr>
            </w:pPr>
            <w:r>
              <w:rPr>
                <w:rFonts w:hint="eastAsia" w:eastAsia="宋体" w:cs="Times New Roman"/>
                <w:b w:val="0"/>
                <w:bCs/>
                <w:color w:val="000000"/>
                <w:kern w:val="2"/>
                <w:sz w:val="21"/>
                <w:szCs w:val="21"/>
                <w:lang w:val="en-US" w:eastAsia="zh-CN" w:bidi="ar-SA"/>
              </w:rPr>
              <w:t>24</w:t>
            </w:r>
          </w:p>
        </w:tc>
        <w:tc>
          <w:tcPr>
            <w:tcW w:w="1393" w:type="dxa"/>
            <w:tcBorders>
              <w:tl2br w:val="nil"/>
              <w:tr2bl w:val="nil"/>
            </w:tcBorders>
            <w:shd w:val="clear" w:color="auto" w:fill="auto"/>
            <w:vAlign w:val="center"/>
          </w:tcPr>
          <w:p w14:paraId="649FE1DB">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6FA5DC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7C7EE2F4">
            <w:pPr>
              <w:pStyle w:val="250"/>
              <w:keepNext w:val="0"/>
              <w:keepLines w:val="0"/>
              <w:pageBreakBefore w:val="0"/>
              <w:kinsoku/>
              <w:wordWrap/>
              <w:overflowPunct/>
              <w:topLinePunct w:val="0"/>
              <w:autoSpaceDE/>
              <w:autoSpaceDN/>
              <w:bidi w:val="0"/>
              <w:spacing w:line="24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4</w:t>
            </w:r>
          </w:p>
        </w:tc>
        <w:tc>
          <w:tcPr>
            <w:tcW w:w="1000" w:type="dxa"/>
            <w:vMerge w:val="continue"/>
            <w:tcBorders>
              <w:tl2br w:val="nil"/>
              <w:tr2bl w:val="nil"/>
            </w:tcBorders>
            <w:shd w:val="clear" w:color="auto" w:fill="auto"/>
            <w:vAlign w:val="center"/>
          </w:tcPr>
          <w:p w14:paraId="1ECCB02C">
            <w:pPr>
              <w:keepNext w:val="0"/>
              <w:keepLines w:val="0"/>
              <w:pageBreakBefore w:val="0"/>
              <w:widowControl/>
              <w:kinsoku/>
              <w:wordWrap/>
              <w:overflowPunct/>
              <w:topLinePunct w:val="0"/>
              <w:autoSpaceDE/>
              <w:autoSpaceDN/>
              <w:bidi w:val="0"/>
              <w:jc w:val="center"/>
              <w:textAlignment w:val="auto"/>
              <w:rPr>
                <w:color w:val="000000" w:themeColor="text1"/>
                <w:kern w:val="0"/>
                <w:szCs w:val="21"/>
                <w:lang w:bidi="ar"/>
                <w14:textFill>
                  <w14:solidFill>
                    <w14:schemeClr w14:val="tx1"/>
                  </w14:solidFill>
                </w14:textFill>
              </w:rPr>
            </w:pPr>
          </w:p>
        </w:tc>
        <w:tc>
          <w:tcPr>
            <w:tcW w:w="1988" w:type="dxa"/>
            <w:tcBorders>
              <w:tl2br w:val="nil"/>
              <w:tr2bl w:val="nil"/>
            </w:tcBorders>
            <w:shd w:val="clear" w:color="auto" w:fill="auto"/>
            <w:vAlign w:val="center"/>
          </w:tcPr>
          <w:p w14:paraId="06A6052C">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筛选机</w:t>
            </w:r>
          </w:p>
        </w:tc>
        <w:tc>
          <w:tcPr>
            <w:tcW w:w="1305" w:type="dxa"/>
            <w:tcBorders>
              <w:tl2br w:val="nil"/>
              <w:tr2bl w:val="nil"/>
            </w:tcBorders>
            <w:shd w:val="clear" w:color="auto" w:fill="auto"/>
            <w:vAlign w:val="center"/>
          </w:tcPr>
          <w:p w14:paraId="1800AB5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7.5kw</w:t>
            </w:r>
          </w:p>
        </w:tc>
        <w:tc>
          <w:tcPr>
            <w:tcW w:w="1350" w:type="dxa"/>
            <w:tcBorders>
              <w:tl2br w:val="nil"/>
              <w:tr2bl w:val="nil"/>
            </w:tcBorders>
            <w:shd w:val="clear" w:color="auto" w:fill="auto"/>
            <w:vAlign w:val="center"/>
          </w:tcPr>
          <w:p w14:paraId="1A5FD2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lang w:val="en-US" w:eastAsia="zh-CN" w:bidi="ar-SA"/>
              </w:rPr>
            </w:pPr>
            <w:r>
              <w:rPr>
                <w:rFonts w:hint="eastAsia" w:eastAsia="宋体" w:cs="Times New Roman"/>
                <w:b w:val="0"/>
                <w:bCs/>
                <w:color w:val="000000"/>
                <w:kern w:val="2"/>
                <w:sz w:val="21"/>
                <w:szCs w:val="21"/>
                <w:lang w:val="en-US" w:eastAsia="zh-CN" w:bidi="ar-SA"/>
              </w:rPr>
              <w:t>2</w:t>
            </w:r>
          </w:p>
        </w:tc>
        <w:tc>
          <w:tcPr>
            <w:tcW w:w="1162" w:type="dxa"/>
            <w:tcBorders>
              <w:tl2br w:val="nil"/>
              <w:tr2bl w:val="nil"/>
            </w:tcBorders>
            <w:shd w:val="clear" w:color="auto" w:fill="auto"/>
            <w:vAlign w:val="center"/>
          </w:tcPr>
          <w:p w14:paraId="061C5FC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lang w:val="en-US" w:eastAsia="zh-CN" w:bidi="ar-SA"/>
              </w:rPr>
            </w:pPr>
            <w:r>
              <w:rPr>
                <w:rFonts w:hint="eastAsia" w:eastAsia="宋体" w:cs="Times New Roman"/>
                <w:b w:val="0"/>
                <w:bCs/>
                <w:color w:val="000000"/>
                <w:kern w:val="2"/>
                <w:sz w:val="21"/>
                <w:szCs w:val="21"/>
                <w:lang w:val="en-US" w:eastAsia="zh-CN" w:bidi="ar-SA"/>
              </w:rPr>
              <w:t>2</w:t>
            </w:r>
          </w:p>
        </w:tc>
        <w:tc>
          <w:tcPr>
            <w:tcW w:w="1393" w:type="dxa"/>
            <w:tcBorders>
              <w:tl2br w:val="nil"/>
              <w:tr2bl w:val="nil"/>
            </w:tcBorders>
            <w:shd w:val="clear" w:color="auto" w:fill="auto"/>
            <w:vAlign w:val="center"/>
          </w:tcPr>
          <w:p w14:paraId="00087440">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1E7CA9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501AFFEE">
            <w:pPr>
              <w:pStyle w:val="250"/>
              <w:keepNext w:val="0"/>
              <w:keepLines w:val="0"/>
              <w:pageBreakBefore w:val="0"/>
              <w:kinsoku/>
              <w:wordWrap/>
              <w:overflowPunct/>
              <w:topLinePunct w:val="0"/>
              <w:autoSpaceDE/>
              <w:autoSpaceDN/>
              <w:bidi w:val="0"/>
              <w:spacing w:line="24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5</w:t>
            </w:r>
          </w:p>
        </w:tc>
        <w:tc>
          <w:tcPr>
            <w:tcW w:w="1000" w:type="dxa"/>
            <w:vMerge w:val="continue"/>
            <w:tcBorders>
              <w:tl2br w:val="nil"/>
              <w:tr2bl w:val="nil"/>
            </w:tcBorders>
            <w:shd w:val="clear" w:color="auto" w:fill="auto"/>
            <w:vAlign w:val="center"/>
          </w:tcPr>
          <w:p w14:paraId="272598FD">
            <w:pPr>
              <w:keepNext w:val="0"/>
              <w:keepLines w:val="0"/>
              <w:pageBreakBefore w:val="0"/>
              <w:widowControl/>
              <w:kinsoku/>
              <w:wordWrap/>
              <w:overflowPunct/>
              <w:topLinePunct w:val="0"/>
              <w:autoSpaceDE/>
              <w:autoSpaceDN/>
              <w:bidi w:val="0"/>
              <w:jc w:val="center"/>
              <w:textAlignment w:val="auto"/>
              <w:rPr>
                <w:color w:val="000000" w:themeColor="text1"/>
                <w:kern w:val="0"/>
                <w:szCs w:val="21"/>
                <w:lang w:bidi="ar"/>
                <w14:textFill>
                  <w14:solidFill>
                    <w14:schemeClr w14:val="tx1"/>
                  </w14:solidFill>
                </w14:textFill>
              </w:rPr>
            </w:pPr>
          </w:p>
        </w:tc>
        <w:tc>
          <w:tcPr>
            <w:tcW w:w="1988" w:type="dxa"/>
            <w:tcBorders>
              <w:tl2br w:val="nil"/>
              <w:tr2bl w:val="nil"/>
            </w:tcBorders>
            <w:shd w:val="clear" w:color="auto" w:fill="auto"/>
            <w:vAlign w:val="center"/>
          </w:tcPr>
          <w:p w14:paraId="0BEFC54E">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打包机</w:t>
            </w:r>
          </w:p>
        </w:tc>
        <w:tc>
          <w:tcPr>
            <w:tcW w:w="1305" w:type="dxa"/>
            <w:tcBorders>
              <w:tl2br w:val="nil"/>
              <w:tr2bl w:val="nil"/>
            </w:tcBorders>
            <w:shd w:val="clear" w:color="auto" w:fill="auto"/>
            <w:vAlign w:val="center"/>
          </w:tcPr>
          <w:p w14:paraId="29A9BF9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7.5kw</w:t>
            </w:r>
          </w:p>
        </w:tc>
        <w:tc>
          <w:tcPr>
            <w:tcW w:w="1350" w:type="dxa"/>
            <w:tcBorders>
              <w:tl2br w:val="nil"/>
              <w:tr2bl w:val="nil"/>
            </w:tcBorders>
            <w:shd w:val="clear" w:color="auto" w:fill="auto"/>
            <w:vAlign w:val="center"/>
          </w:tcPr>
          <w:p w14:paraId="5C5EA78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eastAsia="宋体" w:cs="Times New Roman"/>
                <w:b w:val="0"/>
                <w:bCs/>
                <w:color w:val="000000"/>
                <w:kern w:val="2"/>
                <w:sz w:val="21"/>
                <w:szCs w:val="21"/>
                <w:highlight w:val="none"/>
                <w:lang w:val="en-US" w:eastAsia="zh-CN" w:bidi="ar-SA"/>
              </w:rPr>
              <w:t>2</w:t>
            </w:r>
          </w:p>
        </w:tc>
        <w:tc>
          <w:tcPr>
            <w:tcW w:w="1162" w:type="dxa"/>
            <w:tcBorders>
              <w:tl2br w:val="nil"/>
              <w:tr2bl w:val="nil"/>
            </w:tcBorders>
            <w:shd w:val="clear" w:color="auto" w:fill="auto"/>
            <w:vAlign w:val="center"/>
          </w:tcPr>
          <w:p w14:paraId="5617E1B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eastAsia="宋体" w:cs="Times New Roman"/>
                <w:b w:val="0"/>
                <w:bCs/>
                <w:color w:val="000000"/>
                <w:kern w:val="2"/>
                <w:sz w:val="21"/>
                <w:szCs w:val="21"/>
                <w:highlight w:val="none"/>
                <w:lang w:val="en-US" w:eastAsia="zh-CN" w:bidi="ar-SA"/>
              </w:rPr>
              <w:t>2</w:t>
            </w:r>
          </w:p>
        </w:tc>
        <w:tc>
          <w:tcPr>
            <w:tcW w:w="1393" w:type="dxa"/>
            <w:tcBorders>
              <w:tl2br w:val="nil"/>
              <w:tr2bl w:val="nil"/>
            </w:tcBorders>
            <w:shd w:val="clear" w:color="auto" w:fill="auto"/>
            <w:vAlign w:val="center"/>
          </w:tcPr>
          <w:p w14:paraId="23092EE4">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bl>
    <w:p w14:paraId="5AD90B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对照《重点监管危险化工工艺目录》，公司所采用生产工艺不属于重点监管危险化工工艺，也不存在国家规定的淘汰类落后生产工艺装备。</w:t>
      </w:r>
    </w:p>
    <w:p w14:paraId="3FD65378">
      <w:pPr>
        <w:pStyle w:val="249"/>
        <w:bidi w:val="0"/>
        <w:outlineLvl w:val="2"/>
        <w:rPr>
          <w:rFonts w:hint="default"/>
        </w:rPr>
      </w:pPr>
      <w:bookmarkStart w:id="94" w:name="_Toc6678"/>
      <w:bookmarkStart w:id="95" w:name="_Toc20839"/>
      <w:bookmarkStart w:id="96" w:name="_Toc11399"/>
      <w:r>
        <w:rPr>
          <w:rFonts w:hint="eastAsia"/>
        </w:rPr>
        <w:t>3.</w:t>
      </w:r>
      <w:r>
        <w:rPr>
          <w:rFonts w:hint="eastAsia"/>
          <w:lang w:val="en-US" w:eastAsia="zh-CN"/>
        </w:rPr>
        <w:t>5.3</w:t>
      </w:r>
      <w:r>
        <w:rPr>
          <w:rFonts w:hint="eastAsia" w:ascii="宋体" w:hAnsi="宋体" w:eastAsia="宋体" w:cs="宋体"/>
        </w:rPr>
        <w:t>生产工艺过程含有风险工艺和设备情况</w:t>
      </w:r>
      <w:bookmarkEnd w:id="94"/>
      <w:bookmarkEnd w:id="95"/>
    </w:p>
    <w:p w14:paraId="7D23E6B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Theme="minorEastAsia"/>
          <w:color w:val="000000" w:themeColor="text1"/>
          <w14:textFill>
            <w14:solidFill>
              <w14:schemeClr w14:val="tx1"/>
            </w14:solidFill>
          </w14:textFill>
        </w:rPr>
      </w:pPr>
      <w:r>
        <w:rPr>
          <w:rFonts w:hint="default" w:ascii="Times New Roman" w:hAnsi="Times New Roman" w:eastAsia="宋体" w:cs="Times New Roman"/>
        </w:rPr>
        <w:t>对照《企业突发环境事件风险分级方法（发布稿）》中6.</w:t>
      </w:r>
      <w:r>
        <w:rPr>
          <w:rFonts w:hint="eastAsia" w:eastAsia="宋体" w:cs="Times New Roman"/>
          <w:lang w:eastAsia="zh-CN"/>
        </w:rPr>
        <w:t>2</w:t>
      </w:r>
      <w:r>
        <w:rPr>
          <w:rFonts w:hint="default" w:ascii="Times New Roman" w:hAnsi="Times New Roman" w:eastAsia="宋体" w:cs="Times New Roman"/>
        </w:rPr>
        <w:t>表1评估企业生产工艺情况。具有多套工艺单元的企业，对每套生产工艺分别评分并求和。企业生产工艺最高分值为30分，超过30分则按最高分计。</w:t>
      </w:r>
      <w:r>
        <w:rPr>
          <w:rFonts w:hint="default" w:ascii="Times New Roman" w:hAnsi="Times New Roman" w:cs="Times New Roman" w:eastAsiaTheme="minorEastAsia"/>
          <w:color w:val="000000" w:themeColor="text1"/>
          <w14:textFill>
            <w14:solidFill>
              <w14:schemeClr w14:val="tx1"/>
            </w14:solidFill>
          </w14:textFill>
        </w:rPr>
        <w:t>根据表</w:t>
      </w:r>
      <w:r>
        <w:rPr>
          <w:rFonts w:hint="eastAsia" w:cs="Times New Roman" w:eastAsiaTheme="minorEastAsia"/>
          <w:color w:val="000000" w:themeColor="text1"/>
          <w:lang w:val="en-US" w:eastAsia="zh-CN"/>
          <w14:textFill>
            <w14:solidFill>
              <w14:schemeClr w14:val="tx1"/>
            </w14:solidFill>
          </w14:textFill>
        </w:rPr>
        <w:t>3-13</w:t>
      </w:r>
      <w:r>
        <w:rPr>
          <w:rFonts w:hint="default" w:ascii="Times New Roman" w:hAnsi="Times New Roman" w:cs="Times New Roman" w:eastAsiaTheme="minorEastAsia"/>
          <w:color w:val="000000" w:themeColor="text1"/>
          <w14:textFill>
            <w14:solidFill>
              <w14:schemeClr w14:val="tx1"/>
            </w14:solidFill>
          </w14:textFill>
        </w:rPr>
        <w:t>，可知生产工艺分值为</w:t>
      </w:r>
      <w:r>
        <w:rPr>
          <w:rFonts w:hint="eastAsia" w:cs="Times New Roman" w:eastAsiaTheme="minorEastAsia"/>
          <w:color w:val="000000" w:themeColor="text1"/>
          <w:lang w:val="en-US" w:eastAsia="zh-CN"/>
          <w14:textFill>
            <w14:solidFill>
              <w14:schemeClr w14:val="tx1"/>
            </w14:solidFill>
          </w14:textFill>
        </w:rPr>
        <w:t>5</w:t>
      </w:r>
      <w:r>
        <w:rPr>
          <w:rFonts w:hint="default" w:ascii="Times New Roman" w:hAnsi="Times New Roman" w:cs="Times New Roman" w:eastAsiaTheme="minorEastAsia"/>
          <w:color w:val="000000" w:themeColor="text1"/>
          <w14:textFill>
            <w14:solidFill>
              <w14:schemeClr w14:val="tx1"/>
            </w14:solidFill>
          </w14:textFill>
        </w:rPr>
        <w:t>分。</w:t>
      </w:r>
    </w:p>
    <w:p w14:paraId="6D7F7EA5">
      <w:pPr>
        <w:pStyle w:val="252"/>
        <w:adjustRightInd w:val="0"/>
        <w:snapToGrid w:val="0"/>
        <w:ind w:firstLine="171" w:firstLineChars="71"/>
        <w:jc w:val="center"/>
        <w:rPr>
          <w:rFonts w:eastAsia="宋体"/>
          <w:b/>
          <w:sz w:val="24"/>
          <w:szCs w:val="24"/>
        </w:rPr>
      </w:pPr>
      <w:r>
        <w:rPr>
          <w:rFonts w:eastAsia="宋体"/>
          <w:b/>
          <w:sz w:val="24"/>
          <w:szCs w:val="24"/>
        </w:rPr>
        <w:t>表</w:t>
      </w:r>
      <w:r>
        <w:rPr>
          <w:rFonts w:hint="eastAsia" w:eastAsia="宋体"/>
          <w:b/>
          <w:sz w:val="24"/>
          <w:szCs w:val="24"/>
          <w:lang w:val="en-US" w:eastAsia="zh-CN"/>
        </w:rPr>
        <w:t>3-12</w:t>
      </w:r>
      <w:r>
        <w:rPr>
          <w:rFonts w:eastAsia="宋体"/>
          <w:b/>
          <w:sz w:val="24"/>
          <w:szCs w:val="24"/>
        </w:rPr>
        <w:t>企业生产工艺</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69"/>
        <w:gridCol w:w="867"/>
        <w:gridCol w:w="1864"/>
        <w:gridCol w:w="986"/>
      </w:tblGrid>
      <w:tr w14:paraId="44211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82" w:type="pct"/>
            <w:gridSpan w:val="2"/>
            <w:vAlign w:val="center"/>
          </w:tcPr>
          <w:p w14:paraId="1459539E">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企业突发环境事件风险评估指南</w:t>
            </w:r>
          </w:p>
        </w:tc>
        <w:tc>
          <w:tcPr>
            <w:tcW w:w="1518" w:type="pct"/>
            <w:gridSpan w:val="2"/>
            <w:vAlign w:val="center"/>
          </w:tcPr>
          <w:p w14:paraId="7A579CA3">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22E04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435C046A">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462" w:type="pct"/>
            <w:vAlign w:val="center"/>
          </w:tcPr>
          <w:p w14:paraId="361CAD10">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993" w:type="pct"/>
            <w:vAlign w:val="center"/>
          </w:tcPr>
          <w:p w14:paraId="1379C7F2">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525" w:type="pct"/>
            <w:vAlign w:val="center"/>
          </w:tcPr>
          <w:p w14:paraId="08EBC761">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得分</w:t>
            </w:r>
          </w:p>
        </w:tc>
      </w:tr>
      <w:tr w14:paraId="58D29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70CD598">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462" w:type="pct"/>
            <w:vAlign w:val="center"/>
          </w:tcPr>
          <w:p w14:paraId="3634413D">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10/每套</w:t>
            </w:r>
          </w:p>
        </w:tc>
        <w:tc>
          <w:tcPr>
            <w:tcW w:w="993" w:type="pct"/>
            <w:vAlign w:val="center"/>
          </w:tcPr>
          <w:p w14:paraId="0FFC0FF8">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4C61CB82">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4963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1DB7C4AA">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其他高温或高压、涉及易燃易爆等物质的工艺过程</w:t>
            </w:r>
            <w:r>
              <w:rPr>
                <w:rFonts w:eastAsiaTheme="minorEastAsia"/>
                <w:color w:val="000000" w:themeColor="text1"/>
                <w:sz w:val="21"/>
                <w:szCs w:val="21"/>
                <w:vertAlign w:val="superscript"/>
                <w14:textFill>
                  <w14:solidFill>
                    <w14:schemeClr w14:val="tx1"/>
                  </w14:solidFill>
                </w14:textFill>
              </w:rPr>
              <w:t>1</w:t>
            </w:r>
          </w:p>
        </w:tc>
        <w:tc>
          <w:tcPr>
            <w:tcW w:w="462" w:type="pct"/>
            <w:vAlign w:val="center"/>
          </w:tcPr>
          <w:p w14:paraId="03E569C1">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57D854D6">
            <w:pPr>
              <w:pStyle w:val="4"/>
              <w:ind w:firstLine="0" w:firstLineChars="0"/>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企业工艺过程使用润滑油等</w:t>
            </w:r>
          </w:p>
        </w:tc>
        <w:tc>
          <w:tcPr>
            <w:tcW w:w="525" w:type="pct"/>
            <w:vAlign w:val="center"/>
          </w:tcPr>
          <w:p w14:paraId="231F57A5">
            <w:pPr>
              <w:pStyle w:val="4"/>
              <w:ind w:firstLine="0" w:firstLineChars="0"/>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5</w:t>
            </w:r>
          </w:p>
        </w:tc>
      </w:tr>
      <w:tr w14:paraId="76956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F627704">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具有国家规定限期淘汰的工艺名录和设备</w:t>
            </w:r>
            <w:r>
              <w:rPr>
                <w:rFonts w:eastAsiaTheme="minorEastAsia"/>
                <w:color w:val="000000" w:themeColor="text1"/>
                <w:sz w:val="21"/>
                <w:szCs w:val="21"/>
                <w:vertAlign w:val="superscript"/>
                <w14:textFill>
                  <w14:solidFill>
                    <w14:schemeClr w14:val="tx1"/>
                  </w14:solidFill>
                </w14:textFill>
              </w:rPr>
              <w:t>2</w:t>
            </w:r>
          </w:p>
        </w:tc>
        <w:tc>
          <w:tcPr>
            <w:tcW w:w="462" w:type="pct"/>
            <w:vAlign w:val="center"/>
          </w:tcPr>
          <w:p w14:paraId="09018ED7">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2F3CF5A2">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6B20DF28">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13622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238ED463">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不涉及以上危险工艺过程或国家规定的禁用工艺/设备</w:t>
            </w:r>
          </w:p>
        </w:tc>
        <w:tc>
          <w:tcPr>
            <w:tcW w:w="462" w:type="pct"/>
            <w:vAlign w:val="center"/>
          </w:tcPr>
          <w:p w14:paraId="6BBF0ECE">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993" w:type="pct"/>
            <w:vAlign w:val="center"/>
          </w:tcPr>
          <w:p w14:paraId="27D2B10E">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2371D5EF">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1E8E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31F8F495">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合计</w:t>
            </w:r>
          </w:p>
        </w:tc>
        <w:tc>
          <w:tcPr>
            <w:tcW w:w="462" w:type="pct"/>
            <w:vAlign w:val="center"/>
          </w:tcPr>
          <w:p w14:paraId="33016BE9">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993" w:type="pct"/>
            <w:vAlign w:val="center"/>
          </w:tcPr>
          <w:p w14:paraId="3D4EEA9B">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525" w:type="pct"/>
            <w:vAlign w:val="center"/>
          </w:tcPr>
          <w:p w14:paraId="3B8FFFC8">
            <w:pPr>
              <w:pStyle w:val="4"/>
              <w:ind w:firstLine="0" w:firstLineChars="0"/>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5</w:t>
            </w:r>
          </w:p>
        </w:tc>
      </w:tr>
    </w:tbl>
    <w:p w14:paraId="0739C7FD">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textAlignment w:val="auto"/>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注1：高温指工艺温度≥300</w:t>
      </w:r>
      <w:r>
        <w:rPr>
          <w:rFonts w:hint="eastAsia" w:ascii="宋体" w:hAnsi="宋体" w:cs="宋体"/>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，高压指压力容器的设计压力（p）≥10.0MPa，易燃易爆等物质是指按照《化学品分类、警示标签和警示性说明安全规范》所确定的化学物质；</w:t>
      </w:r>
    </w:p>
    <w:p w14:paraId="02574E5D">
      <w:pPr>
        <w:keepNext w:val="0"/>
        <w:keepLines w:val="0"/>
        <w:pageBreakBefore w:val="0"/>
        <w:widowControl w:val="0"/>
        <w:kinsoku/>
        <w:wordWrap/>
        <w:overflowPunct/>
        <w:topLinePunct w:val="0"/>
        <w:autoSpaceDE/>
        <w:autoSpaceDN/>
        <w:bidi w:val="0"/>
        <w:adjustRightInd w:val="0"/>
        <w:spacing w:line="240" w:lineRule="auto"/>
        <w:ind w:firstLine="360" w:firstLineChars="200"/>
        <w:jc w:val="left"/>
        <w:textAlignment w:val="auto"/>
        <w:rPr>
          <w:rFonts w:ascii="宋体" w:hAnsi="宋体" w:eastAsia="宋体" w:cs="宋体"/>
          <w:sz w:val="18"/>
          <w:szCs w:val="18"/>
        </w:rPr>
      </w:pPr>
      <w:r>
        <w:rPr>
          <w:rFonts w:eastAsiaTheme="minorEastAsia"/>
          <w:color w:val="000000" w:themeColor="text1"/>
          <w:sz w:val="18"/>
          <w:szCs w:val="18"/>
          <w14:textFill>
            <w14:solidFill>
              <w14:schemeClr w14:val="tx1"/>
            </w14:solidFill>
          </w14:textFill>
        </w:rPr>
        <w:t>注2：指根据国家发展改革委发布的《产业结构调整指导目录》（最新年本）中有淘汰期限的淘汰类落后生产工艺装备。</w:t>
      </w:r>
    </w:p>
    <w:p w14:paraId="5840825E">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Cs w:val="24"/>
        </w:rPr>
      </w:pPr>
      <w:bookmarkStart w:id="97" w:name="_Toc10361"/>
      <w:bookmarkStart w:id="98" w:name="_Toc28286"/>
      <w:r>
        <w:rPr>
          <w:rFonts w:hint="default" w:ascii="Times New Roman" w:hAnsi="Times New Roman" w:eastAsia="宋体" w:cs="Times New Roman"/>
          <w:szCs w:val="24"/>
        </w:rPr>
        <w:t>3.</w:t>
      </w:r>
      <w:r>
        <w:rPr>
          <w:rFonts w:hint="eastAsia" w:eastAsia="宋体" w:cs="Times New Roman"/>
          <w:szCs w:val="24"/>
          <w:lang w:val="en-US" w:eastAsia="zh-CN"/>
        </w:rPr>
        <w:t>5</w:t>
      </w:r>
      <w:r>
        <w:rPr>
          <w:rFonts w:hint="default" w:ascii="Times New Roman" w:hAnsi="Times New Roman" w:eastAsia="宋体" w:cs="Times New Roman"/>
          <w:szCs w:val="24"/>
        </w:rPr>
        <w:t>.</w:t>
      </w:r>
      <w:r>
        <w:rPr>
          <w:rFonts w:hint="eastAsia" w:eastAsia="宋体" w:cs="Times New Roman"/>
          <w:szCs w:val="24"/>
          <w:lang w:val="en-US" w:eastAsia="zh-CN"/>
        </w:rPr>
        <w:t>4</w:t>
      </w:r>
      <w:r>
        <w:rPr>
          <w:rFonts w:hint="default" w:ascii="Times New Roman" w:hAnsi="Times New Roman" w:eastAsia="宋体" w:cs="Times New Roman"/>
          <w:szCs w:val="24"/>
        </w:rPr>
        <w:t>公用辅助工程情况</w:t>
      </w:r>
      <w:bookmarkEnd w:id="96"/>
      <w:bookmarkEnd w:id="97"/>
      <w:bookmarkEnd w:id="98"/>
    </w:p>
    <w:p w14:paraId="5F8AC72E">
      <w:pPr>
        <w:pStyle w:val="249"/>
        <w:pageBreakBefore w:val="0"/>
        <w:widowControl/>
        <w:kinsoku/>
        <w:wordWrap/>
        <w:overflowPunct/>
        <w:topLinePunct w:val="0"/>
        <w:autoSpaceDE/>
        <w:autoSpaceDN/>
        <w:bidi w:val="0"/>
        <w:adjustRightInd/>
        <w:snapToGrid w:val="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cs="Times New Roman"/>
          <w:sz w:val="24"/>
          <w:szCs w:val="24"/>
          <w:lang w:val="en-US" w:eastAsia="zh-CN"/>
        </w:rPr>
        <w:t>5</w:t>
      </w:r>
      <w:r>
        <w:rPr>
          <w:rFonts w:hint="default" w:ascii="Times New Roman" w:hAnsi="Times New Roman" w:cs="Times New Roman"/>
          <w:sz w:val="24"/>
          <w:szCs w:val="24"/>
        </w:rPr>
        <w:t>.</w:t>
      </w:r>
      <w:r>
        <w:rPr>
          <w:rFonts w:hint="eastAsia" w:cs="Times New Roman"/>
          <w:sz w:val="24"/>
          <w:szCs w:val="24"/>
          <w:lang w:val="en-US" w:eastAsia="zh-CN"/>
        </w:rPr>
        <w:t>4</w:t>
      </w:r>
      <w:r>
        <w:rPr>
          <w:rFonts w:hint="default" w:ascii="Times New Roman" w:hAnsi="Times New Roman" w:cs="Times New Roman"/>
          <w:sz w:val="24"/>
          <w:szCs w:val="24"/>
        </w:rPr>
        <w:t>.1</w:t>
      </w:r>
      <w:r>
        <w:rPr>
          <w:rFonts w:hint="default" w:ascii="Times New Roman" w:hAnsi="Times New Roman" w:eastAsia="宋体" w:cs="Times New Roman"/>
          <w:sz w:val="24"/>
          <w:szCs w:val="24"/>
        </w:rPr>
        <w:t>给水与排水</w:t>
      </w:r>
    </w:p>
    <w:p w14:paraId="0B622063">
      <w:pPr>
        <w:snapToGrid w:val="0"/>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（1）供水</w:t>
      </w:r>
    </w:p>
    <w:p w14:paraId="4DE5771D">
      <w:pPr>
        <w:snapToGrid w:val="0"/>
        <w:spacing w:line="500" w:lineRule="exact"/>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本项目用水由海安县经济开发区自来水管网引入，沿厂区道路两侧敷设，就近接入用水点。本项目主要用水环节为职工生活用水、绿化用水和水帘用水。</w:t>
      </w:r>
    </w:p>
    <w:p w14:paraId="075944FA">
      <w:pPr>
        <w:snapToGrid w:val="0"/>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（2）排水</w:t>
      </w:r>
    </w:p>
    <w:p w14:paraId="79A94605">
      <w:pPr>
        <w:numPr>
          <w:ilvl w:val="0"/>
          <w:numId w:val="0"/>
        </w:numPr>
        <w:bidi w:val="0"/>
        <w:adjustRightInd/>
        <w:snapToGrid w:val="0"/>
        <w:spacing w:line="500" w:lineRule="exact"/>
        <w:ind w:firstLine="480" w:firstLineChars="200"/>
        <w:jc w:val="left"/>
        <w:rPr>
          <w:rFonts w:hint="default" w:ascii="Times New Roman" w:hAnsi="Times New Roman" w:eastAsia="宋体" w:cs="Times New Roman"/>
        </w:rPr>
      </w:pPr>
      <w:bookmarkStart w:id="99" w:name="_Toc28463"/>
      <w:r>
        <w:rPr>
          <w:rFonts w:ascii="宋体" w:hAnsi="宋体" w:eastAsia="宋体" w:cs="宋体"/>
          <w:sz w:val="24"/>
          <w:szCs w:val="24"/>
        </w:rPr>
        <w:t>项目排水系统雨污分流、清污分流。雨水经雨水管网收集后就近排入水体，预处理后接管</w:t>
      </w:r>
      <w:r>
        <w:rPr>
          <w:rFonts w:hint="eastAsia" w:ascii="宋体" w:hAnsi="宋体" w:eastAsia="宋体" w:cs="宋体"/>
          <w:sz w:val="24"/>
          <w:szCs w:val="24"/>
          <w:lang w:val="en-US" w:eastAsia="zh-CN"/>
        </w:rPr>
        <w:t>海安市墩头镇污水处理厂</w:t>
      </w:r>
      <w:r>
        <w:rPr>
          <w:rFonts w:ascii="宋体" w:hAnsi="宋体" w:eastAsia="宋体" w:cs="宋体"/>
          <w:sz w:val="24"/>
          <w:szCs w:val="24"/>
        </w:rPr>
        <w:t>集中处理，尾水排入</w:t>
      </w:r>
      <w:r>
        <w:rPr>
          <w:rFonts w:hint="eastAsia" w:ascii="宋体" w:hAnsi="宋体" w:eastAsia="宋体" w:cs="宋体"/>
          <w:sz w:val="24"/>
          <w:szCs w:val="24"/>
          <w:lang w:eastAsia="zh-CN"/>
        </w:rPr>
        <w:t>胡墩河</w:t>
      </w:r>
      <w:r>
        <w:rPr>
          <w:rFonts w:ascii="宋体" w:hAnsi="宋体" w:eastAsia="宋体" w:cs="宋体"/>
          <w:sz w:val="24"/>
          <w:szCs w:val="24"/>
        </w:rPr>
        <w:t>。</w:t>
      </w:r>
    </w:p>
    <w:p w14:paraId="79262412">
      <w:pPr>
        <w:pStyle w:val="249"/>
        <w:bidi w:val="0"/>
        <w:rPr>
          <w:rFonts w:hint="default" w:ascii="Times New Roman" w:hAnsi="Times New Roman" w:eastAsia="宋体" w:cs="Times New Roman"/>
        </w:rPr>
      </w:pPr>
      <w:r>
        <w:rPr>
          <w:rFonts w:hint="default" w:ascii="Times New Roman" w:hAnsi="Times New Roman" w:eastAsia="宋体" w:cs="Times New Roman"/>
        </w:rPr>
        <w:t>3.</w:t>
      </w:r>
      <w:r>
        <w:rPr>
          <w:rFonts w:hint="eastAsia" w:eastAsia="宋体" w:cs="Times New Roman"/>
          <w:lang w:val="en-US" w:eastAsia="zh-CN"/>
        </w:rPr>
        <w:t>5</w:t>
      </w:r>
      <w:r>
        <w:rPr>
          <w:rFonts w:hint="default" w:ascii="Times New Roman" w:hAnsi="Times New Roman" w:eastAsia="宋体" w:cs="Times New Roman"/>
        </w:rPr>
        <w:t>.</w:t>
      </w:r>
      <w:r>
        <w:rPr>
          <w:rFonts w:hint="eastAsia" w:eastAsia="宋体" w:cs="Times New Roman"/>
          <w:lang w:val="en-US" w:eastAsia="zh-CN"/>
        </w:rPr>
        <w:t>4</w:t>
      </w:r>
      <w:r>
        <w:rPr>
          <w:rFonts w:hint="default" w:ascii="Times New Roman" w:hAnsi="Times New Roman" w:eastAsia="宋体" w:cs="Times New Roman"/>
        </w:rPr>
        <w:t>.2供电、供热及电讯</w:t>
      </w:r>
      <w:bookmarkEnd w:id="99"/>
    </w:p>
    <w:p w14:paraId="747A712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（1）供电</w:t>
      </w:r>
    </w:p>
    <w:p w14:paraId="047601A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ascii="宋体" w:hAnsi="宋体" w:eastAsia="宋体" w:cs="宋体"/>
          <w:sz w:val="24"/>
          <w:szCs w:val="24"/>
        </w:rPr>
        <w:t>本项目年用电量为</w:t>
      </w:r>
      <w:r>
        <w:rPr>
          <w:rFonts w:hint="eastAsia" w:ascii="宋体" w:hAnsi="宋体" w:eastAsia="宋体" w:cs="宋体"/>
          <w:sz w:val="24"/>
          <w:szCs w:val="24"/>
          <w:lang w:val="en-US" w:eastAsia="zh-CN"/>
        </w:rPr>
        <w:t>200</w:t>
      </w:r>
      <w:r>
        <w:rPr>
          <w:rFonts w:ascii="宋体" w:hAnsi="宋体" w:eastAsia="宋体" w:cs="宋体"/>
          <w:sz w:val="24"/>
          <w:szCs w:val="24"/>
        </w:rPr>
        <w:t>万度，由开发区供电网管供给。</w:t>
      </w:r>
    </w:p>
    <w:p w14:paraId="3417AA70">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通讯</w:t>
      </w:r>
    </w:p>
    <w:p w14:paraId="1CAFBED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公司根据国家有关规范和工艺流程对电讯的要求，设计装置专用电话线</w:t>
      </w:r>
      <w:r>
        <w:rPr>
          <w:rFonts w:hint="eastAsia" w:ascii="宋体" w:hAnsi="宋体" w:eastAsia="宋体" w:cs="宋体"/>
          <w:sz w:val="24"/>
          <w:szCs w:val="24"/>
        </w:rPr>
        <w:t>路。</w:t>
      </w:r>
    </w:p>
    <w:p w14:paraId="2606EE9F">
      <w:pPr>
        <w:pStyle w:val="249"/>
        <w:bidi w:val="0"/>
        <w:rPr>
          <w:rFonts w:hint="eastAsia"/>
        </w:rPr>
      </w:pPr>
      <w:bookmarkStart w:id="100" w:name="_Toc10586"/>
      <w:r>
        <w:rPr>
          <w:rFonts w:hint="eastAsia"/>
        </w:rPr>
        <w:t>3.</w:t>
      </w:r>
      <w:r>
        <w:rPr>
          <w:rFonts w:hint="eastAsia"/>
          <w:lang w:val="en-US" w:eastAsia="zh-CN"/>
        </w:rPr>
        <w:t>5</w:t>
      </w:r>
      <w:r>
        <w:rPr>
          <w:rFonts w:hint="eastAsia"/>
        </w:rPr>
        <w:t>.</w:t>
      </w:r>
      <w:r>
        <w:rPr>
          <w:rFonts w:hint="eastAsia"/>
          <w:lang w:val="en-US" w:eastAsia="zh-CN"/>
        </w:rPr>
        <w:t>4</w:t>
      </w:r>
      <w:r>
        <w:rPr>
          <w:rFonts w:hint="eastAsia"/>
        </w:rPr>
        <w:t>.3</w:t>
      </w:r>
      <w:r>
        <w:rPr>
          <w:rFonts w:hint="eastAsia" w:ascii="宋体" w:hAnsi="宋体" w:eastAsia="宋体" w:cs="宋体"/>
        </w:rPr>
        <w:t>仓储及运输</w:t>
      </w:r>
      <w:bookmarkEnd w:id="100"/>
    </w:p>
    <w:p w14:paraId="4A281CB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（1）仓储</w:t>
      </w:r>
    </w:p>
    <w:p w14:paraId="046B81A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项目划分有</w:t>
      </w:r>
      <w:r>
        <w:rPr>
          <w:rFonts w:hint="eastAsia" w:eastAsia="宋体" w:cs="Times New Roman"/>
          <w:sz w:val="24"/>
          <w:szCs w:val="24"/>
          <w:lang w:val="en-US" w:eastAsia="zh-CN"/>
        </w:rPr>
        <w:t>一般固废仓库、危废仓库及</w:t>
      </w:r>
      <w:r>
        <w:rPr>
          <w:rFonts w:hint="default" w:ascii="Times New Roman" w:hAnsi="Times New Roman" w:eastAsia="宋体" w:cs="Times New Roman"/>
          <w:sz w:val="24"/>
          <w:szCs w:val="24"/>
          <w:lang w:val="en-US" w:eastAsia="zh-CN"/>
        </w:rPr>
        <w:t>成品仓库</w:t>
      </w:r>
      <w:r>
        <w:rPr>
          <w:rFonts w:hint="eastAsia" w:ascii="宋体" w:hAnsi="宋体" w:eastAsia="宋体" w:cs="宋体"/>
          <w:sz w:val="24"/>
          <w:szCs w:val="24"/>
          <w:highlight w:val="none"/>
        </w:rPr>
        <w:t>。</w:t>
      </w:r>
    </w:p>
    <w:p w14:paraId="66B847F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（2）运输</w:t>
      </w:r>
    </w:p>
    <w:p w14:paraId="2B16531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项目主要采用汽车公路运输。原料运输外委社会运输单位。产品购买单位自行运输，本公司不负责运输任务</w:t>
      </w:r>
      <w:r>
        <w:rPr>
          <w:rFonts w:hint="eastAsia" w:ascii="宋体" w:hAnsi="宋体" w:eastAsia="宋体" w:cs="宋体"/>
          <w:sz w:val="24"/>
          <w:szCs w:val="24"/>
        </w:rPr>
        <w:t>。</w:t>
      </w:r>
    </w:p>
    <w:p w14:paraId="16597D18">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Cs w:val="24"/>
        </w:rPr>
      </w:pPr>
      <w:bookmarkStart w:id="101" w:name="_Toc18121"/>
      <w:bookmarkStart w:id="102" w:name="_Toc10543"/>
      <w:bookmarkStart w:id="103" w:name="_Toc27428"/>
      <w:bookmarkStart w:id="104" w:name="_Toc535414245"/>
      <w:r>
        <w:rPr>
          <w:rFonts w:hint="default" w:ascii="Times New Roman" w:hAnsi="Times New Roman" w:eastAsia="宋体" w:cs="Times New Roman"/>
          <w:color w:val="auto"/>
          <w:szCs w:val="24"/>
        </w:rPr>
        <w:t>3.</w:t>
      </w:r>
      <w:r>
        <w:rPr>
          <w:rFonts w:hint="eastAsia" w:eastAsia="宋体" w:cs="Times New Roman"/>
          <w:color w:val="auto"/>
          <w:szCs w:val="24"/>
          <w:lang w:val="en-US" w:eastAsia="zh-CN"/>
        </w:rPr>
        <w:t>5</w:t>
      </w:r>
      <w:r>
        <w:rPr>
          <w:rFonts w:hint="default" w:ascii="Times New Roman" w:hAnsi="Times New Roman" w:eastAsia="宋体" w:cs="Times New Roman"/>
          <w:color w:val="auto"/>
          <w:szCs w:val="24"/>
        </w:rPr>
        <w:t>.</w:t>
      </w:r>
      <w:r>
        <w:rPr>
          <w:rFonts w:hint="eastAsia" w:eastAsia="宋体" w:cs="Times New Roman"/>
          <w:color w:val="auto"/>
          <w:szCs w:val="24"/>
          <w:lang w:val="en-US" w:eastAsia="zh-CN"/>
        </w:rPr>
        <w:t>5</w:t>
      </w:r>
      <w:r>
        <w:rPr>
          <w:rFonts w:hint="default" w:ascii="Times New Roman" w:hAnsi="Times New Roman" w:eastAsia="宋体" w:cs="Times New Roman"/>
          <w:color w:val="auto"/>
          <w:szCs w:val="24"/>
        </w:rPr>
        <w:t>“三</w:t>
      </w:r>
      <w:r>
        <w:rPr>
          <w:rFonts w:hint="default" w:ascii="Times New Roman" w:hAnsi="Times New Roman" w:eastAsia="宋体" w:cs="Times New Roman"/>
          <w:color w:val="auto"/>
          <w:szCs w:val="24"/>
          <w:highlight w:val="none"/>
        </w:rPr>
        <w:t>废”排放及处理情</w:t>
      </w:r>
      <w:r>
        <w:rPr>
          <w:rFonts w:hint="default" w:ascii="Times New Roman" w:hAnsi="Times New Roman" w:eastAsia="宋体" w:cs="Times New Roman"/>
          <w:color w:val="auto"/>
          <w:szCs w:val="24"/>
        </w:rPr>
        <w:t>况</w:t>
      </w:r>
      <w:bookmarkEnd w:id="101"/>
      <w:bookmarkEnd w:id="102"/>
      <w:bookmarkEnd w:id="103"/>
    </w:p>
    <w:p w14:paraId="20765DD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（1）大气污染源及污染物排放情况</w:t>
      </w:r>
    </w:p>
    <w:p w14:paraId="360462E0">
      <w:pPr>
        <w:adjustRightInd w:val="0"/>
        <w:snapToGrid w:val="0"/>
        <w:spacing w:line="500" w:lineRule="exact"/>
        <w:ind w:left="0" w:firstLine="480" w:firstLineChars="200"/>
        <w:rPr>
          <w:rFonts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本项目运营过程中，中央集尘系统</w:t>
      </w:r>
      <w:r>
        <w:rPr>
          <w:rFonts w:hint="eastAsia" w:eastAsia="宋体" w:cs="Times New Roman"/>
          <w:color w:val="000000" w:themeColor="text1"/>
          <w:sz w:val="24"/>
          <w:szCs w:val="24"/>
          <w:lang w:val="en-US" w:eastAsia="zh-CN"/>
          <w14:textFill>
            <w14:solidFill>
              <w14:schemeClr w14:val="tx1"/>
            </w14:solidFill>
          </w14:textFill>
        </w:rPr>
        <w:t>15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m高排气筒</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组，排气筒DA001；中央集尘系统</w:t>
      </w:r>
      <w:r>
        <w:rPr>
          <w:rFonts w:hint="eastAsia" w:eastAsia="宋体" w:cs="Times New Roman"/>
          <w:color w:val="000000" w:themeColor="text1"/>
          <w:sz w:val="24"/>
          <w:szCs w:val="24"/>
          <w:lang w:val="en-US" w:eastAsia="zh-CN"/>
          <w14:textFill>
            <w14:solidFill>
              <w14:schemeClr w14:val="tx1"/>
            </w14:solidFill>
          </w14:textFill>
        </w:rPr>
        <w:t>15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m高排气筒</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组，排气筒DA00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p>
    <w:p w14:paraId="1BA63FD7">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13</w:t>
      </w:r>
      <w:r>
        <w:rPr>
          <w:rFonts w:hint="eastAsia" w:ascii="Times New Roman" w:hAnsi="Times New Roman" w:eastAsia="宋体" w:cs="Times New Roman"/>
          <w:b/>
          <w:bCs/>
          <w:sz w:val="24"/>
          <w:szCs w:val="24"/>
          <w:lang w:val="en-US" w:eastAsia="zh-CN"/>
        </w:rPr>
        <w:t>有组织废气产生</w:t>
      </w:r>
      <w:r>
        <w:rPr>
          <w:rFonts w:hint="eastAsia" w:eastAsia="宋体" w:cs="Times New Roman"/>
          <w:b/>
          <w:bCs/>
          <w:sz w:val="24"/>
          <w:szCs w:val="24"/>
          <w:lang w:val="en-US" w:eastAsia="zh-CN"/>
        </w:rPr>
        <w:t>及</w:t>
      </w:r>
      <w:r>
        <w:rPr>
          <w:rFonts w:hint="eastAsia" w:ascii="Times New Roman" w:hAnsi="Times New Roman" w:eastAsia="宋体" w:cs="Times New Roman"/>
          <w:b/>
          <w:bCs/>
          <w:sz w:val="24"/>
          <w:szCs w:val="24"/>
          <w:lang w:val="en-US" w:eastAsia="zh-CN"/>
        </w:rPr>
        <w:t>处理</w:t>
      </w:r>
      <w:r>
        <w:rPr>
          <w:rFonts w:hint="default" w:ascii="Times New Roman" w:hAnsi="Times New Roman" w:eastAsia="宋体" w:cs="Times New Roman"/>
          <w:b/>
          <w:bCs/>
          <w:sz w:val="24"/>
          <w:szCs w:val="24"/>
        </w:rPr>
        <w:t>一览表</w:t>
      </w:r>
    </w:p>
    <w:tbl>
      <w:tblPr>
        <w:tblStyle w:val="37"/>
        <w:tblW w:w="532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691"/>
        <w:gridCol w:w="1158"/>
        <w:gridCol w:w="1126"/>
        <w:gridCol w:w="1126"/>
        <w:gridCol w:w="1260"/>
        <w:gridCol w:w="983"/>
        <w:gridCol w:w="1391"/>
        <w:gridCol w:w="1056"/>
      </w:tblGrid>
      <w:tr w14:paraId="3B158C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3" w:type="pct"/>
            <w:vMerge w:val="restart"/>
            <w:tcBorders>
              <w:tl2br w:val="nil"/>
              <w:tr2bl w:val="nil"/>
            </w:tcBorders>
            <w:vAlign w:val="center"/>
          </w:tcPr>
          <w:p w14:paraId="7B857A59">
            <w:pPr>
              <w:pStyle w:val="140"/>
              <w:spacing w:before="0" w:line="240" w:lineRule="auto"/>
              <w:ind w:left="0" w:right="0"/>
              <w:rPr>
                <w:rFonts w:ascii="Times New Roman" w:hAnsi="Times New Roman" w:cs="Times New Roman"/>
                <w:b/>
                <w:sz w:val="21"/>
              </w:rPr>
            </w:pPr>
            <w:r>
              <w:rPr>
                <w:rFonts w:ascii="Times New Roman" w:hAnsi="Times New Roman" w:cs="Times New Roman"/>
                <w:b/>
                <w:spacing w:val="-9"/>
                <w:sz w:val="21"/>
              </w:rPr>
              <w:t>污染</w:t>
            </w:r>
            <w:r>
              <w:rPr>
                <w:rFonts w:ascii="Times New Roman" w:hAnsi="Times New Roman" w:cs="Times New Roman"/>
                <w:b/>
                <w:sz w:val="21"/>
              </w:rPr>
              <w:t>源</w:t>
            </w:r>
            <w:r>
              <w:rPr>
                <w:rFonts w:ascii="Times New Roman" w:hAnsi="Times New Roman" w:cs="Times New Roman"/>
                <w:b/>
                <w:spacing w:val="-9"/>
                <w:sz w:val="21"/>
              </w:rPr>
              <w:t>名称</w:t>
            </w:r>
          </w:p>
        </w:tc>
        <w:tc>
          <w:tcPr>
            <w:tcW w:w="591" w:type="pct"/>
            <w:vMerge w:val="restart"/>
            <w:tcBorders>
              <w:tl2br w:val="nil"/>
              <w:tr2bl w:val="nil"/>
            </w:tcBorders>
            <w:vAlign w:val="center"/>
          </w:tcPr>
          <w:p w14:paraId="0C14CD52">
            <w:pPr>
              <w:pStyle w:val="140"/>
              <w:spacing w:line="240" w:lineRule="auto"/>
              <w:ind w:left="0" w:right="0" w:firstLine="0"/>
              <w:jc w:val="center"/>
              <w:rPr>
                <w:rFonts w:ascii="Times New Roman" w:hAnsi="Times New Roman" w:cs="Times New Roman"/>
                <w:b/>
                <w:sz w:val="21"/>
              </w:rPr>
            </w:pPr>
            <w:r>
              <w:rPr>
                <w:rFonts w:ascii="Times New Roman" w:hAnsi="Times New Roman" w:cs="Times New Roman"/>
                <w:b/>
                <w:sz w:val="21"/>
              </w:rPr>
              <w:t>污染物名称</w:t>
            </w:r>
          </w:p>
        </w:tc>
        <w:tc>
          <w:tcPr>
            <w:tcW w:w="1793" w:type="pct"/>
            <w:gridSpan w:val="3"/>
            <w:tcBorders>
              <w:tl2br w:val="nil"/>
              <w:tr2bl w:val="nil"/>
            </w:tcBorders>
            <w:vAlign w:val="center"/>
          </w:tcPr>
          <w:p w14:paraId="22886C36">
            <w:pPr>
              <w:pStyle w:val="140"/>
              <w:spacing w:before="0"/>
              <w:ind w:left="0"/>
              <w:jc w:val="center"/>
              <w:rPr>
                <w:rFonts w:ascii="Times New Roman" w:hAnsi="Times New Roman" w:cs="Times New Roman"/>
                <w:b/>
                <w:sz w:val="21"/>
              </w:rPr>
            </w:pPr>
            <w:r>
              <w:rPr>
                <w:rFonts w:ascii="Times New Roman" w:hAnsi="Times New Roman" w:cs="Times New Roman"/>
                <w:b/>
                <w:sz w:val="21"/>
              </w:rPr>
              <w:t>产生状况</w:t>
            </w:r>
          </w:p>
        </w:tc>
        <w:tc>
          <w:tcPr>
            <w:tcW w:w="502" w:type="pct"/>
            <w:vMerge w:val="restart"/>
            <w:tcBorders>
              <w:tl2br w:val="nil"/>
              <w:tr2bl w:val="nil"/>
            </w:tcBorders>
            <w:vAlign w:val="center"/>
          </w:tcPr>
          <w:p w14:paraId="6C82DE66">
            <w:pPr>
              <w:pStyle w:val="140"/>
              <w:ind w:left="0"/>
              <w:jc w:val="center"/>
              <w:rPr>
                <w:rFonts w:ascii="Times New Roman" w:hAnsi="Times New Roman" w:cs="Times New Roman"/>
                <w:b/>
                <w:sz w:val="21"/>
              </w:rPr>
            </w:pPr>
            <w:r>
              <w:rPr>
                <w:rFonts w:ascii="Times New Roman" w:hAnsi="Times New Roman" w:cs="Times New Roman"/>
                <w:b/>
                <w:w w:val="95"/>
                <w:sz w:val="21"/>
              </w:rPr>
              <w:t>排气量</w:t>
            </w:r>
          </w:p>
          <w:p w14:paraId="3C116029">
            <w:pPr>
              <w:pStyle w:val="140"/>
              <w:spacing w:before="0"/>
              <w:ind w:left="0"/>
              <w:jc w:val="center"/>
              <w:rPr>
                <w:rFonts w:ascii="Times New Roman" w:hAnsi="Times New Roman" w:cs="Times New Roman"/>
                <w:b/>
                <w:sz w:val="21"/>
              </w:rPr>
            </w:pPr>
            <w:r>
              <w:rPr>
                <w:rFonts w:ascii="Times New Roman" w:hAnsi="Times New Roman" w:cs="Times New Roman"/>
                <w:b/>
                <w:sz w:val="21"/>
              </w:rPr>
              <w:t>(m</w:t>
            </w:r>
            <w:r>
              <w:rPr>
                <w:rFonts w:ascii="Times New Roman" w:hAnsi="Times New Roman" w:cs="Times New Roman"/>
                <w:b/>
                <w:position w:val="7"/>
                <w:sz w:val="13"/>
              </w:rPr>
              <w:t>3</w:t>
            </w:r>
            <w:r>
              <w:rPr>
                <w:rFonts w:ascii="Times New Roman" w:hAnsi="Times New Roman" w:cs="Times New Roman"/>
                <w:b/>
                <w:sz w:val="21"/>
              </w:rPr>
              <w:t>/h)</w:t>
            </w:r>
          </w:p>
        </w:tc>
        <w:tc>
          <w:tcPr>
            <w:tcW w:w="710" w:type="pct"/>
            <w:vMerge w:val="restart"/>
            <w:tcBorders>
              <w:tl2br w:val="nil"/>
              <w:tr2bl w:val="nil"/>
            </w:tcBorders>
            <w:vAlign w:val="center"/>
          </w:tcPr>
          <w:p w14:paraId="4B937D16">
            <w:pPr>
              <w:pStyle w:val="140"/>
              <w:spacing w:line="240" w:lineRule="auto"/>
              <w:ind w:left="0" w:right="0"/>
              <w:jc w:val="center"/>
              <w:rPr>
                <w:rFonts w:ascii="Times New Roman" w:hAnsi="Times New Roman" w:cs="Times New Roman"/>
                <w:b/>
                <w:sz w:val="21"/>
              </w:rPr>
            </w:pPr>
            <w:r>
              <w:rPr>
                <w:rFonts w:ascii="Times New Roman" w:hAnsi="Times New Roman" w:cs="Times New Roman"/>
                <w:b/>
                <w:sz w:val="21"/>
              </w:rPr>
              <w:t>治理措施</w:t>
            </w:r>
          </w:p>
        </w:tc>
        <w:tc>
          <w:tcPr>
            <w:tcW w:w="539" w:type="pct"/>
            <w:vMerge w:val="restart"/>
            <w:tcBorders>
              <w:tl2br w:val="nil"/>
              <w:tr2bl w:val="nil"/>
            </w:tcBorders>
            <w:vAlign w:val="center"/>
          </w:tcPr>
          <w:p w14:paraId="05438DEE">
            <w:pPr>
              <w:pStyle w:val="140"/>
              <w:ind w:left="0"/>
              <w:jc w:val="center"/>
              <w:rPr>
                <w:rFonts w:ascii="Times New Roman" w:hAnsi="Times New Roman" w:cs="Times New Roman"/>
                <w:b/>
                <w:sz w:val="21"/>
              </w:rPr>
            </w:pPr>
            <w:r>
              <w:rPr>
                <w:rFonts w:ascii="Times New Roman" w:hAnsi="Times New Roman" w:cs="Times New Roman"/>
                <w:b/>
                <w:sz w:val="21"/>
              </w:rPr>
              <w:t>排气筒</w:t>
            </w:r>
          </w:p>
        </w:tc>
      </w:tr>
      <w:tr w14:paraId="056F54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863" w:type="pct"/>
            <w:vMerge w:val="continue"/>
            <w:tcBorders>
              <w:tl2br w:val="nil"/>
              <w:tr2bl w:val="nil"/>
            </w:tcBorders>
            <w:vAlign w:val="center"/>
          </w:tcPr>
          <w:p w14:paraId="09C5EAB7">
            <w:pPr>
              <w:jc w:val="center"/>
              <w:rPr>
                <w:sz w:val="2"/>
                <w:szCs w:val="2"/>
              </w:rPr>
            </w:pPr>
          </w:p>
        </w:tc>
        <w:tc>
          <w:tcPr>
            <w:tcW w:w="591" w:type="pct"/>
            <w:vMerge w:val="continue"/>
            <w:tcBorders>
              <w:tl2br w:val="nil"/>
              <w:tr2bl w:val="nil"/>
            </w:tcBorders>
            <w:vAlign w:val="center"/>
          </w:tcPr>
          <w:p w14:paraId="14508375">
            <w:pPr>
              <w:jc w:val="center"/>
              <w:rPr>
                <w:sz w:val="2"/>
                <w:szCs w:val="2"/>
              </w:rPr>
            </w:pPr>
          </w:p>
        </w:tc>
        <w:tc>
          <w:tcPr>
            <w:tcW w:w="575" w:type="pct"/>
            <w:tcBorders>
              <w:tl2br w:val="nil"/>
              <w:tr2bl w:val="nil"/>
            </w:tcBorders>
            <w:vAlign w:val="center"/>
          </w:tcPr>
          <w:p w14:paraId="70C26778">
            <w:pPr>
              <w:pStyle w:val="140"/>
              <w:spacing w:before="0" w:line="240" w:lineRule="auto"/>
              <w:ind w:left="0" w:right="0"/>
              <w:rPr>
                <w:rFonts w:hint="default" w:ascii="Times New Roman" w:hAnsi="Times New Roman" w:eastAsia="宋体" w:cs="Times New Roman"/>
                <w:b/>
                <w:sz w:val="21"/>
                <w:lang w:eastAsia="zh-CN"/>
              </w:rPr>
            </w:pPr>
            <w:r>
              <w:rPr>
                <w:rFonts w:ascii="Times New Roman" w:hAnsi="Times New Roman" w:cs="Times New Roman"/>
                <w:b/>
                <w:sz w:val="21"/>
              </w:rPr>
              <w:t>浓度</w:t>
            </w:r>
            <w:r>
              <w:rPr>
                <w:rFonts w:hint="eastAsia" w:ascii="Times New Roman" w:hAnsi="Times New Roman" w:cs="Times New Roman"/>
                <w:b/>
                <w:sz w:val="21"/>
                <w:lang w:eastAsia="zh-CN"/>
              </w:rPr>
              <w:t>（</w:t>
            </w:r>
            <w:r>
              <w:rPr>
                <w:rFonts w:ascii="Times New Roman" w:hAnsi="Times New Roman" w:cs="Times New Roman"/>
                <w:b/>
                <w:w w:val="95"/>
                <w:sz w:val="21"/>
              </w:rPr>
              <w:t>mg/m</w:t>
            </w:r>
            <w:r>
              <w:rPr>
                <w:rFonts w:ascii="Times New Roman" w:hAnsi="Times New Roman" w:cs="Times New Roman"/>
                <w:b/>
                <w:sz w:val="21"/>
                <w:szCs w:val="44"/>
                <w:vertAlign w:val="superscript"/>
              </w:rPr>
              <w:t>3</w:t>
            </w:r>
            <w:r>
              <w:rPr>
                <w:rFonts w:ascii="Times New Roman" w:hAnsi="Times New Roman" w:cs="Times New Roman"/>
                <w:b/>
                <w:sz w:val="21"/>
              </w:rPr>
              <w:t>)</w:t>
            </w:r>
          </w:p>
        </w:tc>
        <w:tc>
          <w:tcPr>
            <w:tcW w:w="575" w:type="pct"/>
            <w:tcBorders>
              <w:tl2br w:val="nil"/>
              <w:tr2bl w:val="nil"/>
            </w:tcBorders>
            <w:vAlign w:val="center"/>
          </w:tcPr>
          <w:p w14:paraId="361D6637">
            <w:pPr>
              <w:pStyle w:val="140"/>
              <w:spacing w:before="0"/>
              <w:ind w:left="0"/>
              <w:jc w:val="center"/>
              <w:rPr>
                <w:rFonts w:ascii="Times New Roman" w:hAnsi="Times New Roman" w:cs="Times New Roman"/>
                <w:b/>
                <w:sz w:val="21"/>
              </w:rPr>
            </w:pPr>
            <w:r>
              <w:rPr>
                <w:rFonts w:ascii="Times New Roman" w:hAnsi="Times New Roman" w:cs="Times New Roman"/>
                <w:b/>
                <w:sz w:val="21"/>
              </w:rPr>
              <w:t>速率</w:t>
            </w:r>
          </w:p>
          <w:p w14:paraId="43518882">
            <w:pPr>
              <w:pStyle w:val="140"/>
              <w:spacing w:before="0"/>
              <w:ind w:left="0"/>
              <w:jc w:val="center"/>
              <w:rPr>
                <w:rFonts w:ascii="Times New Roman" w:hAnsi="Times New Roman" w:cs="Times New Roman"/>
                <w:b/>
                <w:sz w:val="21"/>
              </w:rPr>
            </w:pPr>
            <w:r>
              <w:rPr>
                <w:rFonts w:ascii="Times New Roman" w:hAnsi="Times New Roman" w:cs="Times New Roman"/>
                <w:b/>
                <w:sz w:val="21"/>
              </w:rPr>
              <w:t>(kg/h)</w:t>
            </w:r>
          </w:p>
        </w:tc>
        <w:tc>
          <w:tcPr>
            <w:tcW w:w="642" w:type="pct"/>
            <w:tcBorders>
              <w:tl2br w:val="nil"/>
              <w:tr2bl w:val="nil"/>
            </w:tcBorders>
            <w:vAlign w:val="center"/>
          </w:tcPr>
          <w:p w14:paraId="717FC1E2">
            <w:pPr>
              <w:pStyle w:val="140"/>
              <w:spacing w:before="0"/>
              <w:ind w:left="0" w:right="0"/>
              <w:rPr>
                <w:rFonts w:ascii="Times New Roman" w:hAnsi="Times New Roman" w:cs="Times New Roman"/>
                <w:b/>
                <w:sz w:val="21"/>
              </w:rPr>
            </w:pPr>
            <w:r>
              <w:rPr>
                <w:rFonts w:ascii="Times New Roman" w:hAnsi="Times New Roman" w:cs="Times New Roman"/>
                <w:b/>
                <w:sz w:val="21"/>
              </w:rPr>
              <w:t>产生量</w:t>
            </w:r>
          </w:p>
          <w:p w14:paraId="05B1CE72">
            <w:pPr>
              <w:pStyle w:val="140"/>
              <w:spacing w:before="0"/>
              <w:ind w:left="0" w:right="0"/>
              <w:rPr>
                <w:rFonts w:ascii="Times New Roman" w:hAnsi="Times New Roman" w:cs="Times New Roman"/>
                <w:b/>
                <w:sz w:val="21"/>
              </w:rPr>
            </w:pPr>
            <w:r>
              <w:rPr>
                <w:rFonts w:ascii="Times New Roman" w:hAnsi="Times New Roman" w:cs="Times New Roman"/>
                <w:b/>
                <w:sz w:val="21"/>
              </w:rPr>
              <w:t>(t/a)</w:t>
            </w:r>
          </w:p>
        </w:tc>
        <w:tc>
          <w:tcPr>
            <w:tcW w:w="502" w:type="pct"/>
            <w:vMerge w:val="continue"/>
            <w:tcBorders>
              <w:tl2br w:val="nil"/>
              <w:tr2bl w:val="nil"/>
            </w:tcBorders>
            <w:vAlign w:val="center"/>
          </w:tcPr>
          <w:p w14:paraId="13DEE0E3">
            <w:pPr>
              <w:jc w:val="center"/>
              <w:rPr>
                <w:sz w:val="2"/>
                <w:szCs w:val="2"/>
              </w:rPr>
            </w:pPr>
          </w:p>
        </w:tc>
        <w:tc>
          <w:tcPr>
            <w:tcW w:w="710" w:type="pct"/>
            <w:vMerge w:val="continue"/>
            <w:tcBorders>
              <w:tl2br w:val="nil"/>
              <w:tr2bl w:val="nil"/>
            </w:tcBorders>
            <w:vAlign w:val="center"/>
          </w:tcPr>
          <w:p w14:paraId="7BFAAD5E">
            <w:pPr>
              <w:jc w:val="center"/>
              <w:rPr>
                <w:sz w:val="2"/>
                <w:szCs w:val="2"/>
              </w:rPr>
            </w:pPr>
          </w:p>
        </w:tc>
        <w:tc>
          <w:tcPr>
            <w:tcW w:w="539" w:type="pct"/>
            <w:vMerge w:val="continue"/>
            <w:tcBorders>
              <w:tl2br w:val="nil"/>
              <w:tr2bl w:val="nil"/>
            </w:tcBorders>
            <w:vAlign w:val="center"/>
          </w:tcPr>
          <w:p w14:paraId="06A7A6DA">
            <w:pPr>
              <w:jc w:val="center"/>
              <w:rPr>
                <w:sz w:val="2"/>
                <w:szCs w:val="2"/>
              </w:rPr>
            </w:pPr>
          </w:p>
        </w:tc>
      </w:tr>
      <w:tr w14:paraId="77C13C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63" w:type="pct"/>
            <w:tcBorders>
              <w:tl2br w:val="nil"/>
              <w:tr2bl w:val="nil"/>
            </w:tcBorders>
            <w:vAlign w:val="center"/>
          </w:tcPr>
          <w:p w14:paraId="028C8C1A">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木工车间</w:t>
            </w:r>
          </w:p>
        </w:tc>
        <w:tc>
          <w:tcPr>
            <w:tcW w:w="591" w:type="pct"/>
            <w:tcBorders>
              <w:tl2br w:val="nil"/>
              <w:tr2bl w:val="nil"/>
            </w:tcBorders>
            <w:vAlign w:val="center"/>
          </w:tcPr>
          <w:p w14:paraId="1A8889A2">
            <w:pPr>
              <w:spacing w:before="0" w:line="240" w:lineRule="auto"/>
              <w:ind w:lef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vAlign w:val="center"/>
          </w:tcPr>
          <w:p w14:paraId="25FF7237">
            <w:pPr>
              <w:pStyle w:val="140"/>
              <w:spacing w:before="0"/>
              <w:ind w:left="0" w:righ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4.43</w:t>
            </w:r>
          </w:p>
        </w:tc>
        <w:tc>
          <w:tcPr>
            <w:tcW w:w="575" w:type="pct"/>
            <w:tcBorders>
              <w:tl2br w:val="nil"/>
              <w:tr2bl w:val="nil"/>
            </w:tcBorders>
            <w:vAlign w:val="center"/>
          </w:tcPr>
          <w:p w14:paraId="21BD3FB9">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0.099</w:t>
            </w:r>
          </w:p>
        </w:tc>
        <w:tc>
          <w:tcPr>
            <w:tcW w:w="642" w:type="pct"/>
            <w:tcBorders>
              <w:tl2br w:val="nil"/>
              <w:tr2bl w:val="nil"/>
            </w:tcBorders>
            <w:vAlign w:val="center"/>
          </w:tcPr>
          <w:p w14:paraId="74BCD2A9">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0.2376</w:t>
            </w:r>
          </w:p>
        </w:tc>
        <w:tc>
          <w:tcPr>
            <w:tcW w:w="502" w:type="pct"/>
            <w:tcBorders>
              <w:tl2br w:val="nil"/>
              <w:tr2bl w:val="nil"/>
            </w:tcBorders>
            <w:vAlign w:val="center"/>
          </w:tcPr>
          <w:p w14:paraId="50482D3D">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22070</w:t>
            </w:r>
          </w:p>
        </w:tc>
        <w:tc>
          <w:tcPr>
            <w:tcW w:w="710" w:type="pct"/>
            <w:tcBorders>
              <w:tl2br w:val="nil"/>
              <w:tr2bl w:val="nil"/>
            </w:tcBorders>
            <w:vAlign w:val="center"/>
          </w:tcPr>
          <w:p w14:paraId="56194AB2">
            <w:pPr>
              <w:pStyle w:val="140"/>
              <w:spacing w:before="0" w:line="240" w:lineRule="auto"/>
              <w:ind w:left="0" w:leftChars="0"/>
              <w:jc w:val="center"/>
              <w:rPr>
                <w:rFonts w:hint="eastAsia"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中央集尘系统</w:t>
            </w:r>
          </w:p>
        </w:tc>
        <w:tc>
          <w:tcPr>
            <w:tcW w:w="539" w:type="pct"/>
            <w:tcBorders>
              <w:tl2br w:val="nil"/>
              <w:tr2bl w:val="nil"/>
            </w:tcBorders>
            <w:vAlign w:val="center"/>
          </w:tcPr>
          <w:p w14:paraId="4689A311">
            <w:pPr>
              <w:pStyle w:val="140"/>
              <w:spacing w:before="0" w:line="240" w:lineRule="auto"/>
              <w:ind w:left="0"/>
              <w:jc w:val="center"/>
              <w:rPr>
                <w:rFonts w:ascii="Times New Roman" w:hAnsi="Times New Roman" w:cs="Times New Roman"/>
                <w:sz w:val="21"/>
              </w:rPr>
            </w:pPr>
            <w:r>
              <w:rPr>
                <w:rFonts w:hint="eastAsia" w:ascii="Times New Roman" w:hAnsi="Times New Roman" w:cs="Times New Roman"/>
                <w:sz w:val="21"/>
                <w:lang w:val="en-US" w:eastAsia="zh-CN"/>
              </w:rPr>
              <w:t>1#20m排气筒排放</w:t>
            </w:r>
          </w:p>
        </w:tc>
      </w:tr>
      <w:tr w14:paraId="67089C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63" w:type="pct"/>
            <w:tcBorders>
              <w:tl2br w:val="nil"/>
              <w:tr2bl w:val="nil"/>
            </w:tcBorders>
            <w:vAlign w:val="center"/>
          </w:tcPr>
          <w:p w14:paraId="0186B0FC">
            <w:pPr>
              <w:pStyle w:val="140"/>
              <w:spacing w:before="0"/>
              <w:ind w:left="0" w:right="0"/>
              <w:rPr>
                <w:rFonts w:hint="eastAsia" w:ascii="Times New Roman" w:hAnsi="Times New Roman" w:cs="Times New Roman"/>
                <w:sz w:val="21"/>
                <w:lang w:val="en-US" w:eastAsia="zh-CN"/>
              </w:rPr>
            </w:pPr>
            <w:r>
              <w:rPr>
                <w:rFonts w:hint="eastAsia" w:ascii="Times New Roman" w:hAnsi="Times New Roman" w:eastAsia="宋体" w:cs="Times New Roman"/>
                <w:sz w:val="21"/>
                <w:lang w:val="en-US" w:eastAsia="zh-CN"/>
              </w:rPr>
              <w:t>打磨车间</w:t>
            </w:r>
          </w:p>
        </w:tc>
        <w:tc>
          <w:tcPr>
            <w:tcW w:w="591" w:type="pct"/>
            <w:tcBorders>
              <w:tl2br w:val="nil"/>
              <w:tr2bl w:val="nil"/>
            </w:tcBorders>
            <w:vAlign w:val="center"/>
          </w:tcPr>
          <w:p w14:paraId="557AAD9D">
            <w:pPr>
              <w:spacing w:before="0" w:line="240" w:lineRule="auto"/>
              <w:ind w:lef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vAlign w:val="center"/>
          </w:tcPr>
          <w:p w14:paraId="0FBB3085">
            <w:pPr>
              <w:pStyle w:val="140"/>
              <w:spacing w:before="0"/>
              <w:ind w:left="0" w:righ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3.37</w:t>
            </w:r>
          </w:p>
        </w:tc>
        <w:tc>
          <w:tcPr>
            <w:tcW w:w="575" w:type="pct"/>
            <w:tcBorders>
              <w:tl2br w:val="nil"/>
              <w:tr2bl w:val="nil"/>
            </w:tcBorders>
            <w:vAlign w:val="center"/>
          </w:tcPr>
          <w:p w14:paraId="5DC310B7">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0.018</w:t>
            </w:r>
          </w:p>
        </w:tc>
        <w:tc>
          <w:tcPr>
            <w:tcW w:w="642" w:type="pct"/>
            <w:tcBorders>
              <w:tl2br w:val="nil"/>
              <w:tr2bl w:val="nil"/>
            </w:tcBorders>
            <w:vAlign w:val="center"/>
          </w:tcPr>
          <w:p w14:paraId="708C2800">
            <w:pPr>
              <w:pStyle w:val="140"/>
              <w:spacing w:before="0"/>
              <w:ind w:left="0" w:right="0"/>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0.0432</w:t>
            </w:r>
          </w:p>
        </w:tc>
        <w:tc>
          <w:tcPr>
            <w:tcW w:w="502" w:type="pct"/>
            <w:tcBorders>
              <w:tl2br w:val="nil"/>
              <w:tr2bl w:val="nil"/>
            </w:tcBorders>
            <w:vAlign w:val="center"/>
          </w:tcPr>
          <w:p w14:paraId="187E20E2">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5390</w:t>
            </w:r>
          </w:p>
        </w:tc>
        <w:tc>
          <w:tcPr>
            <w:tcW w:w="710" w:type="pct"/>
            <w:tcBorders>
              <w:tl2br w:val="nil"/>
              <w:tr2bl w:val="nil"/>
            </w:tcBorders>
            <w:vAlign w:val="center"/>
          </w:tcPr>
          <w:p w14:paraId="741414C3">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干式除尘柜</w:t>
            </w:r>
          </w:p>
        </w:tc>
        <w:tc>
          <w:tcPr>
            <w:tcW w:w="539" w:type="pct"/>
            <w:tcBorders>
              <w:tl2br w:val="nil"/>
              <w:tr2bl w:val="nil"/>
            </w:tcBorders>
            <w:vAlign w:val="center"/>
          </w:tcPr>
          <w:p w14:paraId="64BF4F80">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2#20m排气筒排放</w:t>
            </w:r>
          </w:p>
        </w:tc>
      </w:tr>
      <w:tr w14:paraId="715B3B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63" w:type="pct"/>
            <w:vMerge w:val="restart"/>
            <w:tcBorders>
              <w:tl2br w:val="nil"/>
              <w:tr2bl w:val="nil"/>
            </w:tcBorders>
            <w:vAlign w:val="center"/>
          </w:tcPr>
          <w:p w14:paraId="4038EFAB">
            <w:pPr>
              <w:pStyle w:val="140"/>
              <w:spacing w:before="0"/>
              <w:ind w:left="0" w:right="0"/>
              <w:rPr>
                <w:rFonts w:hint="default" w:eastAsia="宋体"/>
                <w:lang w:val="en-US" w:eastAsia="zh-CN"/>
              </w:rPr>
            </w:pPr>
            <w:r>
              <w:rPr>
                <w:rFonts w:hint="eastAsia" w:ascii="Times New Roman" w:hAnsi="Times New Roman" w:eastAsia="宋体" w:cs="Times New Roman"/>
                <w:sz w:val="21"/>
                <w:lang w:val="en-US" w:eastAsia="zh-CN"/>
              </w:rPr>
              <w:t>喷漆车间</w:t>
            </w:r>
          </w:p>
        </w:tc>
        <w:tc>
          <w:tcPr>
            <w:tcW w:w="591" w:type="pct"/>
            <w:tcBorders>
              <w:tl2br w:val="nil"/>
              <w:tr2bl w:val="nil"/>
            </w:tcBorders>
            <w:vAlign w:val="center"/>
          </w:tcPr>
          <w:p w14:paraId="47339E86">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78B3EFBF">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0.986</w:t>
            </w:r>
          </w:p>
        </w:tc>
        <w:tc>
          <w:tcPr>
            <w:tcW w:w="575" w:type="pct"/>
            <w:tcBorders>
              <w:tl2br w:val="nil"/>
              <w:tr2bl w:val="nil"/>
            </w:tcBorders>
            <w:vAlign w:val="center"/>
          </w:tcPr>
          <w:p w14:paraId="625E99B1">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0.00717</w:t>
            </w:r>
          </w:p>
        </w:tc>
        <w:tc>
          <w:tcPr>
            <w:tcW w:w="642" w:type="pct"/>
            <w:tcBorders>
              <w:tl2br w:val="nil"/>
              <w:tr2bl w:val="nil"/>
            </w:tcBorders>
            <w:vAlign w:val="center"/>
          </w:tcPr>
          <w:p w14:paraId="5A164C06">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0.017208</w:t>
            </w:r>
          </w:p>
        </w:tc>
        <w:tc>
          <w:tcPr>
            <w:tcW w:w="502" w:type="pct"/>
            <w:vMerge w:val="restart"/>
            <w:tcBorders>
              <w:tl2br w:val="nil"/>
              <w:tr2bl w:val="nil"/>
            </w:tcBorders>
            <w:vAlign w:val="center"/>
          </w:tcPr>
          <w:p w14:paraId="4AFA33C3">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7275</w:t>
            </w:r>
          </w:p>
        </w:tc>
        <w:tc>
          <w:tcPr>
            <w:tcW w:w="710" w:type="pct"/>
            <w:vMerge w:val="restart"/>
            <w:tcBorders>
              <w:tl2br w:val="nil"/>
              <w:tr2bl w:val="nil"/>
            </w:tcBorders>
            <w:vAlign w:val="center"/>
          </w:tcPr>
          <w:p w14:paraId="36744AB5">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二级活性炭吸附</w:t>
            </w:r>
          </w:p>
        </w:tc>
        <w:tc>
          <w:tcPr>
            <w:tcW w:w="539" w:type="pct"/>
            <w:vMerge w:val="restart"/>
            <w:tcBorders>
              <w:tl2br w:val="nil"/>
              <w:tr2bl w:val="nil"/>
            </w:tcBorders>
            <w:vAlign w:val="center"/>
          </w:tcPr>
          <w:p w14:paraId="38890350">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3#20m排气筒排放</w:t>
            </w:r>
          </w:p>
        </w:tc>
      </w:tr>
      <w:tr w14:paraId="3DA680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63" w:type="pct"/>
            <w:vMerge w:val="continue"/>
            <w:tcBorders>
              <w:tl2br w:val="nil"/>
              <w:tr2bl w:val="nil"/>
            </w:tcBorders>
            <w:vAlign w:val="center"/>
          </w:tcPr>
          <w:p w14:paraId="0A54FB88">
            <w:pPr>
              <w:pStyle w:val="140"/>
              <w:spacing w:before="0"/>
              <w:ind w:left="0" w:right="0"/>
              <w:rPr>
                <w:rFonts w:hint="eastAsia" w:ascii="Times New Roman" w:hAnsi="Times New Roman" w:eastAsia="宋体" w:cs="Times New Roman"/>
                <w:sz w:val="21"/>
                <w:lang w:val="en-US" w:eastAsia="zh-CN"/>
              </w:rPr>
            </w:pPr>
          </w:p>
        </w:tc>
        <w:tc>
          <w:tcPr>
            <w:tcW w:w="591" w:type="pct"/>
            <w:tcBorders>
              <w:tl2br w:val="nil"/>
              <w:tr2bl w:val="nil"/>
            </w:tcBorders>
            <w:vAlign w:val="center"/>
          </w:tcPr>
          <w:p w14:paraId="072AD3C2">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kern w:val="2"/>
                <w:sz w:val="21"/>
                <w:szCs w:val="24"/>
                <w:lang w:val="en-US" w:eastAsia="zh-CN" w:bidi="ar-SA"/>
              </w:rPr>
              <w:t>颗粒物</w:t>
            </w:r>
          </w:p>
        </w:tc>
        <w:tc>
          <w:tcPr>
            <w:tcW w:w="575" w:type="pct"/>
            <w:tcBorders>
              <w:tl2br w:val="nil"/>
              <w:tr2bl w:val="nil"/>
            </w:tcBorders>
            <w:vAlign w:val="center"/>
          </w:tcPr>
          <w:p w14:paraId="30AA41CD">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2.5</w:t>
            </w:r>
          </w:p>
        </w:tc>
        <w:tc>
          <w:tcPr>
            <w:tcW w:w="575" w:type="pct"/>
            <w:tcBorders>
              <w:tl2br w:val="nil"/>
              <w:tr2bl w:val="nil"/>
            </w:tcBorders>
            <w:vAlign w:val="center"/>
          </w:tcPr>
          <w:p w14:paraId="59357FF2">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0.018</w:t>
            </w:r>
          </w:p>
        </w:tc>
        <w:tc>
          <w:tcPr>
            <w:tcW w:w="642" w:type="pct"/>
            <w:tcBorders>
              <w:tl2br w:val="nil"/>
              <w:tr2bl w:val="nil"/>
            </w:tcBorders>
            <w:vAlign w:val="center"/>
          </w:tcPr>
          <w:p w14:paraId="4927FABA">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0.0432</w:t>
            </w:r>
          </w:p>
        </w:tc>
        <w:tc>
          <w:tcPr>
            <w:tcW w:w="502" w:type="pct"/>
            <w:vMerge w:val="continue"/>
            <w:tcBorders>
              <w:tl2br w:val="nil"/>
              <w:tr2bl w:val="nil"/>
            </w:tcBorders>
            <w:vAlign w:val="center"/>
          </w:tcPr>
          <w:p w14:paraId="67BD8477">
            <w:pPr>
              <w:pStyle w:val="140"/>
              <w:spacing w:before="0" w:line="240" w:lineRule="auto"/>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5CA1D646">
            <w:pPr>
              <w:pStyle w:val="140"/>
              <w:spacing w:before="0" w:line="240" w:lineRule="auto"/>
              <w:ind w:left="0" w:leftChars="0"/>
              <w:jc w:val="center"/>
              <w:rPr>
                <w:rFonts w:hint="default" w:ascii="Times New Roman" w:hAnsi="Times New Roman" w:eastAsia="宋体" w:cs="Times New Roman"/>
                <w:sz w:val="21"/>
                <w:lang w:val="en-US" w:eastAsia="zh-CN"/>
              </w:rPr>
            </w:pPr>
          </w:p>
        </w:tc>
        <w:tc>
          <w:tcPr>
            <w:tcW w:w="539" w:type="pct"/>
            <w:vMerge w:val="continue"/>
            <w:tcBorders>
              <w:tl2br w:val="nil"/>
              <w:tr2bl w:val="nil"/>
            </w:tcBorders>
            <w:vAlign w:val="center"/>
          </w:tcPr>
          <w:p w14:paraId="6A5D8414">
            <w:pPr>
              <w:pStyle w:val="140"/>
              <w:spacing w:before="0" w:line="240" w:lineRule="auto"/>
              <w:ind w:left="0"/>
              <w:jc w:val="center"/>
              <w:rPr>
                <w:rFonts w:hint="eastAsia" w:ascii="Times New Roman" w:hAnsi="Times New Roman" w:cs="Times New Roman"/>
                <w:sz w:val="21"/>
                <w:lang w:val="en-US" w:eastAsia="zh-CN"/>
              </w:rPr>
            </w:pPr>
          </w:p>
        </w:tc>
      </w:tr>
    </w:tbl>
    <w:p w14:paraId="3C649C2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（2）水污染物排放情况</w:t>
      </w:r>
    </w:p>
    <w:p w14:paraId="17273E3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建设项目</w:t>
      </w:r>
      <w:r>
        <w:rPr>
          <w:rFonts w:hint="eastAsia" w:eastAsia="宋体" w:cs="Times New Roman"/>
          <w:color w:val="000000" w:themeColor="text1"/>
          <w:lang w:val="en-US" w:eastAsia="zh-CN"/>
          <w14:textFill>
            <w14:solidFill>
              <w14:schemeClr w14:val="tx1"/>
            </w14:solidFill>
          </w14:textFill>
        </w:rPr>
        <w:t>产生的废水主要为生活污水</w:t>
      </w:r>
      <w:r>
        <w:rPr>
          <w:rFonts w:hint="default" w:ascii="Times New Roman" w:hAnsi="Times New Roman" w:eastAsia="宋体" w:cs="Times New Roman"/>
          <w:color w:val="000000" w:themeColor="text1"/>
          <w:lang w:val="en-US" w:eastAsia="zh-CN"/>
          <w14:textFill>
            <w14:solidFill>
              <w14:schemeClr w14:val="tx1"/>
            </w14:solidFill>
          </w14:textFill>
        </w:rPr>
        <w:t>。生活污水经化粪池处理后接管</w:t>
      </w:r>
      <w:r>
        <w:rPr>
          <w:rFonts w:hint="eastAsia" w:eastAsia="宋体" w:cs="Times New Roman"/>
          <w:color w:val="000000" w:themeColor="text1"/>
          <w:lang w:val="en-US" w:eastAsia="zh-CN"/>
          <w14:textFill>
            <w14:solidFill>
              <w14:schemeClr w14:val="tx1"/>
            </w14:solidFill>
          </w14:textFill>
        </w:rPr>
        <w:t>海安市墩头镇污水处理厂；生产废水</w:t>
      </w:r>
      <w:r>
        <w:rPr>
          <w:rFonts w:hint="eastAsia" w:ascii="Times New Roman" w:hAnsi="Times New Roman" w:cs="Times New Roman" w:eastAsiaTheme="minorEastAsia"/>
          <w:color w:val="auto"/>
          <w:sz w:val="24"/>
          <w:szCs w:val="24"/>
          <w:highlight w:val="none"/>
          <w:lang w:val="en-US" w:eastAsia="zh-CN"/>
        </w:rPr>
        <w:t>不外排</w:t>
      </w:r>
      <w:r>
        <w:rPr>
          <w:rFonts w:hint="eastAsia" w:eastAsia="宋体" w:cs="Times New Roman"/>
          <w:color w:val="000000" w:themeColor="text1"/>
          <w:lang w:val="en-US" w:eastAsia="zh-CN"/>
          <w14:textFill>
            <w14:solidFill>
              <w14:schemeClr w14:val="tx1"/>
            </w14:solidFill>
          </w14:textFill>
        </w:rPr>
        <w:t>。</w:t>
      </w:r>
    </w:p>
    <w:p w14:paraId="7F7BF1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废水产生</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及排放的情况见表3-</w:t>
      </w:r>
      <w:r>
        <w:rPr>
          <w:rFonts w:hint="eastAsia" w:eastAsia="宋体" w:cs="Times New Roman"/>
          <w:color w:val="000000" w:themeColor="text1"/>
          <w:sz w:val="24"/>
          <w:szCs w:val="24"/>
          <w:lang w:val="en-US" w:eastAsia="zh-CN"/>
          <w14:textFill>
            <w14:solidFill>
              <w14:schemeClr w14:val="tx1"/>
            </w14:solidFill>
          </w14:textFill>
        </w:rPr>
        <w:t>16</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14:paraId="3D1805D2">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14</w:t>
      </w:r>
      <w:r>
        <w:rPr>
          <w:rFonts w:hint="eastAsia" w:ascii="Times New Roman" w:hAnsi="Times New Roman" w:eastAsia="宋体" w:cs="Times New Roman"/>
          <w:b/>
          <w:bCs/>
          <w:sz w:val="24"/>
          <w:szCs w:val="24"/>
          <w:lang w:val="en-US" w:eastAsia="zh-CN"/>
        </w:rPr>
        <w:t>废水</w:t>
      </w:r>
      <w:r>
        <w:rPr>
          <w:rFonts w:hint="eastAsia" w:ascii="Times New Roman" w:hAnsi="Times New Roman" w:eastAsia="宋体" w:cs="Times New Roman"/>
          <w:b/>
          <w:bCs/>
          <w:sz w:val="24"/>
          <w:szCs w:val="24"/>
          <w:highlight w:val="none"/>
          <w:lang w:val="en-US" w:eastAsia="zh-CN"/>
        </w:rPr>
        <w:t>产生及</w:t>
      </w:r>
      <w:r>
        <w:rPr>
          <w:rFonts w:hint="default" w:ascii="Times New Roman" w:hAnsi="Times New Roman" w:eastAsia="宋体" w:cs="Times New Roman"/>
          <w:b/>
          <w:bCs/>
          <w:sz w:val="24"/>
          <w:szCs w:val="24"/>
        </w:rPr>
        <w:t>排放一览表</w:t>
      </w:r>
    </w:p>
    <w:tbl>
      <w:tblPr>
        <w:tblStyle w:val="37"/>
        <w:tblW w:w="511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08"/>
        <w:gridCol w:w="945"/>
        <w:gridCol w:w="984"/>
        <w:gridCol w:w="826"/>
        <w:gridCol w:w="1259"/>
        <w:gridCol w:w="958"/>
        <w:gridCol w:w="834"/>
        <w:gridCol w:w="1242"/>
        <w:gridCol w:w="1746"/>
      </w:tblGrid>
      <w:tr w14:paraId="4BF814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3" w:type="pct"/>
            <w:vMerge w:val="restart"/>
            <w:tcBorders>
              <w:tl2br w:val="nil"/>
              <w:tr2bl w:val="nil"/>
            </w:tcBorders>
            <w:vAlign w:val="center"/>
          </w:tcPr>
          <w:p w14:paraId="1527B1F3">
            <w:pPr>
              <w:pStyle w:val="140"/>
              <w:spacing w:before="0" w:line="240" w:lineRule="auto"/>
              <w:ind w:left="0" w:right="0"/>
              <w:rPr>
                <w:b/>
                <w:sz w:val="21"/>
              </w:rPr>
            </w:pPr>
            <w:r>
              <w:rPr>
                <w:b/>
                <w:sz w:val="21"/>
              </w:rPr>
              <w:t>类别</w:t>
            </w:r>
          </w:p>
        </w:tc>
        <w:tc>
          <w:tcPr>
            <w:tcW w:w="502" w:type="pct"/>
            <w:vMerge w:val="restart"/>
            <w:tcBorders>
              <w:tl2br w:val="nil"/>
              <w:tr2bl w:val="nil"/>
            </w:tcBorders>
            <w:vAlign w:val="center"/>
          </w:tcPr>
          <w:p w14:paraId="63623A40">
            <w:pPr>
              <w:pStyle w:val="140"/>
              <w:spacing w:before="0" w:line="240" w:lineRule="auto"/>
              <w:ind w:left="0" w:right="0" w:firstLine="0"/>
              <w:rPr>
                <w:rFonts w:ascii="Times New Roman" w:eastAsia="Times New Roman"/>
                <w:b/>
                <w:sz w:val="21"/>
              </w:rPr>
            </w:pPr>
            <w:r>
              <w:rPr>
                <w:b/>
                <w:sz w:val="21"/>
              </w:rPr>
              <w:t>废水量</w:t>
            </w:r>
            <w:r>
              <w:rPr>
                <w:rFonts w:ascii="Times New Roman" w:eastAsia="Times New Roman"/>
                <w:b/>
                <w:sz w:val="21"/>
              </w:rPr>
              <w:t>t/a</w:t>
            </w:r>
          </w:p>
        </w:tc>
        <w:tc>
          <w:tcPr>
            <w:tcW w:w="523" w:type="pct"/>
            <w:vMerge w:val="restart"/>
            <w:tcBorders>
              <w:tl2br w:val="nil"/>
              <w:tr2bl w:val="nil"/>
            </w:tcBorders>
            <w:vAlign w:val="center"/>
          </w:tcPr>
          <w:p w14:paraId="7E054A05">
            <w:pPr>
              <w:pStyle w:val="140"/>
              <w:spacing w:before="0" w:line="240" w:lineRule="auto"/>
              <w:ind w:left="0" w:right="0"/>
              <w:jc w:val="center"/>
              <w:rPr>
                <w:b/>
                <w:sz w:val="21"/>
              </w:rPr>
            </w:pPr>
            <w:r>
              <w:rPr>
                <w:b/>
                <w:sz w:val="21"/>
              </w:rPr>
              <w:t>污染物名称</w:t>
            </w:r>
          </w:p>
        </w:tc>
        <w:tc>
          <w:tcPr>
            <w:tcW w:w="1108" w:type="pct"/>
            <w:gridSpan w:val="2"/>
            <w:tcBorders>
              <w:tl2br w:val="nil"/>
              <w:tr2bl w:val="nil"/>
            </w:tcBorders>
            <w:vAlign w:val="center"/>
          </w:tcPr>
          <w:p w14:paraId="66ED182C">
            <w:pPr>
              <w:pStyle w:val="140"/>
              <w:spacing w:before="0"/>
              <w:ind w:left="0"/>
              <w:rPr>
                <w:b/>
                <w:sz w:val="21"/>
              </w:rPr>
            </w:pPr>
            <w:r>
              <w:rPr>
                <w:b/>
                <w:sz w:val="21"/>
              </w:rPr>
              <w:t>产生情况</w:t>
            </w:r>
          </w:p>
        </w:tc>
        <w:tc>
          <w:tcPr>
            <w:tcW w:w="509" w:type="pct"/>
            <w:tcBorders>
              <w:tl2br w:val="nil"/>
              <w:tr2bl w:val="nil"/>
            </w:tcBorders>
            <w:vAlign w:val="center"/>
          </w:tcPr>
          <w:p w14:paraId="7800D83D">
            <w:pPr>
              <w:pStyle w:val="140"/>
              <w:spacing w:before="0"/>
              <w:ind w:left="0" w:right="0"/>
              <w:jc w:val="center"/>
              <w:rPr>
                <w:b/>
                <w:sz w:val="21"/>
              </w:rPr>
            </w:pPr>
            <w:r>
              <w:rPr>
                <w:b/>
                <w:sz w:val="21"/>
              </w:rPr>
              <w:t>治理</w:t>
            </w:r>
          </w:p>
        </w:tc>
        <w:tc>
          <w:tcPr>
            <w:tcW w:w="1103" w:type="pct"/>
            <w:gridSpan w:val="2"/>
            <w:tcBorders>
              <w:tl2br w:val="nil"/>
              <w:tr2bl w:val="nil"/>
            </w:tcBorders>
            <w:vAlign w:val="center"/>
          </w:tcPr>
          <w:p w14:paraId="61C99C14">
            <w:pPr>
              <w:pStyle w:val="140"/>
              <w:spacing w:before="0"/>
              <w:ind w:left="0"/>
              <w:rPr>
                <w:b/>
                <w:sz w:val="21"/>
              </w:rPr>
            </w:pPr>
            <w:r>
              <w:rPr>
                <w:b/>
                <w:sz w:val="21"/>
              </w:rPr>
              <w:t>污染物接管量</w:t>
            </w:r>
          </w:p>
        </w:tc>
        <w:tc>
          <w:tcPr>
            <w:tcW w:w="928" w:type="pct"/>
            <w:vMerge w:val="restart"/>
            <w:tcBorders>
              <w:tl2br w:val="nil"/>
              <w:tr2bl w:val="nil"/>
            </w:tcBorders>
            <w:vAlign w:val="center"/>
          </w:tcPr>
          <w:p w14:paraId="6237239E">
            <w:pPr>
              <w:pStyle w:val="140"/>
              <w:spacing w:before="0" w:line="240" w:lineRule="auto"/>
              <w:ind w:left="0" w:right="0" w:firstLine="0"/>
              <w:rPr>
                <w:b/>
                <w:sz w:val="21"/>
              </w:rPr>
            </w:pPr>
            <w:r>
              <w:rPr>
                <w:b/>
                <w:sz w:val="21"/>
              </w:rPr>
              <w:t>排放方式与去向</w:t>
            </w:r>
          </w:p>
        </w:tc>
      </w:tr>
      <w:tr w14:paraId="0A2E34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323" w:type="pct"/>
            <w:vMerge w:val="continue"/>
            <w:tcBorders>
              <w:tl2br w:val="nil"/>
              <w:tr2bl w:val="nil"/>
            </w:tcBorders>
            <w:vAlign w:val="center"/>
          </w:tcPr>
          <w:p w14:paraId="0A93002A">
            <w:pPr>
              <w:jc w:val="center"/>
              <w:rPr>
                <w:sz w:val="2"/>
                <w:szCs w:val="2"/>
              </w:rPr>
            </w:pPr>
          </w:p>
        </w:tc>
        <w:tc>
          <w:tcPr>
            <w:tcW w:w="502" w:type="pct"/>
            <w:vMerge w:val="continue"/>
            <w:tcBorders>
              <w:tl2br w:val="nil"/>
              <w:tr2bl w:val="nil"/>
            </w:tcBorders>
            <w:vAlign w:val="center"/>
          </w:tcPr>
          <w:p w14:paraId="2151FA0A">
            <w:pPr>
              <w:pStyle w:val="140"/>
              <w:spacing w:before="0" w:line="240" w:lineRule="auto"/>
              <w:ind w:left="0" w:right="0" w:firstLine="0"/>
              <w:rPr>
                <w:rFonts w:ascii="Times New Roman" w:eastAsia="Times New Roman"/>
                <w:b/>
                <w:sz w:val="21"/>
              </w:rPr>
            </w:pPr>
          </w:p>
        </w:tc>
        <w:tc>
          <w:tcPr>
            <w:tcW w:w="523" w:type="pct"/>
            <w:vMerge w:val="continue"/>
            <w:tcBorders>
              <w:tl2br w:val="nil"/>
              <w:tr2bl w:val="nil"/>
            </w:tcBorders>
            <w:vAlign w:val="center"/>
          </w:tcPr>
          <w:p w14:paraId="57621547">
            <w:pPr>
              <w:pStyle w:val="140"/>
              <w:spacing w:before="0" w:line="240" w:lineRule="auto"/>
              <w:ind w:left="0" w:right="0"/>
              <w:jc w:val="center"/>
              <w:rPr>
                <w:b/>
                <w:sz w:val="21"/>
              </w:rPr>
            </w:pPr>
          </w:p>
        </w:tc>
        <w:tc>
          <w:tcPr>
            <w:tcW w:w="439" w:type="pct"/>
            <w:tcBorders>
              <w:tl2br w:val="nil"/>
              <w:tr2bl w:val="nil"/>
            </w:tcBorders>
            <w:vAlign w:val="center"/>
          </w:tcPr>
          <w:p w14:paraId="052B00EA">
            <w:pPr>
              <w:pStyle w:val="140"/>
              <w:spacing w:before="0"/>
              <w:ind w:left="0"/>
              <w:jc w:val="center"/>
              <w:rPr>
                <w:rFonts w:ascii="Times New Roman"/>
                <w:b/>
                <w:sz w:val="21"/>
              </w:rPr>
            </w:pPr>
            <w:r>
              <w:rPr>
                <w:b/>
                <w:sz w:val="21"/>
              </w:rPr>
              <w:t>产生浓度</w:t>
            </w:r>
            <w:r>
              <w:rPr>
                <w:rFonts w:ascii="Times New Roman" w:eastAsia="Times New Roman"/>
                <w:b/>
                <w:sz w:val="21"/>
              </w:rPr>
              <w:t>mg/</w:t>
            </w:r>
            <w:r>
              <w:rPr>
                <w:rFonts w:ascii="Times New Roman"/>
                <w:b/>
                <w:w w:val="100"/>
                <w:sz w:val="21"/>
              </w:rPr>
              <w:t>L</w:t>
            </w:r>
          </w:p>
        </w:tc>
        <w:tc>
          <w:tcPr>
            <w:tcW w:w="669" w:type="pct"/>
            <w:tcBorders>
              <w:tl2br w:val="nil"/>
              <w:tr2bl w:val="nil"/>
            </w:tcBorders>
            <w:vAlign w:val="center"/>
          </w:tcPr>
          <w:p w14:paraId="3A2ABEAE">
            <w:pPr>
              <w:pStyle w:val="140"/>
              <w:spacing w:before="0"/>
              <w:ind w:left="0" w:right="0"/>
              <w:jc w:val="center"/>
              <w:rPr>
                <w:rFonts w:ascii="Times New Roman"/>
                <w:b/>
                <w:sz w:val="21"/>
              </w:rPr>
            </w:pPr>
            <w:r>
              <w:rPr>
                <w:b/>
                <w:sz w:val="21"/>
              </w:rPr>
              <w:t>产生量</w:t>
            </w:r>
            <w:r>
              <w:rPr>
                <w:rFonts w:ascii="Times New Roman"/>
                <w:b/>
                <w:sz w:val="21"/>
              </w:rPr>
              <w:t>t/a</w:t>
            </w:r>
          </w:p>
        </w:tc>
        <w:tc>
          <w:tcPr>
            <w:tcW w:w="509" w:type="pct"/>
            <w:tcBorders>
              <w:tl2br w:val="nil"/>
              <w:tr2bl w:val="nil"/>
            </w:tcBorders>
            <w:vAlign w:val="center"/>
          </w:tcPr>
          <w:p w14:paraId="2DA21E54">
            <w:pPr>
              <w:pStyle w:val="140"/>
              <w:ind w:left="0" w:right="0"/>
              <w:jc w:val="center"/>
              <w:rPr>
                <w:b/>
                <w:sz w:val="21"/>
              </w:rPr>
            </w:pPr>
            <w:r>
              <w:rPr>
                <w:b/>
                <w:sz w:val="21"/>
              </w:rPr>
              <w:t>措施</w:t>
            </w:r>
          </w:p>
        </w:tc>
        <w:tc>
          <w:tcPr>
            <w:tcW w:w="443" w:type="pct"/>
            <w:tcBorders>
              <w:tl2br w:val="nil"/>
              <w:tr2bl w:val="nil"/>
            </w:tcBorders>
            <w:vAlign w:val="center"/>
          </w:tcPr>
          <w:p w14:paraId="38708709">
            <w:pPr>
              <w:pStyle w:val="140"/>
              <w:spacing w:before="0"/>
              <w:jc w:val="center"/>
              <w:rPr>
                <w:rFonts w:ascii="Times New Roman"/>
                <w:b/>
                <w:sz w:val="21"/>
              </w:rPr>
            </w:pPr>
            <w:r>
              <w:rPr>
                <w:b/>
                <w:sz w:val="21"/>
              </w:rPr>
              <w:t>接管浓度</w:t>
            </w:r>
            <w:r>
              <w:rPr>
                <w:rFonts w:ascii="Times New Roman" w:eastAsia="Times New Roman"/>
                <w:b/>
                <w:sz w:val="21"/>
              </w:rPr>
              <w:t>mg/</w:t>
            </w:r>
            <w:r>
              <w:rPr>
                <w:rFonts w:ascii="Times New Roman"/>
                <w:b/>
                <w:w w:val="100"/>
                <w:sz w:val="21"/>
              </w:rPr>
              <w:t>L</w:t>
            </w:r>
          </w:p>
        </w:tc>
        <w:tc>
          <w:tcPr>
            <w:tcW w:w="660" w:type="pct"/>
            <w:tcBorders>
              <w:tl2br w:val="nil"/>
              <w:tr2bl w:val="nil"/>
            </w:tcBorders>
            <w:vAlign w:val="center"/>
          </w:tcPr>
          <w:p w14:paraId="5E1CB67A">
            <w:pPr>
              <w:pStyle w:val="140"/>
              <w:spacing w:before="0"/>
              <w:ind w:left="0" w:right="0"/>
              <w:jc w:val="center"/>
              <w:rPr>
                <w:rFonts w:ascii="Times New Roman"/>
                <w:b/>
                <w:sz w:val="21"/>
              </w:rPr>
            </w:pPr>
            <w:r>
              <w:rPr>
                <w:b/>
                <w:sz w:val="21"/>
              </w:rPr>
              <w:t>排放量</w:t>
            </w:r>
            <w:r>
              <w:rPr>
                <w:rFonts w:ascii="Times New Roman"/>
                <w:b/>
                <w:sz w:val="21"/>
              </w:rPr>
              <w:t>t/a</w:t>
            </w:r>
          </w:p>
        </w:tc>
        <w:tc>
          <w:tcPr>
            <w:tcW w:w="928" w:type="pct"/>
            <w:vMerge w:val="continue"/>
            <w:tcBorders>
              <w:tl2br w:val="nil"/>
              <w:tr2bl w:val="nil"/>
            </w:tcBorders>
            <w:vAlign w:val="center"/>
          </w:tcPr>
          <w:p w14:paraId="642FB130">
            <w:pPr>
              <w:pStyle w:val="140"/>
              <w:spacing w:before="0" w:line="240" w:lineRule="auto"/>
              <w:ind w:left="0" w:right="0" w:firstLine="0"/>
              <w:rPr>
                <w:b/>
                <w:sz w:val="21"/>
              </w:rPr>
            </w:pPr>
          </w:p>
        </w:tc>
      </w:tr>
      <w:tr w14:paraId="511815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3" w:type="pct"/>
            <w:vMerge w:val="restart"/>
            <w:tcBorders>
              <w:tl2br w:val="nil"/>
              <w:tr2bl w:val="nil"/>
            </w:tcBorders>
            <w:vAlign w:val="center"/>
          </w:tcPr>
          <w:p w14:paraId="3569E0EF">
            <w:pPr>
              <w:pStyle w:val="140"/>
              <w:spacing w:before="0" w:line="240" w:lineRule="auto"/>
              <w:ind w:left="0" w:leftChars="0" w:right="0" w:rightChars="0"/>
              <w:jc w:val="center"/>
              <w:rPr>
                <w:rFonts w:ascii="宋体" w:hAnsi="宋体" w:eastAsia="宋体" w:cs="宋体"/>
                <w:kern w:val="2"/>
                <w:sz w:val="21"/>
                <w:szCs w:val="24"/>
                <w:lang w:val="en-US" w:eastAsia="zh-CN" w:bidi="ar-SA"/>
              </w:rPr>
            </w:pPr>
            <w:r>
              <w:rPr>
                <w:sz w:val="21"/>
              </w:rPr>
              <w:t>生活污水</w:t>
            </w:r>
          </w:p>
        </w:tc>
        <w:tc>
          <w:tcPr>
            <w:tcW w:w="502" w:type="pct"/>
            <w:vMerge w:val="restart"/>
            <w:tcBorders>
              <w:tl2br w:val="nil"/>
              <w:tr2bl w:val="nil"/>
            </w:tcBorders>
            <w:vAlign w:val="center"/>
          </w:tcPr>
          <w:p w14:paraId="38E58928">
            <w:pPr>
              <w:pStyle w:val="140"/>
              <w:spacing w:before="0"/>
              <w:ind w:left="0" w:leftChars="0"/>
              <w:rPr>
                <w:rFonts w:hint="default" w:ascii="Times New Roman" w:hAnsi="宋体" w:eastAsia="宋体" w:cs="宋体"/>
                <w:kern w:val="2"/>
                <w:sz w:val="21"/>
                <w:szCs w:val="24"/>
                <w:lang w:val="en-US" w:eastAsia="zh-CN" w:bidi="ar-SA"/>
              </w:rPr>
            </w:pPr>
            <w:r>
              <w:rPr>
                <w:rFonts w:hint="eastAsia" w:ascii="Times New Roman"/>
                <w:sz w:val="21"/>
                <w:lang w:val="en-US" w:eastAsia="zh-CN"/>
              </w:rPr>
              <w:t>132</w:t>
            </w:r>
          </w:p>
        </w:tc>
        <w:tc>
          <w:tcPr>
            <w:tcW w:w="523" w:type="pct"/>
            <w:tcBorders>
              <w:tl2br w:val="nil"/>
              <w:tr2bl w:val="nil"/>
            </w:tcBorders>
            <w:vAlign w:val="center"/>
          </w:tcPr>
          <w:p w14:paraId="6839A16E">
            <w:pPr>
              <w:pStyle w:val="140"/>
              <w:spacing w:before="0"/>
              <w:ind w:left="0" w:right="0"/>
              <w:jc w:val="center"/>
              <w:rPr>
                <w:rFonts w:ascii="Times New Roman"/>
                <w:sz w:val="21"/>
              </w:rPr>
            </w:pPr>
            <w:r>
              <w:rPr>
                <w:rFonts w:ascii="Times New Roman"/>
                <w:sz w:val="21"/>
              </w:rPr>
              <w:t>COD</w:t>
            </w:r>
          </w:p>
        </w:tc>
        <w:tc>
          <w:tcPr>
            <w:tcW w:w="439" w:type="pct"/>
            <w:tcBorders>
              <w:tl2br w:val="nil"/>
              <w:tr2bl w:val="nil"/>
            </w:tcBorders>
            <w:vAlign w:val="center"/>
          </w:tcPr>
          <w:p w14:paraId="790C135F">
            <w:pPr>
              <w:pStyle w:val="179"/>
              <w:rPr>
                <w:rFonts w:hint="default" w:ascii="Times New Roman" w:eastAsia="宋体"/>
                <w:sz w:val="21"/>
                <w:lang w:val="en-US" w:eastAsia="zh-CN"/>
              </w:rPr>
            </w:pPr>
            <w:r>
              <w:rPr>
                <w:rFonts w:hint="eastAsia"/>
                <w:lang w:val="en-US" w:eastAsia="zh-CN"/>
              </w:rPr>
              <w:t>350</w:t>
            </w:r>
          </w:p>
        </w:tc>
        <w:tc>
          <w:tcPr>
            <w:tcW w:w="669" w:type="pct"/>
            <w:tcBorders>
              <w:tl2br w:val="nil"/>
              <w:tr2bl w:val="nil"/>
            </w:tcBorders>
            <w:vAlign w:val="center"/>
          </w:tcPr>
          <w:p w14:paraId="6124C243">
            <w:pPr>
              <w:pStyle w:val="179"/>
              <w:rPr>
                <w:rFonts w:hint="default" w:ascii="Times New Roman" w:eastAsia="宋体"/>
                <w:sz w:val="21"/>
                <w:lang w:val="en-US" w:eastAsia="zh-CN"/>
              </w:rPr>
            </w:pPr>
            <w:r>
              <w:rPr>
                <w:rFonts w:hint="eastAsia"/>
                <w:lang w:val="en-US" w:eastAsia="zh-CN"/>
              </w:rPr>
              <w:t>0.0462</w:t>
            </w:r>
          </w:p>
        </w:tc>
        <w:tc>
          <w:tcPr>
            <w:tcW w:w="509" w:type="pct"/>
            <w:vMerge w:val="restart"/>
            <w:tcBorders>
              <w:tl2br w:val="nil"/>
              <w:tr2bl w:val="nil"/>
            </w:tcBorders>
            <w:vAlign w:val="center"/>
          </w:tcPr>
          <w:p w14:paraId="152ADCFA">
            <w:pPr>
              <w:pStyle w:val="140"/>
              <w:spacing w:line="240" w:lineRule="auto"/>
              <w:ind w:left="0" w:leftChars="0" w:right="0" w:rightChars="0" w:firstLine="0" w:firstLineChars="0"/>
              <w:rPr>
                <w:rFonts w:ascii="宋体" w:hAnsi="宋体" w:eastAsia="宋体" w:cs="宋体"/>
                <w:kern w:val="2"/>
                <w:sz w:val="21"/>
                <w:szCs w:val="24"/>
                <w:lang w:val="en-US" w:eastAsia="zh-CN" w:bidi="ar-SA"/>
              </w:rPr>
            </w:pPr>
            <w:r>
              <w:rPr>
                <w:sz w:val="21"/>
              </w:rPr>
              <w:t>化粪池</w:t>
            </w:r>
          </w:p>
        </w:tc>
        <w:tc>
          <w:tcPr>
            <w:tcW w:w="443" w:type="pct"/>
            <w:tcBorders>
              <w:tl2br w:val="nil"/>
              <w:tr2bl w:val="nil"/>
            </w:tcBorders>
            <w:vAlign w:val="center"/>
          </w:tcPr>
          <w:p w14:paraId="0065801C">
            <w:pPr>
              <w:pStyle w:val="179"/>
              <w:rPr>
                <w:rFonts w:hint="default" w:ascii="Times New Roman" w:eastAsia="宋体"/>
                <w:sz w:val="21"/>
                <w:lang w:val="en-US" w:eastAsia="zh-CN"/>
              </w:rPr>
            </w:pPr>
            <w:r>
              <w:rPr>
                <w:rFonts w:hint="eastAsia"/>
                <w:lang w:val="en-US" w:eastAsia="zh-CN"/>
              </w:rPr>
              <w:t>350</w:t>
            </w:r>
          </w:p>
        </w:tc>
        <w:tc>
          <w:tcPr>
            <w:tcW w:w="660" w:type="pct"/>
            <w:tcBorders>
              <w:tl2br w:val="nil"/>
              <w:tr2bl w:val="nil"/>
            </w:tcBorders>
            <w:vAlign w:val="center"/>
          </w:tcPr>
          <w:p w14:paraId="62659D67">
            <w:pPr>
              <w:pStyle w:val="179"/>
              <w:rPr>
                <w:rFonts w:hint="default" w:ascii="Times New Roman" w:hAnsi="宋体" w:eastAsia="宋体" w:cs="宋体"/>
                <w:kern w:val="2"/>
                <w:sz w:val="21"/>
                <w:szCs w:val="24"/>
                <w:lang w:val="en-US" w:eastAsia="zh-CN" w:bidi="ar-SA"/>
              </w:rPr>
            </w:pPr>
            <w:r>
              <w:rPr>
                <w:rFonts w:hint="eastAsia"/>
                <w:lang w:val="en-US" w:eastAsia="zh-CN"/>
              </w:rPr>
              <w:t>0.0462</w:t>
            </w:r>
          </w:p>
        </w:tc>
        <w:tc>
          <w:tcPr>
            <w:tcW w:w="928" w:type="pct"/>
            <w:vMerge w:val="restart"/>
            <w:tcBorders>
              <w:tl2br w:val="nil"/>
              <w:tr2bl w:val="nil"/>
            </w:tcBorders>
            <w:vAlign w:val="center"/>
          </w:tcPr>
          <w:p w14:paraId="0D759709">
            <w:pPr>
              <w:jc w:val="center"/>
              <w:rPr>
                <w:rFonts w:hint="default" w:eastAsia="宋体"/>
                <w:sz w:val="2"/>
                <w:szCs w:val="2"/>
                <w:lang w:val="en-US" w:eastAsia="zh-CN"/>
              </w:rPr>
            </w:pPr>
            <w:r>
              <w:rPr>
                <w:rFonts w:hint="eastAsia" w:ascii="宋体" w:hAnsi="宋体" w:eastAsia="宋体" w:cs="宋体"/>
                <w:sz w:val="21"/>
                <w:lang w:val="en-US" w:eastAsia="zh-CN"/>
              </w:rPr>
              <w:t>接管至海安市墩头镇污水处理厂处理</w:t>
            </w:r>
          </w:p>
        </w:tc>
      </w:tr>
      <w:tr w14:paraId="5B9C43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3" w:type="pct"/>
            <w:vMerge w:val="continue"/>
            <w:tcBorders>
              <w:tl2br w:val="nil"/>
              <w:tr2bl w:val="nil"/>
            </w:tcBorders>
            <w:vAlign w:val="center"/>
          </w:tcPr>
          <w:p w14:paraId="37DBE6BA">
            <w:pPr>
              <w:jc w:val="center"/>
              <w:rPr>
                <w:sz w:val="2"/>
                <w:szCs w:val="2"/>
              </w:rPr>
            </w:pPr>
          </w:p>
        </w:tc>
        <w:tc>
          <w:tcPr>
            <w:tcW w:w="502" w:type="pct"/>
            <w:vMerge w:val="continue"/>
            <w:tcBorders>
              <w:tl2br w:val="nil"/>
              <w:tr2bl w:val="nil"/>
            </w:tcBorders>
            <w:vAlign w:val="center"/>
          </w:tcPr>
          <w:p w14:paraId="18BCB681">
            <w:pPr>
              <w:jc w:val="center"/>
              <w:rPr>
                <w:sz w:val="2"/>
                <w:szCs w:val="2"/>
              </w:rPr>
            </w:pPr>
          </w:p>
        </w:tc>
        <w:tc>
          <w:tcPr>
            <w:tcW w:w="523" w:type="pct"/>
            <w:tcBorders>
              <w:tl2br w:val="nil"/>
              <w:tr2bl w:val="nil"/>
            </w:tcBorders>
            <w:vAlign w:val="center"/>
          </w:tcPr>
          <w:p w14:paraId="4FFDDBE6">
            <w:pPr>
              <w:pStyle w:val="140"/>
              <w:spacing w:before="0"/>
              <w:ind w:left="0" w:right="0"/>
              <w:jc w:val="center"/>
              <w:rPr>
                <w:rFonts w:ascii="Times New Roman"/>
                <w:sz w:val="21"/>
              </w:rPr>
            </w:pPr>
            <w:r>
              <w:rPr>
                <w:rFonts w:ascii="Times New Roman"/>
                <w:sz w:val="21"/>
              </w:rPr>
              <w:t>SS</w:t>
            </w:r>
          </w:p>
        </w:tc>
        <w:tc>
          <w:tcPr>
            <w:tcW w:w="439" w:type="pct"/>
            <w:tcBorders>
              <w:tl2br w:val="nil"/>
              <w:tr2bl w:val="nil"/>
            </w:tcBorders>
            <w:vAlign w:val="center"/>
          </w:tcPr>
          <w:p w14:paraId="434C76DB">
            <w:pPr>
              <w:pStyle w:val="179"/>
              <w:rPr>
                <w:rFonts w:hint="default" w:ascii="Times New Roman" w:eastAsia="宋体"/>
                <w:sz w:val="21"/>
                <w:lang w:val="en-US" w:eastAsia="zh-CN"/>
              </w:rPr>
            </w:pPr>
            <w:r>
              <w:rPr>
                <w:rFonts w:hint="eastAsia" w:ascii="Times New Roman"/>
                <w:sz w:val="21"/>
                <w:lang w:val="en-US" w:eastAsia="zh-CN"/>
              </w:rPr>
              <w:t>200</w:t>
            </w:r>
          </w:p>
        </w:tc>
        <w:tc>
          <w:tcPr>
            <w:tcW w:w="669" w:type="pct"/>
            <w:tcBorders>
              <w:tl2br w:val="nil"/>
              <w:tr2bl w:val="nil"/>
            </w:tcBorders>
            <w:vAlign w:val="center"/>
          </w:tcPr>
          <w:p w14:paraId="407DBCBA">
            <w:pPr>
              <w:pStyle w:val="179"/>
              <w:rPr>
                <w:rFonts w:hint="default" w:ascii="Times New Roman" w:eastAsia="宋体"/>
                <w:sz w:val="21"/>
                <w:lang w:val="en-US" w:eastAsia="zh-CN"/>
              </w:rPr>
            </w:pPr>
            <w:r>
              <w:rPr>
                <w:rFonts w:hint="eastAsia"/>
                <w:lang w:val="en-US" w:eastAsia="zh-CN"/>
              </w:rPr>
              <w:t>0.0264</w:t>
            </w:r>
          </w:p>
        </w:tc>
        <w:tc>
          <w:tcPr>
            <w:tcW w:w="509" w:type="pct"/>
            <w:vMerge w:val="continue"/>
            <w:tcBorders>
              <w:tl2br w:val="nil"/>
              <w:tr2bl w:val="nil"/>
            </w:tcBorders>
            <w:vAlign w:val="center"/>
          </w:tcPr>
          <w:p w14:paraId="6426E14D">
            <w:pPr>
              <w:jc w:val="center"/>
              <w:rPr>
                <w:sz w:val="2"/>
                <w:szCs w:val="2"/>
              </w:rPr>
            </w:pPr>
          </w:p>
        </w:tc>
        <w:tc>
          <w:tcPr>
            <w:tcW w:w="443" w:type="pct"/>
            <w:tcBorders>
              <w:tl2br w:val="nil"/>
              <w:tr2bl w:val="nil"/>
            </w:tcBorders>
            <w:vAlign w:val="center"/>
          </w:tcPr>
          <w:p w14:paraId="082120FF">
            <w:pPr>
              <w:pStyle w:val="179"/>
              <w:rPr>
                <w:rFonts w:hint="default" w:ascii="Times New Roman" w:eastAsia="宋体"/>
                <w:sz w:val="21"/>
                <w:lang w:val="en-US" w:eastAsia="zh-CN"/>
              </w:rPr>
            </w:pPr>
            <w:r>
              <w:rPr>
                <w:rFonts w:hint="eastAsia" w:ascii="Times New Roman"/>
                <w:sz w:val="21"/>
                <w:lang w:val="en-US" w:eastAsia="zh-CN"/>
              </w:rPr>
              <w:t>200</w:t>
            </w:r>
          </w:p>
        </w:tc>
        <w:tc>
          <w:tcPr>
            <w:tcW w:w="660" w:type="pct"/>
            <w:tcBorders>
              <w:tl2br w:val="nil"/>
              <w:tr2bl w:val="nil"/>
            </w:tcBorders>
            <w:vAlign w:val="center"/>
          </w:tcPr>
          <w:p w14:paraId="50CCE6D5">
            <w:pPr>
              <w:pStyle w:val="179"/>
              <w:rPr>
                <w:rFonts w:hint="default" w:ascii="Times New Roman" w:hAnsi="宋体" w:eastAsia="宋体" w:cs="宋体"/>
                <w:kern w:val="2"/>
                <w:sz w:val="21"/>
                <w:szCs w:val="24"/>
                <w:lang w:val="en-US" w:eastAsia="zh-CN" w:bidi="ar-SA"/>
              </w:rPr>
            </w:pPr>
            <w:r>
              <w:rPr>
                <w:rFonts w:hint="eastAsia"/>
                <w:lang w:val="en-US" w:eastAsia="zh-CN"/>
              </w:rPr>
              <w:t>0.0264</w:t>
            </w:r>
          </w:p>
        </w:tc>
        <w:tc>
          <w:tcPr>
            <w:tcW w:w="928" w:type="pct"/>
            <w:vMerge w:val="continue"/>
            <w:tcBorders>
              <w:tl2br w:val="nil"/>
              <w:tr2bl w:val="nil"/>
            </w:tcBorders>
            <w:vAlign w:val="center"/>
          </w:tcPr>
          <w:p w14:paraId="24CD980B">
            <w:pPr>
              <w:jc w:val="center"/>
              <w:rPr>
                <w:sz w:val="2"/>
                <w:szCs w:val="2"/>
              </w:rPr>
            </w:pPr>
          </w:p>
        </w:tc>
      </w:tr>
      <w:tr w14:paraId="6D4D7D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3" w:type="pct"/>
            <w:vMerge w:val="continue"/>
            <w:tcBorders>
              <w:tl2br w:val="nil"/>
              <w:tr2bl w:val="nil"/>
            </w:tcBorders>
            <w:vAlign w:val="center"/>
          </w:tcPr>
          <w:p w14:paraId="5BFA1C1F">
            <w:pPr>
              <w:jc w:val="center"/>
              <w:rPr>
                <w:sz w:val="2"/>
                <w:szCs w:val="2"/>
              </w:rPr>
            </w:pPr>
          </w:p>
        </w:tc>
        <w:tc>
          <w:tcPr>
            <w:tcW w:w="502" w:type="pct"/>
            <w:vMerge w:val="continue"/>
            <w:tcBorders>
              <w:tl2br w:val="nil"/>
              <w:tr2bl w:val="nil"/>
            </w:tcBorders>
            <w:vAlign w:val="center"/>
          </w:tcPr>
          <w:p w14:paraId="19CD9157">
            <w:pPr>
              <w:jc w:val="center"/>
              <w:rPr>
                <w:sz w:val="2"/>
                <w:szCs w:val="2"/>
              </w:rPr>
            </w:pPr>
          </w:p>
        </w:tc>
        <w:tc>
          <w:tcPr>
            <w:tcW w:w="523" w:type="pct"/>
            <w:tcBorders>
              <w:tl2br w:val="nil"/>
              <w:tr2bl w:val="nil"/>
            </w:tcBorders>
            <w:vAlign w:val="center"/>
          </w:tcPr>
          <w:p w14:paraId="0305099D">
            <w:pPr>
              <w:pStyle w:val="140"/>
              <w:spacing w:before="0"/>
              <w:ind w:left="0" w:right="0"/>
              <w:jc w:val="center"/>
              <w:rPr>
                <w:sz w:val="21"/>
              </w:rPr>
            </w:pPr>
            <w:r>
              <w:rPr>
                <w:sz w:val="21"/>
              </w:rPr>
              <w:t>氨氮</w:t>
            </w:r>
          </w:p>
        </w:tc>
        <w:tc>
          <w:tcPr>
            <w:tcW w:w="439" w:type="pct"/>
            <w:tcBorders>
              <w:tl2br w:val="nil"/>
              <w:tr2bl w:val="nil"/>
            </w:tcBorders>
            <w:vAlign w:val="center"/>
          </w:tcPr>
          <w:p w14:paraId="03B97AD9">
            <w:pPr>
              <w:pStyle w:val="179"/>
              <w:rPr>
                <w:rFonts w:hint="default" w:ascii="Times New Roman" w:eastAsia="宋体"/>
                <w:sz w:val="21"/>
                <w:lang w:val="en-US" w:eastAsia="zh-CN"/>
              </w:rPr>
            </w:pPr>
            <w:r>
              <w:rPr>
                <w:rFonts w:hint="eastAsia" w:ascii="Times New Roman"/>
                <w:sz w:val="21"/>
                <w:lang w:val="en-US" w:eastAsia="zh-CN"/>
              </w:rPr>
              <w:t>35</w:t>
            </w:r>
          </w:p>
        </w:tc>
        <w:tc>
          <w:tcPr>
            <w:tcW w:w="669" w:type="pct"/>
            <w:tcBorders>
              <w:tl2br w:val="nil"/>
              <w:tr2bl w:val="nil"/>
            </w:tcBorders>
            <w:vAlign w:val="center"/>
          </w:tcPr>
          <w:p w14:paraId="6A958111">
            <w:pPr>
              <w:pStyle w:val="179"/>
              <w:rPr>
                <w:rFonts w:hint="default" w:ascii="Times New Roman" w:eastAsia="宋体"/>
                <w:sz w:val="21"/>
                <w:lang w:val="en-US" w:eastAsia="zh-CN"/>
              </w:rPr>
            </w:pPr>
            <w:r>
              <w:rPr>
                <w:rFonts w:hint="eastAsia"/>
                <w:lang w:val="en-US" w:eastAsia="zh-CN"/>
              </w:rPr>
              <w:t>0.0046</w:t>
            </w:r>
          </w:p>
        </w:tc>
        <w:tc>
          <w:tcPr>
            <w:tcW w:w="509" w:type="pct"/>
            <w:vMerge w:val="continue"/>
            <w:tcBorders>
              <w:tl2br w:val="nil"/>
              <w:tr2bl w:val="nil"/>
            </w:tcBorders>
            <w:vAlign w:val="center"/>
          </w:tcPr>
          <w:p w14:paraId="642078E1">
            <w:pPr>
              <w:jc w:val="center"/>
              <w:rPr>
                <w:sz w:val="2"/>
                <w:szCs w:val="2"/>
              </w:rPr>
            </w:pPr>
          </w:p>
        </w:tc>
        <w:tc>
          <w:tcPr>
            <w:tcW w:w="443" w:type="pct"/>
            <w:tcBorders>
              <w:tl2br w:val="nil"/>
              <w:tr2bl w:val="nil"/>
            </w:tcBorders>
            <w:vAlign w:val="center"/>
          </w:tcPr>
          <w:p w14:paraId="5ABE61DB">
            <w:pPr>
              <w:pStyle w:val="179"/>
              <w:rPr>
                <w:rFonts w:hint="default" w:ascii="Times New Roman" w:eastAsia="宋体"/>
                <w:sz w:val="21"/>
                <w:lang w:val="en-US" w:eastAsia="zh-CN"/>
              </w:rPr>
            </w:pPr>
            <w:r>
              <w:rPr>
                <w:rFonts w:hint="eastAsia"/>
                <w:lang w:val="en-US" w:eastAsia="zh-CN"/>
              </w:rPr>
              <w:t>35</w:t>
            </w:r>
          </w:p>
        </w:tc>
        <w:tc>
          <w:tcPr>
            <w:tcW w:w="660" w:type="pct"/>
            <w:tcBorders>
              <w:tl2br w:val="nil"/>
              <w:tr2bl w:val="nil"/>
            </w:tcBorders>
            <w:vAlign w:val="center"/>
          </w:tcPr>
          <w:p w14:paraId="5DBCF695">
            <w:pPr>
              <w:pStyle w:val="179"/>
              <w:rPr>
                <w:rFonts w:hint="default" w:ascii="Times New Roman" w:hAnsi="宋体" w:eastAsia="宋体" w:cs="宋体"/>
                <w:kern w:val="2"/>
                <w:sz w:val="21"/>
                <w:szCs w:val="24"/>
                <w:lang w:val="en-US" w:eastAsia="zh-CN" w:bidi="ar-SA"/>
              </w:rPr>
            </w:pPr>
            <w:r>
              <w:rPr>
                <w:rFonts w:hint="eastAsia"/>
                <w:lang w:val="en-US" w:eastAsia="zh-CN"/>
              </w:rPr>
              <w:t>0.0046</w:t>
            </w:r>
          </w:p>
        </w:tc>
        <w:tc>
          <w:tcPr>
            <w:tcW w:w="928" w:type="pct"/>
            <w:vMerge w:val="continue"/>
            <w:tcBorders>
              <w:tl2br w:val="nil"/>
              <w:tr2bl w:val="nil"/>
            </w:tcBorders>
            <w:vAlign w:val="center"/>
          </w:tcPr>
          <w:p w14:paraId="06E50DCD">
            <w:pPr>
              <w:jc w:val="center"/>
              <w:rPr>
                <w:sz w:val="2"/>
                <w:szCs w:val="2"/>
              </w:rPr>
            </w:pPr>
          </w:p>
        </w:tc>
      </w:tr>
      <w:tr w14:paraId="0D7B75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23" w:type="pct"/>
            <w:vMerge w:val="continue"/>
            <w:tcBorders>
              <w:tl2br w:val="nil"/>
              <w:tr2bl w:val="nil"/>
            </w:tcBorders>
            <w:vAlign w:val="center"/>
          </w:tcPr>
          <w:p w14:paraId="213862A3">
            <w:pPr>
              <w:jc w:val="center"/>
              <w:rPr>
                <w:sz w:val="2"/>
                <w:szCs w:val="2"/>
              </w:rPr>
            </w:pPr>
          </w:p>
        </w:tc>
        <w:tc>
          <w:tcPr>
            <w:tcW w:w="502" w:type="pct"/>
            <w:vMerge w:val="continue"/>
            <w:tcBorders>
              <w:tl2br w:val="nil"/>
              <w:tr2bl w:val="nil"/>
            </w:tcBorders>
            <w:vAlign w:val="center"/>
          </w:tcPr>
          <w:p w14:paraId="5E4CD00B">
            <w:pPr>
              <w:jc w:val="center"/>
              <w:rPr>
                <w:sz w:val="2"/>
                <w:szCs w:val="2"/>
              </w:rPr>
            </w:pPr>
          </w:p>
        </w:tc>
        <w:tc>
          <w:tcPr>
            <w:tcW w:w="523" w:type="pct"/>
            <w:tcBorders>
              <w:tl2br w:val="nil"/>
              <w:tr2bl w:val="nil"/>
            </w:tcBorders>
            <w:vAlign w:val="center"/>
          </w:tcPr>
          <w:p w14:paraId="1FDC5B75">
            <w:pPr>
              <w:pStyle w:val="140"/>
              <w:spacing w:before="0"/>
              <w:ind w:left="0" w:right="0"/>
              <w:jc w:val="center"/>
              <w:rPr>
                <w:rFonts w:hint="eastAsia" w:eastAsia="宋体"/>
                <w:sz w:val="21"/>
                <w:lang w:eastAsia="zh-CN"/>
              </w:rPr>
            </w:pPr>
            <w:r>
              <w:rPr>
                <w:rFonts w:hint="eastAsia"/>
                <w:sz w:val="21"/>
                <w:lang w:val="en-US" w:eastAsia="zh-CN"/>
              </w:rPr>
              <w:t>总氮</w:t>
            </w:r>
          </w:p>
        </w:tc>
        <w:tc>
          <w:tcPr>
            <w:tcW w:w="439" w:type="pct"/>
            <w:tcBorders>
              <w:tl2br w:val="nil"/>
              <w:tr2bl w:val="nil"/>
            </w:tcBorders>
            <w:vAlign w:val="center"/>
          </w:tcPr>
          <w:p w14:paraId="0C5BC0F6">
            <w:pPr>
              <w:pStyle w:val="179"/>
              <w:rPr>
                <w:rFonts w:hint="default" w:ascii="Times New Roman" w:eastAsia="宋体"/>
                <w:sz w:val="21"/>
                <w:lang w:val="en-US" w:eastAsia="zh-CN"/>
              </w:rPr>
            </w:pPr>
            <w:r>
              <w:rPr>
                <w:rFonts w:hint="eastAsia" w:ascii="Times New Roman"/>
                <w:sz w:val="21"/>
                <w:lang w:val="en-US" w:eastAsia="zh-CN"/>
              </w:rPr>
              <w:t>60</w:t>
            </w:r>
          </w:p>
        </w:tc>
        <w:tc>
          <w:tcPr>
            <w:tcW w:w="669" w:type="pct"/>
            <w:tcBorders>
              <w:tl2br w:val="nil"/>
              <w:tr2bl w:val="nil"/>
            </w:tcBorders>
            <w:vAlign w:val="center"/>
          </w:tcPr>
          <w:p w14:paraId="37B46D98">
            <w:pPr>
              <w:pStyle w:val="179"/>
              <w:rPr>
                <w:rFonts w:hint="eastAsia" w:ascii="Times New Roman" w:eastAsia="宋体"/>
                <w:sz w:val="21"/>
                <w:lang w:val="en-US" w:eastAsia="zh-CN"/>
              </w:rPr>
            </w:pPr>
            <w:r>
              <w:rPr>
                <w:rFonts w:hint="eastAsia"/>
              </w:rPr>
              <w:t>0</w:t>
            </w:r>
            <w:r>
              <w:t>.007</w:t>
            </w:r>
            <w:r>
              <w:rPr>
                <w:rFonts w:hint="eastAsia"/>
                <w:lang w:val="en-US" w:eastAsia="zh-CN"/>
              </w:rPr>
              <w:t>9</w:t>
            </w:r>
          </w:p>
        </w:tc>
        <w:tc>
          <w:tcPr>
            <w:tcW w:w="509" w:type="pct"/>
            <w:vMerge w:val="continue"/>
            <w:tcBorders>
              <w:tl2br w:val="nil"/>
              <w:tr2bl w:val="nil"/>
            </w:tcBorders>
            <w:vAlign w:val="center"/>
          </w:tcPr>
          <w:p w14:paraId="0603E999">
            <w:pPr>
              <w:jc w:val="center"/>
              <w:rPr>
                <w:sz w:val="2"/>
                <w:szCs w:val="2"/>
              </w:rPr>
            </w:pPr>
          </w:p>
        </w:tc>
        <w:tc>
          <w:tcPr>
            <w:tcW w:w="443" w:type="pct"/>
            <w:tcBorders>
              <w:tl2br w:val="nil"/>
              <w:tr2bl w:val="nil"/>
            </w:tcBorders>
            <w:vAlign w:val="center"/>
          </w:tcPr>
          <w:p w14:paraId="0FC98C1A">
            <w:pPr>
              <w:pStyle w:val="179"/>
              <w:rPr>
                <w:rFonts w:hint="default" w:ascii="Times New Roman" w:eastAsia="宋体"/>
                <w:sz w:val="21"/>
                <w:lang w:val="en-US" w:eastAsia="zh-CN"/>
              </w:rPr>
            </w:pPr>
            <w:r>
              <w:rPr>
                <w:rFonts w:hint="eastAsia"/>
                <w:lang w:val="en-US" w:eastAsia="zh-CN"/>
              </w:rPr>
              <w:t>60</w:t>
            </w:r>
          </w:p>
        </w:tc>
        <w:tc>
          <w:tcPr>
            <w:tcW w:w="660" w:type="pct"/>
            <w:tcBorders>
              <w:tl2br w:val="nil"/>
              <w:tr2bl w:val="nil"/>
            </w:tcBorders>
            <w:vAlign w:val="center"/>
          </w:tcPr>
          <w:p w14:paraId="207584CE">
            <w:pPr>
              <w:pStyle w:val="179"/>
              <w:rPr>
                <w:rFonts w:hint="default" w:ascii="Times New Roman" w:hAnsi="宋体" w:eastAsia="宋体" w:cs="宋体"/>
                <w:kern w:val="2"/>
                <w:sz w:val="21"/>
                <w:szCs w:val="24"/>
                <w:lang w:val="en-US" w:eastAsia="zh-CN" w:bidi="ar-SA"/>
              </w:rPr>
            </w:pPr>
            <w:r>
              <w:rPr>
                <w:rFonts w:hint="eastAsia"/>
              </w:rPr>
              <w:t>0</w:t>
            </w:r>
            <w:r>
              <w:t>.007</w:t>
            </w:r>
            <w:r>
              <w:rPr>
                <w:rFonts w:hint="eastAsia"/>
                <w:lang w:val="en-US" w:eastAsia="zh-CN"/>
              </w:rPr>
              <w:t>9</w:t>
            </w:r>
          </w:p>
        </w:tc>
        <w:tc>
          <w:tcPr>
            <w:tcW w:w="928" w:type="pct"/>
            <w:vMerge w:val="continue"/>
            <w:tcBorders>
              <w:tl2br w:val="nil"/>
              <w:tr2bl w:val="nil"/>
            </w:tcBorders>
            <w:vAlign w:val="center"/>
          </w:tcPr>
          <w:p w14:paraId="13A0C20A">
            <w:pPr>
              <w:jc w:val="center"/>
              <w:rPr>
                <w:sz w:val="2"/>
                <w:szCs w:val="2"/>
              </w:rPr>
            </w:pPr>
          </w:p>
        </w:tc>
      </w:tr>
      <w:tr w14:paraId="6A6EC7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23" w:type="pct"/>
            <w:vMerge w:val="continue"/>
            <w:tcBorders>
              <w:tl2br w:val="nil"/>
              <w:tr2bl w:val="nil"/>
            </w:tcBorders>
            <w:vAlign w:val="center"/>
          </w:tcPr>
          <w:p w14:paraId="34ECDAC0">
            <w:pPr>
              <w:jc w:val="center"/>
              <w:rPr>
                <w:sz w:val="2"/>
                <w:szCs w:val="2"/>
              </w:rPr>
            </w:pPr>
          </w:p>
        </w:tc>
        <w:tc>
          <w:tcPr>
            <w:tcW w:w="502" w:type="pct"/>
            <w:vMerge w:val="continue"/>
            <w:tcBorders>
              <w:tl2br w:val="nil"/>
              <w:tr2bl w:val="nil"/>
            </w:tcBorders>
            <w:vAlign w:val="center"/>
          </w:tcPr>
          <w:p w14:paraId="7EDB94CC">
            <w:pPr>
              <w:jc w:val="center"/>
              <w:rPr>
                <w:sz w:val="2"/>
                <w:szCs w:val="2"/>
              </w:rPr>
            </w:pPr>
          </w:p>
        </w:tc>
        <w:tc>
          <w:tcPr>
            <w:tcW w:w="523" w:type="pct"/>
            <w:tcBorders>
              <w:tl2br w:val="nil"/>
              <w:tr2bl w:val="nil"/>
            </w:tcBorders>
            <w:vAlign w:val="center"/>
          </w:tcPr>
          <w:p w14:paraId="07F4A028">
            <w:pPr>
              <w:pStyle w:val="140"/>
              <w:spacing w:before="0"/>
              <w:ind w:left="0" w:right="0"/>
              <w:jc w:val="center"/>
              <w:rPr>
                <w:rFonts w:hint="eastAsia" w:eastAsia="宋体"/>
                <w:sz w:val="21"/>
                <w:lang w:val="en-US" w:eastAsia="zh-CN"/>
              </w:rPr>
            </w:pPr>
            <w:r>
              <w:rPr>
                <w:rFonts w:hint="eastAsia"/>
                <w:sz w:val="21"/>
                <w:lang w:val="en-US" w:eastAsia="zh-CN"/>
              </w:rPr>
              <w:t>总磷</w:t>
            </w:r>
          </w:p>
        </w:tc>
        <w:tc>
          <w:tcPr>
            <w:tcW w:w="439" w:type="pct"/>
            <w:tcBorders>
              <w:tl2br w:val="nil"/>
              <w:tr2bl w:val="nil"/>
            </w:tcBorders>
            <w:vAlign w:val="center"/>
          </w:tcPr>
          <w:p w14:paraId="5C602935">
            <w:pPr>
              <w:pStyle w:val="179"/>
              <w:rPr>
                <w:rFonts w:hint="eastAsia" w:eastAsia="宋体"/>
                <w:lang w:val="en-US" w:eastAsia="zh-CN"/>
              </w:rPr>
            </w:pPr>
            <w:r>
              <w:rPr>
                <w:rFonts w:hint="eastAsia"/>
                <w:lang w:val="en-US" w:eastAsia="zh-CN"/>
              </w:rPr>
              <w:t>4</w:t>
            </w:r>
          </w:p>
        </w:tc>
        <w:tc>
          <w:tcPr>
            <w:tcW w:w="669" w:type="pct"/>
            <w:tcBorders>
              <w:tl2br w:val="nil"/>
              <w:tr2bl w:val="nil"/>
            </w:tcBorders>
            <w:vAlign w:val="center"/>
          </w:tcPr>
          <w:p w14:paraId="6FCA6132">
            <w:pPr>
              <w:pStyle w:val="179"/>
              <w:rPr>
                <w:rFonts w:hint="default" w:eastAsia="宋体"/>
                <w:lang w:val="en-US" w:eastAsia="zh-CN"/>
              </w:rPr>
            </w:pPr>
            <w:r>
              <w:rPr>
                <w:rFonts w:hint="eastAsia"/>
                <w:lang w:val="en-US" w:eastAsia="zh-CN"/>
              </w:rPr>
              <w:t>0.0005</w:t>
            </w:r>
          </w:p>
        </w:tc>
        <w:tc>
          <w:tcPr>
            <w:tcW w:w="509" w:type="pct"/>
            <w:vMerge w:val="continue"/>
            <w:tcBorders>
              <w:tl2br w:val="nil"/>
              <w:tr2bl w:val="nil"/>
            </w:tcBorders>
            <w:vAlign w:val="center"/>
          </w:tcPr>
          <w:p w14:paraId="014E4582">
            <w:pPr>
              <w:jc w:val="center"/>
              <w:rPr>
                <w:sz w:val="2"/>
                <w:szCs w:val="2"/>
              </w:rPr>
            </w:pPr>
          </w:p>
        </w:tc>
        <w:tc>
          <w:tcPr>
            <w:tcW w:w="443" w:type="pct"/>
            <w:tcBorders>
              <w:tl2br w:val="nil"/>
              <w:tr2bl w:val="nil"/>
            </w:tcBorders>
            <w:vAlign w:val="center"/>
          </w:tcPr>
          <w:p w14:paraId="7198F74A">
            <w:pPr>
              <w:pStyle w:val="179"/>
              <w:rPr>
                <w:rFonts w:hint="eastAsia" w:eastAsia="宋体"/>
                <w:lang w:val="en-US" w:eastAsia="zh-CN"/>
              </w:rPr>
            </w:pPr>
            <w:r>
              <w:rPr>
                <w:rFonts w:hint="eastAsia"/>
                <w:lang w:val="en-US" w:eastAsia="zh-CN"/>
              </w:rPr>
              <w:t>4</w:t>
            </w:r>
          </w:p>
        </w:tc>
        <w:tc>
          <w:tcPr>
            <w:tcW w:w="660" w:type="pct"/>
            <w:tcBorders>
              <w:tl2br w:val="nil"/>
              <w:tr2bl w:val="nil"/>
            </w:tcBorders>
            <w:vAlign w:val="center"/>
          </w:tcPr>
          <w:p w14:paraId="7292EEBF">
            <w:pPr>
              <w:pStyle w:val="179"/>
              <w:rPr>
                <w:rFonts w:hint="eastAsia"/>
              </w:rPr>
            </w:pPr>
            <w:r>
              <w:rPr>
                <w:rFonts w:hint="eastAsia"/>
                <w:lang w:val="en-US" w:eastAsia="zh-CN"/>
              </w:rPr>
              <w:t>0.0005</w:t>
            </w:r>
          </w:p>
        </w:tc>
        <w:tc>
          <w:tcPr>
            <w:tcW w:w="928" w:type="pct"/>
            <w:vMerge w:val="continue"/>
            <w:tcBorders>
              <w:tl2br w:val="nil"/>
              <w:tr2bl w:val="nil"/>
            </w:tcBorders>
            <w:vAlign w:val="center"/>
          </w:tcPr>
          <w:p w14:paraId="2947152B">
            <w:pPr>
              <w:jc w:val="center"/>
              <w:rPr>
                <w:sz w:val="2"/>
                <w:szCs w:val="2"/>
              </w:rPr>
            </w:pPr>
          </w:p>
        </w:tc>
      </w:tr>
    </w:tbl>
    <w:p w14:paraId="7389AC3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（3）固废排放情况</w:t>
      </w:r>
    </w:p>
    <w:p w14:paraId="0FCC3DA6">
      <w:pPr>
        <w:keepNext w:val="0"/>
        <w:keepLines w:val="0"/>
        <w:adjustRightInd w:val="0"/>
        <w:snapToGrid w:val="0"/>
        <w:spacing w:line="500" w:lineRule="exact"/>
        <w:ind w:firstLine="480" w:firstLineChars="200"/>
        <w:rPr>
          <w:rFonts w:hint="eastAsia"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建设项目产生的固废主要为</w:t>
      </w:r>
      <w:r>
        <w:rPr>
          <w:rFonts w:hint="eastAsia" w:eastAsia="宋体" w:cs="Times New Roman"/>
          <w:color w:val="000000" w:themeColor="text1"/>
          <w:lang w:val="en-US" w:eastAsia="zh-CN"/>
          <w14:textFill>
            <w14:solidFill>
              <w14:schemeClr w14:val="tx1"/>
            </w14:solidFill>
          </w14:textFill>
        </w:rPr>
        <w:t>废铁、废包装袋、废布袋、收集尘、废电瓶、废劳保用品、废润滑油、废润滑油桶。</w:t>
      </w:r>
    </w:p>
    <w:p w14:paraId="2A3524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color w:val="000000" w:themeColor="text1"/>
          <w:kern w:val="2"/>
          <w:sz w:val="24"/>
          <w:szCs w:val="24"/>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生活垃圾由环卫清运，废铁、废包装袋、废布袋、收集尘收集后外售综合利用；废电瓶、废劳保用品、废润滑油、废润滑油桶收集后委</w:t>
      </w:r>
      <w:r>
        <w:rPr>
          <w:rFonts w:ascii="宋体" w:hAnsi="宋体" w:eastAsia="宋体" w:cs="宋体"/>
          <w:sz w:val="24"/>
          <w:szCs w:val="24"/>
        </w:rPr>
        <w:t>托</w:t>
      </w:r>
      <w:r>
        <w:rPr>
          <w:rFonts w:hint="eastAsia" w:ascii="宋体" w:hAnsi="宋体" w:eastAsia="宋体" w:cs="宋体"/>
          <w:sz w:val="24"/>
          <w:szCs w:val="24"/>
          <w:lang w:val="en-US" w:eastAsia="zh-CN"/>
        </w:rPr>
        <w:t>南通海佳环境科技有限公司</w:t>
      </w:r>
      <w:r>
        <w:rPr>
          <w:rFonts w:hint="eastAsia" w:eastAsia="宋体" w:cs="Times New Roman"/>
          <w:color w:val="000000" w:themeColor="text1"/>
          <w:lang w:val="en-US" w:eastAsia="zh-CN"/>
          <w14:textFill>
            <w14:solidFill>
              <w14:schemeClr w14:val="tx1"/>
            </w14:solidFill>
          </w14:textFill>
        </w:rPr>
        <w:t>处置。</w:t>
      </w:r>
    </w:p>
    <w:p w14:paraId="0A185B4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危险固（液）体废物和一般固体废物产生</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情况见表3-</w:t>
      </w:r>
      <w:r>
        <w:rPr>
          <w:rFonts w:hint="eastAsia" w:eastAsia="宋体" w:cs="Times New Roman"/>
          <w:color w:val="000000" w:themeColor="text1"/>
          <w:sz w:val="24"/>
          <w:szCs w:val="24"/>
          <w:lang w:val="en-US" w:eastAsia="zh-CN"/>
          <w14:textFill>
            <w14:solidFill>
              <w14:schemeClr w14:val="tx1"/>
            </w14:solidFill>
          </w14:textFill>
        </w:rPr>
        <w:t>15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14:paraId="4C83769A">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15</w:t>
      </w:r>
      <w:r>
        <w:rPr>
          <w:rFonts w:hint="default" w:ascii="Times New Roman" w:hAnsi="Times New Roman" w:eastAsia="宋体" w:cs="Times New Roman"/>
          <w:b/>
          <w:bCs/>
          <w:sz w:val="24"/>
          <w:szCs w:val="24"/>
        </w:rPr>
        <w:t>危险</w:t>
      </w:r>
      <w:r>
        <w:rPr>
          <w:rFonts w:hint="default" w:ascii="Times New Roman" w:hAnsi="Times New Roman" w:eastAsia="宋体" w:cs="Times New Roman"/>
          <w:b/>
          <w:bCs/>
          <w:sz w:val="24"/>
          <w:szCs w:val="24"/>
          <w:highlight w:val="none"/>
        </w:rPr>
        <w:t>固（液）体</w:t>
      </w:r>
      <w:r>
        <w:rPr>
          <w:rFonts w:hint="eastAsia" w:eastAsia="宋体" w:cs="Times New Roman"/>
          <w:b/>
          <w:bCs/>
          <w:sz w:val="24"/>
          <w:szCs w:val="24"/>
          <w:highlight w:val="none"/>
          <w:lang w:val="en-US" w:eastAsia="zh-CN"/>
        </w:rPr>
        <w:t>废物和一般固废产</w:t>
      </w:r>
      <w:r>
        <w:rPr>
          <w:rFonts w:hint="eastAsia" w:eastAsia="宋体" w:cs="Times New Roman"/>
          <w:b/>
          <w:bCs/>
          <w:sz w:val="24"/>
          <w:szCs w:val="24"/>
          <w:lang w:val="en-US" w:eastAsia="zh-CN"/>
        </w:rPr>
        <w:t>生</w:t>
      </w:r>
      <w:r>
        <w:rPr>
          <w:rFonts w:hint="default" w:ascii="Times New Roman" w:hAnsi="Times New Roman" w:eastAsia="宋体" w:cs="Times New Roman"/>
          <w:b/>
          <w:bCs/>
          <w:sz w:val="24"/>
          <w:szCs w:val="24"/>
        </w:rPr>
        <w:t>情况一览表</w:t>
      </w:r>
    </w:p>
    <w:tbl>
      <w:tblPr>
        <w:tblStyle w:val="37"/>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15"/>
        <w:gridCol w:w="930"/>
        <w:gridCol w:w="900"/>
        <w:gridCol w:w="847"/>
        <w:gridCol w:w="592"/>
        <w:gridCol w:w="1092"/>
        <w:gridCol w:w="568"/>
        <w:gridCol w:w="679"/>
        <w:gridCol w:w="1107"/>
        <w:gridCol w:w="839"/>
        <w:gridCol w:w="535"/>
      </w:tblGrid>
      <w:tr w14:paraId="693BBF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5" w:type="dxa"/>
            <w:noWrap w:val="0"/>
            <w:vAlign w:val="center"/>
          </w:tcPr>
          <w:p w14:paraId="01F654B8">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序号</w:t>
            </w:r>
          </w:p>
        </w:tc>
        <w:tc>
          <w:tcPr>
            <w:tcW w:w="930" w:type="dxa"/>
            <w:noWrap w:val="0"/>
            <w:vAlign w:val="center"/>
          </w:tcPr>
          <w:p w14:paraId="435B0FBC">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固废名称</w:t>
            </w:r>
          </w:p>
        </w:tc>
        <w:tc>
          <w:tcPr>
            <w:tcW w:w="900" w:type="dxa"/>
            <w:noWrap w:val="0"/>
            <w:vAlign w:val="center"/>
          </w:tcPr>
          <w:p w14:paraId="65EF1DB6">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属性</w:t>
            </w:r>
          </w:p>
        </w:tc>
        <w:tc>
          <w:tcPr>
            <w:tcW w:w="847" w:type="dxa"/>
            <w:noWrap w:val="0"/>
            <w:vAlign w:val="center"/>
          </w:tcPr>
          <w:p w14:paraId="2E23A006">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产生工序</w:t>
            </w:r>
          </w:p>
        </w:tc>
        <w:tc>
          <w:tcPr>
            <w:tcW w:w="592" w:type="dxa"/>
            <w:noWrap w:val="0"/>
            <w:vAlign w:val="center"/>
          </w:tcPr>
          <w:p w14:paraId="442DADEF">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形态</w:t>
            </w:r>
          </w:p>
        </w:tc>
        <w:tc>
          <w:tcPr>
            <w:tcW w:w="1092" w:type="dxa"/>
            <w:noWrap w:val="0"/>
            <w:vAlign w:val="center"/>
          </w:tcPr>
          <w:p w14:paraId="6370B40A">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主要</w:t>
            </w:r>
          </w:p>
          <w:p w14:paraId="48C326FC">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成分</w:t>
            </w:r>
          </w:p>
        </w:tc>
        <w:tc>
          <w:tcPr>
            <w:tcW w:w="568" w:type="dxa"/>
            <w:noWrap w:val="0"/>
            <w:vAlign w:val="center"/>
          </w:tcPr>
          <w:p w14:paraId="7C2BA861">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危险</w:t>
            </w:r>
          </w:p>
          <w:p w14:paraId="68E28946">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特性</w:t>
            </w:r>
          </w:p>
        </w:tc>
        <w:tc>
          <w:tcPr>
            <w:tcW w:w="679" w:type="dxa"/>
            <w:noWrap w:val="0"/>
            <w:vAlign w:val="center"/>
          </w:tcPr>
          <w:p w14:paraId="5D40421A">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废物</w:t>
            </w:r>
          </w:p>
          <w:p w14:paraId="0519B7D9">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类别</w:t>
            </w:r>
          </w:p>
        </w:tc>
        <w:tc>
          <w:tcPr>
            <w:tcW w:w="1107" w:type="dxa"/>
            <w:noWrap w:val="0"/>
            <w:vAlign w:val="center"/>
          </w:tcPr>
          <w:p w14:paraId="404B5441">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废物</w:t>
            </w:r>
          </w:p>
          <w:p w14:paraId="729F0EC6">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代码</w:t>
            </w:r>
          </w:p>
        </w:tc>
        <w:tc>
          <w:tcPr>
            <w:tcW w:w="839" w:type="dxa"/>
            <w:noWrap w:val="0"/>
            <w:vAlign w:val="center"/>
          </w:tcPr>
          <w:p w14:paraId="48667E74">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产生量（t/a）</w:t>
            </w:r>
          </w:p>
        </w:tc>
        <w:tc>
          <w:tcPr>
            <w:tcW w:w="535" w:type="dxa"/>
            <w:noWrap w:val="0"/>
            <w:vAlign w:val="center"/>
          </w:tcPr>
          <w:p w14:paraId="5C71EA66">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处置</w:t>
            </w:r>
          </w:p>
          <w:p w14:paraId="38508EA5">
            <w:pPr>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color w:val="000000"/>
                <w:sz w:val="21"/>
                <w:szCs w:val="21"/>
              </w:rPr>
              <w:t>方法</w:t>
            </w:r>
          </w:p>
        </w:tc>
      </w:tr>
      <w:tr w14:paraId="1D3F45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5" w:type="dxa"/>
            <w:noWrap w:val="0"/>
            <w:vAlign w:val="center"/>
          </w:tcPr>
          <w:p w14:paraId="13AB09D5">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c>
          <w:tcPr>
            <w:tcW w:w="930" w:type="dxa"/>
            <w:noWrap w:val="0"/>
            <w:vAlign w:val="center"/>
          </w:tcPr>
          <w:p w14:paraId="1B5A1012">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废铁</w:t>
            </w:r>
          </w:p>
        </w:tc>
        <w:tc>
          <w:tcPr>
            <w:tcW w:w="900" w:type="dxa"/>
            <w:vMerge w:val="restart"/>
            <w:noWrap w:val="0"/>
            <w:vAlign w:val="center"/>
          </w:tcPr>
          <w:p w14:paraId="640847C4">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一般工业固体废物</w:t>
            </w:r>
          </w:p>
        </w:tc>
        <w:tc>
          <w:tcPr>
            <w:tcW w:w="847" w:type="dxa"/>
            <w:noWrap w:val="0"/>
            <w:vAlign w:val="center"/>
          </w:tcPr>
          <w:p w14:paraId="30040A6C">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磁选</w:t>
            </w:r>
          </w:p>
        </w:tc>
        <w:tc>
          <w:tcPr>
            <w:tcW w:w="592" w:type="dxa"/>
            <w:noWrap w:val="0"/>
            <w:vAlign w:val="center"/>
          </w:tcPr>
          <w:p w14:paraId="2C4BDEBE">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固态</w:t>
            </w:r>
          </w:p>
        </w:tc>
        <w:tc>
          <w:tcPr>
            <w:tcW w:w="1092" w:type="dxa"/>
            <w:noWrap w:val="0"/>
            <w:vAlign w:val="center"/>
          </w:tcPr>
          <w:p w14:paraId="3D50DE1F">
            <w:pPr>
              <w:jc w:val="center"/>
              <w:rPr>
                <w:rFonts w:ascii="Times New Roman" w:hAnsi="Times New Roman" w:eastAsia="仿宋_GB2312" w:cs="Times New Roman"/>
                <w:color w:val="000000"/>
                <w:sz w:val="21"/>
                <w:szCs w:val="21"/>
              </w:rPr>
            </w:pPr>
            <w:r>
              <w:rPr>
                <w:rFonts w:ascii="Times New Roman" w:hAnsi="Times New Roman" w:eastAsia="仿宋_GB2312" w:cs="Times New Roman"/>
                <w:bCs/>
                <w:color w:val="000000"/>
                <w:sz w:val="21"/>
                <w:szCs w:val="21"/>
              </w:rPr>
              <w:t>铁丝、铁钉等</w:t>
            </w:r>
          </w:p>
        </w:tc>
        <w:tc>
          <w:tcPr>
            <w:tcW w:w="568" w:type="dxa"/>
            <w:noWrap w:val="0"/>
            <w:vAlign w:val="center"/>
          </w:tcPr>
          <w:p w14:paraId="2470B771">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679" w:type="dxa"/>
            <w:noWrap w:val="0"/>
            <w:vAlign w:val="center"/>
          </w:tcPr>
          <w:p w14:paraId="290B9E98">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SW17</w:t>
            </w:r>
          </w:p>
        </w:tc>
        <w:tc>
          <w:tcPr>
            <w:tcW w:w="1107" w:type="dxa"/>
            <w:noWrap w:val="0"/>
            <w:vAlign w:val="center"/>
          </w:tcPr>
          <w:p w14:paraId="2347299D">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900-099-S17</w:t>
            </w:r>
          </w:p>
        </w:tc>
        <w:tc>
          <w:tcPr>
            <w:tcW w:w="839" w:type="dxa"/>
            <w:noWrap w:val="0"/>
            <w:vAlign w:val="center"/>
          </w:tcPr>
          <w:p w14:paraId="074B530C">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w:t>
            </w:r>
          </w:p>
        </w:tc>
        <w:tc>
          <w:tcPr>
            <w:tcW w:w="535" w:type="dxa"/>
            <w:vMerge w:val="restart"/>
            <w:noWrap w:val="0"/>
            <w:vAlign w:val="center"/>
          </w:tcPr>
          <w:p w14:paraId="57AF27BE">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收集后外售</w:t>
            </w:r>
          </w:p>
        </w:tc>
      </w:tr>
      <w:tr w14:paraId="55036D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5" w:type="dxa"/>
            <w:noWrap w:val="0"/>
            <w:vAlign w:val="center"/>
          </w:tcPr>
          <w:p w14:paraId="755D6A21">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w:t>
            </w:r>
          </w:p>
        </w:tc>
        <w:tc>
          <w:tcPr>
            <w:tcW w:w="930" w:type="dxa"/>
            <w:noWrap w:val="0"/>
            <w:vAlign w:val="center"/>
          </w:tcPr>
          <w:p w14:paraId="7FAEC8E9">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废包装袋</w:t>
            </w:r>
          </w:p>
        </w:tc>
        <w:tc>
          <w:tcPr>
            <w:tcW w:w="900" w:type="dxa"/>
            <w:vMerge w:val="continue"/>
            <w:noWrap w:val="0"/>
            <w:vAlign w:val="center"/>
          </w:tcPr>
          <w:p w14:paraId="73584206">
            <w:pPr>
              <w:jc w:val="center"/>
              <w:rPr>
                <w:rFonts w:ascii="Times New Roman" w:hAnsi="Times New Roman" w:eastAsia="仿宋_GB2312" w:cs="Times New Roman"/>
                <w:color w:val="000000"/>
                <w:sz w:val="21"/>
                <w:szCs w:val="21"/>
              </w:rPr>
            </w:pPr>
          </w:p>
        </w:tc>
        <w:tc>
          <w:tcPr>
            <w:tcW w:w="847" w:type="dxa"/>
            <w:noWrap w:val="0"/>
            <w:vAlign w:val="center"/>
          </w:tcPr>
          <w:p w14:paraId="19CC86A8">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包装</w:t>
            </w:r>
          </w:p>
        </w:tc>
        <w:tc>
          <w:tcPr>
            <w:tcW w:w="592" w:type="dxa"/>
            <w:noWrap w:val="0"/>
            <w:vAlign w:val="center"/>
          </w:tcPr>
          <w:p w14:paraId="0B799385">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固态</w:t>
            </w:r>
          </w:p>
        </w:tc>
        <w:tc>
          <w:tcPr>
            <w:tcW w:w="1092" w:type="dxa"/>
            <w:noWrap w:val="0"/>
            <w:vAlign w:val="center"/>
          </w:tcPr>
          <w:p w14:paraId="459EE976">
            <w:pPr>
              <w:jc w:val="center"/>
              <w:rPr>
                <w:rFonts w:ascii="Times New Roman" w:hAnsi="Times New Roman" w:eastAsia="仿宋_GB2312" w:cs="Times New Roman"/>
                <w:color w:val="000000"/>
                <w:sz w:val="21"/>
                <w:szCs w:val="21"/>
              </w:rPr>
            </w:pPr>
            <w:r>
              <w:rPr>
                <w:rFonts w:ascii="Times New Roman" w:hAnsi="Times New Roman" w:eastAsia="仿宋_GB2312" w:cs="Times New Roman"/>
                <w:bCs/>
                <w:color w:val="000000"/>
                <w:sz w:val="21"/>
                <w:szCs w:val="21"/>
              </w:rPr>
              <w:t>编织袋</w:t>
            </w:r>
          </w:p>
        </w:tc>
        <w:tc>
          <w:tcPr>
            <w:tcW w:w="568" w:type="dxa"/>
            <w:noWrap w:val="0"/>
            <w:vAlign w:val="center"/>
          </w:tcPr>
          <w:p w14:paraId="7C551C60">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679" w:type="dxa"/>
            <w:noWrap w:val="0"/>
            <w:vAlign w:val="center"/>
          </w:tcPr>
          <w:p w14:paraId="1A72DBE1">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SW17</w:t>
            </w:r>
          </w:p>
        </w:tc>
        <w:tc>
          <w:tcPr>
            <w:tcW w:w="1107" w:type="dxa"/>
            <w:noWrap w:val="0"/>
            <w:vAlign w:val="center"/>
          </w:tcPr>
          <w:p w14:paraId="2F7B7667">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900-099-S17</w:t>
            </w:r>
          </w:p>
        </w:tc>
        <w:tc>
          <w:tcPr>
            <w:tcW w:w="839" w:type="dxa"/>
            <w:noWrap w:val="0"/>
            <w:vAlign w:val="center"/>
          </w:tcPr>
          <w:p w14:paraId="33B11189">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w:t>
            </w:r>
          </w:p>
        </w:tc>
        <w:tc>
          <w:tcPr>
            <w:tcW w:w="535" w:type="dxa"/>
            <w:vMerge w:val="continue"/>
            <w:noWrap w:val="0"/>
            <w:vAlign w:val="center"/>
          </w:tcPr>
          <w:p w14:paraId="71DCD6FE">
            <w:pPr>
              <w:jc w:val="center"/>
              <w:rPr>
                <w:rFonts w:ascii="Times New Roman" w:hAnsi="Times New Roman" w:eastAsia="仿宋_GB2312" w:cs="Times New Roman"/>
                <w:color w:val="000000"/>
                <w:sz w:val="21"/>
                <w:szCs w:val="21"/>
              </w:rPr>
            </w:pPr>
          </w:p>
        </w:tc>
      </w:tr>
      <w:tr w14:paraId="1BAB18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5" w:type="dxa"/>
            <w:noWrap w:val="0"/>
            <w:vAlign w:val="center"/>
          </w:tcPr>
          <w:p w14:paraId="01782C9B">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3</w:t>
            </w:r>
          </w:p>
        </w:tc>
        <w:tc>
          <w:tcPr>
            <w:tcW w:w="930" w:type="dxa"/>
            <w:noWrap w:val="0"/>
            <w:vAlign w:val="center"/>
          </w:tcPr>
          <w:p w14:paraId="72854BB1">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废布袋</w:t>
            </w:r>
          </w:p>
        </w:tc>
        <w:tc>
          <w:tcPr>
            <w:tcW w:w="900" w:type="dxa"/>
            <w:vMerge w:val="continue"/>
            <w:noWrap w:val="0"/>
            <w:vAlign w:val="center"/>
          </w:tcPr>
          <w:p w14:paraId="620B9519">
            <w:pPr>
              <w:jc w:val="center"/>
              <w:rPr>
                <w:rFonts w:ascii="Times New Roman" w:hAnsi="Times New Roman" w:eastAsia="仿宋_GB2312" w:cs="Times New Roman"/>
                <w:color w:val="000000"/>
                <w:sz w:val="21"/>
                <w:szCs w:val="21"/>
              </w:rPr>
            </w:pPr>
          </w:p>
        </w:tc>
        <w:tc>
          <w:tcPr>
            <w:tcW w:w="847" w:type="dxa"/>
            <w:noWrap w:val="0"/>
            <w:vAlign w:val="center"/>
          </w:tcPr>
          <w:p w14:paraId="0319BC09">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废气处理</w:t>
            </w:r>
          </w:p>
        </w:tc>
        <w:tc>
          <w:tcPr>
            <w:tcW w:w="592" w:type="dxa"/>
            <w:noWrap w:val="0"/>
            <w:vAlign w:val="center"/>
          </w:tcPr>
          <w:p w14:paraId="3A154D4E">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固态</w:t>
            </w:r>
          </w:p>
        </w:tc>
        <w:tc>
          <w:tcPr>
            <w:tcW w:w="1092" w:type="dxa"/>
            <w:noWrap w:val="0"/>
            <w:vAlign w:val="center"/>
          </w:tcPr>
          <w:p w14:paraId="73902C7B">
            <w:pPr>
              <w:jc w:val="center"/>
              <w:rPr>
                <w:rFonts w:ascii="Times New Roman" w:hAnsi="Times New Roman" w:eastAsia="仿宋_GB2312" w:cs="Times New Roman"/>
                <w:bCs/>
                <w:color w:val="000000"/>
                <w:sz w:val="21"/>
                <w:szCs w:val="21"/>
              </w:rPr>
            </w:pPr>
            <w:r>
              <w:rPr>
                <w:rFonts w:ascii="Times New Roman" w:hAnsi="Times New Roman" w:eastAsia="仿宋_GB2312" w:cs="Times New Roman"/>
                <w:bCs/>
                <w:color w:val="000000"/>
                <w:sz w:val="21"/>
                <w:szCs w:val="21"/>
              </w:rPr>
              <w:t>布袋</w:t>
            </w:r>
          </w:p>
        </w:tc>
        <w:tc>
          <w:tcPr>
            <w:tcW w:w="568" w:type="dxa"/>
            <w:noWrap w:val="0"/>
            <w:vAlign w:val="center"/>
          </w:tcPr>
          <w:p w14:paraId="4DDBFECC">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679" w:type="dxa"/>
            <w:noWrap w:val="0"/>
            <w:vAlign w:val="center"/>
          </w:tcPr>
          <w:p w14:paraId="716C3DF9">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SW17</w:t>
            </w:r>
          </w:p>
        </w:tc>
        <w:tc>
          <w:tcPr>
            <w:tcW w:w="1107" w:type="dxa"/>
            <w:noWrap w:val="0"/>
            <w:vAlign w:val="center"/>
          </w:tcPr>
          <w:p w14:paraId="299D65CB">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900-099-S17</w:t>
            </w:r>
          </w:p>
        </w:tc>
        <w:tc>
          <w:tcPr>
            <w:tcW w:w="839" w:type="dxa"/>
            <w:noWrap w:val="0"/>
            <w:vAlign w:val="center"/>
          </w:tcPr>
          <w:p w14:paraId="1A615283">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8</w:t>
            </w:r>
          </w:p>
        </w:tc>
        <w:tc>
          <w:tcPr>
            <w:tcW w:w="535" w:type="dxa"/>
            <w:vMerge w:val="continue"/>
            <w:noWrap w:val="0"/>
            <w:vAlign w:val="center"/>
          </w:tcPr>
          <w:p w14:paraId="04117033">
            <w:pPr>
              <w:jc w:val="center"/>
              <w:rPr>
                <w:rFonts w:ascii="Times New Roman" w:hAnsi="Times New Roman" w:eastAsia="仿宋_GB2312" w:cs="Times New Roman"/>
                <w:color w:val="000000"/>
                <w:sz w:val="21"/>
                <w:szCs w:val="21"/>
              </w:rPr>
            </w:pPr>
          </w:p>
        </w:tc>
      </w:tr>
      <w:tr w14:paraId="13ED90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5" w:type="dxa"/>
            <w:noWrap w:val="0"/>
            <w:vAlign w:val="center"/>
          </w:tcPr>
          <w:p w14:paraId="3600F024">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4</w:t>
            </w:r>
          </w:p>
        </w:tc>
        <w:tc>
          <w:tcPr>
            <w:tcW w:w="930" w:type="dxa"/>
            <w:noWrap w:val="0"/>
            <w:vAlign w:val="center"/>
          </w:tcPr>
          <w:p w14:paraId="08190D56">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废电瓶</w:t>
            </w:r>
          </w:p>
        </w:tc>
        <w:tc>
          <w:tcPr>
            <w:tcW w:w="900" w:type="dxa"/>
            <w:noWrap w:val="0"/>
            <w:vAlign w:val="center"/>
          </w:tcPr>
          <w:p w14:paraId="116A90B7">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危险废物</w:t>
            </w:r>
          </w:p>
        </w:tc>
        <w:tc>
          <w:tcPr>
            <w:tcW w:w="847" w:type="dxa"/>
            <w:noWrap w:val="0"/>
            <w:vAlign w:val="center"/>
          </w:tcPr>
          <w:p w14:paraId="371ACD8F">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运输</w:t>
            </w:r>
          </w:p>
        </w:tc>
        <w:tc>
          <w:tcPr>
            <w:tcW w:w="592" w:type="dxa"/>
            <w:noWrap w:val="0"/>
            <w:vAlign w:val="center"/>
          </w:tcPr>
          <w:p w14:paraId="5A7812F9">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固态</w:t>
            </w:r>
          </w:p>
        </w:tc>
        <w:tc>
          <w:tcPr>
            <w:tcW w:w="1092" w:type="dxa"/>
            <w:noWrap w:val="0"/>
            <w:vAlign w:val="center"/>
          </w:tcPr>
          <w:p w14:paraId="64C23179">
            <w:pPr>
              <w:jc w:val="center"/>
              <w:rPr>
                <w:rFonts w:ascii="Times New Roman" w:hAnsi="Times New Roman" w:eastAsia="仿宋_GB2312" w:cs="Times New Roman"/>
                <w:color w:val="000000"/>
                <w:sz w:val="21"/>
                <w:szCs w:val="21"/>
              </w:rPr>
            </w:pPr>
            <w:r>
              <w:rPr>
                <w:rFonts w:ascii="Times New Roman" w:hAnsi="Times New Roman" w:eastAsia="仿宋_GB2312" w:cs="Times New Roman"/>
                <w:bCs/>
                <w:color w:val="000000"/>
                <w:sz w:val="21"/>
                <w:szCs w:val="21"/>
              </w:rPr>
              <w:t>铅蓄电池</w:t>
            </w:r>
          </w:p>
        </w:tc>
        <w:tc>
          <w:tcPr>
            <w:tcW w:w="568" w:type="dxa"/>
            <w:noWrap w:val="0"/>
            <w:vAlign w:val="center"/>
          </w:tcPr>
          <w:p w14:paraId="174ED311">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T，C</w:t>
            </w:r>
          </w:p>
        </w:tc>
        <w:tc>
          <w:tcPr>
            <w:tcW w:w="679" w:type="dxa"/>
            <w:noWrap w:val="0"/>
            <w:vAlign w:val="center"/>
          </w:tcPr>
          <w:p w14:paraId="687A51BD">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HW31</w:t>
            </w:r>
          </w:p>
        </w:tc>
        <w:tc>
          <w:tcPr>
            <w:tcW w:w="1107" w:type="dxa"/>
            <w:noWrap w:val="0"/>
            <w:vAlign w:val="center"/>
          </w:tcPr>
          <w:p w14:paraId="2C30E4F3">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900-052-31</w:t>
            </w:r>
          </w:p>
        </w:tc>
        <w:tc>
          <w:tcPr>
            <w:tcW w:w="839" w:type="dxa"/>
            <w:noWrap w:val="0"/>
            <w:vAlign w:val="center"/>
          </w:tcPr>
          <w:p w14:paraId="15F7106D">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0.8</w:t>
            </w:r>
          </w:p>
        </w:tc>
        <w:tc>
          <w:tcPr>
            <w:tcW w:w="535" w:type="dxa"/>
            <w:vMerge w:val="restart"/>
            <w:noWrap w:val="0"/>
            <w:vAlign w:val="center"/>
          </w:tcPr>
          <w:p w14:paraId="6B43EF21">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委托有资质单位处置</w:t>
            </w:r>
          </w:p>
        </w:tc>
      </w:tr>
      <w:tr w14:paraId="6ABBF1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5" w:type="dxa"/>
            <w:noWrap w:val="0"/>
            <w:vAlign w:val="center"/>
          </w:tcPr>
          <w:p w14:paraId="2C67F7E7">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w:t>
            </w:r>
          </w:p>
        </w:tc>
        <w:tc>
          <w:tcPr>
            <w:tcW w:w="930" w:type="dxa"/>
            <w:noWrap w:val="0"/>
            <w:vAlign w:val="center"/>
          </w:tcPr>
          <w:p w14:paraId="6C1CC65D">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废劳保用品</w:t>
            </w:r>
          </w:p>
        </w:tc>
        <w:tc>
          <w:tcPr>
            <w:tcW w:w="900" w:type="dxa"/>
            <w:noWrap w:val="0"/>
            <w:vAlign w:val="center"/>
          </w:tcPr>
          <w:p w14:paraId="616A55E0">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危险废物</w:t>
            </w:r>
          </w:p>
        </w:tc>
        <w:tc>
          <w:tcPr>
            <w:tcW w:w="847" w:type="dxa"/>
            <w:noWrap w:val="0"/>
            <w:vAlign w:val="center"/>
          </w:tcPr>
          <w:p w14:paraId="43147833">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机械保养</w:t>
            </w:r>
          </w:p>
        </w:tc>
        <w:tc>
          <w:tcPr>
            <w:tcW w:w="592" w:type="dxa"/>
            <w:noWrap w:val="0"/>
            <w:vAlign w:val="center"/>
          </w:tcPr>
          <w:p w14:paraId="2CBC6108">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固态</w:t>
            </w:r>
          </w:p>
        </w:tc>
        <w:tc>
          <w:tcPr>
            <w:tcW w:w="1092" w:type="dxa"/>
            <w:noWrap w:val="0"/>
            <w:vAlign w:val="center"/>
          </w:tcPr>
          <w:p w14:paraId="68B92701">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布、矿物油</w:t>
            </w:r>
          </w:p>
        </w:tc>
        <w:tc>
          <w:tcPr>
            <w:tcW w:w="568" w:type="dxa"/>
            <w:noWrap w:val="0"/>
            <w:vAlign w:val="center"/>
          </w:tcPr>
          <w:p w14:paraId="0070E076">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T/In</w:t>
            </w:r>
          </w:p>
        </w:tc>
        <w:tc>
          <w:tcPr>
            <w:tcW w:w="679" w:type="dxa"/>
            <w:noWrap w:val="0"/>
            <w:vAlign w:val="center"/>
          </w:tcPr>
          <w:p w14:paraId="49479407">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HW49</w:t>
            </w:r>
          </w:p>
        </w:tc>
        <w:tc>
          <w:tcPr>
            <w:tcW w:w="1107" w:type="dxa"/>
            <w:noWrap w:val="0"/>
            <w:vAlign w:val="center"/>
          </w:tcPr>
          <w:p w14:paraId="3AE09B1B">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900-041-49</w:t>
            </w:r>
          </w:p>
        </w:tc>
        <w:tc>
          <w:tcPr>
            <w:tcW w:w="839" w:type="dxa"/>
            <w:noWrap w:val="0"/>
            <w:vAlign w:val="center"/>
          </w:tcPr>
          <w:p w14:paraId="7C9DBE6D">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0.5</w:t>
            </w:r>
          </w:p>
        </w:tc>
        <w:tc>
          <w:tcPr>
            <w:tcW w:w="535" w:type="dxa"/>
            <w:vMerge w:val="continue"/>
            <w:noWrap w:val="0"/>
            <w:vAlign w:val="center"/>
          </w:tcPr>
          <w:p w14:paraId="3194036F">
            <w:pPr>
              <w:jc w:val="center"/>
              <w:rPr>
                <w:rFonts w:ascii="Times New Roman" w:hAnsi="Times New Roman" w:eastAsia="仿宋_GB2312" w:cs="Times New Roman"/>
                <w:color w:val="000000"/>
                <w:sz w:val="21"/>
                <w:szCs w:val="21"/>
              </w:rPr>
            </w:pPr>
          </w:p>
        </w:tc>
      </w:tr>
      <w:tr w14:paraId="2BF616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5" w:type="dxa"/>
            <w:noWrap w:val="0"/>
            <w:vAlign w:val="center"/>
          </w:tcPr>
          <w:p w14:paraId="0A400BC1">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6</w:t>
            </w:r>
          </w:p>
        </w:tc>
        <w:tc>
          <w:tcPr>
            <w:tcW w:w="930" w:type="dxa"/>
            <w:noWrap w:val="0"/>
            <w:vAlign w:val="center"/>
          </w:tcPr>
          <w:p w14:paraId="0B7F440A">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废润滑油</w:t>
            </w:r>
          </w:p>
        </w:tc>
        <w:tc>
          <w:tcPr>
            <w:tcW w:w="900" w:type="dxa"/>
            <w:noWrap w:val="0"/>
            <w:vAlign w:val="center"/>
          </w:tcPr>
          <w:p w14:paraId="2580DF78">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危险废物</w:t>
            </w:r>
          </w:p>
        </w:tc>
        <w:tc>
          <w:tcPr>
            <w:tcW w:w="847" w:type="dxa"/>
            <w:noWrap w:val="0"/>
            <w:vAlign w:val="center"/>
          </w:tcPr>
          <w:p w14:paraId="0D396251">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机械保养</w:t>
            </w:r>
          </w:p>
        </w:tc>
        <w:tc>
          <w:tcPr>
            <w:tcW w:w="592" w:type="dxa"/>
            <w:noWrap w:val="0"/>
            <w:vAlign w:val="center"/>
          </w:tcPr>
          <w:p w14:paraId="1BAF7509">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固态</w:t>
            </w:r>
          </w:p>
        </w:tc>
        <w:tc>
          <w:tcPr>
            <w:tcW w:w="1092" w:type="dxa"/>
            <w:noWrap w:val="0"/>
            <w:vAlign w:val="center"/>
          </w:tcPr>
          <w:p w14:paraId="5835FE2F">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润滑油</w:t>
            </w:r>
          </w:p>
        </w:tc>
        <w:tc>
          <w:tcPr>
            <w:tcW w:w="568" w:type="dxa"/>
            <w:noWrap w:val="0"/>
            <w:vAlign w:val="center"/>
          </w:tcPr>
          <w:p w14:paraId="363163E6">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T，I</w:t>
            </w:r>
          </w:p>
        </w:tc>
        <w:tc>
          <w:tcPr>
            <w:tcW w:w="679" w:type="dxa"/>
            <w:noWrap w:val="0"/>
            <w:vAlign w:val="center"/>
          </w:tcPr>
          <w:p w14:paraId="586F735C">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HW08</w:t>
            </w:r>
          </w:p>
        </w:tc>
        <w:tc>
          <w:tcPr>
            <w:tcW w:w="1107" w:type="dxa"/>
            <w:noWrap w:val="0"/>
            <w:vAlign w:val="center"/>
          </w:tcPr>
          <w:p w14:paraId="163B13C5">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900-217-08</w:t>
            </w:r>
          </w:p>
        </w:tc>
        <w:tc>
          <w:tcPr>
            <w:tcW w:w="839" w:type="dxa"/>
            <w:noWrap w:val="0"/>
            <w:vAlign w:val="center"/>
          </w:tcPr>
          <w:p w14:paraId="3C60A830">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c>
          <w:tcPr>
            <w:tcW w:w="535" w:type="dxa"/>
            <w:vMerge w:val="continue"/>
            <w:noWrap w:val="0"/>
            <w:vAlign w:val="center"/>
          </w:tcPr>
          <w:p w14:paraId="787F65AD">
            <w:pPr>
              <w:jc w:val="center"/>
              <w:rPr>
                <w:rFonts w:ascii="Times New Roman" w:hAnsi="Times New Roman" w:eastAsia="仿宋_GB2312" w:cs="Times New Roman"/>
                <w:color w:val="000000"/>
                <w:sz w:val="21"/>
                <w:szCs w:val="21"/>
              </w:rPr>
            </w:pPr>
          </w:p>
        </w:tc>
      </w:tr>
      <w:tr w14:paraId="0E0634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5" w:type="dxa"/>
            <w:noWrap w:val="0"/>
            <w:vAlign w:val="center"/>
          </w:tcPr>
          <w:p w14:paraId="5341B3F2">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7</w:t>
            </w:r>
          </w:p>
        </w:tc>
        <w:tc>
          <w:tcPr>
            <w:tcW w:w="930" w:type="dxa"/>
            <w:noWrap w:val="0"/>
            <w:vAlign w:val="center"/>
          </w:tcPr>
          <w:p w14:paraId="1B6499CB">
            <w:pPr>
              <w:jc w:val="center"/>
              <w:rPr>
                <w:rFonts w:ascii="Times New Roman" w:hAnsi="Times New Roman" w:eastAsia="仿宋_GB2312" w:cs="Times New Roman"/>
                <w:color w:val="000000"/>
                <w:sz w:val="21"/>
                <w:szCs w:val="21"/>
              </w:rPr>
            </w:pPr>
            <w:r>
              <w:rPr>
                <w:rFonts w:ascii="Times New Roman" w:hAnsi="Times New Roman" w:eastAsia="仿宋_GB2312" w:cs="Times New Roman"/>
                <w:bCs/>
                <w:color w:val="000000"/>
                <w:sz w:val="21"/>
                <w:szCs w:val="21"/>
              </w:rPr>
              <w:t>废润滑油桶</w:t>
            </w:r>
          </w:p>
        </w:tc>
        <w:tc>
          <w:tcPr>
            <w:tcW w:w="900" w:type="dxa"/>
            <w:noWrap w:val="0"/>
            <w:vAlign w:val="center"/>
          </w:tcPr>
          <w:p w14:paraId="6D50BECB">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危险废物</w:t>
            </w:r>
          </w:p>
        </w:tc>
        <w:tc>
          <w:tcPr>
            <w:tcW w:w="847" w:type="dxa"/>
            <w:noWrap w:val="0"/>
            <w:vAlign w:val="center"/>
          </w:tcPr>
          <w:p w14:paraId="0CC6ABB1">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机械保养</w:t>
            </w:r>
          </w:p>
        </w:tc>
        <w:tc>
          <w:tcPr>
            <w:tcW w:w="592" w:type="dxa"/>
            <w:noWrap w:val="0"/>
            <w:vAlign w:val="center"/>
          </w:tcPr>
          <w:p w14:paraId="3F1D53DE">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固态</w:t>
            </w:r>
          </w:p>
        </w:tc>
        <w:tc>
          <w:tcPr>
            <w:tcW w:w="1092" w:type="dxa"/>
            <w:noWrap w:val="0"/>
            <w:vAlign w:val="center"/>
          </w:tcPr>
          <w:p w14:paraId="6B3717A1">
            <w:pPr>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矿物油、塑料</w:t>
            </w:r>
          </w:p>
        </w:tc>
        <w:tc>
          <w:tcPr>
            <w:tcW w:w="568" w:type="dxa"/>
            <w:noWrap w:val="0"/>
            <w:vAlign w:val="center"/>
          </w:tcPr>
          <w:p w14:paraId="5F322A35">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T，I</w:t>
            </w:r>
          </w:p>
        </w:tc>
        <w:tc>
          <w:tcPr>
            <w:tcW w:w="679" w:type="dxa"/>
            <w:noWrap w:val="0"/>
            <w:vAlign w:val="center"/>
          </w:tcPr>
          <w:p w14:paraId="18C6DAEB">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HW08</w:t>
            </w:r>
          </w:p>
        </w:tc>
        <w:tc>
          <w:tcPr>
            <w:tcW w:w="1107" w:type="dxa"/>
            <w:noWrap w:val="0"/>
            <w:vAlign w:val="center"/>
          </w:tcPr>
          <w:p w14:paraId="248A6D1F">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900-249-08</w:t>
            </w:r>
          </w:p>
        </w:tc>
        <w:tc>
          <w:tcPr>
            <w:tcW w:w="839" w:type="dxa"/>
            <w:noWrap w:val="0"/>
            <w:vAlign w:val="center"/>
          </w:tcPr>
          <w:p w14:paraId="25206DC3">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2.4</w:t>
            </w:r>
          </w:p>
        </w:tc>
        <w:tc>
          <w:tcPr>
            <w:tcW w:w="535" w:type="dxa"/>
            <w:vMerge w:val="continue"/>
            <w:noWrap w:val="0"/>
            <w:vAlign w:val="center"/>
          </w:tcPr>
          <w:p w14:paraId="04611968">
            <w:pPr>
              <w:jc w:val="center"/>
              <w:rPr>
                <w:rFonts w:ascii="Times New Roman" w:hAnsi="Times New Roman" w:eastAsia="仿宋_GB2312" w:cs="Times New Roman"/>
                <w:color w:val="000000"/>
                <w:sz w:val="21"/>
                <w:szCs w:val="21"/>
              </w:rPr>
            </w:pPr>
          </w:p>
        </w:tc>
      </w:tr>
      <w:tr w14:paraId="5C8B31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5" w:type="dxa"/>
            <w:noWrap w:val="0"/>
            <w:vAlign w:val="center"/>
          </w:tcPr>
          <w:p w14:paraId="497FC21A">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8</w:t>
            </w:r>
          </w:p>
        </w:tc>
        <w:tc>
          <w:tcPr>
            <w:tcW w:w="930" w:type="dxa"/>
            <w:noWrap w:val="0"/>
            <w:vAlign w:val="center"/>
          </w:tcPr>
          <w:p w14:paraId="3D93BCCE">
            <w:pPr>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生活垃圾</w:t>
            </w:r>
          </w:p>
        </w:tc>
        <w:tc>
          <w:tcPr>
            <w:tcW w:w="900" w:type="dxa"/>
            <w:noWrap w:val="0"/>
            <w:vAlign w:val="center"/>
          </w:tcPr>
          <w:p w14:paraId="0EDA7F30">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一般工业固废</w:t>
            </w:r>
          </w:p>
        </w:tc>
        <w:tc>
          <w:tcPr>
            <w:tcW w:w="847" w:type="dxa"/>
            <w:noWrap w:val="0"/>
            <w:vAlign w:val="center"/>
          </w:tcPr>
          <w:p w14:paraId="0B38E234">
            <w:pPr>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员工生活</w:t>
            </w:r>
          </w:p>
        </w:tc>
        <w:tc>
          <w:tcPr>
            <w:tcW w:w="592" w:type="dxa"/>
            <w:noWrap w:val="0"/>
            <w:vAlign w:val="center"/>
          </w:tcPr>
          <w:p w14:paraId="4F2A2CF8">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固态</w:t>
            </w:r>
          </w:p>
        </w:tc>
        <w:tc>
          <w:tcPr>
            <w:tcW w:w="1092" w:type="dxa"/>
            <w:noWrap w:val="0"/>
            <w:vAlign w:val="center"/>
          </w:tcPr>
          <w:p w14:paraId="1A53869D">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塑料、纸屑等</w:t>
            </w:r>
          </w:p>
        </w:tc>
        <w:tc>
          <w:tcPr>
            <w:tcW w:w="568" w:type="dxa"/>
            <w:noWrap w:val="0"/>
            <w:vAlign w:val="center"/>
          </w:tcPr>
          <w:p w14:paraId="25F661CA">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679" w:type="dxa"/>
            <w:noWrap w:val="0"/>
            <w:vAlign w:val="center"/>
          </w:tcPr>
          <w:p w14:paraId="704292A3">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SW62</w:t>
            </w:r>
          </w:p>
        </w:tc>
        <w:tc>
          <w:tcPr>
            <w:tcW w:w="1107" w:type="dxa"/>
            <w:noWrap w:val="0"/>
            <w:vAlign w:val="center"/>
          </w:tcPr>
          <w:p w14:paraId="687321FD">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900-001-S62</w:t>
            </w:r>
          </w:p>
        </w:tc>
        <w:tc>
          <w:tcPr>
            <w:tcW w:w="839" w:type="dxa"/>
            <w:noWrap w:val="0"/>
            <w:vAlign w:val="center"/>
          </w:tcPr>
          <w:p w14:paraId="3AC8667D">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1.65</w:t>
            </w:r>
          </w:p>
        </w:tc>
        <w:tc>
          <w:tcPr>
            <w:tcW w:w="535" w:type="dxa"/>
            <w:noWrap w:val="0"/>
            <w:vAlign w:val="center"/>
          </w:tcPr>
          <w:p w14:paraId="4A62DBCF">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环卫清运</w:t>
            </w:r>
          </w:p>
        </w:tc>
      </w:tr>
    </w:tbl>
    <w:p w14:paraId="00DB4BE5">
      <w:pPr>
        <w:pStyle w:val="3"/>
        <w:keepNext/>
        <w:keepLines/>
        <w:pageBreakBefore w:val="0"/>
        <w:widowControl w:val="0"/>
        <w:kinsoku/>
        <w:wordWrap/>
        <w:overflowPunct/>
        <w:topLinePunct w:val="0"/>
        <w:autoSpaceDE/>
        <w:autoSpaceDN/>
        <w:bidi w:val="0"/>
        <w:adjustRightInd/>
        <w:snapToGrid w:val="0"/>
        <w:spacing w:line="500" w:lineRule="exact"/>
        <w:textAlignment w:val="auto"/>
        <w:rPr>
          <w:rFonts w:eastAsiaTheme="minorEastAsia"/>
          <w:color w:val="000000" w:themeColor="text1"/>
          <w:sz w:val="24"/>
          <w:szCs w:val="24"/>
          <w14:textFill>
            <w14:solidFill>
              <w14:schemeClr w14:val="tx1"/>
            </w14:solidFill>
          </w14:textFill>
        </w:rPr>
      </w:pPr>
      <w:bookmarkStart w:id="105" w:name="_Toc6390"/>
      <w:bookmarkStart w:id="106" w:name="_Toc8506"/>
      <w:bookmarkStart w:id="107" w:name="_Toc398"/>
      <w:bookmarkStart w:id="108" w:name="_Toc20765"/>
      <w:r>
        <w:rPr>
          <w:rFonts w:eastAsiaTheme="minorEastAsia"/>
          <w:color w:val="000000" w:themeColor="text1"/>
          <w:sz w:val="24"/>
          <w:szCs w:val="24"/>
          <w14:textFill>
            <w14:solidFill>
              <w14:schemeClr w14:val="tx1"/>
            </w14:solidFill>
          </w14:textFill>
        </w:rPr>
        <w:t>3.</w:t>
      </w:r>
      <w:r>
        <w:rPr>
          <w:rFonts w:hint="eastAsia" w:eastAsiaTheme="minorEastAsia"/>
          <w:color w:val="000000" w:themeColor="text1"/>
          <w:sz w:val="24"/>
          <w:szCs w:val="24"/>
          <w:lang w:val="en-US" w:eastAsia="zh-CN"/>
          <w14:textFill>
            <w14:solidFill>
              <w14:schemeClr w14:val="tx1"/>
            </w14:solidFill>
          </w14:textFill>
        </w:rPr>
        <w:t>6</w:t>
      </w:r>
      <w:r>
        <w:rPr>
          <w:rFonts w:eastAsiaTheme="minorEastAsia"/>
          <w:color w:val="000000" w:themeColor="text1"/>
          <w:sz w:val="24"/>
          <w:szCs w:val="24"/>
          <w14:textFill>
            <w14:solidFill>
              <w14:schemeClr w14:val="tx1"/>
            </w14:solidFill>
          </w14:textFill>
        </w:rPr>
        <w:t>重大环境风险事故发生情况</w:t>
      </w:r>
      <w:bookmarkEnd w:id="105"/>
      <w:bookmarkEnd w:id="106"/>
      <w:bookmarkEnd w:id="107"/>
      <w:bookmarkEnd w:id="108"/>
    </w:p>
    <w:p w14:paraId="16261AD1">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公司成立至今未发生</w:t>
      </w:r>
      <w:r>
        <w:rPr>
          <w:rFonts w:hint="eastAsia" w:eastAsiaTheme="minorEastAsia"/>
          <w:color w:val="000000" w:themeColor="text1"/>
          <w:sz w:val="24"/>
          <w:szCs w:val="24"/>
          <w:lang w:val="en-US" w:eastAsia="zh-CN"/>
          <w14:textFill>
            <w14:solidFill>
              <w14:schemeClr w14:val="tx1"/>
            </w14:solidFill>
          </w14:textFill>
        </w:rPr>
        <w:t>过</w:t>
      </w:r>
      <w:r>
        <w:rPr>
          <w:rFonts w:eastAsiaTheme="minorEastAsia"/>
          <w:color w:val="000000" w:themeColor="text1"/>
          <w:sz w:val="24"/>
          <w:szCs w:val="24"/>
          <w14:textFill>
            <w14:solidFill>
              <w14:schemeClr w14:val="tx1"/>
            </w14:solidFill>
          </w14:textFill>
        </w:rPr>
        <w:t>重大环境风险事故。</w:t>
      </w:r>
    </w:p>
    <w:p w14:paraId="09D5532D">
      <w:pPr>
        <w:pStyle w:val="3"/>
        <w:keepNext/>
        <w:keepLines/>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cs="Times New Roman" w:eastAsiaTheme="minorEastAsia"/>
          <w:color w:val="000000" w:themeColor="text1"/>
          <w:sz w:val="24"/>
          <w:szCs w:val="24"/>
          <w14:textFill>
            <w14:solidFill>
              <w14:schemeClr w14:val="tx1"/>
            </w14:solidFill>
          </w14:textFill>
        </w:rPr>
      </w:pPr>
      <w:bookmarkStart w:id="109" w:name="_Toc19769"/>
      <w:bookmarkStart w:id="110" w:name="_Toc456642258"/>
      <w:bookmarkStart w:id="111" w:name="_Toc10457"/>
      <w:bookmarkStart w:id="112" w:name="_Toc25591"/>
      <w:bookmarkStart w:id="113" w:name="_Toc31165"/>
      <w:bookmarkStart w:id="114" w:name="_Toc17748"/>
      <w:r>
        <w:rPr>
          <w:rFonts w:hint="eastAsia" w:ascii="Times New Roman" w:hAnsi="Times New Roman" w:cs="Times New Roman" w:eastAsiaTheme="minorEastAsia"/>
          <w:color w:val="000000" w:themeColor="text1"/>
          <w:sz w:val="24"/>
          <w:szCs w:val="24"/>
          <w14:textFill>
            <w14:solidFill>
              <w14:schemeClr w14:val="tx1"/>
            </w14:solidFill>
          </w14:textFill>
        </w:rPr>
        <w:t>3.</w:t>
      </w:r>
      <w:r>
        <w:rPr>
          <w:rFonts w:hint="eastAsia" w:cs="Times New Roman" w:eastAsiaTheme="minorEastAsia"/>
          <w:color w:val="000000" w:themeColor="text1"/>
          <w:sz w:val="24"/>
          <w:szCs w:val="24"/>
          <w:lang w:val="en-US" w:eastAsia="zh-CN"/>
          <w14:textFill>
            <w14:solidFill>
              <w14:schemeClr w14:val="tx1"/>
            </w14:solidFill>
          </w14:textFill>
        </w:rPr>
        <w:t>7</w:t>
      </w:r>
      <w:r>
        <w:rPr>
          <w:rFonts w:hint="eastAsia" w:ascii="Times New Roman" w:hAnsi="Times New Roman" w:cs="Times New Roman" w:eastAsiaTheme="minorEastAsia"/>
          <w:color w:val="000000" w:themeColor="text1"/>
          <w:sz w:val="24"/>
          <w:szCs w:val="24"/>
          <w14:textFill>
            <w14:solidFill>
              <w14:schemeClr w14:val="tx1"/>
            </w14:solidFill>
          </w14:textFill>
        </w:rPr>
        <w:t>安全生产管理</w:t>
      </w:r>
      <w:bookmarkEnd w:id="109"/>
      <w:bookmarkEnd w:id="110"/>
      <w:bookmarkEnd w:id="111"/>
      <w:bookmarkEnd w:id="112"/>
      <w:bookmarkEnd w:id="113"/>
      <w:bookmarkEnd w:id="114"/>
    </w:p>
    <w:p w14:paraId="4FA2F5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企业安全生产管理情况见下表。</w:t>
      </w:r>
    </w:p>
    <w:p w14:paraId="42F059EE">
      <w:pPr>
        <w:snapToGrid w:val="0"/>
        <w:spacing w:line="500" w:lineRule="exact"/>
        <w:jc w:val="center"/>
        <w:rPr>
          <w:rFonts w:ascii="宋体" w:hAnsi="宋体" w:eastAsia="宋体" w:cs="宋体"/>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16</w:t>
      </w:r>
      <w:r>
        <w:rPr>
          <w:rFonts w:hint="default" w:ascii="Times New Roman" w:hAnsi="Times New Roman" w:eastAsia="宋体" w:cs="Times New Roman"/>
          <w:b/>
          <w:bCs/>
        </w:rPr>
        <w:t>企业安全生产管理</w:t>
      </w:r>
    </w:p>
    <w:tbl>
      <w:tblPr>
        <w:tblStyle w:val="3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5955"/>
        <w:gridCol w:w="1231"/>
      </w:tblGrid>
      <w:tr w14:paraId="3216C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tcBorders>
              <w:tl2br w:val="nil"/>
              <w:tr2bl w:val="nil"/>
            </w:tcBorders>
            <w:vAlign w:val="center"/>
          </w:tcPr>
          <w:p w14:paraId="3272D1A5">
            <w:pPr>
              <w:adjustRightInd w:val="0"/>
              <w:jc w:val="center"/>
              <w:rPr>
                <w:rFonts w:ascii="宋体" w:hAnsi="宋体" w:eastAsia="宋体" w:cs="宋体"/>
                <w:b/>
                <w:bCs/>
                <w:sz w:val="21"/>
                <w:szCs w:val="21"/>
              </w:rPr>
            </w:pPr>
            <w:r>
              <w:rPr>
                <w:rFonts w:hint="eastAsia" w:ascii="宋体" w:hAnsi="宋体" w:eastAsia="宋体" w:cs="宋体"/>
                <w:b/>
                <w:bCs/>
                <w:sz w:val="21"/>
                <w:szCs w:val="21"/>
              </w:rPr>
              <w:t>评估指标</w:t>
            </w:r>
          </w:p>
        </w:tc>
        <w:tc>
          <w:tcPr>
            <w:tcW w:w="3173" w:type="pct"/>
            <w:tcBorders>
              <w:tl2br w:val="nil"/>
              <w:tr2bl w:val="nil"/>
            </w:tcBorders>
            <w:vAlign w:val="center"/>
          </w:tcPr>
          <w:p w14:paraId="43CD1C8B">
            <w:pPr>
              <w:adjustRightInd w:val="0"/>
              <w:jc w:val="center"/>
              <w:rPr>
                <w:rFonts w:ascii="宋体" w:hAnsi="宋体" w:eastAsia="宋体" w:cs="宋体"/>
                <w:b/>
                <w:bCs/>
                <w:sz w:val="21"/>
                <w:szCs w:val="21"/>
              </w:rPr>
            </w:pPr>
            <w:r>
              <w:rPr>
                <w:rFonts w:hint="eastAsia" w:ascii="宋体" w:hAnsi="宋体" w:eastAsia="宋体" w:cs="宋体"/>
                <w:b/>
                <w:bCs/>
                <w:sz w:val="21"/>
                <w:szCs w:val="21"/>
              </w:rPr>
              <w:t>评估依据</w:t>
            </w:r>
          </w:p>
        </w:tc>
        <w:tc>
          <w:tcPr>
            <w:tcW w:w="656" w:type="pct"/>
            <w:tcBorders>
              <w:tl2br w:val="nil"/>
              <w:tr2bl w:val="nil"/>
            </w:tcBorders>
            <w:vAlign w:val="center"/>
          </w:tcPr>
          <w:p w14:paraId="428D87BB">
            <w:pPr>
              <w:adjustRightInd w:val="0"/>
              <w:jc w:val="center"/>
              <w:rPr>
                <w:rFonts w:ascii="宋体" w:hAnsi="宋体" w:eastAsia="宋体" w:cs="宋体"/>
                <w:b/>
                <w:bCs/>
                <w:sz w:val="21"/>
                <w:szCs w:val="21"/>
              </w:rPr>
            </w:pPr>
            <w:r>
              <w:rPr>
                <w:rFonts w:hint="eastAsia" w:ascii="宋体" w:hAnsi="宋体" w:eastAsia="宋体" w:cs="宋体"/>
                <w:b/>
                <w:bCs/>
                <w:sz w:val="21"/>
                <w:szCs w:val="21"/>
              </w:rPr>
              <w:t>企业情况</w:t>
            </w:r>
          </w:p>
        </w:tc>
      </w:tr>
      <w:tr w14:paraId="2B297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5F55DFFB">
            <w:pPr>
              <w:adjustRightInd w:val="0"/>
              <w:jc w:val="center"/>
              <w:rPr>
                <w:rFonts w:ascii="宋体" w:hAnsi="宋体" w:eastAsia="宋体" w:cs="宋体"/>
                <w:sz w:val="21"/>
                <w:szCs w:val="21"/>
              </w:rPr>
            </w:pPr>
            <w:r>
              <w:rPr>
                <w:rFonts w:hint="eastAsia" w:ascii="宋体" w:hAnsi="宋体" w:eastAsia="宋体" w:cs="宋体"/>
                <w:sz w:val="21"/>
                <w:szCs w:val="21"/>
              </w:rPr>
              <w:t>消防验收</w:t>
            </w:r>
          </w:p>
        </w:tc>
        <w:tc>
          <w:tcPr>
            <w:tcW w:w="3173" w:type="pct"/>
            <w:tcBorders>
              <w:tl2br w:val="nil"/>
              <w:tr2bl w:val="nil"/>
            </w:tcBorders>
            <w:vAlign w:val="center"/>
          </w:tcPr>
          <w:p w14:paraId="3BFAAF8C">
            <w:pPr>
              <w:adjustRightInd w:val="0"/>
              <w:jc w:val="center"/>
              <w:rPr>
                <w:rFonts w:ascii="宋体" w:hAnsi="宋体" w:eastAsia="宋体" w:cs="宋体"/>
                <w:sz w:val="21"/>
                <w:szCs w:val="21"/>
              </w:rPr>
            </w:pPr>
            <w:r>
              <w:rPr>
                <w:rFonts w:hint="eastAsia" w:ascii="宋体" w:hAnsi="宋体" w:eastAsia="宋体" w:cs="宋体"/>
                <w:sz w:val="21"/>
                <w:szCs w:val="21"/>
              </w:rPr>
              <w:t>消防验收意见为合格，且最近一次消防检查合格</w:t>
            </w:r>
          </w:p>
        </w:tc>
        <w:tc>
          <w:tcPr>
            <w:tcW w:w="656" w:type="pct"/>
            <w:tcBorders>
              <w:tl2br w:val="nil"/>
              <w:tr2bl w:val="nil"/>
            </w:tcBorders>
            <w:vAlign w:val="center"/>
          </w:tcPr>
          <w:p w14:paraId="59ED6C91">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7B0EC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4A580592">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66C2C7AD">
            <w:pPr>
              <w:adjustRightInd w:val="0"/>
              <w:jc w:val="center"/>
              <w:rPr>
                <w:rFonts w:ascii="宋体" w:hAnsi="宋体" w:eastAsia="宋体" w:cs="宋体"/>
                <w:sz w:val="21"/>
                <w:szCs w:val="21"/>
              </w:rPr>
            </w:pPr>
            <w:r>
              <w:rPr>
                <w:rFonts w:hint="eastAsia" w:ascii="宋体" w:hAnsi="宋体" w:eastAsia="宋体" w:cs="宋体"/>
                <w:sz w:val="21"/>
                <w:szCs w:val="21"/>
              </w:rPr>
              <w:t>消防验收意见不合格，或最近一次消防检查不合格</w:t>
            </w:r>
          </w:p>
        </w:tc>
        <w:tc>
          <w:tcPr>
            <w:tcW w:w="656" w:type="pct"/>
            <w:tcBorders>
              <w:tl2br w:val="nil"/>
              <w:tr2bl w:val="nil"/>
            </w:tcBorders>
            <w:vAlign w:val="center"/>
          </w:tcPr>
          <w:p w14:paraId="3B2F66B4">
            <w:pPr>
              <w:adjustRightInd w:val="0"/>
              <w:jc w:val="center"/>
              <w:rPr>
                <w:rFonts w:ascii="宋体" w:hAnsi="宋体" w:eastAsia="宋体" w:cs="宋体"/>
                <w:sz w:val="21"/>
                <w:szCs w:val="21"/>
              </w:rPr>
            </w:pPr>
          </w:p>
        </w:tc>
      </w:tr>
      <w:tr w14:paraId="7D1FB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7CFACDA1">
            <w:pPr>
              <w:adjustRightInd w:val="0"/>
              <w:jc w:val="center"/>
              <w:rPr>
                <w:rFonts w:ascii="宋体" w:hAnsi="宋体" w:eastAsia="宋体" w:cs="宋体"/>
                <w:sz w:val="21"/>
                <w:szCs w:val="21"/>
              </w:rPr>
            </w:pPr>
            <w:r>
              <w:rPr>
                <w:rFonts w:hint="eastAsia" w:ascii="宋体" w:hAnsi="宋体" w:eastAsia="宋体" w:cs="宋体"/>
                <w:sz w:val="21"/>
                <w:szCs w:val="21"/>
              </w:rPr>
              <w:t>安全生产许可</w:t>
            </w:r>
          </w:p>
        </w:tc>
        <w:tc>
          <w:tcPr>
            <w:tcW w:w="3173" w:type="pct"/>
            <w:tcBorders>
              <w:tl2br w:val="nil"/>
              <w:tr2bl w:val="nil"/>
            </w:tcBorders>
            <w:vAlign w:val="center"/>
          </w:tcPr>
          <w:p w14:paraId="7FDCB7AA">
            <w:pPr>
              <w:adjustRightInd w:val="0"/>
              <w:jc w:val="center"/>
              <w:rPr>
                <w:rFonts w:ascii="宋体" w:hAnsi="宋体" w:eastAsia="宋体" w:cs="宋体"/>
                <w:sz w:val="21"/>
                <w:szCs w:val="21"/>
              </w:rPr>
            </w:pPr>
            <w:r>
              <w:rPr>
                <w:rFonts w:hint="eastAsia" w:ascii="宋体" w:hAnsi="宋体" w:eastAsia="宋体" w:cs="宋体"/>
                <w:sz w:val="21"/>
                <w:szCs w:val="21"/>
              </w:rPr>
              <w:t>非化学物质生产企业或化学物质生产企业取得安全生产许可</w:t>
            </w:r>
          </w:p>
        </w:tc>
        <w:tc>
          <w:tcPr>
            <w:tcW w:w="656" w:type="pct"/>
            <w:tcBorders>
              <w:tl2br w:val="nil"/>
              <w:tr2bl w:val="nil"/>
            </w:tcBorders>
            <w:vAlign w:val="center"/>
          </w:tcPr>
          <w:p w14:paraId="7E8ED284">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0E460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393FE35A">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1B83E37B">
            <w:pPr>
              <w:adjustRightInd w:val="0"/>
              <w:jc w:val="center"/>
              <w:rPr>
                <w:rFonts w:ascii="宋体" w:hAnsi="宋体" w:eastAsia="宋体" w:cs="宋体"/>
                <w:sz w:val="21"/>
                <w:szCs w:val="21"/>
              </w:rPr>
            </w:pPr>
            <w:r>
              <w:rPr>
                <w:rFonts w:hint="eastAsia" w:ascii="宋体" w:hAnsi="宋体" w:eastAsia="宋体" w:cs="宋体"/>
                <w:sz w:val="21"/>
                <w:szCs w:val="21"/>
              </w:rPr>
              <w:t>化学物质生产企业未取得安全生产许可</w:t>
            </w:r>
          </w:p>
        </w:tc>
        <w:tc>
          <w:tcPr>
            <w:tcW w:w="656" w:type="pct"/>
            <w:tcBorders>
              <w:tl2br w:val="nil"/>
              <w:tr2bl w:val="nil"/>
            </w:tcBorders>
            <w:vAlign w:val="center"/>
          </w:tcPr>
          <w:p w14:paraId="71BD000E">
            <w:pPr>
              <w:adjustRightInd w:val="0"/>
              <w:jc w:val="center"/>
              <w:rPr>
                <w:rFonts w:ascii="宋体" w:hAnsi="宋体" w:eastAsia="宋体" w:cs="宋体"/>
                <w:sz w:val="21"/>
                <w:szCs w:val="21"/>
              </w:rPr>
            </w:pPr>
          </w:p>
        </w:tc>
      </w:tr>
      <w:tr w14:paraId="38520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3F4D20FD">
            <w:pPr>
              <w:adjustRightInd w:val="0"/>
              <w:jc w:val="center"/>
              <w:rPr>
                <w:rFonts w:ascii="宋体" w:hAnsi="宋体" w:eastAsia="宋体" w:cs="宋体"/>
                <w:sz w:val="21"/>
                <w:szCs w:val="21"/>
              </w:rPr>
            </w:pPr>
            <w:r>
              <w:rPr>
                <w:rFonts w:hint="eastAsia" w:ascii="宋体" w:hAnsi="宋体" w:eastAsia="宋体" w:cs="宋体"/>
                <w:sz w:val="21"/>
                <w:szCs w:val="21"/>
              </w:rPr>
              <w:t>化学物质安全评价</w:t>
            </w:r>
          </w:p>
        </w:tc>
        <w:tc>
          <w:tcPr>
            <w:tcW w:w="3173" w:type="pct"/>
            <w:tcBorders>
              <w:tl2br w:val="nil"/>
              <w:tr2bl w:val="nil"/>
            </w:tcBorders>
            <w:vAlign w:val="center"/>
          </w:tcPr>
          <w:p w14:paraId="77973212">
            <w:pPr>
              <w:adjustRightInd w:val="0"/>
              <w:jc w:val="center"/>
              <w:rPr>
                <w:rFonts w:ascii="宋体" w:hAnsi="宋体" w:eastAsia="宋体" w:cs="宋体"/>
                <w:sz w:val="21"/>
                <w:szCs w:val="21"/>
              </w:rPr>
            </w:pPr>
            <w:r>
              <w:rPr>
                <w:rFonts w:hint="eastAsia" w:ascii="宋体" w:hAnsi="宋体" w:eastAsia="宋体" w:cs="宋体"/>
                <w:sz w:val="21"/>
                <w:szCs w:val="21"/>
              </w:rPr>
              <w:t>展开化学物质安全评价；通过安全设施竣工验收，或无要求</w:t>
            </w:r>
          </w:p>
        </w:tc>
        <w:tc>
          <w:tcPr>
            <w:tcW w:w="656" w:type="pct"/>
            <w:tcBorders>
              <w:tl2br w:val="nil"/>
              <w:tr2bl w:val="nil"/>
            </w:tcBorders>
            <w:vAlign w:val="center"/>
          </w:tcPr>
          <w:p w14:paraId="75D4EBCB">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69CE1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041BC8FC">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601CDCD">
            <w:pPr>
              <w:adjustRightInd w:val="0"/>
              <w:jc w:val="center"/>
              <w:rPr>
                <w:rFonts w:ascii="宋体" w:hAnsi="宋体" w:eastAsia="宋体" w:cs="宋体"/>
                <w:sz w:val="21"/>
                <w:szCs w:val="21"/>
              </w:rPr>
            </w:pPr>
            <w:r>
              <w:rPr>
                <w:rFonts w:hint="eastAsia" w:ascii="宋体" w:hAnsi="宋体" w:eastAsia="宋体" w:cs="宋体"/>
                <w:sz w:val="21"/>
                <w:szCs w:val="21"/>
              </w:rPr>
              <w:t>未</w:t>
            </w:r>
            <w:r>
              <w:rPr>
                <w:rFonts w:hint="eastAsia" w:ascii="宋体" w:hAnsi="宋体" w:eastAsia="宋体" w:cs="宋体"/>
                <w:sz w:val="21"/>
                <w:szCs w:val="21"/>
                <w:lang w:eastAsia="zh-CN"/>
              </w:rPr>
              <w:t>开展</w:t>
            </w:r>
            <w:r>
              <w:rPr>
                <w:rFonts w:hint="eastAsia" w:ascii="宋体" w:hAnsi="宋体" w:eastAsia="宋体" w:cs="宋体"/>
                <w:sz w:val="21"/>
                <w:szCs w:val="21"/>
              </w:rPr>
              <w:t>化学物质安全评价，或未通过安全设施竣工验收</w:t>
            </w:r>
          </w:p>
        </w:tc>
        <w:tc>
          <w:tcPr>
            <w:tcW w:w="656" w:type="pct"/>
            <w:tcBorders>
              <w:tl2br w:val="nil"/>
              <w:tr2bl w:val="nil"/>
            </w:tcBorders>
            <w:vAlign w:val="center"/>
          </w:tcPr>
          <w:p w14:paraId="120390CA">
            <w:pPr>
              <w:adjustRightInd w:val="0"/>
              <w:jc w:val="center"/>
              <w:rPr>
                <w:rFonts w:ascii="宋体" w:hAnsi="宋体" w:eastAsia="宋体" w:cs="宋体"/>
                <w:sz w:val="21"/>
                <w:szCs w:val="21"/>
              </w:rPr>
            </w:pPr>
          </w:p>
        </w:tc>
      </w:tr>
      <w:tr w14:paraId="32C31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64C6AECC">
            <w:pPr>
              <w:adjustRightInd w:val="0"/>
              <w:jc w:val="center"/>
              <w:rPr>
                <w:rFonts w:ascii="宋体" w:hAnsi="宋体" w:eastAsia="宋体" w:cs="宋体"/>
                <w:sz w:val="21"/>
                <w:szCs w:val="21"/>
              </w:rPr>
            </w:pPr>
            <w:r>
              <w:rPr>
                <w:rFonts w:hint="eastAsia" w:ascii="宋体" w:hAnsi="宋体" w:eastAsia="宋体" w:cs="宋体"/>
                <w:sz w:val="21"/>
                <w:szCs w:val="21"/>
              </w:rPr>
              <w:t>化学物质重大危险源备案</w:t>
            </w:r>
          </w:p>
        </w:tc>
        <w:tc>
          <w:tcPr>
            <w:tcW w:w="3173" w:type="pct"/>
            <w:tcBorders>
              <w:tl2br w:val="nil"/>
              <w:tr2bl w:val="nil"/>
            </w:tcBorders>
            <w:vAlign w:val="center"/>
          </w:tcPr>
          <w:p w14:paraId="01A12458">
            <w:pPr>
              <w:adjustRightInd w:val="0"/>
              <w:jc w:val="center"/>
              <w:rPr>
                <w:rFonts w:ascii="宋体" w:hAnsi="宋体" w:eastAsia="宋体" w:cs="宋体"/>
                <w:sz w:val="21"/>
                <w:szCs w:val="21"/>
              </w:rPr>
            </w:pPr>
            <w:r>
              <w:rPr>
                <w:rFonts w:hint="eastAsia" w:ascii="宋体" w:hAnsi="宋体" w:eastAsia="宋体" w:cs="宋体"/>
                <w:sz w:val="21"/>
                <w:szCs w:val="21"/>
              </w:rPr>
              <w:t>无重大危险源，或所有化学物质重大危险源均已备案</w:t>
            </w:r>
          </w:p>
        </w:tc>
        <w:tc>
          <w:tcPr>
            <w:tcW w:w="656" w:type="pct"/>
            <w:tcBorders>
              <w:tl2br w:val="nil"/>
              <w:tr2bl w:val="nil"/>
            </w:tcBorders>
            <w:vAlign w:val="center"/>
          </w:tcPr>
          <w:p w14:paraId="5282332C">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5B685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63D3126B">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136D837">
            <w:pPr>
              <w:adjustRightInd w:val="0"/>
              <w:jc w:val="center"/>
              <w:rPr>
                <w:rFonts w:ascii="宋体" w:hAnsi="宋体" w:eastAsia="宋体" w:cs="宋体"/>
                <w:sz w:val="21"/>
                <w:szCs w:val="21"/>
              </w:rPr>
            </w:pPr>
            <w:r>
              <w:rPr>
                <w:rFonts w:hint="eastAsia" w:ascii="宋体" w:hAnsi="宋体" w:eastAsia="宋体" w:cs="宋体"/>
                <w:sz w:val="21"/>
                <w:szCs w:val="21"/>
              </w:rPr>
              <w:t>有化学物质重大危险源未备案</w:t>
            </w:r>
          </w:p>
        </w:tc>
        <w:tc>
          <w:tcPr>
            <w:tcW w:w="656" w:type="pct"/>
            <w:tcBorders>
              <w:tl2br w:val="nil"/>
              <w:tr2bl w:val="nil"/>
            </w:tcBorders>
            <w:vAlign w:val="center"/>
          </w:tcPr>
          <w:p w14:paraId="1E107919">
            <w:pPr>
              <w:jc w:val="center"/>
              <w:rPr>
                <w:rFonts w:ascii="宋体" w:hAnsi="宋体" w:eastAsia="宋体" w:cs="宋体"/>
                <w:sz w:val="21"/>
                <w:szCs w:val="21"/>
              </w:rPr>
            </w:pPr>
          </w:p>
        </w:tc>
      </w:tr>
    </w:tbl>
    <w:p w14:paraId="55E282D7">
      <w:pPr>
        <w:pStyle w:val="3"/>
        <w:keepNext/>
        <w:keepLines/>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bookmarkStart w:id="115" w:name="_Toc31931"/>
      <w:bookmarkStart w:id="116" w:name="_Toc21635"/>
      <w:bookmarkStart w:id="117" w:name="_Toc23508"/>
      <w:bookmarkStart w:id="118" w:name="_Toc32103"/>
      <w:r>
        <w:rPr>
          <w:rFonts w:hint="eastAsia" w:ascii="Times New Roman" w:hAnsi="Times New Roman" w:cs="Times New Roman" w:eastAsiaTheme="minorEastAsia"/>
          <w:color w:val="000000" w:themeColor="text1"/>
          <w:sz w:val="24"/>
          <w:szCs w:val="24"/>
          <w14:textFill>
            <w14:solidFill>
              <w14:schemeClr w14:val="tx1"/>
            </w14:solidFill>
          </w14:textFill>
        </w:rPr>
        <w:t>3.</w:t>
      </w:r>
      <w:r>
        <w:rPr>
          <w:rFonts w:hint="eastAsia" w:cs="Times New Roman" w:eastAsiaTheme="minorEastAsia"/>
          <w:color w:val="000000" w:themeColor="text1"/>
          <w:sz w:val="24"/>
          <w:szCs w:val="24"/>
          <w:lang w:val="en-US" w:eastAsia="zh-CN"/>
          <w14:textFill>
            <w14:solidFill>
              <w14:schemeClr w14:val="tx1"/>
            </w14:solidFill>
          </w14:textFill>
        </w:rPr>
        <w:t>8</w:t>
      </w:r>
      <w:r>
        <w:rPr>
          <w:rFonts w:hint="eastAsia" w:ascii="Times New Roman" w:hAnsi="Times New Roman" w:cs="Times New Roman" w:eastAsiaTheme="minorEastAsia"/>
          <w:color w:val="000000" w:themeColor="text1"/>
          <w:sz w:val="24"/>
          <w:szCs w:val="24"/>
          <w14:textFill>
            <w14:solidFill>
              <w14:schemeClr w14:val="tx1"/>
            </w14:solidFill>
          </w14:textFill>
        </w:rPr>
        <w:t>现有环境风险防控与应急措施情况</w:t>
      </w:r>
      <w:bookmarkEnd w:id="115"/>
      <w:bookmarkEnd w:id="116"/>
      <w:bookmarkEnd w:id="117"/>
      <w:bookmarkEnd w:id="118"/>
    </w:p>
    <w:p w14:paraId="601BF675">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Cs w:val="24"/>
          <w:lang w:val="en-US" w:eastAsia="zh-CN"/>
        </w:rPr>
      </w:pPr>
      <w:bookmarkStart w:id="119" w:name="_Toc21216"/>
      <w:bookmarkStart w:id="120" w:name="_Toc15542"/>
      <w:r>
        <w:rPr>
          <w:rFonts w:hint="default" w:ascii="Times New Roman" w:hAnsi="Times New Roman" w:eastAsia="宋体" w:cs="Times New Roman"/>
          <w:szCs w:val="24"/>
        </w:rPr>
        <w:t>3.</w:t>
      </w:r>
      <w:r>
        <w:rPr>
          <w:rFonts w:hint="eastAsia" w:eastAsia="宋体" w:cs="Times New Roman"/>
          <w:szCs w:val="24"/>
          <w:lang w:val="en-US" w:eastAsia="zh-CN"/>
        </w:rPr>
        <w:t>8</w:t>
      </w:r>
      <w:r>
        <w:rPr>
          <w:rFonts w:hint="default" w:ascii="Times New Roman" w:hAnsi="Times New Roman" w:eastAsia="宋体" w:cs="Times New Roman"/>
          <w:szCs w:val="24"/>
        </w:rPr>
        <w:t>.</w:t>
      </w:r>
      <w:r>
        <w:rPr>
          <w:rFonts w:hint="eastAsia" w:eastAsia="宋体" w:cs="Times New Roman"/>
          <w:szCs w:val="24"/>
          <w:lang w:val="en-US" w:eastAsia="zh-CN"/>
        </w:rPr>
        <w:t>1现有环境风险防控措施情况</w:t>
      </w:r>
      <w:bookmarkEnd w:id="119"/>
      <w:bookmarkEnd w:id="120"/>
    </w:p>
    <w:p w14:paraId="18C10B8B">
      <w:pPr>
        <w:spacing w:before="0" w:line="500" w:lineRule="exact"/>
        <w:ind w:left="0" w:right="0" w:firstLine="480" w:firstLineChars="200"/>
        <w:jc w:val="both"/>
        <w:rPr>
          <w:sz w:val="21"/>
        </w:rPr>
      </w:pPr>
      <w:bookmarkStart w:id="121" w:name="_Toc446074790"/>
      <w:bookmarkStart w:id="122" w:name="_Toc412725538"/>
      <w:bookmarkStart w:id="123" w:name="_Toc18304"/>
      <w:r>
        <w:rPr>
          <w:rFonts w:hint="eastAsia" w:ascii="宋体" w:hAnsi="宋体" w:eastAsia="宋体" w:cs="宋体"/>
        </w:rPr>
        <w:t>根据企业提供的资料和现场踏勘情况，并对照企业提供的其他资料，厂区涉及环境风险物质的环境风险单元及其环境风险防控措施的实施和日常管理情况</w:t>
      </w:r>
      <w:r>
        <w:rPr>
          <w:rFonts w:hint="eastAsia" w:ascii="宋体" w:hAnsi="宋体" w:eastAsia="宋体" w:cs="宋体"/>
          <w:lang w:val="en-US" w:eastAsia="zh-CN"/>
        </w:rPr>
        <w:t>见</w:t>
      </w:r>
      <w:r>
        <w:rPr>
          <w:rFonts w:hint="eastAsia" w:ascii="宋体" w:hAnsi="宋体" w:eastAsia="宋体" w:cs="宋体"/>
        </w:rPr>
        <w:t>下表。</w:t>
      </w:r>
      <w:r>
        <w:rPr>
          <w:rFonts w:hint="default"/>
          <w:lang w:val="en-US"/>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730250</wp:posOffset>
                </wp:positionV>
                <wp:extent cx="907224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90722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57.5pt;height:0pt;width:714.35pt;mso-position-horizontal-relative:page;mso-position-vertical-relative:page;z-index:251660288;mso-width-relative:page;mso-height-relative:page;" filled="f" stroked="t" coordsize="21600,21600" o:gfxdata="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5ZcjWAAAADAEAAA8AAAAAAAAAAQAgAAAAIgAAAGRycy9kb3ducmV2LnhtbFBLAQIU&#10;ABQAAAAIAIdO4kD4osxK9QEAAOQDAAAOAAAAAAAAAAEAIAAAACUBAABkcnMvZTJvRG9jLnhtbFBL&#10;BQYAAAAABgAGAFkBAACMBQAAAAA=&#10;">
                <v:fill on="f" focussize="0,0"/>
                <v:stroke weight="0.72pt" color="#000000" joinstyle="round"/>
                <v:imagedata o:title=""/>
                <o:lock v:ext="edit" aspectratio="f"/>
              </v:line>
            </w:pict>
          </mc:Fallback>
        </mc:AlternateContent>
      </w:r>
    </w:p>
    <w:p w14:paraId="49518784">
      <w:pPr>
        <w:snapToGrid w:val="0"/>
        <w:spacing w:line="500" w:lineRule="exact"/>
        <w:jc w:val="center"/>
        <w:rPr>
          <w:rFonts w:ascii="宋体" w:hAnsi="宋体" w:eastAsia="宋体" w:cs="宋体"/>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17</w:t>
      </w:r>
      <w:r>
        <w:rPr>
          <w:rFonts w:hint="default" w:ascii="Times New Roman" w:hAnsi="Times New Roman" w:eastAsia="宋体" w:cs="Times New Roman"/>
          <w:b/>
          <w:bCs/>
        </w:rPr>
        <w:t>企业现有环境风险单元及防控措施一览表</w:t>
      </w:r>
    </w:p>
    <w:tbl>
      <w:tblPr>
        <w:tblStyle w:val="37"/>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autofit"/>
        <w:tblCellMar>
          <w:top w:w="0" w:type="dxa"/>
          <w:left w:w="0" w:type="dxa"/>
          <w:bottom w:w="0" w:type="dxa"/>
          <w:right w:w="0" w:type="dxa"/>
        </w:tblCellMar>
      </w:tblPr>
      <w:tblGrid>
        <w:gridCol w:w="499"/>
        <w:gridCol w:w="758"/>
        <w:gridCol w:w="1423"/>
        <w:gridCol w:w="1506"/>
        <w:gridCol w:w="2505"/>
        <w:gridCol w:w="2505"/>
      </w:tblGrid>
      <w:tr w14:paraId="1019FE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454" w:hRule="atLeast"/>
        </w:trPr>
        <w:tc>
          <w:tcPr>
            <w:tcW w:w="271" w:type="pct"/>
            <w:tcBorders>
              <w:tl2br w:val="nil"/>
              <w:tr2bl w:val="nil"/>
            </w:tcBorders>
            <w:vAlign w:val="center"/>
          </w:tcPr>
          <w:p w14:paraId="74B08DBD">
            <w:pPr>
              <w:pStyle w:val="140"/>
              <w:spacing w:before="0"/>
              <w:ind w:left="0"/>
              <w:jc w:val="center"/>
              <w:rPr>
                <w:b/>
                <w:sz w:val="21"/>
              </w:rPr>
            </w:pPr>
            <w:r>
              <w:rPr>
                <w:b/>
                <w:sz w:val="21"/>
              </w:rPr>
              <w:t>类别</w:t>
            </w:r>
          </w:p>
        </w:tc>
        <w:tc>
          <w:tcPr>
            <w:tcW w:w="412" w:type="pct"/>
            <w:tcBorders>
              <w:tl2br w:val="nil"/>
              <w:tr2bl w:val="nil"/>
            </w:tcBorders>
            <w:vAlign w:val="center"/>
          </w:tcPr>
          <w:p w14:paraId="59BC723D">
            <w:pPr>
              <w:pStyle w:val="140"/>
              <w:spacing w:before="0"/>
              <w:ind w:left="0" w:right="0"/>
              <w:rPr>
                <w:rFonts w:hint="default" w:eastAsia="宋体"/>
                <w:b/>
                <w:sz w:val="21"/>
                <w:lang w:val="en-US" w:eastAsia="zh-CN"/>
              </w:rPr>
            </w:pPr>
            <w:r>
              <w:rPr>
                <w:rFonts w:hint="eastAsia"/>
                <w:b/>
                <w:sz w:val="21"/>
                <w:lang w:val="en-US" w:eastAsia="zh-CN"/>
              </w:rPr>
              <w:t>环境风险单元</w:t>
            </w:r>
          </w:p>
        </w:tc>
        <w:tc>
          <w:tcPr>
            <w:tcW w:w="773" w:type="pct"/>
            <w:tcBorders>
              <w:tl2br w:val="nil"/>
              <w:tr2bl w:val="nil"/>
            </w:tcBorders>
            <w:vAlign w:val="center"/>
          </w:tcPr>
          <w:p w14:paraId="0A2EE15B">
            <w:pPr>
              <w:pStyle w:val="140"/>
              <w:spacing w:before="0"/>
              <w:ind w:left="0" w:right="0"/>
              <w:rPr>
                <w:rFonts w:hint="default" w:eastAsia="宋体"/>
                <w:b/>
                <w:sz w:val="21"/>
                <w:lang w:val="en-US" w:eastAsia="zh-CN"/>
              </w:rPr>
            </w:pPr>
            <w:r>
              <w:rPr>
                <w:rFonts w:hint="eastAsia"/>
                <w:b/>
                <w:sz w:val="21"/>
                <w:lang w:val="en-US" w:eastAsia="zh-CN"/>
              </w:rPr>
              <w:t>典型事件情景</w:t>
            </w:r>
          </w:p>
        </w:tc>
        <w:tc>
          <w:tcPr>
            <w:tcW w:w="818" w:type="pct"/>
            <w:tcBorders>
              <w:tl2br w:val="nil"/>
              <w:tr2bl w:val="nil"/>
            </w:tcBorders>
            <w:vAlign w:val="center"/>
          </w:tcPr>
          <w:p w14:paraId="5C9F7DBC">
            <w:pPr>
              <w:pStyle w:val="140"/>
              <w:spacing w:before="0"/>
              <w:ind w:left="0"/>
              <w:jc w:val="center"/>
              <w:rPr>
                <w:rFonts w:hint="eastAsia" w:eastAsia="宋体"/>
                <w:b/>
                <w:sz w:val="21"/>
                <w:lang w:val="en-US" w:eastAsia="zh-CN"/>
              </w:rPr>
            </w:pPr>
            <w:r>
              <w:rPr>
                <w:rFonts w:hint="eastAsia"/>
                <w:b/>
                <w:sz w:val="21"/>
                <w:lang w:val="en-US" w:eastAsia="zh-CN"/>
              </w:rPr>
              <w:t>环境</w:t>
            </w:r>
            <w:r>
              <w:rPr>
                <w:b/>
                <w:sz w:val="21"/>
              </w:rPr>
              <w:t>风险防控</w:t>
            </w:r>
            <w:r>
              <w:rPr>
                <w:rFonts w:hint="eastAsia"/>
                <w:b/>
                <w:sz w:val="21"/>
                <w:lang w:val="en-US" w:eastAsia="zh-CN"/>
              </w:rPr>
              <w:t>措施</w:t>
            </w:r>
          </w:p>
        </w:tc>
        <w:tc>
          <w:tcPr>
            <w:tcW w:w="1361" w:type="pct"/>
            <w:tcBorders>
              <w:tl2br w:val="nil"/>
              <w:tr2bl w:val="nil"/>
            </w:tcBorders>
            <w:vAlign w:val="center"/>
          </w:tcPr>
          <w:p w14:paraId="53E31ECC">
            <w:pPr>
              <w:pStyle w:val="140"/>
              <w:spacing w:before="0"/>
              <w:ind w:left="0" w:right="0"/>
              <w:rPr>
                <w:b/>
                <w:sz w:val="21"/>
              </w:rPr>
            </w:pPr>
            <w:r>
              <w:rPr>
                <w:b/>
                <w:sz w:val="21"/>
              </w:rPr>
              <w:t>应急处置措施</w:t>
            </w:r>
          </w:p>
        </w:tc>
        <w:tc>
          <w:tcPr>
            <w:tcW w:w="1361" w:type="pct"/>
            <w:tcBorders>
              <w:tl2br w:val="nil"/>
              <w:tr2bl w:val="nil"/>
            </w:tcBorders>
            <w:vAlign w:val="center"/>
          </w:tcPr>
          <w:p w14:paraId="002077E7">
            <w:pPr>
              <w:pStyle w:val="140"/>
              <w:spacing w:before="0"/>
              <w:ind w:left="0" w:right="0"/>
              <w:rPr>
                <w:rFonts w:hint="eastAsia" w:eastAsia="宋体"/>
                <w:b/>
                <w:sz w:val="21"/>
                <w:lang w:val="en-US" w:eastAsia="zh-CN"/>
              </w:rPr>
            </w:pPr>
            <w:r>
              <w:rPr>
                <w:rFonts w:hint="eastAsia"/>
                <w:b/>
                <w:sz w:val="21"/>
                <w:lang w:val="en-US" w:eastAsia="zh-CN"/>
              </w:rPr>
              <w:t>应急资源</w:t>
            </w:r>
          </w:p>
        </w:tc>
      </w:tr>
      <w:tr w14:paraId="034C83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625" w:hRule="atLeast"/>
        </w:trPr>
        <w:tc>
          <w:tcPr>
            <w:tcW w:w="271" w:type="pct"/>
            <w:tcBorders>
              <w:tl2br w:val="nil"/>
              <w:tr2bl w:val="nil"/>
            </w:tcBorders>
            <w:vAlign w:val="center"/>
          </w:tcPr>
          <w:p w14:paraId="4FFDA0AC">
            <w:pPr>
              <w:pStyle w:val="140"/>
              <w:spacing w:line="240" w:lineRule="auto"/>
              <w:ind w:left="0" w:right="0"/>
              <w:jc w:val="center"/>
              <w:rPr>
                <w:sz w:val="21"/>
              </w:rPr>
            </w:pPr>
            <w:r>
              <w:rPr>
                <w:sz w:val="21"/>
              </w:rPr>
              <w:t>辅助工程</w:t>
            </w:r>
          </w:p>
        </w:tc>
        <w:tc>
          <w:tcPr>
            <w:tcW w:w="412" w:type="pct"/>
            <w:tcBorders>
              <w:tl2br w:val="nil"/>
              <w:tr2bl w:val="nil"/>
            </w:tcBorders>
            <w:vAlign w:val="center"/>
          </w:tcPr>
          <w:p w14:paraId="7617681F">
            <w:pPr>
              <w:pStyle w:val="140"/>
              <w:spacing w:before="0"/>
              <w:ind w:left="0" w:right="0"/>
              <w:rPr>
                <w:rFonts w:hint="default" w:eastAsia="宋体"/>
                <w:sz w:val="21"/>
                <w:lang w:val="en-US" w:eastAsia="zh-CN"/>
              </w:rPr>
            </w:pPr>
            <w:r>
              <w:rPr>
                <w:rFonts w:hint="eastAsia"/>
                <w:sz w:val="21"/>
                <w:lang w:val="en-US" w:eastAsia="zh-CN"/>
              </w:rPr>
              <w:t>润滑油仓库、原料</w:t>
            </w:r>
            <w:r>
              <w:rPr>
                <w:sz w:val="21"/>
              </w:rPr>
              <w:t>仓库</w:t>
            </w:r>
          </w:p>
        </w:tc>
        <w:tc>
          <w:tcPr>
            <w:tcW w:w="773" w:type="pct"/>
            <w:tcBorders>
              <w:tl2br w:val="nil"/>
              <w:tr2bl w:val="nil"/>
            </w:tcBorders>
            <w:vAlign w:val="center"/>
          </w:tcPr>
          <w:p w14:paraId="1053C181">
            <w:pPr>
              <w:pStyle w:val="140"/>
              <w:spacing w:line="240" w:lineRule="auto"/>
              <w:ind w:left="0" w:right="0" w:firstLine="0"/>
              <w:rPr>
                <w:sz w:val="21"/>
              </w:rPr>
            </w:pPr>
            <w:r>
              <w:rPr>
                <w:sz w:val="21"/>
              </w:rPr>
              <w:t>遇高温或明火引发火</w:t>
            </w:r>
            <w:r>
              <w:rPr>
                <w:spacing w:val="0"/>
                <w:w w:val="100"/>
                <w:sz w:val="21"/>
              </w:rPr>
              <w:t>灾、爆炸事故；污染下风向大气环境；泄漏物料进入外环境，污染地</w:t>
            </w:r>
            <w:r>
              <w:rPr>
                <w:sz w:val="21"/>
              </w:rPr>
              <w:t>表水和土壤</w:t>
            </w:r>
          </w:p>
        </w:tc>
        <w:tc>
          <w:tcPr>
            <w:tcW w:w="818" w:type="pct"/>
            <w:tcBorders>
              <w:tl2br w:val="nil"/>
              <w:tr2bl w:val="nil"/>
            </w:tcBorders>
            <w:vAlign w:val="center"/>
          </w:tcPr>
          <w:p w14:paraId="69CE04A9">
            <w:pPr>
              <w:pStyle w:val="140"/>
              <w:spacing w:line="240" w:lineRule="auto"/>
              <w:ind w:left="0" w:right="0"/>
              <w:jc w:val="center"/>
              <w:rPr>
                <w:rFonts w:hint="eastAsia" w:eastAsia="宋体"/>
                <w:sz w:val="21"/>
                <w:lang w:eastAsia="zh-CN"/>
              </w:rPr>
            </w:pPr>
            <w:r>
              <w:rPr>
                <w:sz w:val="21"/>
              </w:rPr>
              <w:t>摄像头、人工巡视点检；</w:t>
            </w:r>
          </w:p>
          <w:p w14:paraId="5577C9CA">
            <w:pPr>
              <w:pStyle w:val="140"/>
              <w:spacing w:line="240" w:lineRule="auto"/>
              <w:ind w:left="0" w:right="0"/>
              <w:jc w:val="center"/>
              <w:rPr>
                <w:rFonts w:hint="eastAsia" w:eastAsia="宋体"/>
                <w:sz w:val="21"/>
                <w:lang w:eastAsia="zh-CN"/>
              </w:rPr>
            </w:pPr>
            <w:r>
              <w:rPr>
                <w:sz w:val="21"/>
              </w:rPr>
              <w:t>地面防腐防渗，设有</w:t>
            </w:r>
            <w:r>
              <w:rPr>
                <w:rFonts w:hint="eastAsia"/>
                <w:sz w:val="21"/>
                <w:lang w:val="en-US" w:eastAsia="zh-CN"/>
              </w:rPr>
              <w:t>导流沟</w:t>
            </w:r>
          </w:p>
        </w:tc>
        <w:tc>
          <w:tcPr>
            <w:tcW w:w="1361" w:type="pct"/>
            <w:tcBorders>
              <w:tl2br w:val="nil"/>
              <w:tr2bl w:val="nil"/>
            </w:tcBorders>
            <w:vAlign w:val="center"/>
          </w:tcPr>
          <w:p w14:paraId="299A5F4B">
            <w:pPr>
              <w:jc w:val="center"/>
              <w:rPr>
                <w:sz w:val="2"/>
                <w:szCs w:val="2"/>
              </w:rPr>
            </w:pPr>
            <w:r>
              <w:rPr>
                <w:rFonts w:hint="eastAsia" w:ascii="宋体" w:hAnsi="宋体" w:eastAsia="宋体" w:cs="宋体"/>
                <w:sz w:val="21"/>
                <w:szCs w:val="21"/>
                <w:lang w:val="en-US" w:eastAsia="zh-CN"/>
              </w:rPr>
              <w:t>泄漏：</w:t>
            </w:r>
            <w:r>
              <w:rPr>
                <w:rFonts w:hint="default"/>
                <w:sz w:val="21"/>
              </w:rPr>
              <w:t>①</w:t>
            </w:r>
            <w:r>
              <w:rPr>
                <w:rFonts w:hint="eastAsia" w:ascii="宋体" w:hAnsi="宋体" w:eastAsia="宋体" w:cs="宋体"/>
                <w:sz w:val="21"/>
                <w:szCs w:val="21"/>
                <w:lang w:val="en-US" w:eastAsia="zh-CN"/>
              </w:rPr>
              <w:t>开展堵漏等应急处置工作；②泄漏物料及冲洗水等事故废水收集至事故池，处理达标后用槽车运送至海安市墩头镇污水处理厂。火灾：①应急指挥部通知各应急小组做好应急设施、物资准备、个人防护措施等应急准备工作，立即前往事故现场，联系应急监测单位对事发地及厂界等点位进行监测，关注大气污染物浓度，如超出厂界，及时通报周边企业和居民，③关闭企业雨水排口，将事故废水收集事故应急池，处理达标后用槽车运送至海安市墩头镇污水处理厂，</w:t>
            </w:r>
          </w:p>
        </w:tc>
        <w:tc>
          <w:tcPr>
            <w:tcW w:w="1361" w:type="pct"/>
            <w:tcBorders>
              <w:tl2br w:val="nil"/>
              <w:tr2bl w:val="nil"/>
            </w:tcBorders>
            <w:vAlign w:val="center"/>
          </w:tcPr>
          <w:p w14:paraId="6A1A7B54">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灭火器、黄沙袋、消防员战斗服、消防</w:t>
            </w:r>
            <w:r>
              <w:rPr>
                <w:rFonts w:hint="default" w:ascii="宋体" w:hAnsi="宋体" w:eastAsia="宋体" w:cs="宋体"/>
                <w:sz w:val="21"/>
                <w:szCs w:val="21"/>
                <w:lang w:val="en-US" w:eastAsia="zh-CN"/>
              </w:rPr>
              <w:t>手枪、消防沙箱</w:t>
            </w:r>
          </w:p>
          <w:p w14:paraId="1FE1A10F">
            <w:pPr>
              <w:jc w:val="center"/>
              <w:rPr>
                <w:rFonts w:hint="default" w:ascii="宋体" w:hAnsi="宋体" w:eastAsia="宋体" w:cs="宋体"/>
                <w:sz w:val="21"/>
                <w:szCs w:val="21"/>
                <w:lang w:val="en-US" w:eastAsia="zh-CN"/>
              </w:rPr>
            </w:pPr>
          </w:p>
        </w:tc>
      </w:tr>
      <w:tr w14:paraId="73576C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012" w:hRule="atLeast"/>
        </w:trPr>
        <w:tc>
          <w:tcPr>
            <w:tcW w:w="271" w:type="pct"/>
            <w:vMerge w:val="restart"/>
            <w:tcBorders>
              <w:tl2br w:val="nil"/>
              <w:tr2bl w:val="nil"/>
            </w:tcBorders>
            <w:vAlign w:val="center"/>
          </w:tcPr>
          <w:p w14:paraId="482185B8">
            <w:pPr>
              <w:pStyle w:val="140"/>
              <w:spacing w:before="0" w:line="240" w:lineRule="auto"/>
              <w:ind w:left="0" w:right="0"/>
              <w:jc w:val="center"/>
              <w:rPr>
                <w:sz w:val="21"/>
              </w:rPr>
            </w:pPr>
            <w:r>
              <w:rPr>
                <w:sz w:val="21"/>
              </w:rPr>
              <w:t>环保设施</w:t>
            </w:r>
          </w:p>
        </w:tc>
        <w:tc>
          <w:tcPr>
            <w:tcW w:w="412" w:type="pct"/>
            <w:tcBorders>
              <w:tl2br w:val="nil"/>
              <w:tr2bl w:val="nil"/>
            </w:tcBorders>
            <w:vAlign w:val="center"/>
          </w:tcPr>
          <w:p w14:paraId="61B016F4">
            <w:pPr>
              <w:pStyle w:val="140"/>
              <w:spacing w:line="240" w:lineRule="auto"/>
              <w:ind w:left="0" w:right="0" w:firstLine="0"/>
              <w:jc w:val="center"/>
              <w:rPr>
                <w:sz w:val="21"/>
              </w:rPr>
            </w:pPr>
            <w:r>
              <w:rPr>
                <w:sz w:val="21"/>
              </w:rPr>
              <w:t>废气处理</w:t>
            </w:r>
            <w:r>
              <w:rPr>
                <w:rFonts w:hint="eastAsia"/>
                <w:sz w:val="21"/>
                <w:lang w:eastAsia="zh-CN"/>
              </w:rPr>
              <w:t>设施</w:t>
            </w:r>
          </w:p>
        </w:tc>
        <w:tc>
          <w:tcPr>
            <w:tcW w:w="773" w:type="pct"/>
            <w:tcBorders>
              <w:tl2br w:val="nil"/>
              <w:tr2bl w:val="nil"/>
            </w:tcBorders>
            <w:vAlign w:val="center"/>
          </w:tcPr>
          <w:p w14:paraId="19C5BDD0">
            <w:pPr>
              <w:pStyle w:val="140"/>
              <w:spacing w:line="240" w:lineRule="auto"/>
              <w:ind w:left="0" w:right="0" w:firstLine="0"/>
              <w:jc w:val="center"/>
              <w:rPr>
                <w:sz w:val="21"/>
              </w:rPr>
            </w:pPr>
            <w:r>
              <w:rPr>
                <w:sz w:val="21"/>
              </w:rPr>
              <w:t>处理措施故障，废气不达标排放</w:t>
            </w:r>
          </w:p>
        </w:tc>
        <w:tc>
          <w:tcPr>
            <w:tcW w:w="818" w:type="pct"/>
            <w:tcBorders>
              <w:tl2br w:val="nil"/>
              <w:tr2bl w:val="nil"/>
            </w:tcBorders>
            <w:vAlign w:val="center"/>
          </w:tcPr>
          <w:p w14:paraId="6576CBF8">
            <w:pPr>
              <w:pStyle w:val="140"/>
              <w:spacing w:before="0" w:line="240" w:lineRule="auto"/>
              <w:ind w:left="0" w:right="0"/>
              <w:rPr>
                <w:sz w:val="21"/>
              </w:rPr>
            </w:pPr>
            <w:r>
              <w:rPr>
                <w:sz w:val="21"/>
              </w:rPr>
              <w:t>定期委托资质单位进行监测；定期对废气处理措施进行维护等</w:t>
            </w:r>
          </w:p>
        </w:tc>
        <w:tc>
          <w:tcPr>
            <w:tcW w:w="1361" w:type="pct"/>
            <w:tcBorders>
              <w:tl2br w:val="nil"/>
              <w:tr2bl w:val="nil"/>
            </w:tcBorders>
            <w:vAlign w:val="center"/>
          </w:tcPr>
          <w:p w14:paraId="75F4B091">
            <w:pPr>
              <w:pStyle w:val="140"/>
              <w:spacing w:line="240" w:lineRule="auto"/>
              <w:ind w:left="0"/>
              <w:jc w:val="center"/>
              <w:rPr>
                <w:sz w:val="21"/>
              </w:rPr>
            </w:pPr>
            <w:r>
              <w:rPr>
                <w:w w:val="100"/>
                <w:sz w:val="21"/>
              </w:rPr>
              <w:t>一旦超标立即停止生产；采用便携式监测仪监测或委托资质单位对下风向大气环境进行检测，若超标严重，上报上级管理部门</w:t>
            </w:r>
            <w:r>
              <w:rPr>
                <w:w w:val="95"/>
                <w:sz w:val="21"/>
              </w:rPr>
              <w:t>，协</w:t>
            </w:r>
            <w:r>
              <w:rPr>
                <w:sz w:val="21"/>
              </w:rPr>
              <w:t>助安排相应的撤离。</w:t>
            </w:r>
          </w:p>
        </w:tc>
        <w:tc>
          <w:tcPr>
            <w:tcW w:w="1361" w:type="pct"/>
            <w:tcBorders>
              <w:tl2br w:val="nil"/>
              <w:tr2bl w:val="nil"/>
            </w:tcBorders>
            <w:vAlign w:val="center"/>
          </w:tcPr>
          <w:p w14:paraId="10C458F3">
            <w:pPr>
              <w:pStyle w:val="140"/>
              <w:spacing w:line="240" w:lineRule="auto"/>
              <w:ind w:left="0"/>
              <w:jc w:val="center"/>
              <w:rPr>
                <w:w w:val="100"/>
                <w:sz w:val="21"/>
              </w:rPr>
            </w:pPr>
            <w:r>
              <w:rPr>
                <w:rFonts w:hint="eastAsia" w:ascii="宋体" w:hAnsi="宋体" w:eastAsia="宋体" w:cs="宋体"/>
                <w:kern w:val="2"/>
                <w:sz w:val="21"/>
                <w:szCs w:val="24"/>
                <w:lang w:val="en-US" w:eastAsia="zh-CN" w:bidi="ar-SA"/>
              </w:rPr>
              <w:t>防护服、污染治理设备</w:t>
            </w:r>
          </w:p>
        </w:tc>
      </w:tr>
      <w:tr w14:paraId="50A8DA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809" w:hRule="atLeast"/>
        </w:trPr>
        <w:tc>
          <w:tcPr>
            <w:tcW w:w="271" w:type="pct"/>
            <w:vMerge w:val="continue"/>
            <w:tcBorders>
              <w:tl2br w:val="nil"/>
              <w:tr2bl w:val="nil"/>
            </w:tcBorders>
            <w:vAlign w:val="center"/>
          </w:tcPr>
          <w:p w14:paraId="76960C26">
            <w:pPr>
              <w:jc w:val="center"/>
              <w:rPr>
                <w:sz w:val="2"/>
                <w:szCs w:val="2"/>
              </w:rPr>
            </w:pPr>
          </w:p>
        </w:tc>
        <w:tc>
          <w:tcPr>
            <w:tcW w:w="412" w:type="pct"/>
            <w:tcBorders>
              <w:tl2br w:val="nil"/>
              <w:tr2bl w:val="nil"/>
            </w:tcBorders>
            <w:vAlign w:val="center"/>
          </w:tcPr>
          <w:p w14:paraId="63443932">
            <w:pPr>
              <w:pStyle w:val="140"/>
              <w:ind w:left="0" w:right="0"/>
              <w:rPr>
                <w:sz w:val="21"/>
              </w:rPr>
            </w:pPr>
            <w:r>
              <w:rPr>
                <w:sz w:val="21"/>
              </w:rPr>
              <w:t>危废仓库</w:t>
            </w:r>
          </w:p>
        </w:tc>
        <w:tc>
          <w:tcPr>
            <w:tcW w:w="773" w:type="pct"/>
            <w:tcBorders>
              <w:tl2br w:val="nil"/>
              <w:tr2bl w:val="nil"/>
            </w:tcBorders>
            <w:vAlign w:val="center"/>
          </w:tcPr>
          <w:p w14:paraId="3CB9527B">
            <w:pPr>
              <w:pStyle w:val="140"/>
              <w:ind w:left="0" w:right="0"/>
              <w:rPr>
                <w:sz w:val="21"/>
              </w:rPr>
            </w:pPr>
            <w:r>
              <w:rPr>
                <w:sz w:val="21"/>
              </w:rPr>
              <w:t>危废进入地下</w:t>
            </w:r>
          </w:p>
        </w:tc>
        <w:tc>
          <w:tcPr>
            <w:tcW w:w="818" w:type="pct"/>
            <w:tcBorders>
              <w:tl2br w:val="nil"/>
              <w:tr2bl w:val="nil"/>
            </w:tcBorders>
            <w:vAlign w:val="center"/>
          </w:tcPr>
          <w:p w14:paraId="22FA4204">
            <w:pPr>
              <w:pStyle w:val="140"/>
              <w:spacing w:line="240" w:lineRule="auto"/>
              <w:ind w:left="0"/>
              <w:jc w:val="center"/>
              <w:rPr>
                <w:sz w:val="21"/>
              </w:rPr>
            </w:pPr>
            <w:r>
              <w:rPr>
                <w:sz w:val="21"/>
              </w:rPr>
              <w:t>摄像头、人工巡视点检；</w:t>
            </w:r>
          </w:p>
          <w:p w14:paraId="321870C2">
            <w:pPr>
              <w:pStyle w:val="140"/>
              <w:spacing w:before="0" w:line="240" w:lineRule="auto"/>
              <w:ind w:left="0" w:right="0" w:firstLine="0"/>
              <w:jc w:val="center"/>
              <w:rPr>
                <w:sz w:val="21"/>
              </w:rPr>
            </w:pPr>
            <w:r>
              <w:rPr>
                <w:sz w:val="21"/>
              </w:rPr>
              <w:t>地面防腐防渗，设有导流沟、收集井</w:t>
            </w:r>
          </w:p>
        </w:tc>
        <w:tc>
          <w:tcPr>
            <w:tcW w:w="1361" w:type="pct"/>
            <w:tcBorders>
              <w:tl2br w:val="nil"/>
              <w:tr2bl w:val="nil"/>
            </w:tcBorders>
            <w:vAlign w:val="center"/>
          </w:tcPr>
          <w:p w14:paraId="48C8E83F">
            <w:pPr>
              <w:pStyle w:val="140"/>
              <w:spacing w:before="0" w:line="240" w:lineRule="auto"/>
              <w:ind w:left="0" w:right="0" w:firstLine="0"/>
              <w:jc w:val="center"/>
              <w:rPr>
                <w:rFonts w:hint="eastAsia" w:eastAsia="宋体"/>
                <w:sz w:val="21"/>
                <w:lang w:eastAsia="zh-CN"/>
              </w:rPr>
            </w:pPr>
            <w:r>
              <w:rPr>
                <w:rFonts w:hint="eastAsia"/>
                <w:sz w:val="21"/>
              </w:rPr>
              <w:t>泄漏</w:t>
            </w:r>
            <w:r>
              <w:rPr>
                <w:rFonts w:hint="eastAsia"/>
                <w:sz w:val="21"/>
                <w:lang w:eastAsia="zh-CN"/>
              </w:rPr>
              <w:t>：</w:t>
            </w:r>
            <w:r>
              <w:rPr>
                <w:rFonts w:hint="default"/>
                <w:sz w:val="21"/>
              </w:rPr>
              <w:t>①</w:t>
            </w:r>
            <w:r>
              <w:rPr>
                <w:rFonts w:hint="eastAsia"/>
                <w:sz w:val="21"/>
              </w:rPr>
              <w:t>开展堵漏等应急处置工作，②泄漏物料及冲洗水等事故废水收集至事故池，处理达标后用槽车运送至</w:t>
            </w:r>
            <w:r>
              <w:rPr>
                <w:rFonts w:hint="eastAsia"/>
                <w:sz w:val="21"/>
                <w:lang w:eastAsia="zh-CN"/>
              </w:rPr>
              <w:t>海安市墩头镇污水处理厂</w:t>
            </w:r>
            <w:r>
              <w:rPr>
                <w:rFonts w:hint="eastAsia"/>
                <w:sz w:val="21"/>
              </w:rPr>
              <w:t>。火灾</w:t>
            </w:r>
            <w:r>
              <w:rPr>
                <w:rFonts w:hint="eastAsia"/>
                <w:sz w:val="21"/>
                <w:lang w:eastAsia="zh-CN"/>
              </w:rPr>
              <w:t>：</w:t>
            </w:r>
            <w:r>
              <w:rPr>
                <w:rFonts w:hint="eastAsia"/>
                <w:sz w:val="21"/>
              </w:rPr>
              <w:t>①应急指挥部通知各应急小组做好应急设施、物资准备、个人防护措施等应急准备工作，立即前往事故现场</w:t>
            </w:r>
            <w:r>
              <w:rPr>
                <w:rFonts w:hint="eastAsia"/>
                <w:sz w:val="21"/>
                <w:lang w:eastAsia="zh-CN"/>
              </w:rPr>
              <w:t>；</w:t>
            </w:r>
            <w:r>
              <w:rPr>
                <w:rFonts w:hint="eastAsia"/>
                <w:sz w:val="21"/>
              </w:rPr>
              <w:t>联系应急监测单位对事发地及厂界等点位进行监测，关注大气污染物浓度，如超出厂界，及时通报周边企业和居民</w:t>
            </w:r>
            <w:r>
              <w:rPr>
                <w:rFonts w:hint="eastAsia"/>
                <w:sz w:val="21"/>
                <w:lang w:eastAsia="zh-CN"/>
              </w:rPr>
              <w:t>；</w:t>
            </w:r>
            <w:r>
              <w:rPr>
                <w:rFonts w:hint="eastAsia"/>
                <w:sz w:val="21"/>
              </w:rPr>
              <w:t>③关闭企业雨水排口，将事故废水收集事故应急池，处理达标后用槽车运送至</w:t>
            </w:r>
            <w:r>
              <w:rPr>
                <w:rFonts w:hint="eastAsia"/>
                <w:sz w:val="21"/>
                <w:lang w:eastAsia="zh-CN"/>
              </w:rPr>
              <w:t>海安市墩头镇污水处理厂。</w:t>
            </w:r>
          </w:p>
        </w:tc>
        <w:tc>
          <w:tcPr>
            <w:tcW w:w="1361" w:type="pct"/>
            <w:tcBorders>
              <w:tl2br w:val="nil"/>
              <w:tr2bl w:val="nil"/>
            </w:tcBorders>
            <w:vAlign w:val="center"/>
          </w:tcPr>
          <w:p w14:paraId="56C6F9ED">
            <w:pPr>
              <w:keepNext w:val="0"/>
              <w:keepLines w:val="0"/>
              <w:widowControl/>
              <w:suppressLineNumbers w:val="0"/>
              <w:jc w:val="left"/>
              <w:rPr>
                <w:rFonts w:hint="eastAsia"/>
                <w:sz w:val="21"/>
              </w:rPr>
            </w:pPr>
            <w:r>
              <w:rPr>
                <w:rFonts w:hint="eastAsia" w:ascii="宋体" w:hAnsi="宋体" w:eastAsia="宋体" w:cs="宋体"/>
                <w:kern w:val="2"/>
                <w:sz w:val="21"/>
                <w:szCs w:val="24"/>
                <w:lang w:val="en-US" w:eastAsia="zh-CN" w:bidi="ar-SA"/>
              </w:rPr>
              <w:t>堵漏、拦截、吸附材</w:t>
            </w:r>
            <w:r>
              <w:rPr>
                <w:rFonts w:hint="default" w:ascii="宋体" w:hAnsi="宋体" w:eastAsia="宋体" w:cs="宋体"/>
                <w:kern w:val="2"/>
                <w:sz w:val="21"/>
                <w:szCs w:val="24"/>
                <w:lang w:val="en-US" w:eastAsia="zh-CN" w:bidi="ar-SA"/>
              </w:rPr>
              <w:t>料</w:t>
            </w:r>
          </w:p>
        </w:tc>
      </w:tr>
      <w:bookmarkEnd w:id="104"/>
      <w:bookmarkEnd w:id="121"/>
      <w:bookmarkEnd w:id="122"/>
      <w:bookmarkEnd w:id="123"/>
    </w:tbl>
    <w:p w14:paraId="2399EF59">
      <w:pPr>
        <w:pStyle w:val="249"/>
        <w:pageBreakBefore w:val="0"/>
        <w:widowControl/>
        <w:kinsoku/>
        <w:wordWrap/>
        <w:overflowPunct/>
        <w:topLinePunct w:val="0"/>
        <w:autoSpaceDE/>
        <w:autoSpaceDN/>
        <w:bidi w:val="0"/>
        <w:adjustRightInd/>
        <w:snapToGrid w:val="0"/>
        <w:textAlignment w:val="auto"/>
        <w:rPr>
          <w:rFonts w:hint="eastAsia" w:eastAsia="宋体" w:cs="Times New Roman"/>
          <w:sz w:val="24"/>
          <w:szCs w:val="24"/>
          <w:lang w:val="en-US" w:eastAsia="zh-CN"/>
        </w:rPr>
      </w:pPr>
      <w:bookmarkStart w:id="124" w:name="_Toc402776210"/>
      <w:r>
        <w:rPr>
          <w:rFonts w:hint="default" w:ascii="Times New Roman" w:hAnsi="Times New Roman" w:eastAsia="宋体" w:cs="Times New Roman"/>
          <w:sz w:val="24"/>
          <w:szCs w:val="24"/>
        </w:rPr>
        <w:t>3.</w:t>
      </w:r>
      <w:r>
        <w:rPr>
          <w:rFonts w:hint="eastAsia" w:cs="Times New Roman"/>
          <w:sz w:val="24"/>
          <w:szCs w:val="24"/>
          <w:lang w:val="en-US" w:eastAsia="zh-CN"/>
        </w:rPr>
        <w:t>8.1</w:t>
      </w:r>
      <w:r>
        <w:rPr>
          <w:rFonts w:hint="default" w:ascii="Times New Roman" w:hAnsi="Times New Roman" w:cs="Times New Roman"/>
          <w:sz w:val="24"/>
          <w:szCs w:val="24"/>
        </w:rPr>
        <w:t>.1</w:t>
      </w:r>
      <w:r>
        <w:rPr>
          <w:rFonts w:hint="eastAsia" w:eastAsia="宋体" w:cs="Times New Roman"/>
          <w:sz w:val="24"/>
          <w:szCs w:val="24"/>
          <w:lang w:val="en-US" w:eastAsia="zh-CN"/>
        </w:rPr>
        <w:t>环境风险防控分析</w:t>
      </w:r>
    </w:p>
    <w:p w14:paraId="41626AA4">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1、人工监控</w:t>
      </w:r>
    </w:p>
    <w:p w14:paraId="7E51B1F6">
      <w:pPr>
        <w:pStyle w:val="13"/>
        <w:spacing w:before="160"/>
        <w:ind w:left="777"/>
        <w:rPr>
          <w:rFonts w:hint="default" w:eastAsia="宋体"/>
        </w:rPr>
      </w:pPr>
      <w:r>
        <w:rPr>
          <w:rFonts w:hint="default" w:ascii="Times New Roman" w:hAnsi="Times New Roman" w:eastAsia="宋体"/>
        </w:rPr>
        <w:t>①</w:t>
      </w:r>
      <w:r>
        <w:rPr>
          <w:rFonts w:hint="default" w:eastAsia="宋体"/>
        </w:rPr>
        <w:t>全厂设置摄像监控系统，人工进行监管；</w:t>
      </w:r>
    </w:p>
    <w:p w14:paraId="7BB37FEA">
      <w:pPr>
        <w:pStyle w:val="13"/>
        <w:spacing w:before="159"/>
        <w:ind w:left="777"/>
        <w:rPr>
          <w:rFonts w:hint="default" w:eastAsia="宋体"/>
        </w:rPr>
      </w:pPr>
      <w:r>
        <w:rPr>
          <w:rFonts w:hint="default" w:ascii="Times New Roman" w:hAnsi="Times New Roman" w:eastAsia="宋体"/>
        </w:rPr>
        <w:t>②</w:t>
      </w:r>
      <w:r>
        <w:rPr>
          <w:rFonts w:hint="default" w:eastAsia="宋体"/>
        </w:rPr>
        <w:t>原料库装卸料过程，以及危废厂内运输过程，全程人工监管。</w:t>
      </w:r>
    </w:p>
    <w:p w14:paraId="70387971">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2、设备监控</w:t>
      </w:r>
    </w:p>
    <w:p w14:paraId="245F708D">
      <w:pPr>
        <w:spacing w:before="160" w:line="362" w:lineRule="auto"/>
        <w:ind w:left="777" w:right="6706" w:firstLine="0"/>
        <w:jc w:val="left"/>
        <w:rPr>
          <w:sz w:val="24"/>
        </w:rPr>
      </w:pPr>
      <w:r>
        <w:rPr>
          <w:rFonts w:eastAsia="宋体"/>
          <w:sz w:val="24"/>
        </w:rPr>
        <w:t>有视频监控。</w:t>
      </w:r>
    </w:p>
    <w:p w14:paraId="18C39A2D">
      <w:pPr>
        <w:pStyle w:val="249"/>
        <w:pageBreakBefore w:val="0"/>
        <w:widowControl/>
        <w:kinsoku/>
        <w:wordWrap/>
        <w:overflowPunct/>
        <w:topLinePunct w:val="0"/>
        <w:autoSpaceDE/>
        <w:autoSpaceDN/>
        <w:bidi w:val="0"/>
        <w:adjustRightInd/>
        <w:snapToGrid w:val="0"/>
        <w:textAlignment w:val="auto"/>
        <w:rPr>
          <w:rFonts w:hint="eastAsia" w:eastAsia="宋体" w:cs="Times New Roman"/>
          <w:sz w:val="24"/>
          <w:szCs w:val="24"/>
          <w:lang w:val="en-US" w:eastAsia="zh-CN"/>
        </w:rPr>
      </w:pPr>
      <w:bookmarkStart w:id="125" w:name="3.7.1.2事故废水收集情况分析"/>
      <w:bookmarkEnd w:id="125"/>
      <w:bookmarkStart w:id="126" w:name="3.7.1.2事故废水收集情况分析"/>
      <w:bookmarkEnd w:id="126"/>
      <w:r>
        <w:rPr>
          <w:rFonts w:hint="default" w:ascii="Times New Roman" w:hAnsi="Times New Roman" w:eastAsia="宋体" w:cs="Times New Roman"/>
          <w:sz w:val="24"/>
          <w:szCs w:val="24"/>
        </w:rPr>
        <w:t>3.</w:t>
      </w:r>
      <w:r>
        <w:rPr>
          <w:rFonts w:hint="eastAsia" w:cs="Times New Roman"/>
          <w:sz w:val="24"/>
          <w:szCs w:val="24"/>
          <w:lang w:val="en-US" w:eastAsia="zh-CN"/>
        </w:rPr>
        <w:t>8.1</w:t>
      </w:r>
      <w:r>
        <w:rPr>
          <w:rFonts w:hint="default" w:ascii="Times New Roman" w:hAnsi="Times New Roman" w:cs="Times New Roman"/>
          <w:sz w:val="24"/>
          <w:szCs w:val="24"/>
        </w:rPr>
        <w:t>.</w:t>
      </w:r>
      <w:r>
        <w:rPr>
          <w:rFonts w:hint="eastAsia" w:cs="Times New Roman"/>
          <w:sz w:val="24"/>
          <w:szCs w:val="24"/>
          <w:lang w:val="en-US" w:eastAsia="zh-CN"/>
        </w:rPr>
        <w:t>2</w:t>
      </w:r>
      <w:r>
        <w:rPr>
          <w:rFonts w:hint="eastAsia" w:eastAsia="宋体" w:cs="Times New Roman"/>
          <w:sz w:val="24"/>
          <w:szCs w:val="24"/>
          <w:lang w:val="en-US" w:eastAsia="zh-CN"/>
        </w:rPr>
        <w:t>事故废水收集情况分析</w:t>
      </w:r>
    </w:p>
    <w:p w14:paraId="52AD4692">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1、事故废水收集情况</w:t>
      </w:r>
    </w:p>
    <w:p w14:paraId="79DF2F52">
      <w:pPr>
        <w:pStyle w:val="13"/>
        <w:spacing w:before="0" w:after="0" w:line="500" w:lineRule="exact"/>
        <w:ind w:left="0" w:right="0" w:firstLine="480" w:firstLineChars="200"/>
        <w:jc w:val="left"/>
        <w:rPr>
          <w:rFonts w:eastAsia="宋体"/>
        </w:rPr>
      </w:pPr>
      <w:r>
        <w:rPr>
          <w:rFonts w:eastAsia="宋体"/>
          <w:spacing w:val="0"/>
        </w:rPr>
        <w:t>公司</w:t>
      </w:r>
      <w:r>
        <w:rPr>
          <w:rFonts w:hint="eastAsia" w:eastAsia="宋体"/>
          <w:spacing w:val="0"/>
          <w:lang w:val="en-US" w:eastAsia="zh-CN"/>
        </w:rPr>
        <w:t>设置120m</w:t>
      </w:r>
      <w:r>
        <w:rPr>
          <w:rFonts w:hint="eastAsia" w:eastAsia="宋体"/>
          <w:spacing w:val="0"/>
          <w:vertAlign w:val="superscript"/>
          <w:lang w:val="en-US" w:eastAsia="zh-CN"/>
        </w:rPr>
        <w:t>3</w:t>
      </w:r>
      <w:r>
        <w:rPr>
          <w:rFonts w:hint="eastAsia" w:eastAsia="宋体"/>
          <w:spacing w:val="0"/>
          <w:vertAlign w:val="baseline"/>
          <w:lang w:val="en-US" w:eastAsia="zh-CN"/>
        </w:rPr>
        <w:t>事故应急池</w:t>
      </w:r>
      <w:r>
        <w:rPr>
          <w:rFonts w:eastAsia="宋体"/>
          <w:spacing w:val="0"/>
        </w:rPr>
        <w:t>，有利于收集各类事故排水，以防止应急用水到处漫流；</w:t>
      </w:r>
      <w:r>
        <w:rPr>
          <w:rFonts w:hint="eastAsia" w:eastAsia="宋体"/>
          <w:spacing w:val="0"/>
          <w:lang w:val="en-US" w:eastAsia="zh-CN"/>
        </w:rPr>
        <w:t>雨水排口设置闸控，</w:t>
      </w:r>
      <w:r>
        <w:rPr>
          <w:rFonts w:eastAsia="宋体"/>
          <w:spacing w:val="0"/>
        </w:rPr>
        <w:t>事故状态下关闭雨水排放口的截留阀，可将泄漏物、消防水截流在雨水收集系统内，收集系统不能容纳泄漏物、消防水时，则转移进入事故应急</w:t>
      </w:r>
      <w:r>
        <w:rPr>
          <w:rFonts w:eastAsia="宋体"/>
        </w:rPr>
        <w:t>池内。</w:t>
      </w:r>
    </w:p>
    <w:p w14:paraId="06E89435">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2、生产废水收集情况</w:t>
      </w:r>
    </w:p>
    <w:p w14:paraId="2B1DB3EE">
      <w:pPr>
        <w:spacing w:before="0" w:line="500" w:lineRule="exact"/>
        <w:ind w:left="0" w:right="0" w:firstLine="480" w:firstLineChars="200"/>
        <w:jc w:val="left"/>
        <w:rPr>
          <w:rFonts w:eastAsia="宋体"/>
          <w:spacing w:val="0"/>
          <w:sz w:val="24"/>
        </w:rPr>
      </w:pPr>
      <w:r>
        <w:rPr>
          <w:rFonts w:hint="eastAsia" w:eastAsia="宋体"/>
          <w:spacing w:val="0"/>
          <w:sz w:val="24"/>
          <w:lang w:val="en-US" w:eastAsia="zh-CN"/>
        </w:rPr>
        <w:t>企业在实际运行中水帘废水经物化处理后全部回用于水帘用水、喷枪清洗废水及废气处理冷凝水全部回用于水帘补水，不外排</w:t>
      </w:r>
      <w:r>
        <w:rPr>
          <w:rFonts w:eastAsia="宋体"/>
          <w:spacing w:val="0"/>
          <w:sz w:val="24"/>
        </w:rPr>
        <w:t>。</w:t>
      </w:r>
    </w:p>
    <w:p w14:paraId="28282DA5">
      <w:pPr>
        <w:spacing w:before="0" w:line="500" w:lineRule="exact"/>
        <w:ind w:left="0" w:right="0" w:firstLine="482" w:firstLineChars="200"/>
        <w:jc w:val="left"/>
        <w:rPr>
          <w:rFonts w:hint="eastAsia" w:eastAsia="仿宋_GB2312"/>
          <w:b/>
          <w:sz w:val="24"/>
          <w:lang w:eastAsia="zh-CN"/>
        </w:rPr>
      </w:pPr>
      <w:r>
        <w:rPr>
          <w:rFonts w:hint="eastAsia" w:ascii="Times New Roman" w:eastAsia="宋体"/>
          <w:b/>
          <w:bCs/>
          <w:sz w:val="24"/>
        </w:rPr>
        <w:t>3</w:t>
      </w:r>
      <w:r>
        <w:rPr>
          <w:rFonts w:hint="eastAsia" w:eastAsia="宋体"/>
          <w:b/>
          <w:bCs/>
          <w:sz w:val="24"/>
        </w:rPr>
        <w:t>、收集、处理能力评估</w:t>
      </w:r>
    </w:p>
    <w:p w14:paraId="302136E6">
      <w:pPr>
        <w:widowControl/>
        <w:autoSpaceDE w:val="0"/>
        <w:autoSpaceDN w:val="0"/>
        <w:adjustRightInd w:val="0"/>
        <w:snapToGrid w:val="0"/>
        <w:spacing w:before="0" w:line="500" w:lineRule="exact"/>
        <w:ind w:left="0" w:right="0" w:firstLine="480" w:firstLineChars="200"/>
        <w:jc w:val="left"/>
        <w:textAlignment w:val="bottom"/>
        <w:rPr>
          <w:rFonts w:eastAsia="宋体"/>
          <w:color w:val="000000" w:themeColor="text1"/>
          <w:sz w:val="24"/>
          <w:szCs w:val="21"/>
          <w14:textFill>
            <w14:solidFill>
              <w14:schemeClr w14:val="tx1"/>
            </w14:solidFill>
          </w14:textFill>
        </w:rPr>
      </w:pPr>
      <w:r>
        <w:rPr>
          <w:rFonts w:eastAsia="宋体"/>
          <w:color w:val="000000" w:themeColor="text1"/>
          <w:sz w:val="24"/>
          <w:szCs w:val="21"/>
          <w14:textFill>
            <w14:solidFill>
              <w14:schemeClr w14:val="tx1"/>
            </w14:solidFill>
          </w14:textFill>
        </w:rPr>
        <w:t>应急池</w:t>
      </w:r>
      <w:r>
        <w:rPr>
          <w:rFonts w:hint="default" w:eastAsia="宋体"/>
          <w:color w:val="000000" w:themeColor="text1"/>
          <w:sz w:val="24"/>
          <w:szCs w:val="21"/>
          <w:lang w:val="en-US" w:eastAsia="zh-CN"/>
          <w14:textFill>
            <w14:solidFill>
              <w14:schemeClr w14:val="tx1"/>
            </w14:solidFill>
          </w14:textFill>
        </w:rPr>
        <w:t>容量</w:t>
      </w:r>
      <w:r>
        <w:rPr>
          <w:rFonts w:eastAsia="宋体"/>
          <w:color w:val="000000" w:themeColor="text1"/>
          <w:sz w:val="24"/>
          <w:szCs w:val="21"/>
          <w14:textFill>
            <w14:solidFill>
              <w14:schemeClr w14:val="tx1"/>
            </w14:solidFill>
          </w14:textFill>
        </w:rPr>
        <w:t>计算过程如下：</w:t>
      </w:r>
    </w:p>
    <w:p w14:paraId="22E89A2D">
      <w:pPr>
        <w:pStyle w:val="257"/>
        <w:ind w:firstLine="420"/>
        <w:rPr>
          <w:rFonts w:hint="default" w:ascii="Times New Roman" w:hAnsi="Times New Roman" w:eastAsia="宋体" w:cs="Times New Roman"/>
          <w:bCs w:val="0"/>
          <w:color w:val="auto"/>
          <w:spacing w:val="-10"/>
          <w:kern w:val="2"/>
          <w:sz w:val="24"/>
          <w:szCs w:val="24"/>
          <w:lang w:val="en-US" w:eastAsia="zh-CN" w:bidi="ar-SA"/>
        </w:rPr>
      </w:pPr>
      <w:bookmarkStart w:id="127" w:name="3.7.2应急物资及装备情况"/>
      <w:bookmarkEnd w:id="127"/>
      <w:bookmarkStart w:id="128" w:name="_TOC_250048"/>
      <w:bookmarkEnd w:id="128"/>
      <w:bookmarkStart w:id="129" w:name="_Toc13078"/>
      <w:bookmarkStart w:id="130" w:name="_Toc1474"/>
      <w:r>
        <w:rPr>
          <w:rFonts w:hint="default" w:ascii="Times New Roman" w:hAnsi="Times New Roman" w:eastAsia="宋体" w:cs="Times New Roman"/>
          <w:bCs w:val="0"/>
          <w:color w:val="auto"/>
          <w:spacing w:val="-10"/>
          <w:kern w:val="2"/>
          <w:sz w:val="24"/>
          <w:szCs w:val="24"/>
          <w:lang w:val="en-US" w:eastAsia="zh-CN" w:bidi="ar-SA"/>
        </w:rPr>
        <w:t>V总=（V1+V2-V3）max+V4+V5</w:t>
      </w:r>
    </w:p>
    <w:p w14:paraId="23232FC1">
      <w:pPr>
        <w:pStyle w:val="257"/>
        <w:ind w:firstLine="420"/>
        <w:rPr>
          <w:rFonts w:hint="default" w:ascii="Times New Roman" w:hAnsi="Times New Roman" w:eastAsia="宋体" w:cs="Times New Roman"/>
          <w:bCs w:val="0"/>
          <w:color w:val="auto"/>
          <w:spacing w:val="-10"/>
          <w:kern w:val="2"/>
          <w:sz w:val="24"/>
          <w:szCs w:val="24"/>
          <w:lang w:val="en-US" w:eastAsia="zh-CN" w:bidi="ar-SA"/>
        </w:rPr>
      </w:pPr>
      <w:r>
        <w:rPr>
          <w:rFonts w:hint="default" w:ascii="Times New Roman" w:hAnsi="Times New Roman" w:eastAsia="宋体" w:cs="Times New Roman"/>
          <w:bCs w:val="0"/>
          <w:color w:val="auto"/>
          <w:spacing w:val="-10"/>
          <w:kern w:val="2"/>
          <w:sz w:val="24"/>
          <w:szCs w:val="24"/>
          <w:lang w:val="en-US" w:eastAsia="zh-CN" w:bidi="ar-SA"/>
        </w:rPr>
        <w:t>式中：V总——事故排水储存设施的总有效容积（即事故排水总量），m3；</w:t>
      </w:r>
    </w:p>
    <w:p w14:paraId="720153E0">
      <w:pPr>
        <w:pStyle w:val="257"/>
        <w:ind w:firstLine="420"/>
        <w:rPr>
          <w:rFonts w:hint="default" w:ascii="Times New Roman" w:hAnsi="Times New Roman" w:eastAsia="宋体" w:cs="Times New Roman"/>
          <w:bCs w:val="0"/>
          <w:color w:val="auto"/>
          <w:spacing w:val="-10"/>
          <w:kern w:val="2"/>
          <w:sz w:val="24"/>
          <w:szCs w:val="24"/>
          <w:lang w:val="en-US" w:eastAsia="zh-CN" w:bidi="ar-SA"/>
        </w:rPr>
      </w:pPr>
      <w:r>
        <w:rPr>
          <w:rFonts w:hint="default" w:ascii="Times New Roman" w:hAnsi="Times New Roman" w:eastAsia="宋体" w:cs="Times New Roman"/>
          <w:bCs w:val="0"/>
          <w:color w:val="auto"/>
          <w:spacing w:val="-10"/>
          <w:kern w:val="2"/>
          <w:sz w:val="24"/>
          <w:szCs w:val="24"/>
          <w:lang w:val="en-US" w:eastAsia="zh-CN" w:bidi="ar-SA"/>
        </w:rPr>
        <w:t>V1：收集系统范围内发生事故的一个罐组或一套装置的物料量，m3；储存相同物料的罐组按一个最大储罐计，装置物料量按存留最大物料量的一台反应（塔）器或中间储罐计，m3；V1取0m3；</w:t>
      </w:r>
    </w:p>
    <w:p w14:paraId="63069F8A">
      <w:pPr>
        <w:pStyle w:val="257"/>
        <w:ind w:firstLine="420"/>
        <w:rPr>
          <w:rFonts w:hint="default" w:ascii="Times New Roman" w:hAnsi="Times New Roman" w:eastAsia="宋体" w:cs="Times New Roman"/>
          <w:bCs w:val="0"/>
          <w:color w:val="auto"/>
          <w:spacing w:val="-10"/>
          <w:kern w:val="2"/>
          <w:sz w:val="24"/>
          <w:szCs w:val="24"/>
          <w:lang w:val="en-US" w:eastAsia="zh-CN" w:bidi="ar-SA"/>
        </w:rPr>
      </w:pPr>
      <w:r>
        <w:rPr>
          <w:rFonts w:hint="default" w:ascii="Times New Roman" w:hAnsi="Times New Roman" w:eastAsia="宋体" w:cs="Times New Roman"/>
          <w:bCs w:val="0"/>
          <w:color w:val="auto"/>
          <w:spacing w:val="-10"/>
          <w:kern w:val="2"/>
          <w:sz w:val="24"/>
          <w:szCs w:val="24"/>
          <w:lang w:val="en-US" w:eastAsia="zh-CN" w:bidi="ar-SA"/>
        </w:rPr>
        <w:t>V2：火灾延续时间内，事故发生区域范围内的消防用水量，m3；V2=∑Q消×t消。消防用水量按同一时间内火灾次数为一次计。本项目属于丁类厂房，建筑体积小于50000m3。根据《建筑防火通用规范》（GB55037-2022），建筑占地面积大于300m2的甲乙丙类厂房、仓库应设置室内消火栓系统，本项目为丁类厂房，不需要设施室内消火栓系统。根据《消防给水及消火栓系统技术规范》（GB 50974-2014），室外消火栓设计流量是15L/s，根据《建筑防火通用规范》（GB55037-2022），火灾持续时间为2小时，一次消防水量为108m3，V2=108m3。</w:t>
      </w:r>
    </w:p>
    <w:p w14:paraId="15B9A189">
      <w:pPr>
        <w:pStyle w:val="257"/>
        <w:ind w:firstLine="420"/>
        <w:rPr>
          <w:rFonts w:hint="default" w:ascii="Times New Roman" w:hAnsi="Times New Roman" w:eastAsia="宋体" w:cs="Times New Roman"/>
          <w:bCs w:val="0"/>
          <w:color w:val="auto"/>
          <w:spacing w:val="-10"/>
          <w:kern w:val="2"/>
          <w:sz w:val="24"/>
          <w:szCs w:val="24"/>
          <w:lang w:val="en-US" w:eastAsia="zh-CN" w:bidi="ar-SA"/>
        </w:rPr>
      </w:pPr>
      <w:r>
        <w:rPr>
          <w:rFonts w:hint="default" w:ascii="Times New Roman" w:hAnsi="Times New Roman" w:eastAsia="宋体" w:cs="Times New Roman"/>
          <w:bCs w:val="0"/>
          <w:color w:val="auto"/>
          <w:spacing w:val="-10"/>
          <w:kern w:val="2"/>
          <w:sz w:val="24"/>
          <w:szCs w:val="24"/>
          <w:lang w:val="en-US" w:eastAsia="zh-CN" w:bidi="ar-SA"/>
        </w:rPr>
        <w:t>V3：发生事故时可以储存、转运到其他设施的事故排水量，m3，本项目雨水管道直径DN400，厂房周边管网长度为330m，则管网容积约为41m3，V3=41m3；</w:t>
      </w:r>
    </w:p>
    <w:p w14:paraId="54475AC4">
      <w:pPr>
        <w:pStyle w:val="257"/>
        <w:ind w:firstLine="420"/>
        <w:rPr>
          <w:rFonts w:hint="default" w:ascii="Times New Roman" w:hAnsi="Times New Roman" w:eastAsia="宋体" w:cs="Times New Roman"/>
          <w:bCs w:val="0"/>
          <w:color w:val="auto"/>
          <w:spacing w:val="-10"/>
          <w:kern w:val="2"/>
          <w:sz w:val="24"/>
          <w:szCs w:val="24"/>
          <w:lang w:val="en-US" w:eastAsia="zh-CN" w:bidi="ar-SA"/>
        </w:rPr>
      </w:pPr>
      <w:r>
        <w:rPr>
          <w:rFonts w:hint="default" w:ascii="Times New Roman" w:hAnsi="Times New Roman" w:eastAsia="宋体" w:cs="Times New Roman"/>
          <w:bCs w:val="0"/>
          <w:color w:val="auto"/>
          <w:spacing w:val="-10"/>
          <w:kern w:val="2"/>
          <w:sz w:val="24"/>
          <w:szCs w:val="24"/>
          <w:lang w:val="en-US" w:eastAsia="zh-CN" w:bidi="ar-SA"/>
        </w:rPr>
        <w:t>V4：发生事故时必须进入事故排水收集系统的生产废水量，m3，V4=0m3；</w:t>
      </w:r>
    </w:p>
    <w:p w14:paraId="680F52D5">
      <w:pPr>
        <w:pStyle w:val="257"/>
        <w:ind w:firstLine="420"/>
        <w:rPr>
          <w:rFonts w:hint="default" w:ascii="Times New Roman" w:hAnsi="Times New Roman" w:eastAsia="宋体" w:cs="Times New Roman"/>
          <w:bCs w:val="0"/>
          <w:color w:val="auto"/>
          <w:spacing w:val="-10"/>
          <w:kern w:val="2"/>
          <w:sz w:val="24"/>
          <w:szCs w:val="24"/>
          <w:lang w:val="en-US" w:eastAsia="zh-CN" w:bidi="ar-SA"/>
        </w:rPr>
      </w:pPr>
      <w:r>
        <w:rPr>
          <w:rFonts w:hint="default" w:ascii="Times New Roman" w:hAnsi="Times New Roman" w:eastAsia="宋体" w:cs="Times New Roman"/>
          <w:bCs w:val="0"/>
          <w:color w:val="auto"/>
          <w:spacing w:val="-10"/>
          <w:kern w:val="2"/>
          <w:sz w:val="24"/>
          <w:szCs w:val="24"/>
          <w:lang w:val="en-US" w:eastAsia="zh-CN" w:bidi="ar-SA"/>
        </w:rPr>
        <w:t>V5：发生事故时可能进入该收集系统的降雨量，m3。</w:t>
      </w:r>
    </w:p>
    <w:p w14:paraId="24FB0571">
      <w:pPr>
        <w:pStyle w:val="257"/>
        <w:ind w:firstLine="420"/>
        <w:rPr>
          <w:rFonts w:hint="default" w:ascii="Times New Roman" w:hAnsi="Times New Roman" w:eastAsia="宋体" w:cs="Times New Roman"/>
          <w:bCs w:val="0"/>
          <w:color w:val="auto"/>
          <w:spacing w:val="-10"/>
          <w:kern w:val="2"/>
          <w:sz w:val="24"/>
          <w:szCs w:val="24"/>
          <w:lang w:val="en-US" w:eastAsia="zh-CN" w:bidi="ar-SA"/>
        </w:rPr>
      </w:pPr>
      <w:r>
        <w:rPr>
          <w:rFonts w:hint="default" w:ascii="Times New Roman" w:hAnsi="Times New Roman" w:eastAsia="宋体" w:cs="Times New Roman"/>
          <w:bCs w:val="0"/>
          <w:color w:val="auto"/>
          <w:spacing w:val="-10"/>
          <w:kern w:val="2"/>
          <w:sz w:val="24"/>
          <w:szCs w:val="24"/>
          <w:lang w:val="en-US" w:eastAsia="zh-CN" w:bidi="ar-SA"/>
        </w:rPr>
        <w:t>V5=10qF</w:t>
      </w:r>
    </w:p>
    <w:p w14:paraId="7D425631">
      <w:pPr>
        <w:pStyle w:val="257"/>
        <w:ind w:firstLine="420"/>
        <w:rPr>
          <w:rFonts w:hint="default" w:ascii="Times New Roman" w:hAnsi="Times New Roman" w:eastAsia="宋体" w:cs="Times New Roman"/>
          <w:bCs w:val="0"/>
          <w:color w:val="auto"/>
          <w:spacing w:val="-10"/>
          <w:kern w:val="2"/>
          <w:sz w:val="24"/>
          <w:szCs w:val="24"/>
          <w:lang w:val="en-US" w:eastAsia="zh-CN" w:bidi="ar-SA"/>
        </w:rPr>
      </w:pPr>
      <w:r>
        <w:rPr>
          <w:rFonts w:hint="default" w:ascii="Times New Roman" w:hAnsi="Times New Roman" w:eastAsia="宋体" w:cs="Times New Roman"/>
          <w:bCs w:val="0"/>
          <w:color w:val="auto"/>
          <w:spacing w:val="-10"/>
          <w:kern w:val="2"/>
          <w:sz w:val="24"/>
          <w:szCs w:val="24"/>
          <w:lang w:val="en-US" w:eastAsia="zh-CN" w:bidi="ar-SA"/>
        </w:rPr>
        <w:t>式中：</w:t>
      </w:r>
    </w:p>
    <w:p w14:paraId="32600F88">
      <w:pPr>
        <w:pStyle w:val="257"/>
        <w:ind w:firstLine="420"/>
        <w:rPr>
          <w:rFonts w:hint="default" w:ascii="Times New Roman" w:hAnsi="Times New Roman" w:eastAsia="宋体" w:cs="Times New Roman"/>
          <w:bCs w:val="0"/>
          <w:color w:val="auto"/>
          <w:spacing w:val="-10"/>
          <w:kern w:val="2"/>
          <w:sz w:val="24"/>
          <w:szCs w:val="24"/>
          <w:lang w:val="en-US" w:eastAsia="zh-CN" w:bidi="ar-SA"/>
        </w:rPr>
      </w:pPr>
      <w:r>
        <w:rPr>
          <w:rFonts w:hint="default" w:ascii="Times New Roman" w:hAnsi="Times New Roman" w:eastAsia="宋体" w:cs="Times New Roman"/>
          <w:bCs w:val="0"/>
          <w:color w:val="auto"/>
          <w:spacing w:val="-10"/>
          <w:kern w:val="2"/>
          <w:sz w:val="24"/>
          <w:szCs w:val="24"/>
          <w:lang w:val="en-US" w:eastAsia="zh-CN" w:bidi="ar-SA"/>
        </w:rPr>
        <w:t>q——平均日降雨量；q=年平均降雨量/年平均降雨日数。本设计中年平均降雨量为1015.1mm，年平均降雨日数为85天。</w:t>
      </w:r>
    </w:p>
    <w:p w14:paraId="6BBBE353">
      <w:pPr>
        <w:pStyle w:val="257"/>
        <w:ind w:firstLine="420"/>
        <w:rPr>
          <w:rFonts w:hint="default" w:ascii="Times New Roman" w:hAnsi="Times New Roman" w:eastAsia="宋体" w:cs="Times New Roman"/>
          <w:bCs w:val="0"/>
          <w:color w:val="auto"/>
          <w:spacing w:val="-10"/>
          <w:kern w:val="2"/>
          <w:sz w:val="24"/>
          <w:szCs w:val="24"/>
          <w:lang w:val="en-US" w:eastAsia="zh-CN" w:bidi="ar-SA"/>
        </w:rPr>
      </w:pPr>
      <w:r>
        <w:rPr>
          <w:rFonts w:hint="default" w:ascii="Times New Roman" w:hAnsi="Times New Roman" w:eastAsia="宋体" w:cs="Times New Roman"/>
          <w:bCs w:val="0"/>
          <w:color w:val="auto"/>
          <w:spacing w:val="-10"/>
          <w:kern w:val="2"/>
          <w:sz w:val="24"/>
          <w:szCs w:val="24"/>
          <w:lang w:val="en-US" w:eastAsia="zh-CN" w:bidi="ar-SA"/>
        </w:rPr>
        <w:t>F——必须进入事故废水收集系统的雨水汇水面积（含硬化道路）约2300m2，综上可知，公司汇水面积共计约0.3ha。则V5=10*1015.1/85*0.3=35m3。</w:t>
      </w:r>
    </w:p>
    <w:p w14:paraId="7C72D807">
      <w:pPr>
        <w:pStyle w:val="257"/>
        <w:ind w:firstLine="420"/>
        <w:rPr>
          <w:rFonts w:hint="default" w:ascii="Times New Roman" w:hAnsi="Times New Roman" w:eastAsia="宋体" w:cs="Times New Roman"/>
          <w:bCs w:val="0"/>
          <w:color w:val="auto"/>
          <w:spacing w:val="-10"/>
          <w:kern w:val="2"/>
          <w:sz w:val="24"/>
          <w:szCs w:val="24"/>
          <w:lang w:val="en-US" w:eastAsia="zh-CN" w:bidi="ar-SA"/>
        </w:rPr>
      </w:pPr>
      <w:r>
        <w:rPr>
          <w:rFonts w:hint="default" w:ascii="Times New Roman" w:hAnsi="Times New Roman" w:eastAsia="宋体" w:cs="Times New Roman"/>
          <w:bCs w:val="0"/>
          <w:color w:val="auto"/>
          <w:spacing w:val="-10"/>
          <w:kern w:val="2"/>
          <w:sz w:val="24"/>
          <w:szCs w:val="24"/>
          <w:lang w:val="en-US" w:eastAsia="zh-CN" w:bidi="ar-SA"/>
        </w:rPr>
        <w:t>V总＝（V1+V2-V3）max+V4+V5=0+108-41+0+35=102m3。</w:t>
      </w:r>
    </w:p>
    <w:p w14:paraId="2BE7E18A">
      <w:pPr>
        <w:pStyle w:val="257"/>
        <w:ind w:firstLine="420"/>
        <w:rPr>
          <w:rFonts w:hint="default" w:ascii="Times New Roman" w:hAnsi="Times New Roman" w:eastAsia="宋体" w:cs="Times New Roman"/>
          <w:bCs w:val="0"/>
          <w:color w:val="auto"/>
          <w:spacing w:val="-10"/>
          <w:kern w:val="2"/>
          <w:sz w:val="24"/>
          <w:szCs w:val="24"/>
          <w:lang w:val="en-US" w:eastAsia="zh-CN" w:bidi="ar-SA"/>
        </w:rPr>
      </w:pPr>
      <w:r>
        <w:rPr>
          <w:rFonts w:hint="default" w:ascii="Times New Roman" w:hAnsi="Times New Roman" w:eastAsia="宋体" w:cs="Times New Roman"/>
          <w:bCs w:val="0"/>
          <w:color w:val="auto"/>
          <w:spacing w:val="-10"/>
          <w:kern w:val="2"/>
          <w:sz w:val="24"/>
          <w:szCs w:val="24"/>
          <w:lang w:val="en-US" w:eastAsia="zh-CN" w:bidi="ar-SA"/>
        </w:rPr>
        <w:t>厂区新建120m3事故应急池一座，符合突发环境事件应急需求。</w:t>
      </w:r>
    </w:p>
    <w:p w14:paraId="4E96D5A9">
      <w:pPr>
        <w:pStyle w:val="249"/>
        <w:pageBreakBefore w:val="0"/>
        <w:widowControl/>
        <w:kinsoku/>
        <w:wordWrap/>
        <w:overflowPunct/>
        <w:topLinePunct w:val="0"/>
        <w:autoSpaceDE/>
        <w:autoSpaceDN/>
        <w:bidi w:val="0"/>
        <w:adjustRightInd/>
        <w:snapToGrid w:val="0"/>
        <w:textAlignment w:val="auto"/>
        <w:outlineLvl w:val="2"/>
        <w:rPr>
          <w:rFonts w:hint="default" w:eastAsia="宋体" w:cs="Times New Roman"/>
          <w:sz w:val="24"/>
          <w:szCs w:val="24"/>
          <w:lang w:val="en-US" w:eastAsia="zh-CN"/>
        </w:rPr>
      </w:pPr>
      <w:r>
        <w:rPr>
          <w:rFonts w:hint="default" w:ascii="Times New Roman" w:hAnsi="Times New Roman" w:eastAsia="宋体" w:cs="Times New Roman"/>
          <w:sz w:val="24"/>
          <w:szCs w:val="24"/>
        </w:rPr>
        <w:t>3.</w:t>
      </w:r>
      <w:r>
        <w:rPr>
          <w:rFonts w:hint="eastAsia" w:cs="Times New Roman"/>
          <w:sz w:val="24"/>
          <w:szCs w:val="24"/>
          <w:lang w:val="en-US" w:eastAsia="zh-CN"/>
        </w:rPr>
        <w:t>8.2</w:t>
      </w:r>
      <w:r>
        <w:rPr>
          <w:rFonts w:hint="eastAsia" w:eastAsia="宋体" w:cs="Times New Roman"/>
          <w:sz w:val="24"/>
          <w:szCs w:val="24"/>
          <w:lang w:val="en-US" w:eastAsia="zh-CN"/>
        </w:rPr>
        <w:t>应急物资及装备情况</w:t>
      </w:r>
      <w:bookmarkEnd w:id="129"/>
      <w:bookmarkEnd w:id="130"/>
    </w:p>
    <w:p w14:paraId="1D177D4F">
      <w:pPr>
        <w:pStyle w:val="13"/>
        <w:spacing w:before="0" w:after="0" w:line="500" w:lineRule="exact"/>
        <w:ind w:left="0" w:right="0" w:firstLine="440" w:firstLineChars="200"/>
        <w:jc w:val="both"/>
        <w:rPr>
          <w:rFonts w:hint="default" w:eastAsia="宋体"/>
        </w:rPr>
      </w:pPr>
      <w:r>
        <w:rPr>
          <w:rFonts w:hint="default" w:eastAsia="宋体"/>
          <w:spacing w:val="-10"/>
        </w:rPr>
        <w:t>应急物资、应急装备是突发环境事件应急救援的重要物质保障，也是保证应</w:t>
      </w:r>
      <w:r>
        <w:rPr>
          <w:rFonts w:hint="default" w:eastAsia="宋体"/>
          <w:spacing w:val="-3"/>
        </w:rPr>
        <w:t>急队伍有效开展工作的基础，本公司的应急物资及装备见表</w:t>
      </w:r>
      <w:r>
        <w:rPr>
          <w:rFonts w:hint="default" w:ascii="Times New Roman" w:eastAsia="宋体"/>
        </w:rPr>
        <w:t>3-</w:t>
      </w:r>
      <w:r>
        <w:rPr>
          <w:rFonts w:hint="eastAsia" w:eastAsia="宋体" w:cs="Times New Roman"/>
          <w:lang w:val="en-US" w:eastAsia="zh-CN"/>
        </w:rPr>
        <w:t>18</w:t>
      </w:r>
      <w:r>
        <w:rPr>
          <w:rFonts w:hint="default" w:eastAsia="宋体"/>
        </w:rPr>
        <w:t>。</w:t>
      </w:r>
    </w:p>
    <w:p w14:paraId="5397CA44">
      <w:pPr>
        <w:pStyle w:val="13"/>
        <w:spacing w:before="0" w:after="0"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18</w:t>
      </w:r>
      <w:r>
        <w:rPr>
          <w:rFonts w:hint="default" w:ascii="Times New Roman" w:hAnsi="Times New Roman" w:eastAsia="宋体" w:cs="Times New Roman"/>
          <w:b/>
          <w:bCs/>
          <w:highlight w:val="none"/>
        </w:rPr>
        <w:t>应急物资及装备一览</w:t>
      </w:r>
      <w:r>
        <w:rPr>
          <w:rFonts w:hint="default" w:ascii="Times New Roman" w:hAnsi="Times New Roman" w:eastAsia="宋体" w:cs="Times New Roman"/>
          <w:b/>
          <w:bCs/>
        </w:rPr>
        <w:t>表</w:t>
      </w:r>
    </w:p>
    <w:tbl>
      <w:tblPr>
        <w:tblStyle w:val="37"/>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59"/>
        <w:gridCol w:w="2216"/>
        <w:gridCol w:w="1806"/>
        <w:gridCol w:w="832"/>
        <w:gridCol w:w="2674"/>
      </w:tblGrid>
      <w:tr w14:paraId="2FD85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tcMar>
              <w:top w:w="0" w:type="dxa"/>
              <w:left w:w="108" w:type="dxa"/>
              <w:bottom w:w="0" w:type="dxa"/>
              <w:right w:w="108" w:type="dxa"/>
            </w:tcMar>
            <w:vAlign w:val="center"/>
          </w:tcPr>
          <w:p w14:paraId="6119001C">
            <w:pPr>
              <w:pStyle w:val="194"/>
              <w:jc w:val="center"/>
              <w:rPr>
                <w:rFonts w:hint="default"/>
                <w:b w:val="0"/>
                <w:bCs w:val="0"/>
                <w:color w:val="000000"/>
                <w:kern w:val="2"/>
                <w:szCs w:val="21"/>
              </w:rPr>
            </w:pPr>
            <w:r>
              <w:rPr>
                <w:rFonts w:hint="default"/>
                <w:b w:val="0"/>
                <w:bCs w:val="0"/>
                <w:color w:val="000000"/>
                <w:kern w:val="2"/>
                <w:szCs w:val="21"/>
              </w:rPr>
              <w:t>类别</w:t>
            </w:r>
          </w:p>
        </w:tc>
        <w:tc>
          <w:tcPr>
            <w:tcW w:w="2216" w:type="dxa"/>
            <w:noWrap w:val="0"/>
            <w:tcMar>
              <w:top w:w="0" w:type="dxa"/>
              <w:left w:w="108" w:type="dxa"/>
              <w:bottom w:w="0" w:type="dxa"/>
              <w:right w:w="108" w:type="dxa"/>
            </w:tcMar>
            <w:vAlign w:val="center"/>
          </w:tcPr>
          <w:p w14:paraId="4D8B5DA9">
            <w:pPr>
              <w:pStyle w:val="194"/>
              <w:jc w:val="center"/>
              <w:rPr>
                <w:rFonts w:hint="default"/>
                <w:b w:val="0"/>
                <w:bCs w:val="0"/>
                <w:color w:val="000000"/>
                <w:kern w:val="2"/>
                <w:szCs w:val="21"/>
              </w:rPr>
            </w:pPr>
            <w:r>
              <w:rPr>
                <w:rFonts w:hint="default"/>
                <w:b w:val="0"/>
                <w:bCs w:val="0"/>
                <w:color w:val="000000"/>
                <w:kern w:val="2"/>
                <w:szCs w:val="21"/>
              </w:rPr>
              <w:t>器材名称</w:t>
            </w:r>
          </w:p>
        </w:tc>
        <w:tc>
          <w:tcPr>
            <w:tcW w:w="1806" w:type="dxa"/>
            <w:noWrap w:val="0"/>
            <w:tcMar>
              <w:top w:w="0" w:type="dxa"/>
              <w:left w:w="108" w:type="dxa"/>
              <w:bottom w:w="0" w:type="dxa"/>
              <w:right w:w="108" w:type="dxa"/>
            </w:tcMar>
            <w:vAlign w:val="center"/>
          </w:tcPr>
          <w:p w14:paraId="04882E7C">
            <w:pPr>
              <w:pStyle w:val="194"/>
              <w:jc w:val="center"/>
              <w:rPr>
                <w:rFonts w:hint="default"/>
                <w:b w:val="0"/>
                <w:bCs w:val="0"/>
                <w:color w:val="000000"/>
                <w:kern w:val="2"/>
                <w:szCs w:val="21"/>
              </w:rPr>
            </w:pPr>
            <w:r>
              <w:rPr>
                <w:rFonts w:hint="default"/>
                <w:b w:val="0"/>
                <w:bCs w:val="0"/>
                <w:color w:val="000000"/>
                <w:kern w:val="2"/>
                <w:szCs w:val="21"/>
              </w:rPr>
              <w:t>用途</w:t>
            </w:r>
          </w:p>
        </w:tc>
        <w:tc>
          <w:tcPr>
            <w:tcW w:w="832" w:type="dxa"/>
            <w:noWrap w:val="0"/>
            <w:tcMar>
              <w:top w:w="0" w:type="dxa"/>
              <w:left w:w="108" w:type="dxa"/>
              <w:bottom w:w="0" w:type="dxa"/>
              <w:right w:w="108" w:type="dxa"/>
            </w:tcMar>
            <w:vAlign w:val="center"/>
          </w:tcPr>
          <w:p w14:paraId="63726335">
            <w:pPr>
              <w:pStyle w:val="194"/>
              <w:jc w:val="center"/>
              <w:rPr>
                <w:rFonts w:hint="default"/>
                <w:b w:val="0"/>
                <w:bCs w:val="0"/>
                <w:color w:val="000000"/>
                <w:kern w:val="2"/>
                <w:szCs w:val="21"/>
              </w:rPr>
            </w:pPr>
            <w:r>
              <w:rPr>
                <w:rFonts w:hint="default"/>
                <w:b w:val="0"/>
                <w:bCs w:val="0"/>
                <w:color w:val="000000"/>
                <w:kern w:val="2"/>
                <w:szCs w:val="21"/>
              </w:rPr>
              <w:t>数量</w:t>
            </w:r>
          </w:p>
        </w:tc>
        <w:tc>
          <w:tcPr>
            <w:tcW w:w="2674" w:type="dxa"/>
            <w:noWrap w:val="0"/>
            <w:tcMar>
              <w:top w:w="0" w:type="dxa"/>
              <w:left w:w="108" w:type="dxa"/>
              <w:bottom w:w="0" w:type="dxa"/>
              <w:right w:w="108" w:type="dxa"/>
            </w:tcMar>
            <w:vAlign w:val="center"/>
          </w:tcPr>
          <w:p w14:paraId="48F8FCDD">
            <w:pPr>
              <w:pStyle w:val="194"/>
              <w:jc w:val="center"/>
              <w:rPr>
                <w:rFonts w:hint="default"/>
                <w:b w:val="0"/>
                <w:bCs w:val="0"/>
                <w:color w:val="000000"/>
                <w:kern w:val="2"/>
                <w:szCs w:val="21"/>
              </w:rPr>
            </w:pPr>
            <w:r>
              <w:rPr>
                <w:rFonts w:hint="default"/>
                <w:b w:val="0"/>
                <w:bCs w:val="0"/>
                <w:color w:val="000000"/>
                <w:kern w:val="2"/>
                <w:szCs w:val="21"/>
              </w:rPr>
              <w:t>设置地点</w:t>
            </w:r>
          </w:p>
        </w:tc>
      </w:tr>
      <w:tr w14:paraId="46E88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4C24D690">
            <w:pPr>
              <w:pStyle w:val="194"/>
              <w:jc w:val="center"/>
              <w:rPr>
                <w:rFonts w:hint="default"/>
                <w:b w:val="0"/>
                <w:bCs w:val="0"/>
                <w:color w:val="000000"/>
                <w:kern w:val="2"/>
                <w:szCs w:val="21"/>
              </w:rPr>
            </w:pPr>
            <w:r>
              <w:rPr>
                <w:rFonts w:hint="default"/>
                <w:b w:val="0"/>
                <w:bCs w:val="0"/>
                <w:color w:val="000000"/>
                <w:kern w:val="2"/>
                <w:szCs w:val="21"/>
              </w:rPr>
              <w:t>消防设施、设备</w:t>
            </w:r>
          </w:p>
        </w:tc>
        <w:tc>
          <w:tcPr>
            <w:tcW w:w="2216" w:type="dxa"/>
            <w:noWrap w:val="0"/>
            <w:tcMar>
              <w:top w:w="0" w:type="dxa"/>
              <w:left w:w="108" w:type="dxa"/>
              <w:bottom w:w="0" w:type="dxa"/>
              <w:right w:w="108" w:type="dxa"/>
            </w:tcMar>
            <w:vAlign w:val="center"/>
          </w:tcPr>
          <w:p w14:paraId="4710188E">
            <w:pPr>
              <w:pStyle w:val="194"/>
              <w:jc w:val="center"/>
              <w:rPr>
                <w:rFonts w:hint="default"/>
                <w:b w:val="0"/>
                <w:bCs w:val="0"/>
                <w:color w:val="000000"/>
                <w:kern w:val="2"/>
                <w:szCs w:val="21"/>
              </w:rPr>
            </w:pPr>
            <w:r>
              <w:rPr>
                <w:rFonts w:hint="default"/>
                <w:b w:val="0"/>
                <w:bCs w:val="0"/>
                <w:color w:val="000000"/>
                <w:kern w:val="2"/>
                <w:szCs w:val="21"/>
              </w:rPr>
              <w:t>灭火器</w:t>
            </w:r>
          </w:p>
        </w:tc>
        <w:tc>
          <w:tcPr>
            <w:tcW w:w="1806" w:type="dxa"/>
            <w:noWrap w:val="0"/>
            <w:tcMar>
              <w:top w:w="0" w:type="dxa"/>
              <w:left w:w="108" w:type="dxa"/>
              <w:bottom w:w="0" w:type="dxa"/>
              <w:right w:w="108" w:type="dxa"/>
            </w:tcMar>
            <w:vAlign w:val="center"/>
          </w:tcPr>
          <w:p w14:paraId="35295C2D">
            <w:pPr>
              <w:pStyle w:val="194"/>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28915A0B">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300个</w:t>
            </w:r>
          </w:p>
        </w:tc>
        <w:tc>
          <w:tcPr>
            <w:tcW w:w="2674" w:type="dxa"/>
            <w:noWrap w:val="0"/>
            <w:tcMar>
              <w:top w:w="0" w:type="dxa"/>
              <w:left w:w="108" w:type="dxa"/>
              <w:bottom w:w="0" w:type="dxa"/>
              <w:right w:w="108" w:type="dxa"/>
            </w:tcMar>
            <w:vAlign w:val="center"/>
          </w:tcPr>
          <w:p w14:paraId="1138D816">
            <w:pPr>
              <w:pStyle w:val="194"/>
              <w:ind w:firstLine="480" w:firstLineChars="200"/>
              <w:jc w:val="both"/>
              <w:rPr>
                <w:rFonts w:hint="eastAsia"/>
                <w:lang w:val="en-US" w:eastAsia="zh-CN"/>
              </w:rPr>
            </w:pPr>
            <w:r>
              <w:rPr>
                <w:rFonts w:hint="eastAsia"/>
                <w:b w:val="0"/>
                <w:bCs w:val="0"/>
                <w:color w:val="000000"/>
                <w:kern w:val="2"/>
                <w:szCs w:val="21"/>
                <w:lang w:val="en-US" w:eastAsia="zh-CN"/>
              </w:rPr>
              <w:t>车间、办公楼</w:t>
            </w:r>
          </w:p>
        </w:tc>
      </w:tr>
      <w:tr w14:paraId="139D6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C232F87">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2437F1B">
            <w:pPr>
              <w:pStyle w:val="194"/>
              <w:jc w:val="center"/>
              <w:rPr>
                <w:rFonts w:hint="default"/>
                <w:b w:val="0"/>
                <w:bCs w:val="0"/>
                <w:color w:val="000000"/>
                <w:kern w:val="2"/>
                <w:szCs w:val="21"/>
              </w:rPr>
            </w:pPr>
            <w:r>
              <w:rPr>
                <w:rFonts w:hint="default"/>
                <w:b w:val="0"/>
                <w:bCs w:val="0"/>
                <w:color w:val="000000"/>
                <w:kern w:val="2"/>
                <w:szCs w:val="21"/>
              </w:rPr>
              <w:t>消防水带</w:t>
            </w:r>
          </w:p>
        </w:tc>
        <w:tc>
          <w:tcPr>
            <w:tcW w:w="1806" w:type="dxa"/>
            <w:noWrap w:val="0"/>
            <w:tcMar>
              <w:top w:w="0" w:type="dxa"/>
              <w:left w:w="108" w:type="dxa"/>
              <w:bottom w:w="0" w:type="dxa"/>
              <w:right w:w="108" w:type="dxa"/>
            </w:tcMar>
            <w:vAlign w:val="center"/>
          </w:tcPr>
          <w:p w14:paraId="341E5E2D">
            <w:pPr>
              <w:pStyle w:val="194"/>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0B86128F">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125条</w:t>
            </w:r>
          </w:p>
        </w:tc>
        <w:tc>
          <w:tcPr>
            <w:tcW w:w="2674" w:type="dxa"/>
            <w:noWrap w:val="0"/>
            <w:tcMar>
              <w:top w:w="0" w:type="dxa"/>
              <w:left w:w="108" w:type="dxa"/>
              <w:bottom w:w="0" w:type="dxa"/>
              <w:right w:w="108" w:type="dxa"/>
            </w:tcMar>
            <w:vAlign w:val="center"/>
          </w:tcPr>
          <w:p w14:paraId="195E91CA">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车间、办公楼、宿舍楼</w:t>
            </w:r>
          </w:p>
        </w:tc>
      </w:tr>
      <w:tr w14:paraId="2323D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FF9A6EE">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0FA3BA8">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黄沙箱</w:t>
            </w:r>
          </w:p>
        </w:tc>
        <w:tc>
          <w:tcPr>
            <w:tcW w:w="1806" w:type="dxa"/>
            <w:noWrap w:val="0"/>
            <w:tcMar>
              <w:top w:w="0" w:type="dxa"/>
              <w:left w:w="108" w:type="dxa"/>
              <w:bottom w:w="0" w:type="dxa"/>
              <w:right w:w="108" w:type="dxa"/>
            </w:tcMar>
            <w:vAlign w:val="center"/>
          </w:tcPr>
          <w:p w14:paraId="0F2DE63E">
            <w:pPr>
              <w:pStyle w:val="194"/>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1F61503A">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8个</w:t>
            </w:r>
          </w:p>
        </w:tc>
        <w:tc>
          <w:tcPr>
            <w:tcW w:w="2674" w:type="dxa"/>
            <w:noWrap w:val="0"/>
            <w:tcMar>
              <w:top w:w="0" w:type="dxa"/>
              <w:left w:w="108" w:type="dxa"/>
              <w:bottom w:w="0" w:type="dxa"/>
              <w:right w:w="108" w:type="dxa"/>
            </w:tcMar>
            <w:vAlign w:val="center"/>
          </w:tcPr>
          <w:p w14:paraId="44D2556B">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配电房，危废仓库</w:t>
            </w:r>
          </w:p>
        </w:tc>
      </w:tr>
      <w:tr w14:paraId="61A8E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4A0538E5">
            <w:pPr>
              <w:pStyle w:val="194"/>
              <w:jc w:val="center"/>
              <w:rPr>
                <w:rFonts w:hint="default"/>
                <w:b w:val="0"/>
                <w:bCs w:val="0"/>
                <w:color w:val="000000"/>
                <w:kern w:val="2"/>
                <w:szCs w:val="21"/>
              </w:rPr>
            </w:pPr>
            <w:r>
              <w:rPr>
                <w:rFonts w:hint="default"/>
                <w:b w:val="0"/>
                <w:bCs w:val="0"/>
                <w:color w:val="000000"/>
                <w:kern w:val="2"/>
                <w:szCs w:val="21"/>
              </w:rPr>
              <w:t>现场抢险设施、设备</w:t>
            </w:r>
          </w:p>
        </w:tc>
        <w:tc>
          <w:tcPr>
            <w:tcW w:w="2216" w:type="dxa"/>
            <w:noWrap w:val="0"/>
            <w:tcMar>
              <w:top w:w="0" w:type="dxa"/>
              <w:left w:w="108" w:type="dxa"/>
              <w:bottom w:w="0" w:type="dxa"/>
              <w:right w:w="108" w:type="dxa"/>
            </w:tcMar>
            <w:vAlign w:val="center"/>
          </w:tcPr>
          <w:p w14:paraId="6278697B">
            <w:pPr>
              <w:pStyle w:val="194"/>
              <w:jc w:val="center"/>
              <w:rPr>
                <w:rFonts w:hint="default"/>
                <w:b w:val="0"/>
                <w:bCs w:val="0"/>
                <w:color w:val="000000"/>
                <w:kern w:val="2"/>
                <w:szCs w:val="21"/>
              </w:rPr>
            </w:pPr>
            <w:r>
              <w:rPr>
                <w:rFonts w:hint="default"/>
                <w:b w:val="0"/>
                <w:bCs w:val="0"/>
                <w:color w:val="000000"/>
                <w:kern w:val="2"/>
                <w:szCs w:val="21"/>
              </w:rPr>
              <w:t>应急照明、出口灯</w:t>
            </w:r>
          </w:p>
        </w:tc>
        <w:tc>
          <w:tcPr>
            <w:tcW w:w="1806" w:type="dxa"/>
            <w:noWrap w:val="0"/>
            <w:tcMar>
              <w:top w:w="0" w:type="dxa"/>
              <w:left w:w="108" w:type="dxa"/>
              <w:bottom w:w="0" w:type="dxa"/>
              <w:right w:w="108" w:type="dxa"/>
            </w:tcMar>
            <w:vAlign w:val="center"/>
          </w:tcPr>
          <w:p w14:paraId="2EEF189E">
            <w:pPr>
              <w:pStyle w:val="194"/>
              <w:jc w:val="center"/>
              <w:rPr>
                <w:rFonts w:hint="default"/>
                <w:b w:val="0"/>
                <w:bCs w:val="0"/>
                <w:color w:val="000000"/>
                <w:kern w:val="2"/>
                <w:szCs w:val="21"/>
              </w:rPr>
            </w:pPr>
            <w:r>
              <w:rPr>
                <w:rFonts w:hint="default"/>
                <w:b w:val="0"/>
                <w:bCs w:val="0"/>
                <w:color w:val="000000"/>
                <w:kern w:val="2"/>
                <w:szCs w:val="21"/>
              </w:rPr>
              <w:t>停电用</w:t>
            </w:r>
          </w:p>
        </w:tc>
        <w:tc>
          <w:tcPr>
            <w:tcW w:w="832" w:type="dxa"/>
            <w:noWrap w:val="0"/>
            <w:tcMar>
              <w:top w:w="0" w:type="dxa"/>
              <w:left w:w="108" w:type="dxa"/>
              <w:bottom w:w="0" w:type="dxa"/>
              <w:right w:w="108" w:type="dxa"/>
            </w:tcMar>
            <w:vAlign w:val="center"/>
          </w:tcPr>
          <w:p w14:paraId="539FCAD9">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200</w:t>
            </w:r>
          </w:p>
        </w:tc>
        <w:tc>
          <w:tcPr>
            <w:tcW w:w="2674" w:type="dxa"/>
            <w:noWrap w:val="0"/>
            <w:tcMar>
              <w:top w:w="0" w:type="dxa"/>
              <w:left w:w="108" w:type="dxa"/>
              <w:bottom w:w="0" w:type="dxa"/>
              <w:right w:w="108" w:type="dxa"/>
            </w:tcMar>
            <w:vAlign w:val="center"/>
          </w:tcPr>
          <w:p w14:paraId="00D17863">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车间、办公楼、宿舍楼</w:t>
            </w:r>
          </w:p>
        </w:tc>
      </w:tr>
      <w:tr w14:paraId="26855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438B2FE">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E507AE8">
            <w:pPr>
              <w:pStyle w:val="194"/>
              <w:jc w:val="center"/>
              <w:rPr>
                <w:rFonts w:hint="default"/>
                <w:b w:val="0"/>
                <w:bCs w:val="0"/>
                <w:color w:val="000000"/>
                <w:kern w:val="2"/>
                <w:szCs w:val="21"/>
              </w:rPr>
            </w:pPr>
            <w:r>
              <w:rPr>
                <w:rFonts w:hint="default"/>
                <w:b w:val="0"/>
                <w:bCs w:val="0"/>
                <w:color w:val="000000"/>
                <w:kern w:val="2"/>
                <w:szCs w:val="21"/>
              </w:rPr>
              <w:t>铁铲</w:t>
            </w:r>
          </w:p>
        </w:tc>
        <w:tc>
          <w:tcPr>
            <w:tcW w:w="1806" w:type="dxa"/>
            <w:noWrap w:val="0"/>
            <w:tcMar>
              <w:top w:w="0" w:type="dxa"/>
              <w:left w:w="108" w:type="dxa"/>
              <w:bottom w:w="0" w:type="dxa"/>
              <w:right w:w="108" w:type="dxa"/>
            </w:tcMar>
            <w:vAlign w:val="center"/>
          </w:tcPr>
          <w:p w14:paraId="1C5D9A4B">
            <w:pPr>
              <w:pStyle w:val="194"/>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720555C4">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8把</w:t>
            </w:r>
          </w:p>
        </w:tc>
        <w:tc>
          <w:tcPr>
            <w:tcW w:w="2674" w:type="dxa"/>
            <w:noWrap w:val="0"/>
            <w:tcMar>
              <w:top w:w="0" w:type="dxa"/>
              <w:left w:w="108" w:type="dxa"/>
              <w:bottom w:w="0" w:type="dxa"/>
              <w:right w:w="108" w:type="dxa"/>
            </w:tcMar>
            <w:vAlign w:val="center"/>
          </w:tcPr>
          <w:p w14:paraId="7E29EF60">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配电房，危废仓库</w:t>
            </w:r>
          </w:p>
        </w:tc>
      </w:tr>
      <w:tr w14:paraId="63E22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2553E2B4">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C78EACA">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灭火毯</w:t>
            </w:r>
          </w:p>
        </w:tc>
        <w:tc>
          <w:tcPr>
            <w:tcW w:w="1806" w:type="dxa"/>
            <w:noWrap w:val="0"/>
            <w:tcMar>
              <w:top w:w="0" w:type="dxa"/>
              <w:left w:w="108" w:type="dxa"/>
              <w:bottom w:w="0" w:type="dxa"/>
              <w:right w:w="108" w:type="dxa"/>
            </w:tcMar>
            <w:vAlign w:val="center"/>
          </w:tcPr>
          <w:p w14:paraId="0708F5F6">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灭火用</w:t>
            </w:r>
          </w:p>
        </w:tc>
        <w:tc>
          <w:tcPr>
            <w:tcW w:w="832" w:type="dxa"/>
            <w:noWrap w:val="0"/>
            <w:tcMar>
              <w:top w:w="0" w:type="dxa"/>
              <w:left w:w="108" w:type="dxa"/>
              <w:bottom w:w="0" w:type="dxa"/>
              <w:right w:w="108" w:type="dxa"/>
            </w:tcMar>
            <w:vAlign w:val="center"/>
          </w:tcPr>
          <w:p w14:paraId="0E70DD72">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0</w:t>
            </w:r>
          </w:p>
        </w:tc>
        <w:tc>
          <w:tcPr>
            <w:tcW w:w="2674" w:type="dxa"/>
            <w:noWrap w:val="0"/>
            <w:tcMar>
              <w:top w:w="0" w:type="dxa"/>
              <w:left w:w="108" w:type="dxa"/>
              <w:bottom w:w="0" w:type="dxa"/>
              <w:right w:w="108" w:type="dxa"/>
            </w:tcMar>
            <w:vAlign w:val="center"/>
          </w:tcPr>
          <w:p w14:paraId="165FEB8F">
            <w:pPr>
              <w:pStyle w:val="194"/>
              <w:ind w:firstLine="0" w:firstLineChars="0"/>
              <w:jc w:val="center"/>
              <w:rPr>
                <w:rFonts w:hint="default"/>
                <w:b w:val="0"/>
                <w:bCs w:val="0"/>
                <w:color w:val="000000"/>
                <w:kern w:val="2"/>
                <w:szCs w:val="21"/>
              </w:rPr>
            </w:pPr>
          </w:p>
        </w:tc>
      </w:tr>
      <w:tr w14:paraId="2D3F1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180B7BA">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CC284CE">
            <w:pPr>
              <w:pStyle w:val="194"/>
              <w:jc w:val="center"/>
              <w:rPr>
                <w:rFonts w:hint="eastAsia"/>
                <w:b w:val="0"/>
                <w:bCs w:val="0"/>
                <w:color w:val="000000"/>
                <w:kern w:val="2"/>
                <w:szCs w:val="21"/>
                <w:lang w:eastAsia="zh-CN"/>
              </w:rPr>
            </w:pPr>
            <w:r>
              <w:rPr>
                <w:rFonts w:hint="eastAsia"/>
                <w:b w:val="0"/>
                <w:bCs w:val="0"/>
                <w:color w:val="000000"/>
                <w:kern w:val="2"/>
                <w:szCs w:val="21"/>
                <w:lang w:val="en-US" w:eastAsia="zh-CN"/>
              </w:rPr>
              <w:t>消防服</w:t>
            </w:r>
          </w:p>
        </w:tc>
        <w:tc>
          <w:tcPr>
            <w:tcW w:w="1806" w:type="dxa"/>
            <w:noWrap w:val="0"/>
            <w:tcMar>
              <w:top w:w="0" w:type="dxa"/>
              <w:left w:w="108" w:type="dxa"/>
              <w:bottom w:w="0" w:type="dxa"/>
              <w:right w:w="108" w:type="dxa"/>
            </w:tcMar>
            <w:vAlign w:val="center"/>
          </w:tcPr>
          <w:p w14:paraId="6981A3BD">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18E862EE">
            <w:pPr>
              <w:rPr>
                <w:rFonts w:hint="default" w:eastAsiaTheme="minorEastAsia"/>
                <w:lang w:val="en-US" w:eastAsia="zh-CN"/>
              </w:rPr>
            </w:pPr>
            <w:r>
              <w:rPr>
                <w:rFonts w:hint="eastAsia"/>
                <w:b w:val="0"/>
                <w:bCs w:val="0"/>
                <w:color w:val="000000"/>
                <w:kern w:val="2"/>
                <w:szCs w:val="21"/>
                <w:lang w:val="en-US" w:eastAsia="zh-CN"/>
              </w:rPr>
              <w:t>50套</w:t>
            </w:r>
          </w:p>
        </w:tc>
        <w:tc>
          <w:tcPr>
            <w:tcW w:w="2674" w:type="dxa"/>
            <w:noWrap w:val="0"/>
            <w:tcMar>
              <w:top w:w="0" w:type="dxa"/>
              <w:left w:w="108" w:type="dxa"/>
              <w:bottom w:w="0" w:type="dxa"/>
              <w:right w:w="108" w:type="dxa"/>
            </w:tcMar>
            <w:vAlign w:val="center"/>
          </w:tcPr>
          <w:p w14:paraId="2E9A8CC8">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微型消防站及车间</w:t>
            </w:r>
          </w:p>
        </w:tc>
      </w:tr>
      <w:tr w14:paraId="4519D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4E71584">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DDA6DDF">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消防靴</w:t>
            </w:r>
          </w:p>
        </w:tc>
        <w:tc>
          <w:tcPr>
            <w:tcW w:w="1806" w:type="dxa"/>
            <w:noWrap w:val="0"/>
            <w:tcMar>
              <w:top w:w="0" w:type="dxa"/>
              <w:left w:w="108" w:type="dxa"/>
              <w:bottom w:w="0" w:type="dxa"/>
              <w:right w:w="108" w:type="dxa"/>
            </w:tcMar>
            <w:vAlign w:val="center"/>
          </w:tcPr>
          <w:p w14:paraId="293C1834">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0FB4E533">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50双</w:t>
            </w:r>
          </w:p>
        </w:tc>
        <w:tc>
          <w:tcPr>
            <w:tcW w:w="2674" w:type="dxa"/>
            <w:noWrap w:val="0"/>
            <w:tcMar>
              <w:top w:w="0" w:type="dxa"/>
              <w:left w:w="108" w:type="dxa"/>
              <w:bottom w:w="0" w:type="dxa"/>
              <w:right w:w="108" w:type="dxa"/>
            </w:tcMar>
            <w:vAlign w:val="center"/>
          </w:tcPr>
          <w:p w14:paraId="5CB3EC1A">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微型消防站及车间</w:t>
            </w:r>
          </w:p>
        </w:tc>
      </w:tr>
      <w:tr w14:paraId="468CB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7E56B674">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A5299E9">
            <w:pPr>
              <w:pStyle w:val="194"/>
              <w:jc w:val="center"/>
              <w:rPr>
                <w:rFonts w:hint="default"/>
                <w:b w:val="0"/>
                <w:bCs w:val="0"/>
                <w:color w:val="000000"/>
                <w:kern w:val="2"/>
                <w:szCs w:val="21"/>
              </w:rPr>
            </w:pPr>
            <w:r>
              <w:rPr>
                <w:rFonts w:hint="default"/>
                <w:b w:val="0"/>
                <w:bCs w:val="0"/>
                <w:color w:val="000000"/>
                <w:kern w:val="2"/>
                <w:szCs w:val="21"/>
              </w:rPr>
              <w:t>安全帽</w:t>
            </w:r>
          </w:p>
        </w:tc>
        <w:tc>
          <w:tcPr>
            <w:tcW w:w="1806" w:type="dxa"/>
            <w:noWrap w:val="0"/>
            <w:tcMar>
              <w:top w:w="0" w:type="dxa"/>
              <w:left w:w="108" w:type="dxa"/>
              <w:bottom w:w="0" w:type="dxa"/>
              <w:right w:w="108" w:type="dxa"/>
            </w:tcMar>
            <w:vAlign w:val="center"/>
          </w:tcPr>
          <w:p w14:paraId="13D0D12C">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2C055ED2">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50顶</w:t>
            </w:r>
          </w:p>
        </w:tc>
        <w:tc>
          <w:tcPr>
            <w:tcW w:w="2674" w:type="dxa"/>
            <w:noWrap w:val="0"/>
            <w:tcMar>
              <w:top w:w="0" w:type="dxa"/>
              <w:left w:w="108" w:type="dxa"/>
              <w:bottom w:w="0" w:type="dxa"/>
              <w:right w:w="108" w:type="dxa"/>
            </w:tcMar>
            <w:vAlign w:val="center"/>
          </w:tcPr>
          <w:p w14:paraId="075FF40A">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微型消防站及车间</w:t>
            </w:r>
          </w:p>
        </w:tc>
      </w:tr>
      <w:tr w14:paraId="5DB45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1CB18BC9">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525E9D1">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防毒面具</w:t>
            </w:r>
          </w:p>
        </w:tc>
        <w:tc>
          <w:tcPr>
            <w:tcW w:w="1806" w:type="dxa"/>
            <w:noWrap w:val="0"/>
            <w:tcMar>
              <w:top w:w="0" w:type="dxa"/>
              <w:left w:w="108" w:type="dxa"/>
              <w:bottom w:w="0" w:type="dxa"/>
              <w:right w:w="108" w:type="dxa"/>
            </w:tcMar>
            <w:vAlign w:val="center"/>
          </w:tcPr>
          <w:p w14:paraId="405ED239">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7F25CE7F">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50个</w:t>
            </w:r>
          </w:p>
        </w:tc>
        <w:tc>
          <w:tcPr>
            <w:tcW w:w="2674" w:type="dxa"/>
            <w:noWrap w:val="0"/>
            <w:tcMar>
              <w:top w:w="0" w:type="dxa"/>
              <w:left w:w="108" w:type="dxa"/>
              <w:bottom w:w="0" w:type="dxa"/>
              <w:right w:w="108" w:type="dxa"/>
            </w:tcMar>
            <w:vAlign w:val="center"/>
          </w:tcPr>
          <w:p w14:paraId="12999C14">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微型消防站及车间</w:t>
            </w:r>
          </w:p>
        </w:tc>
      </w:tr>
      <w:tr w14:paraId="3B5AC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0DD4BEF8">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EF54830">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正压式呼吸器</w:t>
            </w:r>
          </w:p>
        </w:tc>
        <w:tc>
          <w:tcPr>
            <w:tcW w:w="1806" w:type="dxa"/>
            <w:noWrap w:val="0"/>
            <w:tcMar>
              <w:top w:w="0" w:type="dxa"/>
              <w:left w:w="108" w:type="dxa"/>
              <w:bottom w:w="0" w:type="dxa"/>
              <w:right w:w="108" w:type="dxa"/>
            </w:tcMar>
            <w:vAlign w:val="center"/>
          </w:tcPr>
          <w:p w14:paraId="6C6FFF94">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728C45B1">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2套</w:t>
            </w:r>
          </w:p>
        </w:tc>
        <w:tc>
          <w:tcPr>
            <w:tcW w:w="2674" w:type="dxa"/>
            <w:noWrap w:val="0"/>
            <w:tcMar>
              <w:top w:w="0" w:type="dxa"/>
              <w:left w:w="108" w:type="dxa"/>
              <w:bottom w:w="0" w:type="dxa"/>
              <w:right w:w="108" w:type="dxa"/>
            </w:tcMar>
            <w:vAlign w:val="center"/>
          </w:tcPr>
          <w:p w14:paraId="071DDA36">
            <w:pPr>
              <w:pStyle w:val="194"/>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微型消防站</w:t>
            </w:r>
          </w:p>
        </w:tc>
      </w:tr>
      <w:tr w14:paraId="2DED3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E9E9D77">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5EE64D8">
            <w:pPr>
              <w:pStyle w:val="194"/>
              <w:jc w:val="center"/>
              <w:rPr>
                <w:rFonts w:hint="default"/>
                <w:b w:val="0"/>
                <w:bCs w:val="0"/>
                <w:color w:val="000000"/>
                <w:kern w:val="2"/>
                <w:szCs w:val="21"/>
              </w:rPr>
            </w:pPr>
            <w:r>
              <w:rPr>
                <w:rFonts w:hint="default"/>
                <w:b w:val="0"/>
                <w:bCs w:val="0"/>
                <w:color w:val="000000"/>
                <w:kern w:val="2"/>
                <w:szCs w:val="21"/>
              </w:rPr>
              <w:t>应急泵</w:t>
            </w:r>
          </w:p>
        </w:tc>
        <w:tc>
          <w:tcPr>
            <w:tcW w:w="1806" w:type="dxa"/>
            <w:noWrap w:val="0"/>
            <w:tcMar>
              <w:top w:w="0" w:type="dxa"/>
              <w:left w:w="108" w:type="dxa"/>
              <w:bottom w:w="0" w:type="dxa"/>
              <w:right w:w="108" w:type="dxa"/>
            </w:tcMar>
            <w:vAlign w:val="center"/>
          </w:tcPr>
          <w:p w14:paraId="2A5EE67D">
            <w:pPr>
              <w:pStyle w:val="194"/>
              <w:jc w:val="center"/>
              <w:rPr>
                <w:rFonts w:hint="default"/>
                <w:b w:val="0"/>
                <w:bCs w:val="0"/>
                <w:color w:val="000000"/>
                <w:kern w:val="2"/>
                <w:szCs w:val="21"/>
              </w:rPr>
            </w:pPr>
            <w:r>
              <w:rPr>
                <w:rFonts w:hint="default"/>
                <w:b w:val="0"/>
                <w:bCs w:val="0"/>
                <w:color w:val="000000"/>
                <w:kern w:val="2"/>
                <w:szCs w:val="21"/>
              </w:rPr>
              <w:t>应急抽水用</w:t>
            </w:r>
          </w:p>
        </w:tc>
        <w:tc>
          <w:tcPr>
            <w:tcW w:w="832" w:type="dxa"/>
            <w:noWrap w:val="0"/>
            <w:tcMar>
              <w:top w:w="0" w:type="dxa"/>
              <w:left w:w="108" w:type="dxa"/>
              <w:bottom w:w="0" w:type="dxa"/>
              <w:right w:w="108" w:type="dxa"/>
            </w:tcMar>
            <w:vAlign w:val="center"/>
          </w:tcPr>
          <w:p w14:paraId="2AD87DB6">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1个</w:t>
            </w:r>
          </w:p>
        </w:tc>
        <w:tc>
          <w:tcPr>
            <w:tcW w:w="2674" w:type="dxa"/>
            <w:noWrap w:val="0"/>
            <w:tcMar>
              <w:top w:w="0" w:type="dxa"/>
              <w:left w:w="108" w:type="dxa"/>
              <w:bottom w:w="0" w:type="dxa"/>
              <w:right w:w="108" w:type="dxa"/>
            </w:tcMar>
            <w:vAlign w:val="center"/>
          </w:tcPr>
          <w:p w14:paraId="4E428491">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消防控制室</w:t>
            </w:r>
          </w:p>
        </w:tc>
      </w:tr>
      <w:tr w14:paraId="643FB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226D05FE">
            <w:pPr>
              <w:pStyle w:val="194"/>
              <w:jc w:val="center"/>
              <w:rPr>
                <w:rFonts w:hint="default"/>
                <w:b w:val="0"/>
                <w:bCs w:val="0"/>
                <w:color w:val="000000"/>
                <w:kern w:val="2"/>
                <w:szCs w:val="21"/>
              </w:rPr>
            </w:pPr>
            <w:r>
              <w:rPr>
                <w:rFonts w:hint="default"/>
                <w:b w:val="0"/>
                <w:bCs w:val="0"/>
                <w:color w:val="000000"/>
                <w:kern w:val="2"/>
                <w:szCs w:val="21"/>
              </w:rPr>
              <w:t>急救设施设备</w:t>
            </w:r>
          </w:p>
        </w:tc>
        <w:tc>
          <w:tcPr>
            <w:tcW w:w="2216" w:type="dxa"/>
            <w:noWrap w:val="0"/>
            <w:tcMar>
              <w:top w:w="0" w:type="dxa"/>
              <w:left w:w="108" w:type="dxa"/>
              <w:bottom w:w="0" w:type="dxa"/>
              <w:right w:w="108" w:type="dxa"/>
            </w:tcMar>
            <w:vAlign w:val="center"/>
          </w:tcPr>
          <w:p w14:paraId="0E93D741">
            <w:pPr>
              <w:pStyle w:val="194"/>
              <w:jc w:val="center"/>
              <w:rPr>
                <w:rFonts w:hint="default"/>
                <w:b w:val="0"/>
                <w:bCs w:val="0"/>
                <w:color w:val="000000"/>
                <w:kern w:val="2"/>
                <w:szCs w:val="21"/>
              </w:rPr>
            </w:pPr>
            <w:r>
              <w:rPr>
                <w:rFonts w:hint="default"/>
                <w:b w:val="0"/>
                <w:bCs w:val="0"/>
                <w:color w:val="000000"/>
                <w:kern w:val="2"/>
                <w:szCs w:val="21"/>
              </w:rPr>
              <w:t>急救药箱</w:t>
            </w:r>
          </w:p>
        </w:tc>
        <w:tc>
          <w:tcPr>
            <w:tcW w:w="1806" w:type="dxa"/>
            <w:noWrap w:val="0"/>
            <w:tcMar>
              <w:top w:w="0" w:type="dxa"/>
              <w:left w:w="108" w:type="dxa"/>
              <w:bottom w:w="0" w:type="dxa"/>
              <w:right w:w="108" w:type="dxa"/>
            </w:tcMar>
            <w:vAlign w:val="center"/>
          </w:tcPr>
          <w:p w14:paraId="4F2D6A0D">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22FF09C5">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4个</w:t>
            </w:r>
          </w:p>
        </w:tc>
        <w:tc>
          <w:tcPr>
            <w:tcW w:w="2674" w:type="dxa"/>
            <w:noWrap w:val="0"/>
            <w:tcMar>
              <w:top w:w="0" w:type="dxa"/>
              <w:left w:w="108" w:type="dxa"/>
              <w:bottom w:w="0" w:type="dxa"/>
              <w:right w:w="108" w:type="dxa"/>
            </w:tcMar>
            <w:vAlign w:val="center"/>
          </w:tcPr>
          <w:p w14:paraId="62F82F28">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行政办公室</w:t>
            </w:r>
          </w:p>
        </w:tc>
      </w:tr>
      <w:tr w14:paraId="7AE0E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73" w:hRule="atLeast"/>
          <w:jc w:val="center"/>
        </w:trPr>
        <w:tc>
          <w:tcPr>
            <w:tcW w:w="1259" w:type="dxa"/>
            <w:vMerge w:val="continue"/>
            <w:noWrap w:val="0"/>
            <w:vAlign w:val="center"/>
          </w:tcPr>
          <w:p w14:paraId="1D8D50B1">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F4FD6A2">
            <w:pPr>
              <w:pStyle w:val="194"/>
              <w:jc w:val="center"/>
              <w:rPr>
                <w:rFonts w:hint="default"/>
                <w:b w:val="0"/>
                <w:bCs w:val="0"/>
                <w:color w:val="000000"/>
                <w:kern w:val="2"/>
                <w:szCs w:val="21"/>
              </w:rPr>
            </w:pPr>
            <w:r>
              <w:rPr>
                <w:rFonts w:hint="default"/>
                <w:b w:val="0"/>
                <w:bCs w:val="0"/>
                <w:color w:val="000000"/>
                <w:kern w:val="2"/>
                <w:szCs w:val="21"/>
              </w:rPr>
              <w:t>纱布</w:t>
            </w:r>
          </w:p>
        </w:tc>
        <w:tc>
          <w:tcPr>
            <w:tcW w:w="1806" w:type="dxa"/>
            <w:noWrap w:val="0"/>
            <w:tcMar>
              <w:top w:w="0" w:type="dxa"/>
              <w:left w:w="108" w:type="dxa"/>
              <w:bottom w:w="0" w:type="dxa"/>
              <w:right w:w="108" w:type="dxa"/>
            </w:tcMar>
            <w:vAlign w:val="center"/>
          </w:tcPr>
          <w:p w14:paraId="34047167">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59BC5D05">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6块</w:t>
            </w:r>
          </w:p>
        </w:tc>
        <w:tc>
          <w:tcPr>
            <w:tcW w:w="2674" w:type="dxa"/>
            <w:noWrap w:val="0"/>
            <w:tcMar>
              <w:top w:w="0" w:type="dxa"/>
              <w:left w:w="108" w:type="dxa"/>
              <w:bottom w:w="0" w:type="dxa"/>
              <w:right w:w="108" w:type="dxa"/>
            </w:tcMar>
            <w:vAlign w:val="center"/>
          </w:tcPr>
          <w:p w14:paraId="29D9F145">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52C17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205A5BC">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67CF466">
            <w:pPr>
              <w:pStyle w:val="194"/>
              <w:jc w:val="center"/>
              <w:rPr>
                <w:rFonts w:hint="default"/>
                <w:b w:val="0"/>
                <w:bCs w:val="0"/>
                <w:color w:val="000000"/>
                <w:kern w:val="2"/>
                <w:szCs w:val="21"/>
              </w:rPr>
            </w:pPr>
            <w:r>
              <w:rPr>
                <w:rFonts w:hint="default"/>
                <w:b w:val="0"/>
                <w:bCs w:val="0"/>
                <w:color w:val="000000"/>
                <w:kern w:val="2"/>
                <w:szCs w:val="21"/>
              </w:rPr>
              <w:t>绷带</w:t>
            </w:r>
          </w:p>
        </w:tc>
        <w:tc>
          <w:tcPr>
            <w:tcW w:w="1806" w:type="dxa"/>
            <w:noWrap w:val="0"/>
            <w:tcMar>
              <w:top w:w="0" w:type="dxa"/>
              <w:left w:w="108" w:type="dxa"/>
              <w:bottom w:w="0" w:type="dxa"/>
              <w:right w:w="108" w:type="dxa"/>
            </w:tcMar>
            <w:vAlign w:val="center"/>
          </w:tcPr>
          <w:p w14:paraId="3DEC218D">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06540D21">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6条</w:t>
            </w:r>
          </w:p>
        </w:tc>
        <w:tc>
          <w:tcPr>
            <w:tcW w:w="2674" w:type="dxa"/>
            <w:noWrap w:val="0"/>
            <w:tcMar>
              <w:top w:w="0" w:type="dxa"/>
              <w:left w:w="108" w:type="dxa"/>
              <w:bottom w:w="0" w:type="dxa"/>
              <w:right w:w="108" w:type="dxa"/>
            </w:tcMar>
            <w:vAlign w:val="center"/>
          </w:tcPr>
          <w:p w14:paraId="34A3B0A9">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55933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8AA66C6">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AAFCE46">
            <w:pPr>
              <w:pStyle w:val="194"/>
              <w:jc w:val="center"/>
              <w:rPr>
                <w:rFonts w:hint="eastAsia"/>
                <w:b w:val="0"/>
                <w:bCs w:val="0"/>
                <w:color w:val="000000"/>
                <w:kern w:val="2"/>
                <w:szCs w:val="21"/>
                <w:lang w:val="en-US" w:eastAsia="zh-CN"/>
              </w:rPr>
            </w:pPr>
            <w:r>
              <w:rPr>
                <w:rFonts w:hint="eastAsia"/>
                <w:b w:val="0"/>
                <w:bCs w:val="0"/>
                <w:color w:val="000000"/>
                <w:kern w:val="2"/>
                <w:szCs w:val="21"/>
                <w:lang w:val="en-US" w:eastAsia="zh-CN"/>
              </w:rPr>
              <w:t>创口贴</w:t>
            </w:r>
          </w:p>
        </w:tc>
        <w:tc>
          <w:tcPr>
            <w:tcW w:w="1806" w:type="dxa"/>
            <w:noWrap w:val="0"/>
            <w:tcMar>
              <w:top w:w="0" w:type="dxa"/>
              <w:left w:w="108" w:type="dxa"/>
              <w:bottom w:w="0" w:type="dxa"/>
              <w:right w:w="108" w:type="dxa"/>
            </w:tcMar>
            <w:vAlign w:val="center"/>
          </w:tcPr>
          <w:p w14:paraId="1445BA50">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47073924">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10盒</w:t>
            </w:r>
          </w:p>
        </w:tc>
        <w:tc>
          <w:tcPr>
            <w:tcW w:w="2674" w:type="dxa"/>
            <w:noWrap w:val="0"/>
            <w:tcMar>
              <w:top w:w="0" w:type="dxa"/>
              <w:left w:w="108" w:type="dxa"/>
              <w:bottom w:w="0" w:type="dxa"/>
              <w:right w:w="108" w:type="dxa"/>
            </w:tcMar>
            <w:vAlign w:val="center"/>
          </w:tcPr>
          <w:p w14:paraId="59691087">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行政办公室</w:t>
            </w:r>
          </w:p>
        </w:tc>
      </w:tr>
      <w:tr w14:paraId="43C41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D2FCEBA">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75F59B7">
            <w:pPr>
              <w:pStyle w:val="194"/>
              <w:jc w:val="center"/>
              <w:rPr>
                <w:rFonts w:hint="eastAsia"/>
                <w:b w:val="0"/>
                <w:bCs w:val="0"/>
                <w:color w:val="000000"/>
                <w:kern w:val="2"/>
                <w:szCs w:val="21"/>
                <w:lang w:val="en-US" w:eastAsia="zh-CN"/>
              </w:rPr>
            </w:pPr>
            <w:r>
              <w:rPr>
                <w:rFonts w:hint="eastAsia"/>
                <w:b w:val="0"/>
                <w:bCs w:val="0"/>
                <w:color w:val="000000"/>
                <w:kern w:val="2"/>
                <w:szCs w:val="21"/>
                <w:lang w:val="en-US" w:eastAsia="zh-CN"/>
              </w:rPr>
              <w:t>烫伤膏</w:t>
            </w:r>
          </w:p>
        </w:tc>
        <w:tc>
          <w:tcPr>
            <w:tcW w:w="1806" w:type="dxa"/>
            <w:noWrap w:val="0"/>
            <w:tcMar>
              <w:top w:w="0" w:type="dxa"/>
              <w:left w:w="108" w:type="dxa"/>
              <w:bottom w:w="0" w:type="dxa"/>
              <w:right w:w="108" w:type="dxa"/>
            </w:tcMar>
            <w:vAlign w:val="center"/>
          </w:tcPr>
          <w:p w14:paraId="1F39950F">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27DA11E6">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10支</w:t>
            </w:r>
          </w:p>
        </w:tc>
        <w:tc>
          <w:tcPr>
            <w:tcW w:w="2674" w:type="dxa"/>
            <w:noWrap w:val="0"/>
            <w:tcMar>
              <w:top w:w="0" w:type="dxa"/>
              <w:left w:w="108" w:type="dxa"/>
              <w:bottom w:w="0" w:type="dxa"/>
              <w:right w:w="108" w:type="dxa"/>
            </w:tcMar>
            <w:vAlign w:val="center"/>
          </w:tcPr>
          <w:p w14:paraId="2AB0104E">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09411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235E2748">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96AC90F">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藿香正气水</w:t>
            </w:r>
          </w:p>
        </w:tc>
        <w:tc>
          <w:tcPr>
            <w:tcW w:w="1806" w:type="dxa"/>
            <w:noWrap w:val="0"/>
            <w:tcMar>
              <w:top w:w="0" w:type="dxa"/>
              <w:left w:w="108" w:type="dxa"/>
              <w:bottom w:w="0" w:type="dxa"/>
              <w:right w:w="108" w:type="dxa"/>
            </w:tcMar>
            <w:vAlign w:val="center"/>
          </w:tcPr>
          <w:p w14:paraId="788A4200">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771AE33D">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10盒</w:t>
            </w:r>
          </w:p>
        </w:tc>
        <w:tc>
          <w:tcPr>
            <w:tcW w:w="2674" w:type="dxa"/>
            <w:noWrap w:val="0"/>
            <w:tcMar>
              <w:top w:w="0" w:type="dxa"/>
              <w:left w:w="108" w:type="dxa"/>
              <w:bottom w:w="0" w:type="dxa"/>
              <w:right w:w="108" w:type="dxa"/>
            </w:tcMar>
            <w:vAlign w:val="center"/>
          </w:tcPr>
          <w:p w14:paraId="365ADC10">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2AB8A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2CBEA3AC">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B9ED0B5">
            <w:pPr>
              <w:pStyle w:val="194"/>
              <w:jc w:val="center"/>
              <w:rPr>
                <w:rFonts w:hint="eastAsia"/>
                <w:b w:val="0"/>
                <w:bCs w:val="0"/>
                <w:color w:val="000000"/>
                <w:kern w:val="2"/>
                <w:szCs w:val="21"/>
                <w:lang w:val="en-US" w:eastAsia="zh-CN"/>
              </w:rPr>
            </w:pPr>
            <w:r>
              <w:rPr>
                <w:rFonts w:hint="eastAsia"/>
                <w:b w:val="0"/>
                <w:bCs w:val="0"/>
                <w:color w:val="000000"/>
                <w:kern w:val="2"/>
                <w:szCs w:val="21"/>
                <w:lang w:val="en-US" w:eastAsia="zh-CN"/>
              </w:rPr>
              <w:t>酒精</w:t>
            </w:r>
          </w:p>
        </w:tc>
        <w:tc>
          <w:tcPr>
            <w:tcW w:w="1806" w:type="dxa"/>
            <w:noWrap w:val="0"/>
            <w:tcMar>
              <w:top w:w="0" w:type="dxa"/>
              <w:left w:w="108" w:type="dxa"/>
              <w:bottom w:w="0" w:type="dxa"/>
              <w:right w:w="108" w:type="dxa"/>
            </w:tcMar>
            <w:vAlign w:val="center"/>
          </w:tcPr>
          <w:p w14:paraId="627115DA">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31BC3EEB">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5瓶</w:t>
            </w:r>
          </w:p>
        </w:tc>
        <w:tc>
          <w:tcPr>
            <w:tcW w:w="2674" w:type="dxa"/>
            <w:noWrap w:val="0"/>
            <w:tcMar>
              <w:top w:w="0" w:type="dxa"/>
              <w:left w:w="108" w:type="dxa"/>
              <w:bottom w:w="0" w:type="dxa"/>
              <w:right w:w="108" w:type="dxa"/>
            </w:tcMar>
            <w:vAlign w:val="center"/>
          </w:tcPr>
          <w:p w14:paraId="566AF905">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bl>
    <w:p w14:paraId="210D6782">
      <w:pPr>
        <w:pStyle w:val="13"/>
        <w:spacing w:before="0" w:after="0" w:line="500" w:lineRule="exact"/>
        <w:jc w:val="both"/>
        <w:rPr>
          <w:rFonts w:hint="default" w:ascii="Times New Roman" w:hAnsi="Times New Roman" w:eastAsia="宋体" w:cs="Times New Roman"/>
          <w:b/>
          <w:bCs/>
        </w:rPr>
      </w:pPr>
    </w:p>
    <w:p w14:paraId="62C6A9A7">
      <w:pPr>
        <w:pStyle w:val="249"/>
        <w:pageBreakBefore w:val="0"/>
        <w:widowControl/>
        <w:kinsoku/>
        <w:wordWrap/>
        <w:overflowPunct/>
        <w:topLinePunct w:val="0"/>
        <w:autoSpaceDE/>
        <w:autoSpaceDN/>
        <w:bidi w:val="0"/>
        <w:adjustRightInd/>
        <w:snapToGrid w:val="0"/>
        <w:textAlignment w:val="auto"/>
        <w:outlineLvl w:val="2"/>
        <w:rPr>
          <w:rFonts w:hint="default" w:eastAsia="宋体" w:cs="Times New Roman"/>
          <w:sz w:val="24"/>
          <w:szCs w:val="24"/>
          <w:lang w:val="en-US" w:eastAsia="zh-CN"/>
        </w:rPr>
      </w:pPr>
      <w:bookmarkStart w:id="131" w:name="_TOC_250047"/>
      <w:bookmarkEnd w:id="131"/>
      <w:bookmarkStart w:id="132" w:name="3.7.3应急监测能力"/>
      <w:bookmarkEnd w:id="132"/>
      <w:bookmarkStart w:id="133" w:name="_Toc14714"/>
      <w:bookmarkStart w:id="134" w:name="_Toc3357"/>
      <w:r>
        <w:rPr>
          <w:rFonts w:hint="default" w:ascii="Times New Roman" w:hAnsi="Times New Roman" w:eastAsia="宋体" w:cs="Times New Roman"/>
          <w:sz w:val="24"/>
          <w:szCs w:val="24"/>
        </w:rPr>
        <w:t>3.</w:t>
      </w:r>
      <w:r>
        <w:rPr>
          <w:rFonts w:hint="eastAsia" w:cs="Times New Roman"/>
          <w:sz w:val="24"/>
          <w:szCs w:val="24"/>
          <w:lang w:val="en-US" w:eastAsia="zh-CN"/>
        </w:rPr>
        <w:t>8.3</w:t>
      </w:r>
      <w:r>
        <w:rPr>
          <w:rFonts w:hint="eastAsia" w:eastAsia="宋体" w:cs="Times New Roman"/>
          <w:sz w:val="24"/>
          <w:szCs w:val="24"/>
          <w:lang w:val="en-US" w:eastAsia="zh-CN"/>
        </w:rPr>
        <w:t>应急监测能力</w:t>
      </w:r>
      <w:bookmarkEnd w:id="133"/>
      <w:bookmarkEnd w:id="134"/>
    </w:p>
    <w:p w14:paraId="782BE0AC">
      <w:pPr>
        <w:pStyle w:val="13"/>
        <w:spacing w:before="0" w:after="0" w:line="500" w:lineRule="exact"/>
        <w:ind w:left="0" w:firstLine="440" w:firstLineChars="200"/>
        <w:rPr>
          <w:rFonts w:eastAsia="宋体"/>
          <w:spacing w:val="-10"/>
        </w:rPr>
      </w:pPr>
      <w:r>
        <w:rPr>
          <w:rFonts w:eastAsia="宋体"/>
          <w:spacing w:val="-10"/>
        </w:rPr>
        <w:t>目前我公司无应急监测能力（人员、监测设备不具备）</w:t>
      </w:r>
      <w:r>
        <w:rPr>
          <w:rFonts w:hint="default" w:eastAsia="宋体"/>
          <w:spacing w:val="-10"/>
          <w:lang w:eastAsia="zh-CN"/>
        </w:rPr>
        <w:t>，</w:t>
      </w:r>
      <w:r>
        <w:rPr>
          <w:rFonts w:hint="default" w:eastAsia="宋体"/>
          <w:spacing w:val="-10"/>
          <w:lang w:val="en-US" w:eastAsia="zh-CN"/>
        </w:rPr>
        <w:t>委托江苏裕和检测技术有限公司进行应急监测</w:t>
      </w:r>
      <w:r>
        <w:rPr>
          <w:rFonts w:eastAsia="宋体"/>
          <w:spacing w:val="-10"/>
        </w:rPr>
        <w:t>。</w:t>
      </w:r>
      <w:r>
        <w:rPr>
          <w:rFonts w:ascii="Times New Roman" w:hAnsi="Times New Roman" w:eastAsia="宋体" w:cs="Times New Roman"/>
          <w:i w:val="0"/>
          <w:iCs w:val="0"/>
          <w:caps w:val="0"/>
          <w:color w:val="000000" w:themeColor="text1"/>
          <w:spacing w:val="-10"/>
          <w:sz w:val="24"/>
          <w:szCs w:val="24"/>
          <w:u w:val="none"/>
          <w14:textFill>
            <w14:solidFill>
              <w14:schemeClr w14:val="tx1"/>
            </w14:solidFill>
          </w14:textFill>
        </w:rPr>
        <w:fldChar w:fldCharType="begin"/>
      </w:r>
      <w:r>
        <w:rPr>
          <w:rFonts w:ascii="Times New Roman" w:hAnsi="Times New Roman" w:eastAsia="宋体" w:cs="Times New Roman"/>
          <w:i w:val="0"/>
          <w:iCs w:val="0"/>
          <w:caps w:val="0"/>
          <w:color w:val="000000" w:themeColor="text1"/>
          <w:spacing w:val="-10"/>
          <w:sz w:val="24"/>
          <w:szCs w:val="24"/>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i w:val="0"/>
          <w:iCs w:val="0"/>
          <w:caps w:val="0"/>
          <w:color w:val="000000" w:themeColor="text1"/>
          <w:spacing w:val="-10"/>
          <w:sz w:val="24"/>
          <w:szCs w:val="24"/>
          <w:u w:val="none"/>
          <w14:textFill>
            <w14:solidFill>
              <w14:schemeClr w14:val="tx1"/>
            </w14:solidFill>
          </w14:textFill>
        </w:rPr>
        <w:fldChar w:fldCharType="separate"/>
      </w:r>
      <w:r>
        <w:rPr>
          <w:rStyle w:val="39"/>
          <w:rFonts w:hint="eastAsia" w:eastAsia="宋体" w:cs="Times New Roman"/>
          <w:i w:val="0"/>
          <w:iCs w:val="0"/>
          <w:caps w:val="0"/>
          <w:color w:val="000000" w:themeColor="text1"/>
          <w:spacing w:val="-10"/>
          <w:sz w:val="24"/>
          <w:szCs w:val="24"/>
          <w:u w:val="none"/>
          <w:lang w:eastAsia="zh-CN"/>
          <w14:textFill>
            <w14:solidFill>
              <w14:schemeClr w14:val="tx1"/>
            </w14:solidFill>
          </w14:textFill>
        </w:rPr>
        <w:t>南通孟泉环保新能源有限公司</w:t>
      </w:r>
      <w:r>
        <w:rPr>
          <w:rStyle w:val="39"/>
          <w:rFonts w:hint="eastAsia" w:eastAsia="宋体" w:cs="Times New Roman"/>
          <w:i w:val="0"/>
          <w:iCs w:val="0"/>
          <w:caps w:val="0"/>
          <w:color w:val="000000" w:themeColor="text1"/>
          <w:spacing w:val="-10"/>
          <w:sz w:val="24"/>
          <w:szCs w:val="24"/>
          <w:u w:val="none"/>
          <w:lang w:eastAsia="zh-CN"/>
          <w14:textFill>
            <w14:solidFill>
              <w14:schemeClr w14:val="tx1"/>
            </w14:solidFill>
          </w14:textFill>
        </w:rPr>
        <w:tab/>
      </w:r>
      <w:r>
        <w:rPr>
          <w:rFonts w:hint="default" w:ascii="Times New Roman" w:hAnsi="Times New Roman" w:eastAsia="宋体" w:cs="Times New Roman"/>
          <w:i w:val="0"/>
          <w:iCs w:val="0"/>
          <w:caps w:val="0"/>
          <w:color w:val="000000" w:themeColor="text1"/>
          <w:spacing w:val="-10"/>
          <w:sz w:val="24"/>
          <w:szCs w:val="24"/>
          <w:u w:val="none"/>
          <w14:textFill>
            <w14:solidFill>
              <w14:schemeClr w14:val="tx1"/>
            </w14:solidFill>
          </w14:textFill>
        </w:rPr>
        <w:fldChar w:fldCharType="end"/>
      </w:r>
      <w:r>
        <w:rPr>
          <w:rFonts w:eastAsia="宋体"/>
          <w:spacing w:val="-10"/>
        </w:rPr>
        <w:t>针对应急预案应急救援组织机构下设总指挥、副总指挥、综合</w:t>
      </w:r>
      <w:r>
        <w:rPr>
          <w:rFonts w:hint="eastAsia" w:ascii="Times New Roman" w:hAnsi="Times New Roman" w:eastAsia="宋体" w:cs="Times New Roman"/>
          <w:spacing w:val="-10"/>
          <w:lang w:val="en-US" w:eastAsia="zh-CN"/>
        </w:rPr>
        <w:t>协调</w:t>
      </w:r>
      <w:r>
        <w:rPr>
          <w:rFonts w:eastAsia="宋体"/>
          <w:spacing w:val="-10"/>
        </w:rPr>
        <w:t>组、</w:t>
      </w:r>
      <w:r>
        <w:rPr>
          <w:rFonts w:hint="eastAsia" w:ascii="Times New Roman" w:hAnsi="Times New Roman" w:eastAsia="宋体" w:cs="Times New Roman"/>
          <w:spacing w:val="-10"/>
          <w:lang w:val="en-US" w:eastAsia="zh-CN"/>
        </w:rPr>
        <w:t>现场处置</w:t>
      </w:r>
      <w:r>
        <w:rPr>
          <w:rFonts w:eastAsia="宋体"/>
          <w:spacing w:val="-10"/>
        </w:rPr>
        <w:t>组、</w:t>
      </w:r>
      <w:r>
        <w:rPr>
          <w:rFonts w:hint="eastAsia" w:ascii="Times New Roman" w:hAnsi="Times New Roman" w:eastAsia="宋体" w:cs="Times New Roman"/>
          <w:spacing w:val="-10"/>
          <w:lang w:val="en-US" w:eastAsia="zh-CN"/>
        </w:rPr>
        <w:t>应急保障</w:t>
      </w:r>
      <w:r>
        <w:rPr>
          <w:rFonts w:eastAsia="宋体"/>
          <w:spacing w:val="-10"/>
        </w:rPr>
        <w:t>组、</w:t>
      </w:r>
      <w:r>
        <w:rPr>
          <w:rFonts w:hint="eastAsia" w:ascii="Times New Roman" w:hAnsi="Times New Roman" w:eastAsia="宋体" w:cs="Times New Roman"/>
          <w:spacing w:val="-10"/>
          <w:lang w:val="en-US" w:eastAsia="zh-CN"/>
        </w:rPr>
        <w:t>医疗救治</w:t>
      </w:r>
      <w:r>
        <w:rPr>
          <w:rFonts w:eastAsia="宋体"/>
          <w:spacing w:val="-10"/>
        </w:rPr>
        <w:t>组、</w:t>
      </w:r>
      <w:r>
        <w:rPr>
          <w:rFonts w:hint="eastAsia" w:ascii="Times New Roman" w:hAnsi="Times New Roman" w:eastAsia="宋体" w:cs="Times New Roman"/>
          <w:spacing w:val="-10"/>
          <w:lang w:val="en-US" w:eastAsia="zh-CN"/>
        </w:rPr>
        <w:t>应急</w:t>
      </w:r>
      <w:r>
        <w:rPr>
          <w:rFonts w:eastAsia="宋体"/>
          <w:spacing w:val="-10"/>
        </w:rPr>
        <w:t>监测组。具体救援组成员见表</w:t>
      </w:r>
      <w:r>
        <w:rPr>
          <w:rFonts w:ascii="Times New Roman" w:eastAsia="宋体"/>
          <w:spacing w:val="-10"/>
        </w:rPr>
        <w:t>3-</w:t>
      </w:r>
      <w:r>
        <w:rPr>
          <w:rFonts w:hint="eastAsia" w:eastAsia="宋体"/>
          <w:spacing w:val="-10"/>
          <w:lang w:val="en-US" w:eastAsia="zh-CN"/>
        </w:rPr>
        <w:t>19</w:t>
      </w:r>
      <w:r>
        <w:rPr>
          <w:rFonts w:eastAsia="宋体"/>
          <w:spacing w:val="-10"/>
        </w:rPr>
        <w:t>所示。</w:t>
      </w:r>
    </w:p>
    <w:p w14:paraId="77303791">
      <w:pPr>
        <w:pStyle w:val="249"/>
        <w:pageBreakBefore w:val="0"/>
        <w:widowControl/>
        <w:kinsoku/>
        <w:wordWrap/>
        <w:overflowPunct/>
        <w:topLinePunct w:val="0"/>
        <w:autoSpaceDE/>
        <w:autoSpaceDN/>
        <w:bidi w:val="0"/>
        <w:adjustRightInd/>
        <w:snapToGrid w:val="0"/>
        <w:textAlignment w:val="auto"/>
        <w:outlineLvl w:val="2"/>
        <w:rPr>
          <w:rFonts w:hint="eastAsia" w:eastAsia="宋体" w:cs="Times New Roman"/>
          <w:sz w:val="24"/>
          <w:szCs w:val="24"/>
          <w:lang w:val="en-US" w:eastAsia="zh-CN"/>
        </w:rPr>
      </w:pPr>
      <w:bookmarkStart w:id="135" w:name="3.7.4内部应急队伍"/>
      <w:bookmarkEnd w:id="135"/>
      <w:bookmarkStart w:id="136" w:name="_TOC_250046"/>
      <w:bookmarkEnd w:id="136"/>
      <w:bookmarkStart w:id="137" w:name="_Toc5748"/>
      <w:bookmarkStart w:id="138" w:name="_Toc5943"/>
      <w:r>
        <w:rPr>
          <w:rFonts w:hint="default" w:ascii="Times New Roman" w:hAnsi="Times New Roman" w:eastAsia="宋体" w:cs="Times New Roman"/>
          <w:sz w:val="24"/>
          <w:szCs w:val="24"/>
        </w:rPr>
        <w:t>3.</w:t>
      </w:r>
      <w:r>
        <w:rPr>
          <w:rFonts w:hint="eastAsia" w:cs="Times New Roman"/>
          <w:sz w:val="24"/>
          <w:szCs w:val="24"/>
          <w:lang w:val="en-US" w:eastAsia="zh-CN"/>
        </w:rPr>
        <w:t>8.4</w:t>
      </w:r>
      <w:r>
        <w:rPr>
          <w:rFonts w:hint="eastAsia" w:eastAsia="宋体" w:cs="Times New Roman"/>
          <w:sz w:val="24"/>
          <w:szCs w:val="24"/>
          <w:lang w:val="en-US" w:eastAsia="zh-CN"/>
        </w:rPr>
        <w:t>内部应急队伍</w:t>
      </w:r>
      <w:bookmarkEnd w:id="137"/>
      <w:bookmarkEnd w:id="138"/>
    </w:p>
    <w:p w14:paraId="74141C0E">
      <w:pPr>
        <w:pStyle w:val="13"/>
        <w:spacing w:before="0" w:after="0" w:line="500" w:lineRule="exact"/>
        <w:jc w:val="center"/>
        <w:rPr>
          <w:rFonts w:hint="eastAsia" w:ascii="Times New Roman" w:hAnsi="Times New Roman" w:eastAsia="宋体" w:cs="Times New Roman"/>
          <w:b/>
          <w:bCs/>
          <w:lang w:val="en-US" w:eastAsia="zh-CN"/>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19</w:t>
      </w:r>
      <w:r>
        <w:rPr>
          <w:rFonts w:hint="eastAsia" w:ascii="Times New Roman" w:hAnsi="Times New Roman" w:eastAsia="宋体" w:cs="Times New Roman"/>
          <w:b/>
          <w:bCs/>
          <w:lang w:val="en-US" w:eastAsia="zh-CN"/>
        </w:rPr>
        <w:t>现有应</w:t>
      </w:r>
      <w:r>
        <w:rPr>
          <w:rFonts w:hint="eastAsia" w:ascii="Times New Roman" w:hAnsi="Times New Roman" w:eastAsia="宋体" w:cs="Times New Roman"/>
          <w:b/>
          <w:bCs/>
          <w:highlight w:val="none"/>
          <w:lang w:val="en-US" w:eastAsia="zh-CN"/>
        </w:rPr>
        <w:t>急救援组织机构人</w:t>
      </w:r>
      <w:r>
        <w:rPr>
          <w:rFonts w:hint="eastAsia" w:ascii="Times New Roman" w:hAnsi="Times New Roman" w:eastAsia="宋体" w:cs="Times New Roman"/>
          <w:b/>
          <w:bCs/>
          <w:lang w:val="en-US" w:eastAsia="zh-CN"/>
        </w:rPr>
        <w:t>员</w:t>
      </w:r>
    </w:p>
    <w:tbl>
      <w:tblPr>
        <w:tblStyle w:val="37"/>
        <w:tblW w:w="55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53"/>
        <w:gridCol w:w="3098"/>
        <w:gridCol w:w="2031"/>
        <w:gridCol w:w="2058"/>
        <w:gridCol w:w="2035"/>
      </w:tblGrid>
      <w:tr w14:paraId="1BD74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468" w:type="pct"/>
            <w:tcBorders>
              <w:tl2br w:val="nil"/>
              <w:tr2bl w:val="nil"/>
            </w:tcBorders>
            <w:noWrap w:val="0"/>
            <w:vAlign w:val="center"/>
          </w:tcPr>
          <w:p w14:paraId="0D3704DE">
            <w:pPr>
              <w:pStyle w:val="155"/>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522" w:type="pct"/>
            <w:tcBorders>
              <w:tl2br w:val="nil"/>
              <w:tr2bl w:val="nil"/>
            </w:tcBorders>
            <w:noWrap w:val="0"/>
            <w:vAlign w:val="center"/>
          </w:tcPr>
          <w:p w14:paraId="247F6174">
            <w:pPr>
              <w:pStyle w:val="155"/>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职务</w:t>
            </w:r>
          </w:p>
        </w:tc>
        <w:tc>
          <w:tcPr>
            <w:tcW w:w="998" w:type="pct"/>
            <w:tcBorders>
              <w:tl2br w:val="nil"/>
              <w:tr2bl w:val="nil"/>
            </w:tcBorders>
            <w:noWrap w:val="0"/>
            <w:vAlign w:val="center"/>
          </w:tcPr>
          <w:p w14:paraId="73EFBB30">
            <w:pPr>
              <w:pStyle w:val="155"/>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来自部门</w:t>
            </w:r>
          </w:p>
        </w:tc>
        <w:tc>
          <w:tcPr>
            <w:tcW w:w="1011" w:type="pct"/>
            <w:tcBorders>
              <w:tl2br w:val="nil"/>
              <w:tr2bl w:val="nil"/>
            </w:tcBorders>
            <w:noWrap w:val="0"/>
            <w:vAlign w:val="center"/>
          </w:tcPr>
          <w:p w14:paraId="3F8F5AC8">
            <w:pPr>
              <w:pStyle w:val="155"/>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1000" w:type="pct"/>
            <w:tcBorders>
              <w:tl2br w:val="nil"/>
              <w:tr2bl w:val="nil"/>
            </w:tcBorders>
            <w:noWrap w:val="0"/>
            <w:vAlign w:val="center"/>
          </w:tcPr>
          <w:p w14:paraId="27DC63F8">
            <w:pPr>
              <w:pStyle w:val="155"/>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联系方式</w:t>
            </w:r>
          </w:p>
        </w:tc>
      </w:tr>
      <w:tr w14:paraId="247C7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3BAC82E0">
            <w:pPr>
              <w:pStyle w:val="155"/>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522" w:type="pct"/>
            <w:tcBorders>
              <w:tl2br w:val="nil"/>
              <w:tr2bl w:val="nil"/>
            </w:tcBorders>
            <w:noWrap w:val="0"/>
            <w:vAlign w:val="center"/>
          </w:tcPr>
          <w:p w14:paraId="7C6D3863">
            <w:pPr>
              <w:pStyle w:val="155"/>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rPr>
              <w:t>指挥部总指挥</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36EB1B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总经理</w:t>
            </w:r>
          </w:p>
        </w:tc>
        <w:tc>
          <w:tcPr>
            <w:tcW w:w="1011" w:type="pct"/>
            <w:tcBorders>
              <w:tl2br w:val="nil"/>
              <w:tr2bl w:val="nil"/>
            </w:tcBorders>
            <w:noWrap w:val="0"/>
            <w:vAlign w:val="center"/>
          </w:tcPr>
          <w:p w14:paraId="5D03CC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孟平国</w:t>
            </w:r>
          </w:p>
        </w:tc>
        <w:tc>
          <w:tcPr>
            <w:tcW w:w="1000" w:type="pct"/>
            <w:tcBorders>
              <w:tl2br w:val="nil"/>
              <w:tr2bl w:val="nil"/>
            </w:tcBorders>
            <w:noWrap w:val="0"/>
            <w:vAlign w:val="center"/>
          </w:tcPr>
          <w:p w14:paraId="065B61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15195077777</w:t>
            </w:r>
          </w:p>
        </w:tc>
      </w:tr>
      <w:tr w14:paraId="19AC4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1056F75B">
            <w:pPr>
              <w:pStyle w:val="155"/>
              <w:pageBreakBefore w:val="0"/>
              <w:kinsoku/>
              <w:overflowPunct/>
              <w:bidi w:val="0"/>
              <w:adjustRightInd w:val="0"/>
              <w:snapToGrid w:val="0"/>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522" w:type="pct"/>
            <w:tcBorders>
              <w:tl2br w:val="nil"/>
              <w:tr2bl w:val="nil"/>
            </w:tcBorders>
            <w:noWrap w:val="0"/>
            <w:vAlign w:val="center"/>
          </w:tcPr>
          <w:p w14:paraId="76EA2C42">
            <w:pPr>
              <w:pStyle w:val="155"/>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rPr>
              <w:t>指挥部副总指挥</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539F51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27347A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沈建</w:t>
            </w:r>
          </w:p>
        </w:tc>
        <w:tc>
          <w:tcPr>
            <w:tcW w:w="1000" w:type="pct"/>
            <w:tcBorders>
              <w:tl2br w:val="nil"/>
              <w:tr2bl w:val="nil"/>
            </w:tcBorders>
            <w:noWrap w:val="0"/>
            <w:vAlign w:val="center"/>
          </w:tcPr>
          <w:p w14:paraId="52ABF8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15215520023</w:t>
            </w:r>
          </w:p>
        </w:tc>
      </w:tr>
      <w:tr w14:paraId="2A76B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4C2A28D8">
            <w:pPr>
              <w:pStyle w:val="155"/>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522" w:type="pct"/>
            <w:tcBorders>
              <w:tl2br w:val="nil"/>
              <w:tr2bl w:val="nil"/>
            </w:tcBorders>
            <w:noWrap w:val="0"/>
            <w:vAlign w:val="center"/>
          </w:tcPr>
          <w:p w14:paraId="08C526EE">
            <w:pPr>
              <w:pStyle w:val="155"/>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综合协调</w:t>
            </w:r>
            <w:r>
              <w:rPr>
                <w:rFonts w:hint="default" w:ascii="Times New Roman" w:hAnsi="Times New Roman" w:eastAsia="宋体" w:cs="Times New Roman"/>
                <w:b w:val="0"/>
                <w:bCs w:val="0"/>
                <w:color w:val="auto"/>
                <w:sz w:val="21"/>
                <w:szCs w:val="21"/>
              </w:rPr>
              <w:t>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46953F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0209B2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田保昌</w:t>
            </w:r>
          </w:p>
        </w:tc>
        <w:tc>
          <w:tcPr>
            <w:tcW w:w="1000" w:type="pct"/>
            <w:tcBorders>
              <w:tl2br w:val="nil"/>
              <w:tr2bl w:val="nil"/>
            </w:tcBorders>
            <w:noWrap w:val="0"/>
            <w:vAlign w:val="center"/>
          </w:tcPr>
          <w:p w14:paraId="4687B5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15039686015</w:t>
            </w:r>
          </w:p>
        </w:tc>
      </w:tr>
      <w:tr w14:paraId="5E770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406DCFDC">
            <w:pPr>
              <w:pStyle w:val="155"/>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522" w:type="pct"/>
            <w:tcBorders>
              <w:tl2br w:val="nil"/>
              <w:tr2bl w:val="nil"/>
            </w:tcBorders>
            <w:noWrap w:val="0"/>
            <w:vAlign w:val="center"/>
          </w:tcPr>
          <w:p w14:paraId="6A83DDFF">
            <w:pPr>
              <w:pStyle w:val="155"/>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综合协调</w:t>
            </w:r>
            <w:r>
              <w:rPr>
                <w:rFonts w:hint="default" w:ascii="Times New Roman" w:hAnsi="Times New Roman" w:eastAsia="宋体" w:cs="Times New Roman"/>
                <w:b w:val="0"/>
                <w:bCs w:val="0"/>
                <w:color w:val="auto"/>
                <w:sz w:val="21"/>
                <w:szCs w:val="21"/>
              </w:rPr>
              <w:t>组</w:t>
            </w:r>
            <w:r>
              <w:rPr>
                <w:rFonts w:hint="default" w:ascii="Times New Roman" w:hAnsi="Times New Roman" w:eastAsia="宋体" w:cs="Times New Roman"/>
                <w:b w:val="0"/>
                <w:bCs w:val="0"/>
                <w:color w:val="auto"/>
                <w:sz w:val="21"/>
                <w:szCs w:val="21"/>
                <w:lang w:val="en-US" w:eastAsia="zh-CN"/>
              </w:rPr>
              <w:t>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23E666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1274C0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李正学</w:t>
            </w:r>
          </w:p>
        </w:tc>
        <w:tc>
          <w:tcPr>
            <w:tcW w:w="1000" w:type="pct"/>
            <w:tcBorders>
              <w:tl2br w:val="nil"/>
              <w:tr2bl w:val="nil"/>
            </w:tcBorders>
            <w:noWrap w:val="0"/>
            <w:vAlign w:val="center"/>
          </w:tcPr>
          <w:p w14:paraId="55B5DD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18685775067</w:t>
            </w:r>
          </w:p>
        </w:tc>
      </w:tr>
      <w:tr w14:paraId="2C9DA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5C4AA217">
            <w:pPr>
              <w:pStyle w:val="155"/>
              <w:pageBreakBefore w:val="0"/>
              <w:kinsoku/>
              <w:overflowPunct/>
              <w:bidi w:val="0"/>
              <w:adjustRightInd w:val="0"/>
              <w:snapToGrid w:val="0"/>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5</w:t>
            </w:r>
          </w:p>
        </w:tc>
        <w:tc>
          <w:tcPr>
            <w:tcW w:w="1522" w:type="pct"/>
            <w:tcBorders>
              <w:tl2br w:val="nil"/>
              <w:tr2bl w:val="nil"/>
            </w:tcBorders>
            <w:noWrap w:val="0"/>
            <w:vAlign w:val="center"/>
          </w:tcPr>
          <w:p w14:paraId="3BF9C735">
            <w:pPr>
              <w:pStyle w:val="155"/>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现场处置</w:t>
            </w:r>
            <w:r>
              <w:rPr>
                <w:rFonts w:hint="default" w:ascii="Times New Roman" w:hAnsi="Times New Roman" w:eastAsia="宋体" w:cs="Times New Roman"/>
                <w:b w:val="0"/>
                <w:bCs w:val="0"/>
                <w:color w:val="auto"/>
                <w:sz w:val="21"/>
                <w:szCs w:val="21"/>
              </w:rPr>
              <w:t>组组</w:t>
            </w:r>
            <w:r>
              <w:rPr>
                <w:rFonts w:hint="default" w:ascii="Times New Roman" w:hAnsi="Times New Roman" w:eastAsia="宋体" w:cs="Times New Roman"/>
                <w:b w:val="0"/>
                <w:bCs w:val="0"/>
                <w:color w:val="auto"/>
                <w:sz w:val="21"/>
                <w:szCs w:val="21"/>
                <w:lang w:val="en-US" w:eastAsia="zh-CN"/>
              </w:rPr>
              <w:t>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3FD5D1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076FA9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安登才</w:t>
            </w:r>
          </w:p>
        </w:tc>
        <w:tc>
          <w:tcPr>
            <w:tcW w:w="1000" w:type="pct"/>
            <w:tcBorders>
              <w:tl2br w:val="nil"/>
              <w:tr2bl w:val="nil"/>
            </w:tcBorders>
            <w:noWrap w:val="0"/>
            <w:vAlign w:val="center"/>
          </w:tcPr>
          <w:p w14:paraId="54B0CA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15086505736</w:t>
            </w:r>
          </w:p>
        </w:tc>
      </w:tr>
      <w:tr w14:paraId="7CF08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5A7976C7">
            <w:pPr>
              <w:pStyle w:val="155"/>
              <w:pageBreakBefore w:val="0"/>
              <w:kinsoku/>
              <w:overflowPunct/>
              <w:bidi w:val="0"/>
              <w:adjustRightInd w:val="0"/>
              <w:snapToGrid w:val="0"/>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6</w:t>
            </w:r>
          </w:p>
        </w:tc>
        <w:tc>
          <w:tcPr>
            <w:tcW w:w="1522" w:type="pct"/>
            <w:tcBorders>
              <w:tl2br w:val="nil"/>
              <w:tr2bl w:val="nil"/>
            </w:tcBorders>
            <w:noWrap w:val="0"/>
            <w:vAlign w:val="center"/>
          </w:tcPr>
          <w:p w14:paraId="0558AB8D">
            <w:pPr>
              <w:pStyle w:val="155"/>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现场处置组副组长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488592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636DBC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张华芬</w:t>
            </w:r>
          </w:p>
        </w:tc>
        <w:tc>
          <w:tcPr>
            <w:tcW w:w="1000" w:type="pct"/>
            <w:tcBorders>
              <w:tl2br w:val="nil"/>
              <w:tr2bl w:val="nil"/>
            </w:tcBorders>
            <w:noWrap w:val="0"/>
            <w:vAlign w:val="center"/>
          </w:tcPr>
          <w:p w14:paraId="2D014C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18146216158</w:t>
            </w:r>
          </w:p>
        </w:tc>
      </w:tr>
      <w:tr w14:paraId="09A3A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48A52423">
            <w:pPr>
              <w:pStyle w:val="155"/>
              <w:pageBreakBefore w:val="0"/>
              <w:kinsoku/>
              <w:overflowPunct/>
              <w:bidi w:val="0"/>
              <w:adjustRightInd w:val="0"/>
              <w:snapToGrid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522" w:type="pct"/>
            <w:tcBorders>
              <w:tl2br w:val="nil"/>
              <w:tr2bl w:val="nil"/>
            </w:tcBorders>
            <w:noWrap w:val="0"/>
            <w:vAlign w:val="center"/>
          </w:tcPr>
          <w:p w14:paraId="50DB2F1A">
            <w:pPr>
              <w:pStyle w:val="155"/>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应急保障</w:t>
            </w:r>
            <w:r>
              <w:rPr>
                <w:rFonts w:hint="default" w:ascii="Times New Roman" w:hAnsi="Times New Roman" w:eastAsia="宋体" w:cs="Times New Roman"/>
                <w:b w:val="0"/>
                <w:bCs w:val="0"/>
                <w:color w:val="auto"/>
                <w:sz w:val="21"/>
                <w:szCs w:val="21"/>
              </w:rPr>
              <w:t>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7A2386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49A765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田保昌</w:t>
            </w:r>
          </w:p>
        </w:tc>
        <w:tc>
          <w:tcPr>
            <w:tcW w:w="1000" w:type="pct"/>
            <w:tcBorders>
              <w:tl2br w:val="nil"/>
              <w:tr2bl w:val="nil"/>
            </w:tcBorders>
            <w:noWrap w:val="0"/>
            <w:vAlign w:val="center"/>
          </w:tcPr>
          <w:p w14:paraId="1A1C9D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15039686015</w:t>
            </w:r>
          </w:p>
        </w:tc>
      </w:tr>
      <w:tr w14:paraId="24A38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3512472B">
            <w:pPr>
              <w:pStyle w:val="155"/>
              <w:pageBreakBefore w:val="0"/>
              <w:kinsoku/>
              <w:overflowPunct/>
              <w:bidi w:val="0"/>
              <w:adjustRightInd w:val="0"/>
              <w:snapToGrid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522" w:type="pct"/>
            <w:tcBorders>
              <w:tl2br w:val="nil"/>
              <w:tr2bl w:val="nil"/>
            </w:tcBorders>
            <w:noWrap w:val="0"/>
            <w:vAlign w:val="center"/>
          </w:tcPr>
          <w:p w14:paraId="26205D69">
            <w:pPr>
              <w:pStyle w:val="155"/>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应急保障</w:t>
            </w:r>
            <w:r>
              <w:rPr>
                <w:rFonts w:hint="default" w:ascii="Times New Roman" w:hAnsi="Times New Roman" w:eastAsia="宋体" w:cs="Times New Roman"/>
                <w:b w:val="0"/>
                <w:bCs w:val="0"/>
                <w:color w:val="auto"/>
                <w:sz w:val="21"/>
                <w:szCs w:val="21"/>
              </w:rPr>
              <w:t>组</w:t>
            </w:r>
            <w:r>
              <w:rPr>
                <w:rFonts w:hint="default" w:ascii="Times New Roman" w:hAnsi="Times New Roman" w:eastAsia="宋体" w:cs="Times New Roman"/>
                <w:b w:val="0"/>
                <w:bCs w:val="0"/>
                <w:color w:val="auto"/>
                <w:sz w:val="21"/>
                <w:szCs w:val="21"/>
                <w:lang w:val="en-US" w:eastAsia="zh-CN"/>
              </w:rPr>
              <w:t>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59D89E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52A83F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宋秋菊</w:t>
            </w:r>
          </w:p>
        </w:tc>
        <w:tc>
          <w:tcPr>
            <w:tcW w:w="1000" w:type="pct"/>
            <w:tcBorders>
              <w:tl2br w:val="nil"/>
              <w:tr2bl w:val="nil"/>
            </w:tcBorders>
            <w:noWrap w:val="0"/>
            <w:vAlign w:val="center"/>
          </w:tcPr>
          <w:p w14:paraId="01566F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18539688573</w:t>
            </w:r>
          </w:p>
        </w:tc>
      </w:tr>
      <w:tr w14:paraId="3CD31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3F31438C">
            <w:pPr>
              <w:pStyle w:val="155"/>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522" w:type="pct"/>
            <w:tcBorders>
              <w:tl2br w:val="nil"/>
              <w:tr2bl w:val="nil"/>
            </w:tcBorders>
            <w:noWrap w:val="0"/>
            <w:vAlign w:val="center"/>
          </w:tcPr>
          <w:p w14:paraId="5731B059">
            <w:pPr>
              <w:pStyle w:val="155"/>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医疗救治组组长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707948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3DA194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翟冠军</w:t>
            </w:r>
          </w:p>
        </w:tc>
        <w:tc>
          <w:tcPr>
            <w:tcW w:w="1000" w:type="pct"/>
            <w:tcBorders>
              <w:tl2br w:val="nil"/>
              <w:tr2bl w:val="nil"/>
            </w:tcBorders>
            <w:noWrap w:val="0"/>
            <w:vAlign w:val="center"/>
          </w:tcPr>
          <w:p w14:paraId="721458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15852992428</w:t>
            </w:r>
          </w:p>
        </w:tc>
      </w:tr>
      <w:tr w14:paraId="52317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78AE5893">
            <w:pPr>
              <w:pStyle w:val="155"/>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522" w:type="pct"/>
            <w:tcBorders>
              <w:tl2br w:val="nil"/>
              <w:tr2bl w:val="nil"/>
            </w:tcBorders>
            <w:noWrap w:val="0"/>
            <w:vAlign w:val="center"/>
          </w:tcPr>
          <w:p w14:paraId="12115957">
            <w:pPr>
              <w:pStyle w:val="155"/>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医疗救治组副组长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44B104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720003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马会英</w:t>
            </w:r>
          </w:p>
        </w:tc>
        <w:tc>
          <w:tcPr>
            <w:tcW w:w="1000" w:type="pct"/>
            <w:tcBorders>
              <w:tl2br w:val="nil"/>
              <w:tr2bl w:val="nil"/>
            </w:tcBorders>
            <w:noWrap w:val="0"/>
            <w:vAlign w:val="center"/>
          </w:tcPr>
          <w:p w14:paraId="72FB1E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13885795365</w:t>
            </w:r>
          </w:p>
        </w:tc>
      </w:tr>
      <w:tr w14:paraId="3C2FA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5D50D1DB">
            <w:pPr>
              <w:pStyle w:val="155"/>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522" w:type="pct"/>
            <w:tcBorders>
              <w:tl2br w:val="nil"/>
              <w:tr2bl w:val="nil"/>
            </w:tcBorders>
            <w:noWrap w:val="0"/>
            <w:vAlign w:val="center"/>
          </w:tcPr>
          <w:p w14:paraId="7E6024B4">
            <w:pPr>
              <w:pStyle w:val="155"/>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应急监测组组长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359D34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6D7884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刘荣耀</w:t>
            </w:r>
          </w:p>
        </w:tc>
        <w:tc>
          <w:tcPr>
            <w:tcW w:w="1000" w:type="pct"/>
            <w:tcBorders>
              <w:tl2br w:val="nil"/>
              <w:tr2bl w:val="nil"/>
            </w:tcBorders>
            <w:noWrap w:val="0"/>
            <w:vAlign w:val="center"/>
          </w:tcPr>
          <w:p w14:paraId="732AE9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15195077777</w:t>
            </w:r>
          </w:p>
        </w:tc>
      </w:tr>
      <w:tr w14:paraId="6255B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22E287D5">
            <w:pPr>
              <w:pStyle w:val="155"/>
              <w:pageBreakBefore w:val="0"/>
              <w:kinsoku/>
              <w:overflowPunct/>
              <w:bidi w:val="0"/>
              <w:adjustRightInd w:val="0"/>
              <w:snapToGrid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3531" w:type="pct"/>
            <w:gridSpan w:val="3"/>
            <w:tcBorders>
              <w:tl2br w:val="nil"/>
              <w:tr2bl w:val="nil"/>
            </w:tcBorders>
            <w:noWrap w:val="0"/>
            <w:vAlign w:val="center"/>
          </w:tcPr>
          <w:p w14:paraId="6E1C03F5">
            <w:pPr>
              <w:pStyle w:val="155"/>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公司值班电话</w:t>
            </w:r>
          </w:p>
        </w:tc>
        <w:tc>
          <w:tcPr>
            <w:tcW w:w="1000" w:type="pct"/>
            <w:tcBorders>
              <w:tl2br w:val="nil"/>
              <w:tr2bl w:val="nil"/>
            </w:tcBorders>
            <w:noWrap w:val="0"/>
            <w:vAlign w:val="center"/>
          </w:tcPr>
          <w:p w14:paraId="74EA64D2">
            <w:pPr>
              <w:pStyle w:val="155"/>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bCs/>
                <w:color w:val="000000"/>
                <w:sz w:val="21"/>
                <w:szCs w:val="21"/>
                <w:lang w:val="en-US" w:eastAsia="zh-CN"/>
              </w:rPr>
              <w:t>15195077777</w:t>
            </w:r>
          </w:p>
        </w:tc>
      </w:tr>
    </w:tbl>
    <w:p w14:paraId="050E8F40">
      <w:pPr>
        <w:pStyle w:val="249"/>
        <w:pageBreakBefore w:val="0"/>
        <w:widowControl/>
        <w:kinsoku/>
        <w:wordWrap/>
        <w:overflowPunct/>
        <w:topLinePunct w:val="0"/>
        <w:autoSpaceDE/>
        <w:autoSpaceDN/>
        <w:bidi w:val="0"/>
        <w:adjustRightInd/>
        <w:snapToGrid w:val="0"/>
        <w:textAlignment w:val="auto"/>
        <w:outlineLvl w:val="2"/>
        <w:rPr>
          <w:rFonts w:hint="default" w:eastAsia="宋体" w:cs="Times New Roman"/>
          <w:sz w:val="24"/>
          <w:szCs w:val="24"/>
          <w:lang w:val="en-US" w:eastAsia="zh-CN"/>
        </w:rPr>
      </w:pPr>
      <w:bookmarkStart w:id="139" w:name="_TOC_250045"/>
      <w:bookmarkEnd w:id="139"/>
      <w:bookmarkStart w:id="140" w:name="3.7.5外部应急救援力量"/>
      <w:bookmarkEnd w:id="140"/>
      <w:bookmarkStart w:id="141" w:name="_Toc22493"/>
      <w:bookmarkStart w:id="142" w:name="_Toc26885"/>
      <w:r>
        <w:rPr>
          <w:rFonts w:hint="default" w:ascii="Times New Roman" w:hAnsi="Times New Roman" w:eastAsia="宋体" w:cs="Times New Roman"/>
          <w:sz w:val="24"/>
          <w:szCs w:val="24"/>
        </w:rPr>
        <w:t>3.</w:t>
      </w:r>
      <w:r>
        <w:rPr>
          <w:rFonts w:hint="eastAsia" w:cs="Times New Roman"/>
          <w:sz w:val="24"/>
          <w:szCs w:val="24"/>
          <w:lang w:val="en-US" w:eastAsia="zh-CN"/>
        </w:rPr>
        <w:t>8.5</w:t>
      </w:r>
      <w:r>
        <w:rPr>
          <w:rFonts w:hint="eastAsia" w:eastAsia="宋体" w:cs="Times New Roman"/>
          <w:sz w:val="24"/>
          <w:szCs w:val="24"/>
          <w:lang w:val="en-US" w:eastAsia="zh-CN"/>
        </w:rPr>
        <w:t>外部应急救援力量</w:t>
      </w:r>
      <w:bookmarkEnd w:id="141"/>
      <w:bookmarkEnd w:id="142"/>
    </w:p>
    <w:p w14:paraId="1EDFC3A8">
      <w:pPr>
        <w:pStyle w:val="13"/>
        <w:spacing w:before="0" w:after="0" w:line="500" w:lineRule="exact"/>
        <w:ind w:left="0" w:right="0" w:firstLine="480" w:firstLineChars="200"/>
        <w:rPr>
          <w:rFonts w:hint="default" w:eastAsia="宋体"/>
        </w:rPr>
      </w:pPr>
      <w:r>
        <w:rPr>
          <w:rFonts w:hint="default" w:eastAsia="宋体"/>
        </w:rPr>
        <w:t>当遇到较大或重大突发环境事件时，应及时向表</w:t>
      </w:r>
      <w:r>
        <w:rPr>
          <w:rFonts w:hint="default" w:ascii="Times New Roman" w:eastAsia="宋体"/>
        </w:rPr>
        <w:t>3-</w:t>
      </w:r>
      <w:r>
        <w:rPr>
          <w:rFonts w:hint="eastAsia" w:eastAsia="宋体" w:cs="Times New Roman"/>
          <w:lang w:val="en-US" w:eastAsia="zh-CN"/>
        </w:rPr>
        <w:t>20</w:t>
      </w:r>
      <w:r>
        <w:rPr>
          <w:rFonts w:hint="default" w:eastAsia="宋体"/>
        </w:rPr>
        <w:t>中的外部应急救援力量请求援助，以便将事故造成的危害控制降至最低。</w:t>
      </w:r>
    </w:p>
    <w:p w14:paraId="26807D34">
      <w:pPr>
        <w:keepNext/>
        <w:keepLines/>
        <w:spacing w:before="0" w:line="500" w:lineRule="exact"/>
        <w:ind w:left="0"/>
        <w:jc w:val="center"/>
        <w:outlineLvl w:val="9"/>
        <w:rPr>
          <w:rFonts w:hint="default" w:ascii="Times New Roman" w:hAnsi="Times New Roman" w:eastAsia="宋体" w:cs="Times New Roman"/>
          <w:b/>
          <w:bCs/>
          <w:lang w:val="en-US" w:eastAsia="zh-CN"/>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20</w:t>
      </w:r>
      <w:r>
        <w:rPr>
          <w:rFonts w:hint="eastAsia" w:ascii="Times New Roman" w:hAnsi="Times New Roman" w:eastAsia="宋体" w:cs="Times New Roman"/>
          <w:b/>
          <w:bCs/>
          <w:lang w:val="en-US" w:eastAsia="zh-CN"/>
        </w:rPr>
        <w:t>外部应急救援通讯录</w:t>
      </w:r>
    </w:p>
    <w:tbl>
      <w:tblPr>
        <w:tblStyle w:val="37"/>
        <w:tblW w:w="0" w:type="auto"/>
        <w:tblInd w:w="1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26"/>
        <w:gridCol w:w="4270"/>
        <w:gridCol w:w="3309"/>
      </w:tblGrid>
      <w:tr w14:paraId="6F3C83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162D3FB7">
            <w:pPr>
              <w:pStyle w:val="140"/>
              <w:spacing w:before="0"/>
              <w:ind w:left="0" w:right="0"/>
              <w:rPr>
                <w:b/>
                <w:sz w:val="21"/>
              </w:rPr>
            </w:pPr>
            <w:r>
              <w:rPr>
                <w:b/>
                <w:sz w:val="21"/>
              </w:rPr>
              <w:t>序号</w:t>
            </w:r>
          </w:p>
        </w:tc>
        <w:tc>
          <w:tcPr>
            <w:tcW w:w="4270" w:type="dxa"/>
            <w:tcBorders>
              <w:tl2br w:val="nil"/>
              <w:tr2bl w:val="nil"/>
            </w:tcBorders>
            <w:vAlign w:val="center"/>
          </w:tcPr>
          <w:p w14:paraId="7B969DA4">
            <w:pPr>
              <w:pStyle w:val="140"/>
              <w:spacing w:before="0"/>
              <w:ind w:left="0" w:right="0"/>
              <w:rPr>
                <w:b/>
                <w:sz w:val="21"/>
              </w:rPr>
            </w:pPr>
            <w:r>
              <w:rPr>
                <w:b/>
                <w:sz w:val="21"/>
              </w:rPr>
              <w:t>部门名称</w:t>
            </w:r>
          </w:p>
        </w:tc>
        <w:tc>
          <w:tcPr>
            <w:tcW w:w="3309" w:type="dxa"/>
            <w:tcBorders>
              <w:tl2br w:val="nil"/>
              <w:tr2bl w:val="nil"/>
            </w:tcBorders>
            <w:vAlign w:val="center"/>
          </w:tcPr>
          <w:p w14:paraId="63C8CB06">
            <w:pPr>
              <w:pStyle w:val="140"/>
              <w:spacing w:before="0"/>
              <w:ind w:left="0" w:right="0"/>
              <w:rPr>
                <w:b/>
                <w:sz w:val="21"/>
              </w:rPr>
            </w:pPr>
            <w:r>
              <w:rPr>
                <w:b/>
                <w:sz w:val="21"/>
              </w:rPr>
              <w:t>报警或值班电话</w:t>
            </w:r>
          </w:p>
        </w:tc>
      </w:tr>
      <w:tr w14:paraId="47A02D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FB15235">
            <w:pPr>
              <w:pStyle w:val="140"/>
              <w:spacing w:before="0"/>
              <w:ind w:left="0"/>
              <w:rPr>
                <w:rFonts w:ascii="Times New Roman"/>
                <w:sz w:val="21"/>
              </w:rPr>
            </w:pPr>
            <w:r>
              <w:rPr>
                <w:rFonts w:ascii="Times New Roman"/>
                <w:w w:val="99"/>
                <w:sz w:val="21"/>
              </w:rPr>
              <w:t>1</w:t>
            </w:r>
          </w:p>
        </w:tc>
        <w:tc>
          <w:tcPr>
            <w:tcW w:w="4270" w:type="dxa"/>
            <w:tcBorders>
              <w:tl2br w:val="nil"/>
              <w:tr2bl w:val="nil"/>
            </w:tcBorders>
            <w:vAlign w:val="center"/>
          </w:tcPr>
          <w:p w14:paraId="6297ADF4">
            <w:pPr>
              <w:pStyle w:val="140"/>
              <w:spacing w:before="0"/>
              <w:ind w:left="0" w:right="0"/>
              <w:rPr>
                <w:sz w:val="21"/>
              </w:rPr>
            </w:pPr>
            <w:r>
              <w:rPr>
                <w:sz w:val="21"/>
              </w:rPr>
              <w:t>海安市政府办公室</w:t>
            </w:r>
          </w:p>
        </w:tc>
        <w:tc>
          <w:tcPr>
            <w:tcW w:w="3309" w:type="dxa"/>
            <w:tcBorders>
              <w:tl2br w:val="nil"/>
              <w:tr2bl w:val="nil"/>
            </w:tcBorders>
            <w:vAlign w:val="center"/>
          </w:tcPr>
          <w:p w14:paraId="3A1D914E">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88813815</w:t>
            </w:r>
          </w:p>
        </w:tc>
      </w:tr>
      <w:tr w14:paraId="78184B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FE7946F">
            <w:pPr>
              <w:pStyle w:val="140"/>
              <w:spacing w:before="0"/>
              <w:ind w:left="0"/>
              <w:rPr>
                <w:rFonts w:ascii="Times New Roman"/>
                <w:sz w:val="21"/>
              </w:rPr>
            </w:pPr>
            <w:r>
              <w:rPr>
                <w:rFonts w:ascii="Times New Roman"/>
                <w:w w:val="99"/>
                <w:sz w:val="21"/>
              </w:rPr>
              <w:t>2</w:t>
            </w:r>
          </w:p>
        </w:tc>
        <w:tc>
          <w:tcPr>
            <w:tcW w:w="4270" w:type="dxa"/>
            <w:tcBorders>
              <w:tl2br w:val="nil"/>
              <w:tr2bl w:val="nil"/>
            </w:tcBorders>
            <w:vAlign w:val="center"/>
          </w:tcPr>
          <w:p w14:paraId="4D48BC33">
            <w:pPr>
              <w:pStyle w:val="140"/>
              <w:spacing w:before="0"/>
              <w:ind w:left="0" w:right="0"/>
              <w:rPr>
                <w:sz w:val="21"/>
              </w:rPr>
            </w:pPr>
            <w:r>
              <w:rPr>
                <w:sz w:val="21"/>
              </w:rPr>
              <w:t>海安市应急管理局</w:t>
            </w:r>
          </w:p>
        </w:tc>
        <w:tc>
          <w:tcPr>
            <w:tcW w:w="3309" w:type="dxa"/>
            <w:tcBorders>
              <w:tl2br w:val="nil"/>
              <w:tr2bl w:val="nil"/>
            </w:tcBorders>
            <w:vAlign w:val="center"/>
          </w:tcPr>
          <w:p w14:paraId="17C94C12">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88169809</w:t>
            </w:r>
          </w:p>
        </w:tc>
      </w:tr>
      <w:tr w14:paraId="620DA9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4D08E7DB">
            <w:pPr>
              <w:pStyle w:val="140"/>
              <w:spacing w:before="0"/>
              <w:ind w:left="0"/>
              <w:rPr>
                <w:rFonts w:ascii="Times New Roman"/>
                <w:sz w:val="21"/>
              </w:rPr>
            </w:pPr>
            <w:r>
              <w:rPr>
                <w:rFonts w:ascii="Times New Roman"/>
                <w:w w:val="99"/>
                <w:sz w:val="21"/>
              </w:rPr>
              <w:t>3</w:t>
            </w:r>
          </w:p>
        </w:tc>
        <w:tc>
          <w:tcPr>
            <w:tcW w:w="4270" w:type="dxa"/>
            <w:tcBorders>
              <w:tl2br w:val="nil"/>
              <w:tr2bl w:val="nil"/>
            </w:tcBorders>
            <w:vAlign w:val="center"/>
          </w:tcPr>
          <w:p w14:paraId="7EDF1899">
            <w:pPr>
              <w:pStyle w:val="140"/>
              <w:spacing w:before="0"/>
              <w:ind w:left="0" w:right="0"/>
              <w:rPr>
                <w:sz w:val="21"/>
              </w:rPr>
            </w:pPr>
            <w:r>
              <w:rPr>
                <w:sz w:val="21"/>
              </w:rPr>
              <w:t>海安市公安局</w:t>
            </w:r>
          </w:p>
        </w:tc>
        <w:tc>
          <w:tcPr>
            <w:tcW w:w="3309" w:type="dxa"/>
            <w:tcBorders>
              <w:tl2br w:val="nil"/>
              <w:tr2bl w:val="nil"/>
            </w:tcBorders>
            <w:vAlign w:val="center"/>
          </w:tcPr>
          <w:p w14:paraId="5092B715">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88926999</w:t>
            </w:r>
          </w:p>
        </w:tc>
      </w:tr>
      <w:tr w14:paraId="00CD4F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714A45D9">
            <w:pPr>
              <w:pStyle w:val="140"/>
              <w:spacing w:before="0"/>
              <w:ind w:left="0"/>
              <w:rPr>
                <w:rFonts w:ascii="Times New Roman"/>
                <w:sz w:val="21"/>
              </w:rPr>
            </w:pPr>
            <w:r>
              <w:rPr>
                <w:rFonts w:ascii="Times New Roman"/>
                <w:w w:val="99"/>
                <w:sz w:val="21"/>
              </w:rPr>
              <w:t>4</w:t>
            </w:r>
          </w:p>
        </w:tc>
        <w:tc>
          <w:tcPr>
            <w:tcW w:w="4270" w:type="dxa"/>
            <w:tcBorders>
              <w:tl2br w:val="nil"/>
              <w:tr2bl w:val="nil"/>
            </w:tcBorders>
            <w:vAlign w:val="center"/>
          </w:tcPr>
          <w:p w14:paraId="09E45F7F">
            <w:pPr>
              <w:pStyle w:val="140"/>
              <w:spacing w:before="0"/>
              <w:ind w:left="0" w:right="0"/>
              <w:rPr>
                <w:sz w:val="21"/>
              </w:rPr>
            </w:pPr>
            <w:r>
              <w:rPr>
                <w:sz w:val="21"/>
              </w:rPr>
              <w:t>海安市治安大队</w:t>
            </w:r>
          </w:p>
        </w:tc>
        <w:tc>
          <w:tcPr>
            <w:tcW w:w="3309" w:type="dxa"/>
            <w:tcBorders>
              <w:tl2br w:val="nil"/>
              <w:tr2bl w:val="nil"/>
            </w:tcBorders>
            <w:vAlign w:val="center"/>
          </w:tcPr>
          <w:p w14:paraId="2B4B62F7">
            <w:pPr>
              <w:pStyle w:val="140"/>
              <w:spacing w:before="0"/>
              <w:ind w:left="0" w:right="0"/>
              <w:rPr>
                <w:rFonts w:ascii="Times New Roman"/>
                <w:sz w:val="21"/>
              </w:rPr>
            </w:pPr>
            <w:r>
              <w:rPr>
                <w:rFonts w:ascii="Times New Roman"/>
                <w:sz w:val="21"/>
              </w:rPr>
              <w:t>110</w:t>
            </w:r>
          </w:p>
        </w:tc>
      </w:tr>
      <w:tr w14:paraId="08A4B7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926" w:type="dxa"/>
            <w:tcBorders>
              <w:tl2br w:val="nil"/>
              <w:tr2bl w:val="nil"/>
            </w:tcBorders>
            <w:vAlign w:val="center"/>
          </w:tcPr>
          <w:p w14:paraId="38EFB2F0">
            <w:pPr>
              <w:pStyle w:val="140"/>
              <w:spacing w:before="0"/>
              <w:ind w:left="0"/>
              <w:rPr>
                <w:rFonts w:ascii="Times New Roman"/>
                <w:sz w:val="21"/>
              </w:rPr>
            </w:pPr>
            <w:r>
              <w:rPr>
                <w:rFonts w:ascii="Times New Roman"/>
                <w:w w:val="99"/>
                <w:sz w:val="21"/>
              </w:rPr>
              <w:t>5</w:t>
            </w:r>
          </w:p>
        </w:tc>
        <w:tc>
          <w:tcPr>
            <w:tcW w:w="4270" w:type="dxa"/>
            <w:tcBorders>
              <w:tl2br w:val="nil"/>
              <w:tr2bl w:val="nil"/>
            </w:tcBorders>
            <w:vAlign w:val="center"/>
          </w:tcPr>
          <w:p w14:paraId="6A09433B">
            <w:pPr>
              <w:pStyle w:val="140"/>
              <w:spacing w:before="0"/>
              <w:ind w:left="0" w:right="0"/>
              <w:rPr>
                <w:sz w:val="21"/>
              </w:rPr>
            </w:pPr>
            <w:r>
              <w:rPr>
                <w:sz w:val="21"/>
              </w:rPr>
              <w:t>海安市消防救援大队</w:t>
            </w:r>
          </w:p>
        </w:tc>
        <w:tc>
          <w:tcPr>
            <w:tcW w:w="3309" w:type="dxa"/>
            <w:tcBorders>
              <w:tl2br w:val="nil"/>
              <w:tr2bl w:val="nil"/>
            </w:tcBorders>
            <w:vAlign w:val="center"/>
          </w:tcPr>
          <w:p w14:paraId="6D85C225">
            <w:pPr>
              <w:pStyle w:val="140"/>
              <w:spacing w:before="0"/>
              <w:ind w:left="0" w:right="0"/>
              <w:rPr>
                <w:sz w:val="21"/>
              </w:rPr>
            </w:pPr>
            <w:r>
              <w:rPr>
                <w:rFonts w:ascii="Times New Roman" w:eastAsia="Times New Roman"/>
                <w:sz w:val="21"/>
              </w:rPr>
              <w:t>119</w:t>
            </w:r>
            <w:r>
              <w:rPr>
                <w:sz w:val="21"/>
              </w:rPr>
              <w:t>（火警）</w:t>
            </w:r>
          </w:p>
        </w:tc>
      </w:tr>
      <w:tr w14:paraId="7A115E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54A58BF">
            <w:pPr>
              <w:pStyle w:val="140"/>
              <w:spacing w:before="0"/>
              <w:ind w:left="0"/>
              <w:rPr>
                <w:rFonts w:ascii="Times New Roman"/>
                <w:sz w:val="21"/>
              </w:rPr>
            </w:pPr>
            <w:r>
              <w:rPr>
                <w:rFonts w:ascii="Times New Roman"/>
                <w:w w:val="99"/>
                <w:sz w:val="21"/>
              </w:rPr>
              <w:t>6</w:t>
            </w:r>
          </w:p>
        </w:tc>
        <w:tc>
          <w:tcPr>
            <w:tcW w:w="4270" w:type="dxa"/>
            <w:tcBorders>
              <w:tl2br w:val="nil"/>
              <w:tr2bl w:val="nil"/>
            </w:tcBorders>
            <w:vAlign w:val="center"/>
          </w:tcPr>
          <w:p w14:paraId="7C34EC41">
            <w:pPr>
              <w:pStyle w:val="140"/>
              <w:spacing w:before="0"/>
              <w:ind w:left="0" w:right="0"/>
              <w:rPr>
                <w:sz w:val="21"/>
              </w:rPr>
            </w:pPr>
            <w:r>
              <w:rPr>
                <w:sz w:val="21"/>
              </w:rPr>
              <w:t>南通市海安生态环境局</w:t>
            </w:r>
          </w:p>
        </w:tc>
        <w:tc>
          <w:tcPr>
            <w:tcW w:w="3309" w:type="dxa"/>
            <w:tcBorders>
              <w:tl2br w:val="nil"/>
              <w:tr2bl w:val="nil"/>
            </w:tcBorders>
            <w:vAlign w:val="center"/>
          </w:tcPr>
          <w:p w14:paraId="3F0A8B94">
            <w:pPr>
              <w:pStyle w:val="140"/>
              <w:spacing w:before="0"/>
              <w:ind w:left="0" w:right="0"/>
              <w:rPr>
                <w:rFonts w:ascii="Times New Roman"/>
                <w:sz w:val="21"/>
              </w:rPr>
            </w:pPr>
            <w:r>
              <w:rPr>
                <w:rFonts w:hint="eastAsia" w:ascii="Times New Roman"/>
                <w:sz w:val="21"/>
                <w:lang w:val="en-US" w:eastAsia="zh-CN"/>
              </w:rPr>
              <w:t>0513-</w:t>
            </w:r>
            <w:r>
              <w:rPr>
                <w:rFonts w:hint="default" w:ascii="Times New Roman" w:hAnsi="Times New Roman" w:eastAsia="宋体" w:cs="Times New Roman"/>
                <w:sz w:val="21"/>
                <w:szCs w:val="21"/>
              </w:rPr>
              <w:t>8</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812369</w:t>
            </w:r>
          </w:p>
        </w:tc>
      </w:tr>
      <w:tr w14:paraId="4C9C85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26" w:type="dxa"/>
            <w:tcBorders>
              <w:tl2br w:val="nil"/>
              <w:tr2bl w:val="nil"/>
            </w:tcBorders>
            <w:vAlign w:val="center"/>
          </w:tcPr>
          <w:p w14:paraId="1707DE8E">
            <w:pPr>
              <w:pStyle w:val="140"/>
              <w:spacing w:before="0"/>
              <w:ind w:left="0"/>
              <w:rPr>
                <w:rFonts w:ascii="Times New Roman"/>
                <w:sz w:val="21"/>
              </w:rPr>
            </w:pPr>
            <w:r>
              <w:rPr>
                <w:rFonts w:ascii="Times New Roman"/>
                <w:w w:val="99"/>
                <w:sz w:val="21"/>
              </w:rPr>
              <w:t>7</w:t>
            </w:r>
          </w:p>
        </w:tc>
        <w:tc>
          <w:tcPr>
            <w:tcW w:w="4270" w:type="dxa"/>
            <w:tcBorders>
              <w:tl2br w:val="nil"/>
              <w:tr2bl w:val="nil"/>
            </w:tcBorders>
            <w:vAlign w:val="center"/>
          </w:tcPr>
          <w:p w14:paraId="229CDE42">
            <w:pPr>
              <w:pStyle w:val="140"/>
              <w:spacing w:before="0"/>
              <w:ind w:left="0" w:right="0"/>
              <w:rPr>
                <w:sz w:val="21"/>
              </w:rPr>
            </w:pPr>
            <w:r>
              <w:rPr>
                <w:sz w:val="21"/>
              </w:rPr>
              <w:t>海安市环境监测站</w:t>
            </w:r>
          </w:p>
        </w:tc>
        <w:tc>
          <w:tcPr>
            <w:tcW w:w="3309" w:type="dxa"/>
            <w:tcBorders>
              <w:tl2br w:val="nil"/>
              <w:tr2bl w:val="nil"/>
            </w:tcBorders>
            <w:vAlign w:val="center"/>
          </w:tcPr>
          <w:p w14:paraId="70CEAFF5">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88813610</w:t>
            </w:r>
          </w:p>
        </w:tc>
      </w:tr>
      <w:tr w14:paraId="209802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49AA46AE">
            <w:pPr>
              <w:pStyle w:val="140"/>
              <w:spacing w:before="0"/>
              <w:ind w:left="0"/>
              <w:rPr>
                <w:rFonts w:ascii="Times New Roman"/>
                <w:sz w:val="21"/>
              </w:rPr>
            </w:pPr>
            <w:r>
              <w:rPr>
                <w:rFonts w:ascii="Times New Roman"/>
                <w:w w:val="99"/>
                <w:sz w:val="21"/>
              </w:rPr>
              <w:t>9</w:t>
            </w:r>
          </w:p>
        </w:tc>
        <w:tc>
          <w:tcPr>
            <w:tcW w:w="4270" w:type="dxa"/>
            <w:tcBorders>
              <w:tl2br w:val="nil"/>
              <w:tr2bl w:val="nil"/>
            </w:tcBorders>
            <w:vAlign w:val="center"/>
          </w:tcPr>
          <w:p w14:paraId="1440FA4E">
            <w:pPr>
              <w:pStyle w:val="140"/>
              <w:spacing w:before="0"/>
              <w:ind w:left="0" w:right="0"/>
              <w:rPr>
                <w:sz w:val="21"/>
              </w:rPr>
            </w:pPr>
            <w:r>
              <w:rPr>
                <w:sz w:val="21"/>
              </w:rPr>
              <w:t>海安市急救中心</w:t>
            </w:r>
          </w:p>
        </w:tc>
        <w:tc>
          <w:tcPr>
            <w:tcW w:w="3309" w:type="dxa"/>
            <w:tcBorders>
              <w:tl2br w:val="nil"/>
              <w:tr2bl w:val="nil"/>
            </w:tcBorders>
            <w:vAlign w:val="center"/>
          </w:tcPr>
          <w:p w14:paraId="29CBDEEA">
            <w:pPr>
              <w:pStyle w:val="140"/>
              <w:spacing w:before="0"/>
              <w:ind w:left="0" w:right="0"/>
              <w:rPr>
                <w:rFonts w:ascii="Times New Roman"/>
                <w:sz w:val="21"/>
              </w:rPr>
            </w:pPr>
            <w:r>
              <w:rPr>
                <w:rFonts w:ascii="Times New Roman"/>
                <w:sz w:val="21"/>
              </w:rPr>
              <w:t>120</w:t>
            </w:r>
          </w:p>
        </w:tc>
      </w:tr>
      <w:tr w14:paraId="3E9C7F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87F56D7">
            <w:pPr>
              <w:pStyle w:val="140"/>
              <w:spacing w:before="0"/>
              <w:ind w:left="0" w:right="0"/>
              <w:rPr>
                <w:rFonts w:ascii="Times New Roman"/>
                <w:sz w:val="21"/>
              </w:rPr>
            </w:pPr>
            <w:r>
              <w:rPr>
                <w:rFonts w:ascii="Times New Roman"/>
                <w:sz w:val="21"/>
              </w:rPr>
              <w:t>10</w:t>
            </w:r>
          </w:p>
        </w:tc>
        <w:tc>
          <w:tcPr>
            <w:tcW w:w="4270" w:type="dxa"/>
            <w:tcBorders>
              <w:tl2br w:val="nil"/>
              <w:tr2bl w:val="nil"/>
            </w:tcBorders>
            <w:vAlign w:val="center"/>
          </w:tcPr>
          <w:p w14:paraId="6D708D00">
            <w:pPr>
              <w:pStyle w:val="140"/>
              <w:spacing w:before="0"/>
              <w:ind w:left="0" w:right="0"/>
              <w:rPr>
                <w:sz w:val="21"/>
              </w:rPr>
            </w:pPr>
            <w:r>
              <w:rPr>
                <w:sz w:val="21"/>
              </w:rPr>
              <w:t>政府热线</w:t>
            </w:r>
          </w:p>
        </w:tc>
        <w:tc>
          <w:tcPr>
            <w:tcW w:w="3309" w:type="dxa"/>
            <w:tcBorders>
              <w:tl2br w:val="nil"/>
              <w:tr2bl w:val="nil"/>
            </w:tcBorders>
            <w:vAlign w:val="center"/>
          </w:tcPr>
          <w:p w14:paraId="20A28F49">
            <w:pPr>
              <w:pStyle w:val="140"/>
              <w:spacing w:before="0"/>
              <w:ind w:left="0" w:right="0"/>
              <w:rPr>
                <w:rFonts w:ascii="Times New Roman"/>
                <w:sz w:val="21"/>
              </w:rPr>
            </w:pPr>
            <w:r>
              <w:rPr>
                <w:rFonts w:ascii="Times New Roman"/>
                <w:sz w:val="21"/>
              </w:rPr>
              <w:t>12345</w:t>
            </w:r>
          </w:p>
        </w:tc>
      </w:tr>
      <w:tr w14:paraId="05C9D6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6D547F1E">
            <w:pPr>
              <w:pStyle w:val="140"/>
              <w:spacing w:before="0"/>
              <w:ind w:left="0" w:right="0"/>
              <w:rPr>
                <w:rFonts w:ascii="Times New Roman"/>
                <w:sz w:val="21"/>
              </w:rPr>
            </w:pPr>
            <w:r>
              <w:rPr>
                <w:rFonts w:ascii="Times New Roman"/>
                <w:sz w:val="21"/>
              </w:rPr>
              <w:t>11</w:t>
            </w:r>
          </w:p>
        </w:tc>
        <w:tc>
          <w:tcPr>
            <w:tcW w:w="4270" w:type="dxa"/>
            <w:tcBorders>
              <w:tl2br w:val="nil"/>
              <w:tr2bl w:val="nil"/>
            </w:tcBorders>
            <w:vAlign w:val="center"/>
          </w:tcPr>
          <w:p w14:paraId="68D855C2">
            <w:pPr>
              <w:pStyle w:val="140"/>
              <w:spacing w:before="0"/>
              <w:ind w:left="0" w:right="0"/>
              <w:rPr>
                <w:sz w:val="21"/>
              </w:rPr>
            </w:pPr>
            <w:r>
              <w:rPr>
                <w:sz w:val="21"/>
              </w:rPr>
              <w:t>环保热线</w:t>
            </w:r>
          </w:p>
        </w:tc>
        <w:tc>
          <w:tcPr>
            <w:tcW w:w="3309" w:type="dxa"/>
            <w:tcBorders>
              <w:tl2br w:val="nil"/>
              <w:tr2bl w:val="nil"/>
            </w:tcBorders>
            <w:vAlign w:val="center"/>
          </w:tcPr>
          <w:p w14:paraId="6EC8713C">
            <w:pPr>
              <w:pStyle w:val="140"/>
              <w:spacing w:before="0"/>
              <w:ind w:left="0" w:right="0"/>
              <w:rPr>
                <w:rFonts w:ascii="Times New Roman"/>
                <w:sz w:val="21"/>
              </w:rPr>
            </w:pPr>
            <w:r>
              <w:rPr>
                <w:rFonts w:ascii="Times New Roman"/>
                <w:sz w:val="21"/>
              </w:rPr>
              <w:t>12369</w:t>
            </w:r>
          </w:p>
        </w:tc>
      </w:tr>
      <w:tr w14:paraId="23886B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1845249">
            <w:pPr>
              <w:pStyle w:val="140"/>
              <w:spacing w:before="0"/>
              <w:ind w:left="0" w:right="0"/>
              <w:rPr>
                <w:rFonts w:ascii="Times New Roman"/>
                <w:sz w:val="21"/>
              </w:rPr>
            </w:pPr>
            <w:r>
              <w:rPr>
                <w:rFonts w:ascii="Times New Roman"/>
                <w:sz w:val="21"/>
              </w:rPr>
              <w:t>12</w:t>
            </w:r>
          </w:p>
        </w:tc>
        <w:tc>
          <w:tcPr>
            <w:tcW w:w="4270" w:type="dxa"/>
            <w:tcBorders>
              <w:tl2br w:val="nil"/>
              <w:tr2bl w:val="nil"/>
            </w:tcBorders>
            <w:vAlign w:val="center"/>
          </w:tcPr>
          <w:p w14:paraId="47BAE261">
            <w:pPr>
              <w:pStyle w:val="140"/>
              <w:spacing w:before="0"/>
              <w:ind w:left="0" w:right="0"/>
              <w:rPr>
                <w:sz w:val="21"/>
              </w:rPr>
            </w:pPr>
            <w:r>
              <w:rPr>
                <w:sz w:val="21"/>
              </w:rPr>
              <w:t>海安市卫健委</w:t>
            </w:r>
          </w:p>
        </w:tc>
        <w:tc>
          <w:tcPr>
            <w:tcW w:w="3309" w:type="dxa"/>
            <w:tcBorders>
              <w:tl2br w:val="nil"/>
              <w:tr2bl w:val="nil"/>
            </w:tcBorders>
            <w:vAlign w:val="center"/>
          </w:tcPr>
          <w:p w14:paraId="5F801573">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88852279</w:t>
            </w:r>
          </w:p>
        </w:tc>
      </w:tr>
      <w:tr w14:paraId="4007A3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2054577D">
            <w:pPr>
              <w:pStyle w:val="140"/>
              <w:spacing w:before="0"/>
              <w:ind w:left="0" w:right="0"/>
              <w:rPr>
                <w:rFonts w:ascii="Times New Roman"/>
                <w:sz w:val="21"/>
              </w:rPr>
            </w:pPr>
            <w:r>
              <w:rPr>
                <w:rFonts w:ascii="Times New Roman"/>
                <w:sz w:val="21"/>
              </w:rPr>
              <w:t>13</w:t>
            </w:r>
          </w:p>
        </w:tc>
        <w:tc>
          <w:tcPr>
            <w:tcW w:w="4270" w:type="dxa"/>
            <w:tcBorders>
              <w:tl2br w:val="nil"/>
              <w:tr2bl w:val="nil"/>
            </w:tcBorders>
            <w:vAlign w:val="center"/>
          </w:tcPr>
          <w:p w14:paraId="22E2A824">
            <w:pPr>
              <w:pStyle w:val="140"/>
              <w:spacing w:before="0"/>
              <w:ind w:left="0" w:right="0"/>
              <w:rPr>
                <w:sz w:val="21"/>
              </w:rPr>
            </w:pPr>
            <w:r>
              <w:rPr>
                <w:sz w:val="21"/>
              </w:rPr>
              <w:t>海安人民医院急诊室</w:t>
            </w:r>
          </w:p>
        </w:tc>
        <w:tc>
          <w:tcPr>
            <w:tcW w:w="3309" w:type="dxa"/>
            <w:tcBorders>
              <w:tl2br w:val="nil"/>
              <w:tr2bl w:val="nil"/>
            </w:tcBorders>
            <w:vAlign w:val="center"/>
          </w:tcPr>
          <w:p w14:paraId="42C3B63C">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88869509</w:t>
            </w:r>
          </w:p>
        </w:tc>
      </w:tr>
      <w:tr w14:paraId="3941E2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2656466E">
            <w:pPr>
              <w:pStyle w:val="140"/>
              <w:spacing w:before="0"/>
              <w:ind w:left="0" w:right="0"/>
              <w:rPr>
                <w:rFonts w:ascii="Times New Roman"/>
                <w:sz w:val="21"/>
              </w:rPr>
            </w:pPr>
            <w:r>
              <w:rPr>
                <w:rFonts w:ascii="Times New Roman"/>
                <w:sz w:val="21"/>
              </w:rPr>
              <w:t>14</w:t>
            </w:r>
          </w:p>
        </w:tc>
        <w:tc>
          <w:tcPr>
            <w:tcW w:w="4270" w:type="dxa"/>
            <w:tcBorders>
              <w:tl2br w:val="nil"/>
              <w:tr2bl w:val="nil"/>
            </w:tcBorders>
            <w:vAlign w:val="center"/>
          </w:tcPr>
          <w:p w14:paraId="254CA8CA">
            <w:pPr>
              <w:pStyle w:val="140"/>
              <w:spacing w:before="0"/>
              <w:ind w:left="0" w:right="0"/>
              <w:rPr>
                <w:sz w:val="21"/>
              </w:rPr>
            </w:pPr>
            <w:r>
              <w:rPr>
                <w:sz w:val="21"/>
              </w:rPr>
              <w:t>海安市</w:t>
            </w:r>
            <w:r>
              <w:rPr>
                <w:rFonts w:hint="eastAsia"/>
                <w:sz w:val="21"/>
                <w:lang w:val="en-US" w:eastAsia="zh-CN"/>
              </w:rPr>
              <w:t>墩头镇</w:t>
            </w:r>
            <w:r>
              <w:rPr>
                <w:sz w:val="21"/>
              </w:rPr>
              <w:t>管委会</w:t>
            </w:r>
          </w:p>
        </w:tc>
        <w:tc>
          <w:tcPr>
            <w:tcW w:w="3309" w:type="dxa"/>
            <w:tcBorders>
              <w:tl2br w:val="nil"/>
              <w:tr2bl w:val="nil"/>
            </w:tcBorders>
            <w:vAlign w:val="center"/>
          </w:tcPr>
          <w:p w14:paraId="138CE4EF">
            <w:pPr>
              <w:pStyle w:val="140"/>
              <w:spacing w:before="0"/>
              <w:ind w:left="0" w:right="0"/>
              <w:rPr>
                <w:rFonts w:hint="default" w:ascii="Times New Roman" w:eastAsia="宋体"/>
                <w:sz w:val="21"/>
                <w:lang w:val="en-US" w:eastAsia="zh-CN"/>
              </w:rPr>
            </w:pPr>
            <w:r>
              <w:rPr>
                <w:rFonts w:hint="eastAsia" w:ascii="Times New Roman"/>
                <w:sz w:val="21"/>
                <w:lang w:val="en-US" w:eastAsia="zh-CN"/>
              </w:rPr>
              <w:t>(0513)88417000</w:t>
            </w:r>
          </w:p>
        </w:tc>
      </w:tr>
      <w:tr w14:paraId="700775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B626BE0">
            <w:pPr>
              <w:pStyle w:val="140"/>
              <w:spacing w:before="0"/>
              <w:ind w:left="0" w:right="0"/>
              <w:rPr>
                <w:rFonts w:hint="eastAsia" w:ascii="Times New Roman" w:eastAsia="宋体"/>
                <w:sz w:val="21"/>
                <w:lang w:eastAsia="zh-CN"/>
              </w:rPr>
            </w:pPr>
            <w:r>
              <w:rPr>
                <w:rFonts w:ascii="Times New Roman"/>
                <w:sz w:val="21"/>
              </w:rPr>
              <w:t>1</w:t>
            </w:r>
            <w:r>
              <w:rPr>
                <w:rFonts w:hint="eastAsia" w:ascii="Times New Roman"/>
                <w:sz w:val="21"/>
                <w:lang w:val="en-US" w:eastAsia="zh-CN"/>
              </w:rPr>
              <w:t>5</w:t>
            </w:r>
          </w:p>
        </w:tc>
        <w:tc>
          <w:tcPr>
            <w:tcW w:w="4270" w:type="dxa"/>
            <w:tcBorders>
              <w:tl2br w:val="nil"/>
              <w:tr2bl w:val="nil"/>
            </w:tcBorders>
            <w:vAlign w:val="center"/>
          </w:tcPr>
          <w:p w14:paraId="4BB1B16A">
            <w:pPr>
              <w:pStyle w:val="140"/>
              <w:spacing w:before="0"/>
              <w:ind w:left="0" w:right="0"/>
              <w:rPr>
                <w:rFonts w:hint="default" w:eastAsia="宋体"/>
                <w:sz w:val="21"/>
                <w:lang w:val="en-US" w:eastAsia="zh-CN"/>
              </w:rPr>
            </w:pPr>
            <w:r>
              <w:rPr>
                <w:rFonts w:hint="eastAsia" w:ascii="Times New Roman" w:hAnsi="Times New Roman"/>
                <w:sz w:val="21"/>
                <w:szCs w:val="21"/>
                <w:highlight w:val="none"/>
                <w:lang w:val="en-US" w:eastAsia="zh-CN"/>
              </w:rPr>
              <w:t>富利来家具有限公司</w:t>
            </w:r>
          </w:p>
        </w:tc>
        <w:tc>
          <w:tcPr>
            <w:tcW w:w="3309" w:type="dxa"/>
            <w:tcBorders>
              <w:tl2br w:val="nil"/>
              <w:tr2bl w:val="nil"/>
            </w:tcBorders>
            <w:vAlign w:val="center"/>
          </w:tcPr>
          <w:p w14:paraId="0C1CC0AF">
            <w:pPr>
              <w:pStyle w:val="140"/>
              <w:spacing w:before="0"/>
              <w:ind w:left="0" w:right="0"/>
              <w:rPr>
                <w:rFonts w:hint="default" w:ascii="Times New Roman" w:eastAsia="宋体"/>
                <w:sz w:val="21"/>
                <w:lang w:val="en-US" w:eastAsia="zh-CN"/>
              </w:rPr>
            </w:pPr>
            <w:r>
              <w:rPr>
                <w:rFonts w:hint="eastAsia" w:ascii="Times New Roman"/>
                <w:sz w:val="21"/>
                <w:lang w:val="en-US" w:eastAsia="zh-CN"/>
              </w:rPr>
              <w:t>13606219185</w:t>
            </w:r>
          </w:p>
        </w:tc>
      </w:tr>
      <w:tr w14:paraId="1C8670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59E567BC">
            <w:pPr>
              <w:pStyle w:val="140"/>
              <w:spacing w:before="0"/>
              <w:ind w:left="0" w:right="0"/>
              <w:rPr>
                <w:rFonts w:hint="default" w:ascii="Times New Roman" w:eastAsia="宋体"/>
                <w:sz w:val="21"/>
                <w:lang w:val="en-US" w:eastAsia="zh-CN"/>
              </w:rPr>
            </w:pPr>
            <w:r>
              <w:rPr>
                <w:rFonts w:hint="eastAsia" w:ascii="Times New Roman"/>
                <w:sz w:val="21"/>
                <w:lang w:val="en-US" w:eastAsia="zh-CN"/>
              </w:rPr>
              <w:t>16</w:t>
            </w:r>
          </w:p>
        </w:tc>
        <w:tc>
          <w:tcPr>
            <w:tcW w:w="4270" w:type="dxa"/>
            <w:tcBorders>
              <w:tl2br w:val="nil"/>
              <w:tr2bl w:val="nil"/>
            </w:tcBorders>
            <w:vAlign w:val="center"/>
          </w:tcPr>
          <w:p w14:paraId="04D064CA">
            <w:pPr>
              <w:pStyle w:val="140"/>
              <w:spacing w:before="0"/>
              <w:ind w:left="0" w:right="0"/>
              <w:rPr>
                <w:rFonts w:hint="default" w:eastAsia="宋体"/>
                <w:sz w:val="21"/>
                <w:lang w:val="en-US" w:eastAsia="zh-CN"/>
              </w:rPr>
            </w:pPr>
            <w:r>
              <w:rPr>
                <w:rFonts w:hint="eastAsia"/>
                <w:sz w:val="21"/>
                <w:lang w:val="en-US" w:eastAsia="zh-CN"/>
              </w:rPr>
              <w:t>江苏裕和检测技术有限公司</w:t>
            </w:r>
          </w:p>
        </w:tc>
        <w:tc>
          <w:tcPr>
            <w:tcW w:w="3309" w:type="dxa"/>
            <w:tcBorders>
              <w:tl2br w:val="nil"/>
              <w:tr2bl w:val="nil"/>
            </w:tcBorders>
            <w:vAlign w:val="center"/>
          </w:tcPr>
          <w:p w14:paraId="5A5E94C2">
            <w:pPr>
              <w:pStyle w:val="140"/>
              <w:spacing w:before="0"/>
              <w:ind w:left="0" w:right="0"/>
              <w:rPr>
                <w:rFonts w:hint="default" w:ascii="Times New Roman"/>
                <w:sz w:val="21"/>
                <w:lang w:val="en-US" w:eastAsia="zh-CN"/>
              </w:rPr>
            </w:pPr>
            <w:r>
              <w:rPr>
                <w:rFonts w:hint="eastAsia" w:ascii="Times New Roman"/>
                <w:sz w:val="21"/>
                <w:lang w:val="en-US" w:eastAsia="zh-CN"/>
              </w:rPr>
              <w:t>0513-55073526</w:t>
            </w:r>
          </w:p>
        </w:tc>
      </w:tr>
    </w:tbl>
    <w:p w14:paraId="09468689">
      <w:pPr>
        <w:spacing w:after="0"/>
        <w:rPr>
          <w:rFonts w:ascii="Times New Roman"/>
          <w:sz w:val="21"/>
        </w:rPr>
        <w:sectPr>
          <w:footerReference r:id="rId9" w:type="default"/>
          <w:pgSz w:w="11910" w:h="16840"/>
          <w:pgMar w:top="1360" w:right="1240" w:bottom="1200" w:left="1500" w:header="882" w:footer="1017" w:gutter="0"/>
          <w:pgBorders>
            <w:top w:val="none" w:sz="0" w:space="0"/>
            <w:left w:val="none" w:sz="0" w:space="0"/>
            <w:bottom w:val="none" w:sz="0" w:space="0"/>
            <w:right w:val="none" w:sz="0" w:space="0"/>
          </w:pgBorders>
          <w:cols w:space="720" w:num="1"/>
        </w:sectPr>
      </w:pPr>
    </w:p>
    <w:p w14:paraId="070AD957">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143" w:name="_Toc26565"/>
      <w:bookmarkStart w:id="144" w:name="_Toc31419"/>
      <w:bookmarkStart w:id="145" w:name="_Toc18181"/>
      <w:r>
        <w:rPr>
          <w:rFonts w:hint="eastAsia" w:ascii="Times New Roman" w:hAnsi="Times New Roman" w:eastAsia="宋体" w:cs="Times New Roman"/>
          <w:sz w:val="24"/>
          <w:szCs w:val="24"/>
        </w:rPr>
        <w:t>4突发环境事件及其后果分析</w:t>
      </w:r>
      <w:bookmarkEnd w:id="124"/>
      <w:bookmarkEnd w:id="143"/>
      <w:bookmarkEnd w:id="144"/>
      <w:bookmarkEnd w:id="145"/>
    </w:p>
    <w:p w14:paraId="259652D2">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146" w:name="_Toc402776211"/>
      <w:bookmarkStart w:id="147" w:name="_Toc7836"/>
      <w:bookmarkStart w:id="148" w:name="_Toc13659"/>
      <w:bookmarkStart w:id="149" w:name="_Toc9896"/>
      <w:r>
        <w:rPr>
          <w:rFonts w:hint="eastAsia" w:ascii="Times New Roman" w:hAnsi="Times New Roman" w:eastAsia="宋体" w:cs="Times New Roman"/>
          <w:sz w:val="24"/>
          <w:szCs w:val="24"/>
        </w:rPr>
        <w:t>4.1突发环境事件情景分析</w:t>
      </w:r>
      <w:bookmarkEnd w:id="146"/>
      <w:bookmarkEnd w:id="147"/>
      <w:bookmarkEnd w:id="148"/>
      <w:bookmarkEnd w:id="149"/>
    </w:p>
    <w:p w14:paraId="3C058CC4">
      <w:pPr>
        <w:adjustRightInd w:val="0"/>
        <w:snapToGrid w:val="0"/>
        <w:spacing w:line="480" w:lineRule="exact"/>
        <w:ind w:firstLine="480" w:firstLineChars="200"/>
        <w:jc w:val="both"/>
        <w:rPr>
          <w:rFonts w:ascii="Times New Roman" w:hAnsi="Times New Roman" w:eastAsia="仿宋" w:cs="Times New Roman"/>
        </w:rPr>
      </w:pPr>
      <w:bookmarkStart w:id="150" w:name="_Toc402776216"/>
      <w:r>
        <w:rPr>
          <w:rFonts w:ascii="Times New Roman" w:hAnsi="Times New Roman" w:eastAsia="仿宋" w:cs="Times New Roman"/>
        </w:rPr>
        <w:t>突发环境事件，指突然发生，造成或可能造成环境污染或生态破坏，危及人民群众生命财产安全，影响社会公共秩序，需要采取紧急措施予以应对的事件。目前国内同类型企业的突发环境事件案例的报道和记载也较少。本报告列举了</w:t>
      </w:r>
      <w:r>
        <w:rPr>
          <w:rFonts w:hint="eastAsia" w:eastAsia="仿宋" w:cs="Times New Roman"/>
          <w:lang w:val="en-US" w:eastAsia="zh-CN"/>
        </w:rPr>
        <w:t>1</w:t>
      </w:r>
      <w:r>
        <w:rPr>
          <w:rFonts w:ascii="Times New Roman" w:hAnsi="Times New Roman" w:eastAsia="仿宋" w:cs="Times New Roman"/>
        </w:rPr>
        <w:t>起突发环境事件案例，具体如下：</w:t>
      </w:r>
    </w:p>
    <w:p w14:paraId="114EE9AC">
      <w:pPr>
        <w:adjustRightInd w:val="0"/>
        <w:snapToGrid w:val="0"/>
        <w:spacing w:line="500" w:lineRule="exact"/>
        <w:jc w:val="center"/>
        <w:rPr>
          <w:rFonts w:ascii="Times New Roman" w:hAnsi="Times New Roman" w:eastAsia="仿宋" w:cs="Times New Roman"/>
          <w:b/>
          <w:bCs/>
        </w:rPr>
      </w:pPr>
      <w:r>
        <w:rPr>
          <w:rFonts w:ascii="Times New Roman" w:hAnsi="Times New Roman" w:eastAsia="仿宋" w:cs="Times New Roman"/>
          <w:b/>
          <w:bCs/>
        </w:rPr>
        <w:t>表4-</w:t>
      </w:r>
      <w:r>
        <w:rPr>
          <w:rFonts w:hint="eastAsia" w:eastAsia="仿宋" w:cs="Times New Roman"/>
          <w:b/>
          <w:bCs/>
          <w:lang w:val="en-US" w:eastAsia="zh-CN"/>
        </w:rPr>
        <w:t>1</w:t>
      </w:r>
      <w:r>
        <w:rPr>
          <w:rFonts w:hint="eastAsia" w:ascii="Times New Roman" w:hAnsi="Times New Roman" w:eastAsia="仿宋" w:cs="Times New Roman"/>
          <w:b/>
          <w:bCs/>
          <w:lang w:val="en-US" w:eastAsia="zh-CN"/>
        </w:rPr>
        <w:t>油</w:t>
      </w:r>
      <w:r>
        <w:rPr>
          <w:rFonts w:ascii="Times New Roman" w:hAnsi="Times New Roman" w:eastAsia="仿宋" w:cs="Times New Roman"/>
          <w:b/>
          <w:bCs/>
        </w:rPr>
        <w:t>火灾事故</w:t>
      </w:r>
    </w:p>
    <w:tbl>
      <w:tblPr>
        <w:tblStyle w:val="3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33"/>
        <w:gridCol w:w="7793"/>
      </w:tblGrid>
      <w:tr w14:paraId="4156CE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3" w:type="pct"/>
            <w:vAlign w:val="center"/>
          </w:tcPr>
          <w:p w14:paraId="1BE0B78B">
            <w:pPr>
              <w:widowControl w:val="0"/>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事件日期</w:t>
            </w:r>
          </w:p>
        </w:tc>
        <w:tc>
          <w:tcPr>
            <w:tcW w:w="7171" w:type="dxa"/>
            <w:vAlign w:val="center"/>
          </w:tcPr>
          <w:p w14:paraId="16A7E4FE">
            <w:pPr>
              <w:keepNext w:val="0"/>
              <w:keepLines w:val="0"/>
              <w:widowControl/>
              <w:suppressLineNumbers w:val="0"/>
              <w:jc w:val="left"/>
              <w:rPr>
                <w:rFonts w:hint="eastAsia" w:ascii="Times New Roman" w:hAnsi="Times New Roman" w:eastAsia="仿宋" w:cs="Times New Roman"/>
                <w:sz w:val="21"/>
                <w:szCs w:val="21"/>
              </w:rPr>
            </w:pPr>
            <w:r>
              <w:rPr>
                <w:rFonts w:hint="default" w:ascii="Times New Roman" w:hAnsi="Times New Roman" w:eastAsia="宋体" w:cs="Times New Roman"/>
                <w:color w:val="000000"/>
                <w:kern w:val="0"/>
                <w:sz w:val="20"/>
                <w:szCs w:val="20"/>
                <w:lang w:val="en-US" w:eastAsia="zh-CN" w:bidi="ar"/>
              </w:rPr>
              <w:t xml:space="preserve">2015 </w:t>
            </w:r>
            <w:r>
              <w:rPr>
                <w:rFonts w:ascii="仿宋" w:hAnsi="仿宋" w:eastAsia="仿宋" w:cs="仿宋"/>
                <w:color w:val="000000"/>
                <w:kern w:val="0"/>
                <w:sz w:val="20"/>
                <w:szCs w:val="20"/>
                <w:lang w:val="en-US" w:eastAsia="zh-CN" w:bidi="ar"/>
              </w:rPr>
              <w:t xml:space="preserve">年 </w:t>
            </w:r>
            <w:r>
              <w:rPr>
                <w:rFonts w:hint="default" w:ascii="Times New Roman" w:hAnsi="Times New Roman" w:eastAsia="宋体" w:cs="Times New Roman"/>
                <w:color w:val="000000"/>
                <w:kern w:val="0"/>
                <w:sz w:val="20"/>
                <w:szCs w:val="20"/>
                <w:lang w:val="en-US" w:eastAsia="zh-CN" w:bidi="ar"/>
              </w:rPr>
              <w:t xml:space="preserve">2 </w:t>
            </w:r>
            <w:r>
              <w:rPr>
                <w:rFonts w:hint="eastAsia" w:ascii="仿宋" w:hAnsi="仿宋" w:eastAsia="仿宋" w:cs="仿宋"/>
                <w:color w:val="000000"/>
                <w:kern w:val="0"/>
                <w:sz w:val="20"/>
                <w:szCs w:val="20"/>
                <w:lang w:val="en-US" w:eastAsia="zh-CN" w:bidi="ar"/>
              </w:rPr>
              <w:t xml:space="preserve">月 </w:t>
            </w:r>
            <w:r>
              <w:rPr>
                <w:rFonts w:hint="default" w:ascii="Times New Roman" w:hAnsi="Times New Roman" w:eastAsia="宋体" w:cs="Times New Roman"/>
                <w:color w:val="000000"/>
                <w:kern w:val="0"/>
                <w:sz w:val="20"/>
                <w:szCs w:val="20"/>
                <w:lang w:val="en-US" w:eastAsia="zh-CN" w:bidi="ar"/>
              </w:rPr>
              <w:t xml:space="preserve">6 </w:t>
            </w:r>
            <w:r>
              <w:rPr>
                <w:rFonts w:hint="eastAsia" w:ascii="仿宋" w:hAnsi="仿宋" w:eastAsia="仿宋" w:cs="仿宋"/>
                <w:color w:val="000000"/>
                <w:kern w:val="0"/>
                <w:sz w:val="20"/>
                <w:szCs w:val="20"/>
                <w:lang w:val="en-US" w:eastAsia="zh-CN" w:bidi="ar"/>
              </w:rPr>
              <w:t>日大约中午十一点左右</w:t>
            </w:r>
          </w:p>
        </w:tc>
      </w:tr>
      <w:tr w14:paraId="6F6263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3" w:type="pct"/>
            <w:vAlign w:val="center"/>
          </w:tcPr>
          <w:p w14:paraId="720BF7F4">
            <w:pPr>
              <w:widowControl w:val="0"/>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地点</w:t>
            </w:r>
          </w:p>
        </w:tc>
        <w:tc>
          <w:tcPr>
            <w:tcW w:w="7171" w:type="dxa"/>
            <w:vAlign w:val="center"/>
          </w:tcPr>
          <w:p w14:paraId="4BBC2702">
            <w:pPr>
              <w:keepNext w:val="0"/>
              <w:keepLines w:val="0"/>
              <w:widowControl/>
              <w:suppressLineNumbers w:val="0"/>
              <w:jc w:val="left"/>
              <w:rPr>
                <w:rFonts w:hint="eastAsia" w:ascii="Times New Roman" w:hAnsi="Times New Roman" w:eastAsia="仿宋" w:cs="Times New Roman"/>
                <w:sz w:val="21"/>
                <w:szCs w:val="21"/>
                <w:lang w:eastAsia="zh-CN"/>
              </w:rPr>
            </w:pPr>
            <w:r>
              <w:rPr>
                <w:rFonts w:ascii="仿宋" w:hAnsi="仿宋" w:eastAsia="仿宋" w:cs="仿宋"/>
                <w:color w:val="000000"/>
                <w:kern w:val="0"/>
                <w:sz w:val="20"/>
                <w:szCs w:val="20"/>
                <w:lang w:val="en-US" w:eastAsia="zh-CN" w:bidi="ar"/>
              </w:rPr>
              <w:t>安徽省滁州市某一新材料公司</w:t>
            </w:r>
          </w:p>
        </w:tc>
      </w:tr>
      <w:tr w14:paraId="117F06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3" w:type="pct"/>
            <w:vAlign w:val="center"/>
          </w:tcPr>
          <w:p w14:paraId="4FFEAC11">
            <w:pPr>
              <w:widowControl w:val="0"/>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事故情况</w:t>
            </w:r>
          </w:p>
        </w:tc>
        <w:tc>
          <w:tcPr>
            <w:tcW w:w="7171" w:type="dxa"/>
            <w:vAlign w:val="center"/>
          </w:tcPr>
          <w:p w14:paraId="1EB28877">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2015 </w:t>
            </w:r>
            <w:r>
              <w:rPr>
                <w:rFonts w:ascii="仿宋" w:hAnsi="仿宋" w:eastAsia="仿宋" w:cs="仿宋"/>
                <w:color w:val="000000"/>
                <w:kern w:val="0"/>
                <w:sz w:val="20"/>
                <w:szCs w:val="20"/>
                <w:lang w:val="en-US" w:eastAsia="zh-CN" w:bidi="ar"/>
              </w:rPr>
              <w:t xml:space="preserve">年 </w:t>
            </w:r>
            <w:r>
              <w:rPr>
                <w:rFonts w:hint="default" w:ascii="Times New Roman" w:hAnsi="Times New Roman" w:eastAsia="宋体" w:cs="Times New Roman"/>
                <w:color w:val="000000"/>
                <w:kern w:val="0"/>
                <w:sz w:val="20"/>
                <w:szCs w:val="20"/>
                <w:lang w:val="en-US" w:eastAsia="zh-CN" w:bidi="ar"/>
              </w:rPr>
              <w:t xml:space="preserve">2 </w:t>
            </w:r>
            <w:r>
              <w:rPr>
                <w:rFonts w:hint="eastAsia" w:ascii="仿宋" w:hAnsi="仿宋" w:eastAsia="仿宋" w:cs="仿宋"/>
                <w:color w:val="000000"/>
                <w:kern w:val="0"/>
                <w:sz w:val="20"/>
                <w:szCs w:val="20"/>
                <w:lang w:val="en-US" w:eastAsia="zh-CN" w:bidi="ar"/>
              </w:rPr>
              <w:t xml:space="preserve">月 </w:t>
            </w:r>
            <w:r>
              <w:rPr>
                <w:rFonts w:hint="default" w:ascii="Times New Roman" w:hAnsi="Times New Roman" w:eastAsia="宋体" w:cs="Times New Roman"/>
                <w:color w:val="000000"/>
                <w:kern w:val="0"/>
                <w:sz w:val="20"/>
                <w:szCs w:val="20"/>
                <w:lang w:val="en-US" w:eastAsia="zh-CN" w:bidi="ar"/>
              </w:rPr>
              <w:t xml:space="preserve">6 </w:t>
            </w:r>
            <w:r>
              <w:rPr>
                <w:rFonts w:hint="eastAsia" w:ascii="仿宋" w:hAnsi="仿宋" w:eastAsia="仿宋" w:cs="仿宋"/>
                <w:color w:val="000000"/>
                <w:kern w:val="0"/>
                <w:sz w:val="20"/>
                <w:szCs w:val="20"/>
                <w:lang w:val="en-US" w:eastAsia="zh-CN" w:bidi="ar"/>
              </w:rPr>
              <w:t xml:space="preserve">日大约中午十一点左右，公司贴压车间正在检修两台压机，在 </w:t>
            </w:r>
          </w:p>
          <w:p w14:paraId="62990AD2">
            <w:pPr>
              <w:keepNext w:val="0"/>
              <w:keepLines w:val="0"/>
              <w:widowControl/>
              <w:suppressLineNumbers w:val="0"/>
              <w:jc w:val="left"/>
            </w:pPr>
            <w:r>
              <w:rPr>
                <w:rFonts w:hint="eastAsia" w:ascii="仿宋" w:hAnsi="仿宋" w:eastAsia="仿宋" w:cs="仿宋"/>
                <w:color w:val="000000"/>
                <w:kern w:val="0"/>
                <w:sz w:val="20"/>
                <w:szCs w:val="20"/>
                <w:lang w:val="en-US" w:eastAsia="zh-CN" w:bidi="ar"/>
              </w:rPr>
              <w:t xml:space="preserve">维修过程中，由于润滑油外泄导致引发火灾，当时主任及一名班长在现场奋 </w:t>
            </w:r>
          </w:p>
          <w:p w14:paraId="09E5D92F">
            <w:pPr>
              <w:keepNext w:val="0"/>
              <w:keepLines w:val="0"/>
              <w:widowControl/>
              <w:suppressLineNumbers w:val="0"/>
              <w:jc w:val="left"/>
            </w:pPr>
            <w:r>
              <w:rPr>
                <w:rFonts w:hint="eastAsia" w:ascii="仿宋" w:hAnsi="仿宋" w:eastAsia="仿宋" w:cs="仿宋"/>
                <w:color w:val="000000"/>
                <w:kern w:val="0"/>
                <w:sz w:val="20"/>
                <w:szCs w:val="20"/>
                <w:lang w:val="en-US" w:eastAsia="zh-CN" w:bidi="ar"/>
              </w:rPr>
              <w:t xml:space="preserve">力扑救，同时车间其他人员发现也立即参与救火，及时拨打救火报警电话报 </w:t>
            </w:r>
          </w:p>
          <w:p w14:paraId="5A94BCC3">
            <w:pPr>
              <w:keepNext w:val="0"/>
              <w:keepLines w:val="0"/>
              <w:widowControl/>
              <w:suppressLineNumbers w:val="0"/>
              <w:jc w:val="left"/>
            </w:pPr>
            <w:r>
              <w:rPr>
                <w:rFonts w:hint="eastAsia" w:ascii="仿宋" w:hAnsi="仿宋" w:eastAsia="仿宋" w:cs="仿宋"/>
                <w:color w:val="000000"/>
                <w:kern w:val="0"/>
                <w:sz w:val="20"/>
                <w:szCs w:val="20"/>
                <w:lang w:val="en-US" w:eastAsia="zh-CN" w:bidi="ar"/>
              </w:rPr>
              <w:t xml:space="preserve">警。由于火势较大，虽经消防队及时灭火，但车间内的两台压机已被燃烧报 </w:t>
            </w:r>
          </w:p>
          <w:p w14:paraId="7CFB30E0">
            <w:pPr>
              <w:keepNext w:val="0"/>
              <w:keepLines w:val="0"/>
              <w:widowControl/>
              <w:suppressLineNumbers w:val="0"/>
              <w:jc w:val="left"/>
            </w:pPr>
            <w:r>
              <w:rPr>
                <w:rFonts w:hint="eastAsia" w:ascii="仿宋" w:hAnsi="仿宋" w:eastAsia="仿宋" w:cs="仿宋"/>
                <w:color w:val="000000"/>
                <w:kern w:val="0"/>
                <w:sz w:val="20"/>
                <w:szCs w:val="20"/>
                <w:lang w:val="en-US" w:eastAsia="zh-CN" w:bidi="ar"/>
              </w:rPr>
              <w:t xml:space="preserve">废，部分润滑油管道，主电缆及部分辅机、电控箱也被烧毁，部分厂房主梁 </w:t>
            </w:r>
          </w:p>
          <w:p w14:paraId="3ED4F8D9">
            <w:pPr>
              <w:keepNext w:val="0"/>
              <w:keepLines w:val="0"/>
              <w:widowControl/>
              <w:suppressLineNumbers w:val="0"/>
              <w:jc w:val="left"/>
              <w:rPr>
                <w:rFonts w:hint="eastAsia" w:ascii="Times New Roman" w:hAnsi="Times New Roman" w:eastAsia="仿宋" w:cs="Times New Roman"/>
                <w:sz w:val="21"/>
                <w:szCs w:val="21"/>
              </w:rPr>
            </w:pPr>
            <w:r>
              <w:rPr>
                <w:rFonts w:hint="eastAsia" w:ascii="仿宋" w:hAnsi="仿宋" w:eastAsia="仿宋" w:cs="仿宋"/>
                <w:color w:val="000000"/>
                <w:kern w:val="0"/>
                <w:sz w:val="20"/>
                <w:szCs w:val="20"/>
                <w:lang w:val="en-US" w:eastAsia="zh-CN" w:bidi="ar"/>
              </w:rPr>
              <w:t>已变形，屋顶已被烧的要坍塌。</w:t>
            </w:r>
          </w:p>
        </w:tc>
      </w:tr>
      <w:tr w14:paraId="0B2A98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3" w:type="pct"/>
            <w:vAlign w:val="center"/>
          </w:tcPr>
          <w:p w14:paraId="54D9DEEF">
            <w:pPr>
              <w:widowControl w:val="0"/>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引发原因</w:t>
            </w:r>
          </w:p>
        </w:tc>
        <w:tc>
          <w:tcPr>
            <w:tcW w:w="4317" w:type="pct"/>
            <w:vAlign w:val="center"/>
          </w:tcPr>
          <w:p w14:paraId="0A427680">
            <w:pPr>
              <w:keepNext w:val="0"/>
              <w:keepLines w:val="0"/>
              <w:widowControl/>
              <w:suppressLineNumbers w:val="0"/>
              <w:jc w:val="left"/>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密</w:t>
            </w:r>
            <w:r>
              <w:rPr>
                <w:rFonts w:ascii="仿宋" w:hAnsi="仿宋" w:eastAsia="仿宋" w:cs="仿宋"/>
                <w:color w:val="000000"/>
                <w:kern w:val="0"/>
                <w:sz w:val="20"/>
                <w:szCs w:val="20"/>
                <w:lang w:val="en-US" w:eastAsia="zh-CN" w:bidi="ar"/>
              </w:rPr>
              <w:t>由于</w:t>
            </w:r>
            <w:r>
              <w:rPr>
                <w:rFonts w:hint="eastAsia" w:ascii="仿宋" w:hAnsi="仿宋" w:eastAsia="仿宋" w:cs="仿宋"/>
                <w:color w:val="000000"/>
                <w:kern w:val="0"/>
                <w:sz w:val="20"/>
                <w:szCs w:val="20"/>
                <w:lang w:val="en-US" w:eastAsia="zh-CN" w:bidi="ar"/>
              </w:rPr>
              <w:t>润滑油</w:t>
            </w:r>
            <w:r>
              <w:rPr>
                <w:rFonts w:ascii="仿宋" w:hAnsi="仿宋" w:eastAsia="仿宋" w:cs="仿宋"/>
                <w:color w:val="000000"/>
                <w:kern w:val="0"/>
                <w:sz w:val="20"/>
                <w:szCs w:val="20"/>
                <w:lang w:val="en-US" w:eastAsia="zh-CN" w:bidi="ar"/>
              </w:rPr>
              <w:t>外泄引发失火管道破损，导致外泄。</w:t>
            </w:r>
          </w:p>
        </w:tc>
      </w:tr>
      <w:tr w14:paraId="2DDDBF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3" w:type="pct"/>
            <w:vAlign w:val="center"/>
          </w:tcPr>
          <w:p w14:paraId="0105E199">
            <w:pPr>
              <w:widowControl w:val="0"/>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事件影响</w:t>
            </w:r>
          </w:p>
        </w:tc>
        <w:tc>
          <w:tcPr>
            <w:tcW w:w="4317" w:type="pct"/>
            <w:vAlign w:val="center"/>
          </w:tcPr>
          <w:p w14:paraId="61FC194F">
            <w:pPr>
              <w:keepNext w:val="0"/>
              <w:keepLines w:val="0"/>
              <w:widowControl/>
              <w:suppressLineNumbers w:val="0"/>
              <w:jc w:val="left"/>
              <w:rPr>
                <w:rFonts w:hint="eastAsia" w:ascii="Times New Roman" w:hAnsi="Times New Roman" w:eastAsia="仿宋" w:cs="Times New Roman"/>
                <w:sz w:val="21"/>
                <w:szCs w:val="21"/>
                <w:lang w:val="en-US" w:eastAsia="zh-CN"/>
              </w:rPr>
            </w:pPr>
            <w:r>
              <w:rPr>
                <w:rFonts w:ascii="仿宋" w:hAnsi="仿宋" w:eastAsia="仿宋" w:cs="仿宋"/>
                <w:color w:val="000000"/>
                <w:kern w:val="0"/>
                <w:sz w:val="20"/>
                <w:szCs w:val="20"/>
                <w:lang w:val="en-US" w:eastAsia="zh-CN" w:bidi="ar"/>
              </w:rPr>
              <w:t xml:space="preserve">损失了 </w:t>
            </w:r>
            <w:r>
              <w:rPr>
                <w:rFonts w:hint="default" w:ascii="Times New Roman" w:hAnsi="Times New Roman" w:eastAsia="宋体" w:cs="Times New Roman"/>
                <w:color w:val="000000"/>
                <w:kern w:val="0"/>
                <w:sz w:val="20"/>
                <w:szCs w:val="20"/>
                <w:lang w:val="en-US" w:eastAsia="zh-CN" w:bidi="ar"/>
              </w:rPr>
              <w:t xml:space="preserve">300 </w:t>
            </w:r>
            <w:r>
              <w:rPr>
                <w:rFonts w:hint="eastAsia" w:ascii="仿宋" w:hAnsi="仿宋" w:eastAsia="仿宋" w:cs="仿宋"/>
                <w:color w:val="000000"/>
                <w:kern w:val="0"/>
                <w:sz w:val="20"/>
                <w:szCs w:val="20"/>
                <w:lang w:val="en-US" w:eastAsia="zh-CN" w:bidi="ar"/>
              </w:rPr>
              <w:t>万元，对周边大气环境质量产生一定的影响。</w:t>
            </w:r>
          </w:p>
        </w:tc>
      </w:tr>
      <w:tr w14:paraId="230086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83" w:type="pct"/>
            <w:vAlign w:val="center"/>
          </w:tcPr>
          <w:p w14:paraId="208D0F49">
            <w:pPr>
              <w:widowControl w:val="0"/>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防范措施</w:t>
            </w:r>
          </w:p>
        </w:tc>
        <w:tc>
          <w:tcPr>
            <w:tcW w:w="4317" w:type="pct"/>
            <w:vAlign w:val="center"/>
          </w:tcPr>
          <w:p w14:paraId="47CEA8C7">
            <w:pPr>
              <w:widowControl w:val="0"/>
              <w:adjustRightInd w:val="0"/>
              <w:snapToGrid w:val="0"/>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（1）需定期检查给水设备；</w:t>
            </w:r>
          </w:p>
          <w:p w14:paraId="610681C5">
            <w:pPr>
              <w:widowControl w:val="0"/>
              <w:adjustRightInd w:val="0"/>
              <w:snapToGrid w:val="0"/>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（2）配备足够的应急物资如防毒面具。</w:t>
            </w:r>
          </w:p>
        </w:tc>
      </w:tr>
    </w:tbl>
    <w:p w14:paraId="0D86F3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根据研究，</w:t>
      </w:r>
      <w:r>
        <w:rPr>
          <w:rFonts w:hint="default" w:ascii="Times New Roman" w:hAnsi="Times New Roman" w:eastAsia="宋体" w:cs="Times New Roman"/>
          <w:color w:val="auto"/>
          <w:lang w:val="en-US" w:eastAsia="zh-CN"/>
        </w:rPr>
        <w:t>公司</w:t>
      </w:r>
      <w:r>
        <w:rPr>
          <w:rFonts w:hint="default" w:ascii="Times New Roman" w:hAnsi="Times New Roman" w:eastAsia="宋体" w:cs="Times New Roman"/>
          <w:color w:val="auto"/>
        </w:rPr>
        <w:t>发生可能引发或次生突发环境事件的最坏情景一般有以下几种：A、生产安全事故及可能引起的次生、衍生厂外环境污染及人员伤亡事故；B、环境风险防控设施失灵或非正常操作；C、非正常工况（如开、停车等）；D、污染治理设施非正常运行；E、违法排污；F、停电、断水、停气等；G、通讯或运输系统故障；H、各种自然灾害、极端天气或不利气象条件；I、其他可能的情景。各情景设定情况见表4-2。</w:t>
      </w:r>
    </w:p>
    <w:p w14:paraId="72B7B9EF">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表4-2公司环境事件情景设定</w:t>
      </w:r>
    </w:p>
    <w:tbl>
      <w:tblPr>
        <w:tblStyle w:val="37"/>
        <w:tblW w:w="9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854"/>
        <w:gridCol w:w="2156"/>
        <w:gridCol w:w="6089"/>
      </w:tblGrid>
      <w:tr w14:paraId="12EA5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12" w:hRule="atLeast"/>
          <w:tblHeader/>
          <w:jc w:val="center"/>
        </w:trPr>
        <w:tc>
          <w:tcPr>
            <w:tcW w:w="854" w:type="dxa"/>
            <w:tcBorders>
              <w:tl2br w:val="nil"/>
              <w:tr2bl w:val="nil"/>
            </w:tcBorders>
            <w:vAlign w:val="center"/>
          </w:tcPr>
          <w:p w14:paraId="04E30E6D">
            <w:pPr>
              <w:adjustRightInd w:val="0"/>
              <w:snapToGrid w:val="0"/>
              <w:jc w:val="center"/>
              <w:rPr>
                <w:rFonts w:eastAsia="宋体"/>
                <w:b/>
                <w:color w:val="000000"/>
                <w:sz w:val="21"/>
                <w:szCs w:val="21"/>
              </w:rPr>
            </w:pPr>
            <w:r>
              <w:rPr>
                <w:rFonts w:eastAsia="宋体"/>
                <w:b/>
                <w:color w:val="000000"/>
                <w:sz w:val="21"/>
                <w:szCs w:val="21"/>
              </w:rPr>
              <w:t>序号</w:t>
            </w:r>
          </w:p>
        </w:tc>
        <w:tc>
          <w:tcPr>
            <w:tcW w:w="2156" w:type="dxa"/>
            <w:tcBorders>
              <w:tl2br w:val="nil"/>
              <w:tr2bl w:val="nil"/>
            </w:tcBorders>
            <w:vAlign w:val="center"/>
          </w:tcPr>
          <w:p w14:paraId="52410918">
            <w:pPr>
              <w:adjustRightInd w:val="0"/>
              <w:snapToGrid w:val="0"/>
              <w:jc w:val="center"/>
              <w:rPr>
                <w:rFonts w:eastAsia="宋体"/>
                <w:b/>
                <w:color w:val="000000"/>
                <w:sz w:val="21"/>
                <w:szCs w:val="21"/>
              </w:rPr>
            </w:pPr>
            <w:r>
              <w:rPr>
                <w:rFonts w:eastAsia="宋体"/>
                <w:b/>
                <w:color w:val="000000"/>
                <w:sz w:val="21"/>
                <w:szCs w:val="21"/>
              </w:rPr>
              <w:t>突发环境事件背景</w:t>
            </w:r>
          </w:p>
        </w:tc>
        <w:tc>
          <w:tcPr>
            <w:tcW w:w="6089" w:type="dxa"/>
            <w:tcBorders>
              <w:tl2br w:val="nil"/>
              <w:tr2bl w:val="nil"/>
            </w:tcBorders>
            <w:vAlign w:val="center"/>
          </w:tcPr>
          <w:p w14:paraId="369B165C">
            <w:pPr>
              <w:adjustRightInd w:val="0"/>
              <w:snapToGrid w:val="0"/>
              <w:jc w:val="center"/>
              <w:rPr>
                <w:rFonts w:eastAsia="宋体"/>
                <w:b/>
                <w:color w:val="000000"/>
                <w:sz w:val="21"/>
                <w:szCs w:val="21"/>
              </w:rPr>
            </w:pPr>
            <w:r>
              <w:rPr>
                <w:rFonts w:hint="eastAsia" w:eastAsia="宋体"/>
                <w:b/>
                <w:color w:val="000000"/>
                <w:sz w:val="21"/>
                <w:szCs w:val="21"/>
              </w:rPr>
              <w:t>情景分析</w:t>
            </w:r>
          </w:p>
        </w:tc>
      </w:tr>
      <w:tr w14:paraId="740B2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434" w:hRule="atLeast"/>
          <w:jc w:val="center"/>
        </w:trPr>
        <w:tc>
          <w:tcPr>
            <w:tcW w:w="854" w:type="dxa"/>
            <w:tcBorders>
              <w:tl2br w:val="nil"/>
              <w:tr2bl w:val="nil"/>
            </w:tcBorders>
            <w:vAlign w:val="center"/>
          </w:tcPr>
          <w:p w14:paraId="3D338814">
            <w:pPr>
              <w:adjustRightInd w:val="0"/>
              <w:snapToGrid w:val="0"/>
              <w:jc w:val="center"/>
              <w:rPr>
                <w:rFonts w:eastAsia="宋体"/>
                <w:color w:val="000000"/>
                <w:sz w:val="21"/>
                <w:szCs w:val="21"/>
              </w:rPr>
            </w:pPr>
            <w:r>
              <w:rPr>
                <w:rFonts w:eastAsia="宋体"/>
                <w:color w:val="000000"/>
                <w:sz w:val="21"/>
                <w:szCs w:val="21"/>
              </w:rPr>
              <w:t>事件1</w:t>
            </w:r>
          </w:p>
        </w:tc>
        <w:tc>
          <w:tcPr>
            <w:tcW w:w="2156" w:type="dxa"/>
            <w:tcBorders>
              <w:tl2br w:val="nil"/>
              <w:tr2bl w:val="nil"/>
            </w:tcBorders>
            <w:vAlign w:val="center"/>
          </w:tcPr>
          <w:p w14:paraId="32A1DE70">
            <w:pPr>
              <w:adjustRightInd w:val="0"/>
              <w:snapToGrid w:val="0"/>
              <w:jc w:val="center"/>
              <w:rPr>
                <w:rFonts w:eastAsia="宋体"/>
                <w:color w:val="000000"/>
                <w:sz w:val="21"/>
                <w:szCs w:val="21"/>
              </w:rPr>
            </w:pPr>
            <w:r>
              <w:rPr>
                <w:rFonts w:eastAsia="宋体"/>
                <w:color w:val="000000"/>
                <w:sz w:val="21"/>
                <w:szCs w:val="21"/>
              </w:rPr>
              <w:t>泄漏、火灾等生产安全事故及可能引起的次生、衍生厂外环境污染及人员伤亡事故</w:t>
            </w:r>
          </w:p>
        </w:tc>
        <w:tc>
          <w:tcPr>
            <w:tcW w:w="6089" w:type="dxa"/>
            <w:tcBorders>
              <w:tl2br w:val="nil"/>
              <w:tr2bl w:val="nil"/>
            </w:tcBorders>
            <w:vAlign w:val="center"/>
          </w:tcPr>
          <w:p w14:paraId="766643AC">
            <w:pPr>
              <w:adjustRightInd w:val="0"/>
              <w:snapToGrid w:val="0"/>
              <w:jc w:val="left"/>
              <w:rPr>
                <w:rFonts w:eastAsia="宋体"/>
                <w:bCs/>
                <w:sz w:val="21"/>
                <w:szCs w:val="21"/>
              </w:rPr>
            </w:pPr>
            <w:r>
              <w:rPr>
                <w:rFonts w:eastAsia="宋体"/>
                <w:b/>
                <w:sz w:val="21"/>
                <w:szCs w:val="21"/>
              </w:rPr>
              <w:t>情景1：</w:t>
            </w:r>
            <w:r>
              <w:rPr>
                <w:rFonts w:eastAsia="宋体"/>
                <w:bCs/>
                <w:sz w:val="21"/>
                <w:szCs w:val="21"/>
              </w:rPr>
              <w:t>因管理不当，成品存放区发生火灾事故；</w:t>
            </w:r>
          </w:p>
          <w:p w14:paraId="1767D040">
            <w:pPr>
              <w:adjustRightInd w:val="0"/>
              <w:snapToGrid w:val="0"/>
              <w:jc w:val="left"/>
              <w:rPr>
                <w:rFonts w:eastAsia="宋体"/>
                <w:bCs/>
                <w:sz w:val="21"/>
                <w:szCs w:val="21"/>
              </w:rPr>
            </w:pPr>
            <w:r>
              <w:rPr>
                <w:rFonts w:eastAsia="宋体"/>
                <w:b/>
                <w:sz w:val="21"/>
                <w:szCs w:val="21"/>
              </w:rPr>
              <w:t>情景2：</w:t>
            </w:r>
            <w:r>
              <w:rPr>
                <w:rFonts w:eastAsia="宋体"/>
                <w:bCs/>
                <w:sz w:val="21"/>
                <w:szCs w:val="21"/>
              </w:rPr>
              <w:t>因管理不当，</w:t>
            </w:r>
            <w:r>
              <w:rPr>
                <w:rFonts w:hint="eastAsia" w:eastAsia="宋体"/>
                <w:bCs/>
                <w:sz w:val="21"/>
                <w:szCs w:val="21"/>
                <w:lang w:val="en-US" w:eastAsia="zh-CN"/>
              </w:rPr>
              <w:t>原料</w:t>
            </w:r>
            <w:r>
              <w:rPr>
                <w:rFonts w:eastAsia="宋体"/>
                <w:bCs/>
                <w:sz w:val="21"/>
                <w:szCs w:val="21"/>
              </w:rPr>
              <w:t>仓库</w:t>
            </w:r>
            <w:r>
              <w:rPr>
                <w:rFonts w:hint="eastAsia" w:eastAsia="宋体"/>
                <w:bCs/>
                <w:sz w:val="21"/>
                <w:szCs w:val="21"/>
                <w:lang w:eastAsia="zh-CN"/>
              </w:rPr>
              <w:t>、</w:t>
            </w:r>
            <w:r>
              <w:rPr>
                <w:rFonts w:hint="eastAsia" w:eastAsia="宋体"/>
                <w:bCs/>
                <w:sz w:val="21"/>
                <w:szCs w:val="21"/>
                <w:lang w:val="en-US" w:eastAsia="zh-CN"/>
              </w:rPr>
              <w:t>危废仓库</w:t>
            </w:r>
            <w:r>
              <w:rPr>
                <w:rFonts w:eastAsia="宋体"/>
                <w:bCs/>
                <w:sz w:val="21"/>
                <w:szCs w:val="21"/>
              </w:rPr>
              <w:t>发生火灾、泄漏事故；</w:t>
            </w:r>
          </w:p>
          <w:p w14:paraId="16CE00DF">
            <w:pPr>
              <w:adjustRightInd w:val="0"/>
              <w:snapToGrid w:val="0"/>
              <w:jc w:val="left"/>
              <w:rPr>
                <w:rFonts w:eastAsia="宋体"/>
                <w:bCs/>
                <w:sz w:val="21"/>
                <w:szCs w:val="21"/>
              </w:rPr>
            </w:pPr>
            <w:r>
              <w:rPr>
                <w:rFonts w:eastAsia="宋体"/>
                <w:b/>
                <w:sz w:val="21"/>
                <w:szCs w:val="21"/>
              </w:rPr>
              <w:t>情景3：</w:t>
            </w:r>
            <w:r>
              <w:rPr>
                <w:rFonts w:hint="eastAsia" w:eastAsia="宋体"/>
                <w:b w:val="0"/>
                <w:bCs/>
                <w:sz w:val="21"/>
                <w:szCs w:val="21"/>
                <w:lang w:val="en-US" w:eastAsia="zh-CN"/>
              </w:rPr>
              <w:t>喷漆</w:t>
            </w:r>
            <w:r>
              <w:rPr>
                <w:rFonts w:eastAsia="宋体"/>
                <w:bCs/>
                <w:sz w:val="21"/>
                <w:szCs w:val="21"/>
              </w:rPr>
              <w:t>车间发生火灾、爆炸、泄漏事故；</w:t>
            </w:r>
          </w:p>
          <w:p w14:paraId="16FEA654">
            <w:pPr>
              <w:adjustRightInd w:val="0"/>
              <w:snapToGrid w:val="0"/>
              <w:jc w:val="left"/>
              <w:rPr>
                <w:rFonts w:hint="eastAsia" w:eastAsia="宋体"/>
                <w:color w:val="000000"/>
                <w:sz w:val="21"/>
                <w:szCs w:val="21"/>
                <w:lang w:eastAsia="zh-CN"/>
              </w:rPr>
            </w:pPr>
            <w:r>
              <w:rPr>
                <w:rFonts w:eastAsia="宋体"/>
                <w:b/>
                <w:sz w:val="21"/>
                <w:szCs w:val="21"/>
              </w:rPr>
              <w:t>情景</w:t>
            </w:r>
            <w:r>
              <w:rPr>
                <w:rFonts w:hint="eastAsia" w:eastAsia="宋体"/>
                <w:b/>
                <w:sz w:val="21"/>
                <w:szCs w:val="21"/>
                <w:lang w:val="en-US" w:eastAsia="zh-CN"/>
              </w:rPr>
              <w:t>4</w:t>
            </w:r>
            <w:r>
              <w:rPr>
                <w:rFonts w:eastAsia="宋体"/>
                <w:bCs/>
                <w:sz w:val="21"/>
                <w:szCs w:val="21"/>
              </w:rPr>
              <w:t>：木工车间</w:t>
            </w:r>
            <w:r>
              <w:rPr>
                <w:rFonts w:hint="eastAsia" w:eastAsia="宋体"/>
                <w:bCs/>
                <w:sz w:val="21"/>
                <w:szCs w:val="21"/>
                <w:lang w:eastAsia="zh-CN"/>
              </w:rPr>
              <w:t>（</w:t>
            </w:r>
            <w:r>
              <w:rPr>
                <w:rFonts w:hint="eastAsia" w:eastAsia="宋体"/>
                <w:bCs/>
                <w:sz w:val="21"/>
                <w:szCs w:val="21"/>
                <w:lang w:val="en-US" w:eastAsia="zh-CN"/>
              </w:rPr>
              <w:t>含打磨</w:t>
            </w:r>
            <w:r>
              <w:rPr>
                <w:rFonts w:hint="eastAsia" w:eastAsia="宋体"/>
                <w:bCs/>
                <w:sz w:val="21"/>
                <w:szCs w:val="21"/>
                <w:lang w:eastAsia="zh-CN"/>
              </w:rPr>
              <w:t>）</w:t>
            </w:r>
            <w:r>
              <w:rPr>
                <w:rFonts w:hint="eastAsia" w:eastAsia="宋体"/>
                <w:bCs/>
                <w:sz w:val="21"/>
                <w:szCs w:val="21"/>
                <w:lang w:val="en-US" w:eastAsia="zh-CN"/>
              </w:rPr>
              <w:t>粉尘</w:t>
            </w:r>
            <w:r>
              <w:rPr>
                <w:rFonts w:eastAsia="宋体"/>
                <w:bCs/>
                <w:sz w:val="21"/>
                <w:szCs w:val="21"/>
              </w:rPr>
              <w:t>爆炸导致火灾、人员伤亡事故</w:t>
            </w:r>
            <w:r>
              <w:rPr>
                <w:rFonts w:hint="eastAsia" w:eastAsia="宋体"/>
                <w:bCs/>
                <w:sz w:val="21"/>
                <w:szCs w:val="21"/>
                <w:lang w:eastAsia="zh-CN"/>
              </w:rPr>
              <w:t>；</w:t>
            </w:r>
            <w:r>
              <w:rPr>
                <w:rFonts w:eastAsia="宋体"/>
                <w:b/>
                <w:sz w:val="21"/>
                <w:szCs w:val="21"/>
              </w:rPr>
              <w:t>情景</w:t>
            </w:r>
            <w:r>
              <w:rPr>
                <w:rFonts w:hint="eastAsia" w:eastAsia="宋体"/>
                <w:b/>
                <w:sz w:val="21"/>
                <w:szCs w:val="21"/>
                <w:lang w:val="en-US" w:eastAsia="zh-CN"/>
              </w:rPr>
              <w:t>5</w:t>
            </w:r>
            <w:r>
              <w:rPr>
                <w:rFonts w:eastAsia="宋体"/>
                <w:b/>
                <w:sz w:val="21"/>
                <w:szCs w:val="21"/>
              </w:rPr>
              <w:t>：</w:t>
            </w:r>
            <w:r>
              <w:rPr>
                <w:rFonts w:eastAsia="宋体"/>
                <w:bCs/>
                <w:sz w:val="21"/>
                <w:szCs w:val="21"/>
              </w:rPr>
              <w:t>以上火灾事故伴生大量有毒烟雾污染下风向大气环境，可能造成下风向人员中毒伤亡</w:t>
            </w:r>
            <w:r>
              <w:rPr>
                <w:rFonts w:hint="eastAsia" w:eastAsia="宋体"/>
                <w:bCs/>
                <w:sz w:val="21"/>
                <w:szCs w:val="21"/>
                <w:lang w:eastAsia="zh-CN"/>
              </w:rPr>
              <w:t>。</w:t>
            </w:r>
          </w:p>
        </w:tc>
      </w:tr>
      <w:tr w14:paraId="328E8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50" w:hRule="atLeast"/>
          <w:jc w:val="center"/>
        </w:trPr>
        <w:tc>
          <w:tcPr>
            <w:tcW w:w="854" w:type="dxa"/>
            <w:tcBorders>
              <w:tl2br w:val="nil"/>
              <w:tr2bl w:val="nil"/>
            </w:tcBorders>
            <w:vAlign w:val="center"/>
          </w:tcPr>
          <w:p w14:paraId="549E7BF9">
            <w:pPr>
              <w:adjustRightInd w:val="0"/>
              <w:snapToGrid w:val="0"/>
              <w:jc w:val="center"/>
              <w:rPr>
                <w:rFonts w:eastAsia="宋体"/>
                <w:color w:val="000000"/>
                <w:sz w:val="21"/>
                <w:szCs w:val="21"/>
              </w:rPr>
            </w:pPr>
            <w:r>
              <w:rPr>
                <w:rFonts w:eastAsia="宋体"/>
                <w:color w:val="000000"/>
                <w:sz w:val="21"/>
                <w:szCs w:val="21"/>
              </w:rPr>
              <w:t>事件2</w:t>
            </w:r>
          </w:p>
        </w:tc>
        <w:tc>
          <w:tcPr>
            <w:tcW w:w="2156" w:type="dxa"/>
            <w:tcBorders>
              <w:tl2br w:val="nil"/>
              <w:tr2bl w:val="nil"/>
            </w:tcBorders>
            <w:vAlign w:val="center"/>
          </w:tcPr>
          <w:p w14:paraId="52184B3D">
            <w:pPr>
              <w:adjustRightInd w:val="0"/>
              <w:snapToGrid w:val="0"/>
              <w:jc w:val="center"/>
              <w:rPr>
                <w:rFonts w:eastAsia="宋体"/>
                <w:color w:val="000000"/>
                <w:sz w:val="21"/>
                <w:szCs w:val="21"/>
              </w:rPr>
            </w:pPr>
            <w:r>
              <w:rPr>
                <w:rFonts w:eastAsia="宋体"/>
                <w:color w:val="000000"/>
                <w:sz w:val="21"/>
                <w:szCs w:val="21"/>
              </w:rPr>
              <w:t>环境风险防控设施失灵或非正常操作</w:t>
            </w:r>
          </w:p>
        </w:tc>
        <w:tc>
          <w:tcPr>
            <w:tcW w:w="6089" w:type="dxa"/>
            <w:tcBorders>
              <w:tl2br w:val="nil"/>
              <w:tr2bl w:val="nil"/>
            </w:tcBorders>
            <w:vAlign w:val="center"/>
          </w:tcPr>
          <w:p w14:paraId="7858839E">
            <w:pPr>
              <w:adjustRightInd w:val="0"/>
              <w:snapToGrid w:val="0"/>
              <w:jc w:val="left"/>
              <w:rPr>
                <w:rFonts w:eastAsia="宋体"/>
                <w:color w:val="000000"/>
                <w:sz w:val="21"/>
                <w:szCs w:val="21"/>
              </w:rPr>
            </w:pPr>
            <w:r>
              <w:rPr>
                <w:rFonts w:eastAsia="宋体"/>
                <w:b/>
                <w:sz w:val="21"/>
                <w:szCs w:val="21"/>
              </w:rPr>
              <w:t>情景6：</w:t>
            </w:r>
            <w:r>
              <w:rPr>
                <w:rFonts w:eastAsia="宋体"/>
                <w:bCs/>
                <w:sz w:val="21"/>
                <w:szCs w:val="21"/>
              </w:rPr>
              <w:t>情景1、2、3、4、5因雨水切换阀没关或</w:t>
            </w:r>
            <w:r>
              <w:rPr>
                <w:rFonts w:hint="eastAsia" w:eastAsia="宋体"/>
                <w:bCs/>
                <w:sz w:val="21"/>
                <w:szCs w:val="21"/>
                <w:lang w:val="en-US" w:eastAsia="zh-CN"/>
              </w:rPr>
              <w:t>应急</w:t>
            </w:r>
            <w:r>
              <w:rPr>
                <w:rFonts w:eastAsia="宋体"/>
                <w:bCs/>
                <w:sz w:val="21"/>
                <w:szCs w:val="21"/>
              </w:rPr>
              <w:t>事故池引流措施失败，事故废水、消防尾水、泄漏液</w:t>
            </w:r>
            <w:r>
              <w:rPr>
                <w:rFonts w:hint="eastAsia" w:eastAsia="宋体"/>
                <w:bCs/>
                <w:sz w:val="21"/>
                <w:szCs w:val="21"/>
                <w:lang w:val="en-US" w:eastAsia="zh-CN"/>
              </w:rPr>
              <w:t>经雨水管道排入外环境</w:t>
            </w:r>
            <w:r>
              <w:rPr>
                <w:rFonts w:eastAsia="宋体"/>
                <w:bCs/>
                <w:sz w:val="21"/>
                <w:szCs w:val="21"/>
              </w:rPr>
              <w:t>。</w:t>
            </w:r>
          </w:p>
        </w:tc>
      </w:tr>
      <w:tr w14:paraId="09D17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854" w:hRule="atLeast"/>
          <w:jc w:val="center"/>
        </w:trPr>
        <w:tc>
          <w:tcPr>
            <w:tcW w:w="854" w:type="dxa"/>
            <w:tcBorders>
              <w:tl2br w:val="nil"/>
              <w:tr2bl w:val="nil"/>
            </w:tcBorders>
            <w:vAlign w:val="center"/>
          </w:tcPr>
          <w:p w14:paraId="1A52E210">
            <w:pPr>
              <w:adjustRightInd w:val="0"/>
              <w:snapToGrid w:val="0"/>
              <w:jc w:val="center"/>
              <w:rPr>
                <w:rFonts w:eastAsia="宋体"/>
                <w:color w:val="000000"/>
                <w:sz w:val="21"/>
                <w:szCs w:val="21"/>
              </w:rPr>
            </w:pPr>
            <w:r>
              <w:rPr>
                <w:rFonts w:eastAsia="宋体"/>
                <w:color w:val="000000"/>
                <w:sz w:val="21"/>
                <w:szCs w:val="21"/>
              </w:rPr>
              <w:t>事件3</w:t>
            </w:r>
          </w:p>
        </w:tc>
        <w:tc>
          <w:tcPr>
            <w:tcW w:w="2156" w:type="dxa"/>
            <w:tcBorders>
              <w:tl2br w:val="nil"/>
              <w:tr2bl w:val="nil"/>
            </w:tcBorders>
            <w:vAlign w:val="center"/>
          </w:tcPr>
          <w:p w14:paraId="1B579723">
            <w:pPr>
              <w:adjustRightInd w:val="0"/>
              <w:snapToGrid w:val="0"/>
              <w:jc w:val="center"/>
              <w:rPr>
                <w:rFonts w:eastAsia="宋体"/>
                <w:color w:val="000000"/>
                <w:sz w:val="21"/>
                <w:szCs w:val="21"/>
              </w:rPr>
            </w:pPr>
            <w:r>
              <w:rPr>
                <w:rFonts w:eastAsia="宋体"/>
                <w:color w:val="000000"/>
                <w:sz w:val="21"/>
                <w:szCs w:val="21"/>
              </w:rPr>
              <w:t>非正常工况</w:t>
            </w:r>
          </w:p>
        </w:tc>
        <w:tc>
          <w:tcPr>
            <w:tcW w:w="6089" w:type="dxa"/>
            <w:tcBorders>
              <w:tl2br w:val="nil"/>
              <w:tr2bl w:val="nil"/>
            </w:tcBorders>
            <w:vAlign w:val="center"/>
          </w:tcPr>
          <w:p w14:paraId="2357C900">
            <w:pPr>
              <w:adjustRightInd w:val="0"/>
              <w:snapToGrid w:val="0"/>
              <w:jc w:val="left"/>
              <w:rPr>
                <w:rFonts w:eastAsia="宋体"/>
                <w:color w:val="000000"/>
                <w:sz w:val="21"/>
                <w:szCs w:val="21"/>
              </w:rPr>
            </w:pPr>
            <w:r>
              <w:rPr>
                <w:rFonts w:eastAsia="宋体"/>
                <w:b/>
                <w:sz w:val="21"/>
                <w:szCs w:val="21"/>
              </w:rPr>
              <w:t>情景7：</w:t>
            </w:r>
            <w:r>
              <w:rPr>
                <w:rFonts w:eastAsia="宋体"/>
                <w:bCs/>
                <w:sz w:val="21"/>
                <w:szCs w:val="21"/>
                <w:highlight w:val="none"/>
              </w:rPr>
              <w:t>开</w:t>
            </w:r>
            <w:r>
              <w:rPr>
                <w:rFonts w:hint="eastAsia" w:eastAsia="宋体"/>
                <w:bCs/>
                <w:sz w:val="21"/>
                <w:szCs w:val="21"/>
                <w:highlight w:val="none"/>
                <w:lang w:val="en-US" w:eastAsia="zh-CN"/>
              </w:rPr>
              <w:t>工</w:t>
            </w:r>
            <w:r>
              <w:rPr>
                <w:rFonts w:eastAsia="宋体"/>
                <w:bCs/>
                <w:sz w:val="21"/>
                <w:szCs w:val="21"/>
                <w:highlight w:val="none"/>
              </w:rPr>
              <w:t>未先开废气处理装置、停废气处理装置</w:t>
            </w:r>
            <w:r>
              <w:rPr>
                <w:rFonts w:hint="eastAsia" w:eastAsia="宋体"/>
                <w:bCs/>
                <w:sz w:val="21"/>
                <w:szCs w:val="21"/>
                <w:highlight w:val="none"/>
                <w:lang w:val="en-US" w:eastAsia="zh-CN"/>
              </w:rPr>
              <w:t>后继续生产</w:t>
            </w:r>
            <w:r>
              <w:rPr>
                <w:rFonts w:eastAsia="宋体"/>
                <w:bCs/>
                <w:sz w:val="21"/>
                <w:szCs w:val="21"/>
              </w:rPr>
              <w:t>，无组织排放造成厂界超标，下风向大气污染。</w:t>
            </w:r>
          </w:p>
        </w:tc>
      </w:tr>
      <w:tr w14:paraId="032C5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854" w:type="dxa"/>
            <w:tcBorders>
              <w:tl2br w:val="nil"/>
              <w:tr2bl w:val="nil"/>
            </w:tcBorders>
            <w:vAlign w:val="center"/>
          </w:tcPr>
          <w:p w14:paraId="7764C960">
            <w:pPr>
              <w:adjustRightInd w:val="0"/>
              <w:snapToGrid w:val="0"/>
              <w:jc w:val="center"/>
              <w:rPr>
                <w:rFonts w:eastAsia="宋体"/>
                <w:color w:val="000000"/>
                <w:sz w:val="21"/>
                <w:szCs w:val="21"/>
              </w:rPr>
            </w:pPr>
            <w:r>
              <w:rPr>
                <w:rFonts w:eastAsia="宋体"/>
                <w:color w:val="000000"/>
                <w:sz w:val="21"/>
                <w:szCs w:val="21"/>
              </w:rPr>
              <w:t>事件4</w:t>
            </w:r>
          </w:p>
        </w:tc>
        <w:tc>
          <w:tcPr>
            <w:tcW w:w="2156" w:type="dxa"/>
            <w:tcBorders>
              <w:tl2br w:val="nil"/>
              <w:tr2bl w:val="nil"/>
            </w:tcBorders>
            <w:vAlign w:val="center"/>
          </w:tcPr>
          <w:p w14:paraId="4D8F8033">
            <w:pPr>
              <w:adjustRightInd w:val="0"/>
              <w:snapToGrid w:val="0"/>
              <w:jc w:val="center"/>
              <w:rPr>
                <w:rFonts w:eastAsia="宋体"/>
                <w:color w:val="000000"/>
                <w:sz w:val="21"/>
                <w:szCs w:val="21"/>
              </w:rPr>
            </w:pPr>
            <w:r>
              <w:rPr>
                <w:rFonts w:eastAsia="宋体"/>
                <w:color w:val="000000"/>
                <w:sz w:val="21"/>
                <w:szCs w:val="21"/>
              </w:rPr>
              <w:t>污染治理设施非正常运行</w:t>
            </w:r>
          </w:p>
        </w:tc>
        <w:tc>
          <w:tcPr>
            <w:tcW w:w="6089" w:type="dxa"/>
            <w:tcBorders>
              <w:tl2br w:val="nil"/>
              <w:tr2bl w:val="nil"/>
            </w:tcBorders>
            <w:vAlign w:val="center"/>
          </w:tcPr>
          <w:p w14:paraId="24EBD1F0">
            <w:pPr>
              <w:bidi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情景8：</w:t>
            </w:r>
            <w:r>
              <w:rPr>
                <w:rFonts w:hint="default" w:ascii="Times New Roman" w:hAnsi="Times New Roman" w:eastAsia="宋体" w:cs="Times New Roman"/>
                <w:sz w:val="21"/>
                <w:szCs w:val="21"/>
              </w:rPr>
              <w:t>废气处理设施异常，超标排放，引起下风向大气污染；</w:t>
            </w:r>
          </w:p>
          <w:p w14:paraId="69A46D2A">
            <w:pPr>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情景9：</w:t>
            </w:r>
            <w:r>
              <w:rPr>
                <w:rFonts w:hint="default" w:ascii="Times New Roman" w:hAnsi="Times New Roman" w:eastAsia="宋体" w:cs="Times New Roman"/>
                <w:sz w:val="21"/>
                <w:szCs w:val="21"/>
                <w:lang w:val="en-US" w:eastAsia="zh-CN"/>
              </w:rPr>
              <w:t>泄漏、火灾、爆炸等事故救援产生的消防水的事故性排放；管道破裂引起的生产废水排出厂外；</w:t>
            </w:r>
          </w:p>
          <w:p w14:paraId="3DF0DFAA">
            <w:pPr>
              <w:bidi w:val="0"/>
              <w:rPr>
                <w:rFonts w:eastAsia="宋体"/>
                <w:szCs w:val="21"/>
              </w:rPr>
            </w:pPr>
            <w:r>
              <w:rPr>
                <w:rFonts w:hint="default" w:ascii="Times New Roman" w:hAnsi="Times New Roman" w:eastAsia="宋体" w:cs="Times New Roman"/>
                <w:b/>
                <w:bCs/>
                <w:sz w:val="21"/>
                <w:szCs w:val="21"/>
              </w:rPr>
              <w:t>情景10：</w:t>
            </w:r>
            <w:r>
              <w:rPr>
                <w:rFonts w:hint="default" w:ascii="Times New Roman" w:hAnsi="Times New Roman" w:eastAsia="宋体" w:cs="Times New Roman"/>
                <w:sz w:val="21"/>
                <w:szCs w:val="21"/>
              </w:rPr>
              <w:t>当固废堆场防渗、防漏设施不完善、遭到损坏时，堆场渗滤液渗入土壤，造成严重的土壤、地下水污染；当固废堆场防雨设施不完善、遭到破坏时，淋沥固体废物的雨水径流可能进入河流，造成地表水污染；在自然风作用下，固废堆场有可能造成周围大气污染。</w:t>
            </w:r>
          </w:p>
        </w:tc>
      </w:tr>
      <w:tr w14:paraId="24812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92" w:hRule="atLeast"/>
          <w:jc w:val="center"/>
        </w:trPr>
        <w:tc>
          <w:tcPr>
            <w:tcW w:w="854" w:type="dxa"/>
            <w:tcBorders>
              <w:tl2br w:val="nil"/>
              <w:tr2bl w:val="nil"/>
            </w:tcBorders>
            <w:vAlign w:val="center"/>
          </w:tcPr>
          <w:p w14:paraId="50508B06">
            <w:pPr>
              <w:adjustRightInd w:val="0"/>
              <w:snapToGrid w:val="0"/>
              <w:jc w:val="center"/>
              <w:rPr>
                <w:rFonts w:eastAsia="宋体"/>
                <w:color w:val="000000"/>
                <w:sz w:val="21"/>
                <w:szCs w:val="21"/>
              </w:rPr>
            </w:pPr>
            <w:r>
              <w:rPr>
                <w:rFonts w:eastAsia="宋体"/>
                <w:color w:val="000000"/>
                <w:sz w:val="21"/>
                <w:szCs w:val="21"/>
              </w:rPr>
              <w:t>事件5</w:t>
            </w:r>
          </w:p>
        </w:tc>
        <w:tc>
          <w:tcPr>
            <w:tcW w:w="2156" w:type="dxa"/>
            <w:tcBorders>
              <w:tl2br w:val="nil"/>
              <w:tr2bl w:val="nil"/>
            </w:tcBorders>
            <w:vAlign w:val="center"/>
          </w:tcPr>
          <w:p w14:paraId="0E76702C">
            <w:pPr>
              <w:adjustRightInd w:val="0"/>
              <w:snapToGrid w:val="0"/>
              <w:jc w:val="center"/>
              <w:rPr>
                <w:rFonts w:eastAsia="宋体"/>
                <w:color w:val="000000"/>
                <w:sz w:val="21"/>
                <w:szCs w:val="21"/>
              </w:rPr>
            </w:pPr>
            <w:r>
              <w:rPr>
                <w:rFonts w:eastAsia="宋体"/>
                <w:color w:val="000000"/>
                <w:sz w:val="21"/>
                <w:szCs w:val="21"/>
              </w:rPr>
              <w:t>违法排污</w:t>
            </w:r>
          </w:p>
        </w:tc>
        <w:tc>
          <w:tcPr>
            <w:tcW w:w="6089" w:type="dxa"/>
            <w:tcBorders>
              <w:tl2br w:val="nil"/>
              <w:tr2bl w:val="nil"/>
            </w:tcBorders>
            <w:vAlign w:val="center"/>
          </w:tcPr>
          <w:p w14:paraId="5AB96623">
            <w:pPr>
              <w:adjustRightInd w:val="0"/>
              <w:snapToGrid w:val="0"/>
              <w:jc w:val="left"/>
              <w:rPr>
                <w:rFonts w:hint="eastAsia" w:eastAsia="宋体"/>
                <w:bCs/>
                <w:sz w:val="21"/>
                <w:szCs w:val="21"/>
                <w:lang w:eastAsia="zh-CN"/>
              </w:rPr>
            </w:pPr>
            <w:r>
              <w:rPr>
                <w:rFonts w:eastAsia="宋体"/>
                <w:b/>
                <w:sz w:val="21"/>
                <w:szCs w:val="21"/>
              </w:rPr>
              <w:t>情景11：</w:t>
            </w:r>
            <w:r>
              <w:rPr>
                <w:rFonts w:eastAsia="宋体"/>
                <w:bCs/>
                <w:sz w:val="21"/>
                <w:szCs w:val="21"/>
              </w:rPr>
              <w:t>水循环一体机内循环水</w:t>
            </w:r>
            <w:r>
              <w:rPr>
                <w:rFonts w:hint="eastAsia" w:eastAsia="宋体"/>
                <w:bCs/>
                <w:sz w:val="21"/>
                <w:szCs w:val="21"/>
                <w:lang w:eastAsia="zh-CN"/>
              </w:rPr>
              <w:t>渗入</w:t>
            </w:r>
            <w:r>
              <w:rPr>
                <w:rFonts w:eastAsia="宋体"/>
                <w:bCs/>
                <w:sz w:val="21"/>
                <w:szCs w:val="21"/>
              </w:rPr>
              <w:t>雨水管网，排出厂外，导致厂界外水体污染</w:t>
            </w:r>
            <w:r>
              <w:rPr>
                <w:rFonts w:hint="eastAsia" w:eastAsia="宋体"/>
                <w:bCs/>
                <w:sz w:val="21"/>
                <w:szCs w:val="21"/>
                <w:lang w:eastAsia="zh-CN"/>
              </w:rPr>
              <w:t>；</w:t>
            </w:r>
          </w:p>
          <w:p w14:paraId="280BD06C">
            <w:pPr>
              <w:adjustRightInd w:val="0"/>
              <w:snapToGrid w:val="0"/>
              <w:jc w:val="left"/>
              <w:rPr>
                <w:rFonts w:hint="eastAsia" w:eastAsia="宋体"/>
                <w:color w:val="000000"/>
                <w:sz w:val="21"/>
                <w:szCs w:val="21"/>
                <w:lang w:eastAsia="zh-CN"/>
              </w:rPr>
            </w:pPr>
            <w:r>
              <w:rPr>
                <w:rFonts w:eastAsia="宋体"/>
                <w:b/>
                <w:sz w:val="21"/>
                <w:szCs w:val="21"/>
              </w:rPr>
              <w:t>情景12：</w:t>
            </w:r>
            <w:r>
              <w:rPr>
                <w:rFonts w:eastAsia="宋体"/>
                <w:bCs/>
                <w:sz w:val="21"/>
                <w:szCs w:val="21"/>
              </w:rPr>
              <w:t>危险废物处置不当或非法处置，污染水体及土壤</w:t>
            </w:r>
            <w:r>
              <w:rPr>
                <w:rFonts w:hint="eastAsia" w:eastAsia="宋体"/>
                <w:bCs/>
                <w:sz w:val="21"/>
                <w:szCs w:val="21"/>
                <w:lang w:eastAsia="zh-CN"/>
              </w:rPr>
              <w:t>。</w:t>
            </w:r>
          </w:p>
        </w:tc>
      </w:tr>
      <w:tr w14:paraId="72AC1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79" w:hRule="atLeast"/>
          <w:jc w:val="center"/>
        </w:trPr>
        <w:tc>
          <w:tcPr>
            <w:tcW w:w="854" w:type="dxa"/>
            <w:tcBorders>
              <w:tl2br w:val="nil"/>
              <w:tr2bl w:val="nil"/>
            </w:tcBorders>
            <w:vAlign w:val="center"/>
          </w:tcPr>
          <w:p w14:paraId="30C9FD61">
            <w:pPr>
              <w:adjustRightInd w:val="0"/>
              <w:snapToGrid w:val="0"/>
              <w:jc w:val="center"/>
              <w:rPr>
                <w:rFonts w:eastAsia="宋体"/>
                <w:color w:val="000000"/>
                <w:sz w:val="21"/>
                <w:szCs w:val="21"/>
              </w:rPr>
            </w:pPr>
            <w:r>
              <w:rPr>
                <w:rFonts w:eastAsia="宋体"/>
                <w:color w:val="000000"/>
                <w:sz w:val="21"/>
                <w:szCs w:val="21"/>
              </w:rPr>
              <w:t>事件6</w:t>
            </w:r>
          </w:p>
        </w:tc>
        <w:tc>
          <w:tcPr>
            <w:tcW w:w="2156" w:type="dxa"/>
            <w:tcBorders>
              <w:tl2br w:val="nil"/>
              <w:tr2bl w:val="nil"/>
            </w:tcBorders>
            <w:vAlign w:val="center"/>
          </w:tcPr>
          <w:p w14:paraId="4D9C420F">
            <w:pPr>
              <w:adjustRightInd w:val="0"/>
              <w:snapToGrid w:val="0"/>
              <w:jc w:val="center"/>
              <w:rPr>
                <w:rFonts w:eastAsia="宋体"/>
                <w:color w:val="000000"/>
                <w:sz w:val="21"/>
                <w:szCs w:val="21"/>
              </w:rPr>
            </w:pPr>
            <w:r>
              <w:rPr>
                <w:rFonts w:eastAsia="宋体"/>
                <w:color w:val="000000"/>
                <w:sz w:val="21"/>
                <w:szCs w:val="21"/>
              </w:rPr>
              <w:t>停电、断水、停气等</w:t>
            </w:r>
          </w:p>
        </w:tc>
        <w:tc>
          <w:tcPr>
            <w:tcW w:w="6089" w:type="dxa"/>
            <w:tcBorders>
              <w:tl2br w:val="nil"/>
              <w:tr2bl w:val="nil"/>
            </w:tcBorders>
            <w:vAlign w:val="center"/>
          </w:tcPr>
          <w:p w14:paraId="4E281BC4">
            <w:pPr>
              <w:adjustRightInd w:val="0"/>
              <w:snapToGrid w:val="0"/>
              <w:jc w:val="left"/>
              <w:rPr>
                <w:rFonts w:eastAsia="宋体"/>
                <w:color w:val="000000"/>
                <w:sz w:val="21"/>
                <w:szCs w:val="21"/>
              </w:rPr>
            </w:pPr>
            <w:r>
              <w:rPr>
                <w:rFonts w:eastAsia="宋体"/>
                <w:b/>
                <w:bCs/>
                <w:sz w:val="21"/>
                <w:szCs w:val="21"/>
              </w:rPr>
              <w:t>情景13</w:t>
            </w:r>
            <w:r>
              <w:rPr>
                <w:rFonts w:hint="eastAsia" w:eastAsia="宋体"/>
                <w:b/>
                <w:bCs/>
                <w:sz w:val="21"/>
                <w:szCs w:val="21"/>
                <w:lang w:eastAsia="zh-CN"/>
              </w:rPr>
              <w:t>：</w:t>
            </w:r>
            <w:r>
              <w:rPr>
                <w:rFonts w:hint="eastAsia" w:eastAsia="宋体"/>
                <w:b w:val="0"/>
                <w:bCs w:val="0"/>
                <w:sz w:val="21"/>
                <w:szCs w:val="21"/>
                <w:lang w:val="en-US" w:eastAsia="zh-CN"/>
              </w:rPr>
              <w:t>公司</w:t>
            </w:r>
            <w:r>
              <w:rPr>
                <w:rFonts w:eastAsia="宋体"/>
                <w:color w:val="000000"/>
                <w:sz w:val="21"/>
                <w:szCs w:val="21"/>
              </w:rPr>
              <w:t>停电</w:t>
            </w:r>
            <w:r>
              <w:rPr>
                <w:rFonts w:hint="eastAsia" w:eastAsia="宋体"/>
                <w:color w:val="000000"/>
                <w:sz w:val="21"/>
                <w:szCs w:val="21"/>
                <w:lang w:val="en-US" w:eastAsia="zh-CN"/>
              </w:rPr>
              <w:t>会</w:t>
            </w:r>
            <w:r>
              <w:rPr>
                <w:rFonts w:hint="eastAsia" w:eastAsia="宋体"/>
                <w:color w:val="000000"/>
                <w:sz w:val="21"/>
                <w:szCs w:val="21"/>
                <w:lang w:eastAsia="zh-CN"/>
              </w:rPr>
              <w:t>导致废气处理设施停</w:t>
            </w:r>
            <w:r>
              <w:rPr>
                <w:rFonts w:hint="eastAsia" w:eastAsia="宋体"/>
                <w:color w:val="000000"/>
                <w:sz w:val="21"/>
                <w:szCs w:val="21"/>
                <w:lang w:val="en-US" w:eastAsia="zh-CN"/>
              </w:rPr>
              <w:t>止</w:t>
            </w:r>
            <w:r>
              <w:rPr>
                <w:rFonts w:hint="eastAsia" w:eastAsia="宋体"/>
                <w:color w:val="000000"/>
                <w:sz w:val="21"/>
                <w:szCs w:val="21"/>
                <w:lang w:eastAsia="zh-CN"/>
              </w:rPr>
              <w:t>运</w:t>
            </w:r>
            <w:r>
              <w:rPr>
                <w:rFonts w:hint="eastAsia" w:eastAsia="宋体"/>
                <w:color w:val="000000"/>
                <w:sz w:val="21"/>
                <w:szCs w:val="21"/>
                <w:lang w:val="en-US" w:eastAsia="zh-CN"/>
              </w:rPr>
              <w:t>行，废气不经处理直接外排，污染环境</w:t>
            </w:r>
            <w:r>
              <w:rPr>
                <w:rFonts w:eastAsia="宋体"/>
                <w:color w:val="000000"/>
                <w:sz w:val="21"/>
                <w:szCs w:val="21"/>
              </w:rPr>
              <w:t>。</w:t>
            </w:r>
          </w:p>
        </w:tc>
      </w:tr>
      <w:tr w14:paraId="37BA7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991" w:hRule="atLeast"/>
          <w:jc w:val="center"/>
        </w:trPr>
        <w:tc>
          <w:tcPr>
            <w:tcW w:w="854" w:type="dxa"/>
            <w:tcBorders>
              <w:tl2br w:val="nil"/>
              <w:tr2bl w:val="nil"/>
            </w:tcBorders>
            <w:vAlign w:val="center"/>
          </w:tcPr>
          <w:p w14:paraId="7288A3AA">
            <w:pPr>
              <w:adjustRightInd w:val="0"/>
              <w:snapToGrid w:val="0"/>
              <w:jc w:val="center"/>
              <w:rPr>
                <w:rFonts w:eastAsia="宋体"/>
                <w:color w:val="000000"/>
                <w:sz w:val="21"/>
                <w:szCs w:val="21"/>
              </w:rPr>
            </w:pPr>
            <w:r>
              <w:rPr>
                <w:rFonts w:eastAsia="宋体"/>
                <w:color w:val="000000"/>
                <w:sz w:val="21"/>
                <w:szCs w:val="21"/>
              </w:rPr>
              <w:t>事件7</w:t>
            </w:r>
          </w:p>
        </w:tc>
        <w:tc>
          <w:tcPr>
            <w:tcW w:w="2156" w:type="dxa"/>
            <w:tcBorders>
              <w:tl2br w:val="nil"/>
              <w:tr2bl w:val="nil"/>
            </w:tcBorders>
            <w:vAlign w:val="center"/>
          </w:tcPr>
          <w:p w14:paraId="7ECF281B">
            <w:pPr>
              <w:adjustRightInd w:val="0"/>
              <w:snapToGrid w:val="0"/>
              <w:jc w:val="center"/>
              <w:rPr>
                <w:rFonts w:eastAsia="宋体"/>
                <w:color w:val="000000"/>
                <w:sz w:val="21"/>
                <w:szCs w:val="21"/>
              </w:rPr>
            </w:pPr>
            <w:r>
              <w:rPr>
                <w:rFonts w:eastAsia="宋体"/>
                <w:color w:val="000000"/>
                <w:sz w:val="21"/>
                <w:szCs w:val="21"/>
              </w:rPr>
              <w:t>通讯或运输系统故障</w:t>
            </w:r>
          </w:p>
        </w:tc>
        <w:tc>
          <w:tcPr>
            <w:tcW w:w="6089" w:type="dxa"/>
            <w:tcBorders>
              <w:tl2br w:val="nil"/>
              <w:tr2bl w:val="nil"/>
            </w:tcBorders>
            <w:vAlign w:val="center"/>
          </w:tcPr>
          <w:p w14:paraId="4070B684">
            <w:pPr>
              <w:adjustRightInd w:val="0"/>
              <w:snapToGrid w:val="0"/>
              <w:jc w:val="left"/>
              <w:rPr>
                <w:rFonts w:eastAsia="宋体"/>
                <w:sz w:val="21"/>
                <w:szCs w:val="21"/>
              </w:rPr>
            </w:pPr>
            <w:r>
              <w:rPr>
                <w:rFonts w:eastAsia="宋体"/>
                <w:b/>
                <w:bCs/>
                <w:sz w:val="21"/>
                <w:szCs w:val="21"/>
              </w:rPr>
              <w:t>情景1</w:t>
            </w:r>
            <w:r>
              <w:rPr>
                <w:rFonts w:hint="eastAsia" w:eastAsia="宋体"/>
                <w:b/>
                <w:bCs/>
                <w:sz w:val="21"/>
                <w:szCs w:val="21"/>
                <w:lang w:val="en-US" w:eastAsia="zh-CN"/>
              </w:rPr>
              <w:t>4</w:t>
            </w:r>
            <w:r>
              <w:rPr>
                <w:rFonts w:eastAsia="宋体"/>
                <w:b/>
                <w:bCs/>
                <w:sz w:val="21"/>
                <w:szCs w:val="21"/>
              </w:rPr>
              <w:t>：</w:t>
            </w:r>
            <w:r>
              <w:rPr>
                <w:rFonts w:eastAsia="宋体"/>
                <w:sz w:val="21"/>
                <w:szCs w:val="21"/>
              </w:rPr>
              <w:t>厂内运输不当发生</w:t>
            </w:r>
            <w:r>
              <w:rPr>
                <w:rFonts w:hint="eastAsia" w:eastAsia="宋体"/>
                <w:sz w:val="21"/>
                <w:szCs w:val="21"/>
                <w:lang w:val="en-US" w:eastAsia="zh-CN"/>
              </w:rPr>
              <w:t>润滑油等</w:t>
            </w:r>
            <w:r>
              <w:rPr>
                <w:rFonts w:eastAsia="宋体"/>
                <w:sz w:val="21"/>
                <w:szCs w:val="21"/>
              </w:rPr>
              <w:t>泄漏流入雨水系统造成厂界外水体污染。</w:t>
            </w:r>
          </w:p>
          <w:p w14:paraId="1F3CF8D3">
            <w:pPr>
              <w:bidi w:val="0"/>
              <w:rPr>
                <w:rFonts w:eastAsia="宋体"/>
                <w:szCs w:val="21"/>
              </w:rPr>
            </w:pPr>
            <w:r>
              <w:rPr>
                <w:rFonts w:hint="default" w:ascii="Times New Roman" w:hAnsi="Times New Roman" w:eastAsia="宋体" w:cs="Times New Roman"/>
                <w:b/>
                <w:bCs/>
                <w:sz w:val="21"/>
                <w:szCs w:val="21"/>
              </w:rPr>
              <w:t>情景1</w:t>
            </w:r>
            <w:r>
              <w:rPr>
                <w:rFonts w:hint="eastAsia" w:eastAsia="宋体" w:cs="Times New Roman"/>
                <w:b/>
                <w:bCs/>
                <w:sz w:val="21"/>
                <w:szCs w:val="21"/>
                <w:lang w:val="en-US" w:eastAsia="zh-CN"/>
              </w:rPr>
              <w:t>5</w:t>
            </w:r>
            <w:r>
              <w:rPr>
                <w:rFonts w:hint="default" w:ascii="Times New Roman" w:hAnsi="Times New Roman" w:eastAsia="宋体" w:cs="Times New Roman"/>
                <w:b/>
                <w:bCs/>
                <w:sz w:val="21"/>
                <w:szCs w:val="21"/>
              </w:rPr>
              <w:t>：</w:t>
            </w:r>
            <w:r>
              <w:rPr>
                <w:rFonts w:hint="default" w:ascii="Times New Roman" w:hAnsi="Times New Roman" w:eastAsia="宋体" w:cs="Times New Roman"/>
                <w:sz w:val="21"/>
                <w:szCs w:val="21"/>
              </w:rPr>
              <w:t>公司产生的危险废物采用汽运方式进行运输。在运输的过程中，会因包装材料损坏、汽车翻车等原因，造成危废洒落、泄漏，对大气环境、水环境、土壤环境造成一定的影响。</w:t>
            </w:r>
          </w:p>
        </w:tc>
      </w:tr>
      <w:tr w14:paraId="5AECC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576" w:hRule="atLeast"/>
          <w:jc w:val="center"/>
        </w:trPr>
        <w:tc>
          <w:tcPr>
            <w:tcW w:w="854" w:type="dxa"/>
            <w:tcBorders>
              <w:tl2br w:val="nil"/>
              <w:tr2bl w:val="nil"/>
            </w:tcBorders>
            <w:vAlign w:val="center"/>
          </w:tcPr>
          <w:p w14:paraId="60F934C0">
            <w:pPr>
              <w:adjustRightInd w:val="0"/>
              <w:snapToGrid w:val="0"/>
              <w:jc w:val="center"/>
              <w:rPr>
                <w:rFonts w:eastAsia="宋体"/>
                <w:color w:val="000000"/>
                <w:sz w:val="21"/>
                <w:szCs w:val="21"/>
              </w:rPr>
            </w:pPr>
            <w:r>
              <w:rPr>
                <w:rFonts w:eastAsia="宋体"/>
                <w:color w:val="000000"/>
                <w:sz w:val="21"/>
                <w:szCs w:val="21"/>
              </w:rPr>
              <w:t>事件8</w:t>
            </w:r>
          </w:p>
        </w:tc>
        <w:tc>
          <w:tcPr>
            <w:tcW w:w="2156" w:type="dxa"/>
            <w:tcBorders>
              <w:tl2br w:val="nil"/>
              <w:tr2bl w:val="nil"/>
            </w:tcBorders>
            <w:vAlign w:val="center"/>
          </w:tcPr>
          <w:p w14:paraId="4A582C20">
            <w:pPr>
              <w:adjustRightInd w:val="0"/>
              <w:snapToGrid w:val="0"/>
              <w:jc w:val="center"/>
              <w:rPr>
                <w:rFonts w:eastAsia="宋体"/>
                <w:color w:val="000000"/>
                <w:sz w:val="21"/>
                <w:szCs w:val="21"/>
              </w:rPr>
            </w:pPr>
            <w:r>
              <w:rPr>
                <w:rFonts w:eastAsia="宋体"/>
                <w:color w:val="000000"/>
                <w:sz w:val="21"/>
                <w:szCs w:val="21"/>
              </w:rPr>
              <w:t>各种自然灾害、极端天气或不利气象条件</w:t>
            </w:r>
          </w:p>
        </w:tc>
        <w:tc>
          <w:tcPr>
            <w:tcW w:w="6089" w:type="dxa"/>
            <w:tcBorders>
              <w:tl2br w:val="nil"/>
              <w:tr2bl w:val="nil"/>
            </w:tcBorders>
            <w:vAlign w:val="center"/>
          </w:tcPr>
          <w:p w14:paraId="504355CC">
            <w:pPr>
              <w:adjustRightInd w:val="0"/>
              <w:snapToGrid w:val="0"/>
              <w:jc w:val="left"/>
              <w:rPr>
                <w:rFonts w:eastAsia="宋体"/>
                <w:color w:val="000000"/>
                <w:sz w:val="21"/>
                <w:szCs w:val="21"/>
              </w:rPr>
            </w:pPr>
            <w:r>
              <w:rPr>
                <w:rFonts w:eastAsia="宋体"/>
                <w:b/>
                <w:sz w:val="21"/>
                <w:szCs w:val="21"/>
              </w:rPr>
              <w:t>情景1</w:t>
            </w:r>
            <w:r>
              <w:rPr>
                <w:rFonts w:hint="eastAsia" w:eastAsia="宋体"/>
                <w:b/>
                <w:sz w:val="21"/>
                <w:szCs w:val="21"/>
                <w:lang w:val="en-US" w:eastAsia="zh-CN"/>
              </w:rPr>
              <w:t>6</w:t>
            </w:r>
            <w:r>
              <w:rPr>
                <w:rFonts w:eastAsia="宋体"/>
                <w:b/>
                <w:sz w:val="21"/>
                <w:szCs w:val="21"/>
              </w:rPr>
              <w:t>：</w:t>
            </w:r>
            <w:r>
              <w:rPr>
                <w:rFonts w:eastAsia="宋体"/>
                <w:sz w:val="21"/>
                <w:szCs w:val="21"/>
              </w:rPr>
              <w:t>由于自然灾害、极端天气或不利气象条件的原因可能会导致污水预处理未达标排放，工艺废气处理系统发生损坏、生产装置等发生破裂、倒塌等事故，厂区物料、产品的泄漏等，会对周边环境造成污染或引发火灾、爆炸等突发环境事件</w:t>
            </w:r>
            <w:r>
              <w:rPr>
                <w:rFonts w:eastAsia="宋体"/>
                <w:bCs/>
                <w:sz w:val="21"/>
                <w:szCs w:val="21"/>
              </w:rPr>
              <w:t>。</w:t>
            </w:r>
          </w:p>
        </w:tc>
      </w:tr>
      <w:tr w14:paraId="57071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22" w:hRule="atLeast"/>
          <w:jc w:val="center"/>
        </w:trPr>
        <w:tc>
          <w:tcPr>
            <w:tcW w:w="854" w:type="dxa"/>
            <w:tcBorders>
              <w:tl2br w:val="nil"/>
              <w:tr2bl w:val="nil"/>
            </w:tcBorders>
            <w:vAlign w:val="center"/>
          </w:tcPr>
          <w:p w14:paraId="26182F71">
            <w:pPr>
              <w:adjustRightInd w:val="0"/>
              <w:snapToGrid w:val="0"/>
              <w:jc w:val="center"/>
              <w:rPr>
                <w:rFonts w:eastAsia="宋体"/>
                <w:color w:val="000000"/>
                <w:sz w:val="21"/>
                <w:szCs w:val="21"/>
              </w:rPr>
            </w:pPr>
            <w:r>
              <w:rPr>
                <w:rFonts w:eastAsia="宋体"/>
                <w:color w:val="000000"/>
                <w:sz w:val="21"/>
                <w:szCs w:val="21"/>
              </w:rPr>
              <w:t>事件9</w:t>
            </w:r>
          </w:p>
        </w:tc>
        <w:tc>
          <w:tcPr>
            <w:tcW w:w="2156" w:type="dxa"/>
            <w:tcBorders>
              <w:tl2br w:val="nil"/>
              <w:tr2bl w:val="nil"/>
            </w:tcBorders>
            <w:vAlign w:val="center"/>
          </w:tcPr>
          <w:p w14:paraId="6EC8D762">
            <w:pPr>
              <w:adjustRightInd w:val="0"/>
              <w:snapToGrid w:val="0"/>
              <w:jc w:val="center"/>
              <w:rPr>
                <w:rFonts w:eastAsia="宋体"/>
                <w:color w:val="000000"/>
                <w:sz w:val="21"/>
                <w:szCs w:val="21"/>
              </w:rPr>
            </w:pPr>
            <w:r>
              <w:rPr>
                <w:rFonts w:eastAsia="宋体"/>
                <w:color w:val="000000"/>
                <w:sz w:val="21"/>
                <w:szCs w:val="21"/>
              </w:rPr>
              <w:t>其他可能的情景</w:t>
            </w:r>
          </w:p>
        </w:tc>
        <w:tc>
          <w:tcPr>
            <w:tcW w:w="6089" w:type="dxa"/>
            <w:tcBorders>
              <w:tl2br w:val="nil"/>
              <w:tr2bl w:val="nil"/>
            </w:tcBorders>
            <w:vAlign w:val="center"/>
          </w:tcPr>
          <w:p w14:paraId="2C0D8B2E">
            <w:pPr>
              <w:adjustRightInd w:val="0"/>
              <w:snapToGrid w:val="0"/>
              <w:jc w:val="left"/>
              <w:rPr>
                <w:rFonts w:eastAsia="宋体"/>
                <w:color w:val="000000"/>
                <w:sz w:val="21"/>
                <w:szCs w:val="21"/>
              </w:rPr>
            </w:pPr>
            <w:r>
              <w:rPr>
                <w:rFonts w:eastAsia="宋体"/>
                <w:color w:val="000000"/>
                <w:sz w:val="21"/>
                <w:szCs w:val="21"/>
              </w:rPr>
              <w:t>/</w:t>
            </w:r>
          </w:p>
        </w:tc>
      </w:tr>
      <w:tr w14:paraId="73826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22" w:hRule="atLeast"/>
          <w:jc w:val="center"/>
        </w:trPr>
        <w:tc>
          <w:tcPr>
            <w:tcW w:w="854" w:type="dxa"/>
            <w:tcBorders>
              <w:tl2br w:val="nil"/>
              <w:tr2bl w:val="nil"/>
            </w:tcBorders>
            <w:vAlign w:val="center"/>
          </w:tcPr>
          <w:p w14:paraId="6A0B855A">
            <w:pPr>
              <w:adjustRightInd w:val="0"/>
              <w:snapToGrid w:val="0"/>
              <w:jc w:val="center"/>
              <w:rPr>
                <w:rFonts w:hint="default" w:eastAsia="宋体"/>
                <w:color w:val="000000"/>
                <w:sz w:val="21"/>
                <w:szCs w:val="21"/>
                <w:lang w:val="en-US" w:eastAsia="zh-CN"/>
              </w:rPr>
            </w:pPr>
            <w:bookmarkStart w:id="151" w:name="_Toc496887125"/>
            <w:bookmarkStart w:id="152" w:name="_Toc510092950"/>
            <w:bookmarkStart w:id="153" w:name="_Toc29962"/>
            <w:bookmarkStart w:id="154" w:name="_Toc23512"/>
            <w:bookmarkStart w:id="155" w:name="_Toc7356"/>
            <w:bookmarkStart w:id="156" w:name="_Toc402776212"/>
            <w:r>
              <w:rPr>
                <w:rFonts w:hint="eastAsia" w:eastAsia="宋体"/>
                <w:color w:val="000000"/>
                <w:sz w:val="21"/>
                <w:szCs w:val="21"/>
                <w:lang w:val="en-US" w:eastAsia="zh-CN"/>
              </w:rPr>
              <w:t>事件10</w:t>
            </w:r>
          </w:p>
        </w:tc>
        <w:tc>
          <w:tcPr>
            <w:tcW w:w="2156" w:type="dxa"/>
            <w:tcBorders>
              <w:tl2br w:val="nil"/>
              <w:tr2bl w:val="nil"/>
            </w:tcBorders>
            <w:vAlign w:val="center"/>
          </w:tcPr>
          <w:p w14:paraId="7E88CF23">
            <w:pPr>
              <w:adjustRightInd w:val="0"/>
              <w:snapToGrid w:val="0"/>
              <w:jc w:val="center"/>
              <w:rPr>
                <w:rFonts w:hint="default" w:eastAsia="宋体"/>
                <w:color w:val="000000"/>
                <w:sz w:val="21"/>
                <w:szCs w:val="21"/>
                <w:lang w:val="en-US" w:eastAsia="zh-CN"/>
              </w:rPr>
            </w:pPr>
            <w:r>
              <w:rPr>
                <w:rFonts w:hint="eastAsia" w:eastAsia="宋体"/>
                <w:color w:val="000000"/>
                <w:sz w:val="21"/>
                <w:szCs w:val="21"/>
                <w:lang w:val="en-US" w:eastAsia="zh-CN"/>
              </w:rPr>
              <w:t>危废暂存点</w:t>
            </w:r>
          </w:p>
        </w:tc>
        <w:tc>
          <w:tcPr>
            <w:tcW w:w="6089" w:type="dxa"/>
            <w:tcBorders>
              <w:tl2br w:val="nil"/>
              <w:tr2bl w:val="nil"/>
            </w:tcBorders>
            <w:vAlign w:val="center"/>
          </w:tcPr>
          <w:p w14:paraId="48FB1E65">
            <w:pPr>
              <w:adjustRightInd w:val="0"/>
              <w:snapToGrid w:val="0"/>
              <w:jc w:val="left"/>
              <w:rPr>
                <w:rFonts w:eastAsia="宋体"/>
                <w:color w:val="000000"/>
                <w:sz w:val="21"/>
                <w:szCs w:val="21"/>
              </w:rPr>
            </w:pPr>
            <w:r>
              <w:rPr>
                <w:rFonts w:eastAsia="宋体"/>
                <w:b/>
                <w:sz w:val="21"/>
                <w:szCs w:val="21"/>
              </w:rPr>
              <w:t>情景</w:t>
            </w:r>
            <w:r>
              <w:rPr>
                <w:rFonts w:hint="eastAsia" w:eastAsia="宋体"/>
                <w:b/>
                <w:sz w:val="21"/>
                <w:szCs w:val="21"/>
                <w:lang w:val="en-US" w:eastAsia="zh-CN"/>
              </w:rPr>
              <w:t>17</w:t>
            </w:r>
            <w:r>
              <w:rPr>
                <w:rFonts w:eastAsia="宋体"/>
                <w:b/>
                <w:sz w:val="21"/>
                <w:szCs w:val="21"/>
              </w:rPr>
              <w:t>：</w:t>
            </w:r>
            <w:r>
              <w:rPr>
                <w:rFonts w:hint="eastAsia" w:eastAsia="宋体"/>
                <w:color w:val="000000"/>
                <w:sz w:val="21"/>
                <w:szCs w:val="21"/>
              </w:rPr>
              <w:t>危废暂存点有机溶剂泄漏·、火灾引发次生/伴生·C0·污染物排放</w:t>
            </w:r>
          </w:p>
        </w:tc>
      </w:tr>
    </w:tbl>
    <w:p w14:paraId="4D922085">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4.2突发环境事件情景源强分析</w:t>
      </w:r>
      <w:bookmarkEnd w:id="151"/>
      <w:bookmarkEnd w:id="152"/>
      <w:bookmarkEnd w:id="153"/>
      <w:bookmarkEnd w:id="154"/>
      <w:bookmarkEnd w:id="155"/>
      <w:bookmarkEnd w:id="156"/>
    </w:p>
    <w:p w14:paraId="04F4B8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表4-2中假定的9种事件中，事件6、7、8、9，如停电、断水、停气、通讯或运输系统故障、各种自然灾害、极端天气或不利气象条件等引起的突发环境事件虽偶有发生，但发生的情景具有特殊性，难以定性定量设定分析，且后续的源强计算难以操作，因此本次评价主要针对事件1、2、3、4、5进行分析。</w:t>
      </w:r>
    </w:p>
    <w:p w14:paraId="6062F6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事件1，考虑</w:t>
      </w:r>
      <w:r>
        <w:rPr>
          <w:rFonts w:hint="default" w:ascii="Times New Roman" w:hAnsi="Times New Roman" w:eastAsia="宋体" w:cs="Times New Roman"/>
          <w:color w:val="000000" w:themeColor="text1"/>
          <w:lang w:val="en-US" w:eastAsia="zh-CN"/>
          <w14:textFill>
            <w14:solidFill>
              <w14:schemeClr w14:val="tx1"/>
            </w14:solidFill>
          </w14:textFill>
        </w:rPr>
        <w:t>因管理不当，造成</w:t>
      </w:r>
      <w:r>
        <w:rPr>
          <w:rFonts w:hint="eastAsia" w:eastAsia="宋体" w:cs="Times New Roman"/>
          <w:color w:val="000000" w:themeColor="text1"/>
          <w:lang w:val="en-US" w:eastAsia="zh-CN"/>
          <w14:textFill>
            <w14:solidFill>
              <w14:schemeClr w14:val="tx1"/>
            </w14:solidFill>
          </w14:textFill>
        </w:rPr>
        <w:t>仓库、危废仓库</w:t>
      </w:r>
      <w:r>
        <w:rPr>
          <w:rFonts w:hint="default" w:ascii="Times New Roman" w:hAnsi="Times New Roman" w:eastAsia="宋体" w:cs="Times New Roman"/>
          <w:color w:val="000000" w:themeColor="text1"/>
          <w:lang w:val="en-US" w:eastAsia="zh-CN"/>
          <w14:textFill>
            <w14:solidFill>
              <w14:schemeClr w14:val="tx1"/>
            </w14:solidFill>
          </w14:textFill>
        </w:rPr>
        <w:t>等风险源发生火灾、爆炸、泄漏事故及可能引起的次生、衍生厂外环境污染及人员伤亡事故。</w:t>
      </w:r>
    </w:p>
    <w:p w14:paraId="113D83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事件</w:t>
      </w:r>
      <w:r>
        <w:rPr>
          <w:rFonts w:hint="default" w:ascii="Times New Roman" w:hAnsi="Times New Roman" w:eastAsia="宋体" w:cs="Times New Roman"/>
          <w:color w:val="000000" w:themeColor="text1"/>
          <w:lang w:val="en-US" w:eastAsia="zh-CN"/>
          <w14:textFill>
            <w14:solidFill>
              <w14:schemeClr w14:val="tx1"/>
            </w14:solidFill>
          </w14:textFill>
        </w:rPr>
        <w:t>2、3、4、5</w:t>
      </w:r>
      <w:r>
        <w:rPr>
          <w:rFonts w:hint="default" w:ascii="Times New Roman" w:hAnsi="Times New Roman" w:eastAsia="宋体" w:cs="Times New Roman"/>
          <w:color w:val="000000" w:themeColor="text1"/>
          <w14:textFill>
            <w14:solidFill>
              <w14:schemeClr w14:val="tx1"/>
            </w14:solidFill>
          </w14:textFill>
        </w:rPr>
        <w:t>根据分析均可归为</w:t>
      </w:r>
      <w:r>
        <w:rPr>
          <w:rFonts w:hint="default" w:ascii="Times New Roman" w:hAnsi="Times New Roman" w:eastAsia="宋体" w:cs="Times New Roman"/>
          <w:color w:val="000000" w:themeColor="text1"/>
          <w:lang w:val="en-US" w:eastAsia="zh-CN"/>
          <w14:textFill>
            <w14:solidFill>
              <w14:schemeClr w14:val="tx1"/>
            </w14:solidFill>
          </w14:textFill>
        </w:rPr>
        <w:t>公司废</w:t>
      </w:r>
      <w:r>
        <w:rPr>
          <w:rFonts w:hint="default" w:ascii="Times New Roman" w:hAnsi="Times New Roman" w:eastAsia="宋体" w:cs="Times New Roman"/>
          <w:color w:val="000000" w:themeColor="text1"/>
          <w14:textFill>
            <w14:solidFill>
              <w14:schemeClr w14:val="tx1"/>
            </w14:solidFill>
          </w14:textFill>
        </w:rPr>
        <w:t>水、废气超标排放等原因造成对外环境有影响。</w:t>
      </w:r>
    </w:p>
    <w:p w14:paraId="4F1BA1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综上，根据</w:t>
      </w:r>
      <w:r>
        <w:rPr>
          <w:rFonts w:hint="default" w:ascii="Times New Roman" w:hAnsi="Times New Roman" w:eastAsia="宋体" w:cs="Times New Roman"/>
          <w:color w:val="000000" w:themeColor="text1"/>
          <w:lang w:val="en-US" w:eastAsia="zh-CN"/>
          <w14:textFill>
            <w14:solidFill>
              <w14:schemeClr w14:val="tx1"/>
            </w14:solidFill>
          </w14:textFill>
        </w:rPr>
        <w:t>公司</w:t>
      </w:r>
      <w:r>
        <w:rPr>
          <w:rFonts w:hint="default" w:ascii="Times New Roman" w:hAnsi="Times New Roman" w:eastAsia="宋体" w:cs="Times New Roman"/>
          <w:color w:val="000000" w:themeColor="text1"/>
          <w14:textFill>
            <w14:solidFill>
              <w14:schemeClr w14:val="tx1"/>
            </w14:solidFill>
          </w14:textFill>
        </w:rPr>
        <w:t>特点分析，本次报告重点针对分析影响较大的事件1、</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3、4、5的事故源强进行重点分析，其中1为</w:t>
      </w:r>
      <w:r>
        <w:rPr>
          <w:rFonts w:hint="default" w:ascii="Times New Roman" w:hAnsi="Times New Roman" w:eastAsia="宋体" w:cs="Times New Roman"/>
          <w:color w:val="000000" w:themeColor="text1"/>
          <w:lang w:val="en-US" w:eastAsia="zh-CN"/>
          <w14:textFill>
            <w14:solidFill>
              <w14:schemeClr w14:val="tx1"/>
            </w14:solidFill>
          </w14:textFill>
        </w:rPr>
        <w:t>火灾事件</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3、4、5为废水超标排放事件、废气超标排放事件。</w:t>
      </w:r>
    </w:p>
    <w:p w14:paraId="3ABB6785">
      <w:pPr>
        <w:pStyle w:val="5"/>
        <w:tabs>
          <w:tab w:val="left" w:pos="3491"/>
        </w:tabs>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57" w:name="_Toc26157"/>
      <w:bookmarkStart w:id="158" w:name="_Toc27354"/>
      <w:bookmarkStart w:id="159" w:name="_Toc30597"/>
      <w:r>
        <w:rPr>
          <w:rFonts w:hint="default" w:ascii="Times New Roman" w:hAnsi="Times New Roman" w:eastAsia="宋体" w:cs="Times New Roman"/>
          <w:color w:val="000000" w:themeColor="text1"/>
          <w14:textFill>
            <w14:solidFill>
              <w14:schemeClr w14:val="tx1"/>
            </w14:solidFill>
          </w14:textFill>
        </w:rPr>
        <w:t>4.2.1事件情景1</w:t>
      </w:r>
      <w:bookmarkEnd w:id="157"/>
      <w:bookmarkEnd w:id="158"/>
      <w:bookmarkEnd w:id="159"/>
    </w:p>
    <w:p w14:paraId="033934A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eastAsia="宋体" w:cs="Times New Roman"/>
          <w:color w:val="000000"/>
          <w:sz w:val="24"/>
          <w:szCs w:val="24"/>
        </w:rPr>
      </w:pPr>
      <w:bookmarkStart w:id="160" w:name="_Toc475474908"/>
      <w:bookmarkStart w:id="161" w:name="_Toc10365"/>
      <w:r>
        <w:rPr>
          <w:rFonts w:hint="default" w:ascii="Times New Roman" w:hAnsi="Times New Roman" w:eastAsia="宋体" w:cs="Times New Roman"/>
          <w:color w:val="000000" w:themeColor="text1"/>
          <w:sz w:val="24"/>
          <w:szCs w:val="24"/>
          <w14:textFill>
            <w14:solidFill>
              <w14:schemeClr w14:val="tx1"/>
            </w14:solidFill>
          </w14:textFill>
        </w:rPr>
        <w:t>根据现场调查，在生产过程中，可能因</w:t>
      </w:r>
      <w:r>
        <w:rPr>
          <w:rFonts w:hint="default" w:ascii="Times New Roman" w:hAnsi="Times New Roman" w:eastAsia="宋体" w:cs="Times New Roman"/>
          <w:color w:val="000000"/>
          <w:sz w:val="24"/>
          <w:szCs w:val="24"/>
        </w:rPr>
        <w:t>人员工作</w:t>
      </w:r>
      <w:r>
        <w:rPr>
          <w:rFonts w:hint="eastAsia" w:eastAsia="宋体" w:cs="Times New Roman"/>
          <w:color w:val="000000"/>
          <w:sz w:val="24"/>
          <w:szCs w:val="24"/>
          <w:lang w:eastAsia="zh-CN"/>
        </w:rPr>
        <w:t>时</w:t>
      </w:r>
      <w:r>
        <w:rPr>
          <w:rFonts w:hint="default" w:ascii="Times New Roman" w:hAnsi="Times New Roman" w:eastAsia="宋体" w:cs="Times New Roman"/>
          <w:color w:val="000000"/>
          <w:sz w:val="24"/>
          <w:szCs w:val="24"/>
        </w:rPr>
        <w:t>麻痹大意导致火灾事故的</w:t>
      </w:r>
      <w:r>
        <w:rPr>
          <w:rFonts w:hint="eastAsia" w:eastAsia="宋体" w:cs="Times New Roman"/>
          <w:color w:val="000000"/>
          <w:sz w:val="24"/>
          <w:szCs w:val="24"/>
          <w:lang w:eastAsia="zh-CN"/>
        </w:rPr>
        <w:t>发</w:t>
      </w:r>
      <w:r>
        <w:rPr>
          <w:rFonts w:hint="default" w:ascii="Times New Roman" w:hAnsi="Times New Roman" w:eastAsia="宋体" w:cs="Times New Roman"/>
          <w:color w:val="000000"/>
          <w:sz w:val="24"/>
          <w:szCs w:val="24"/>
        </w:rPr>
        <w:t>生。公司</w:t>
      </w:r>
      <w:bookmarkEnd w:id="160"/>
      <w:r>
        <w:rPr>
          <w:rFonts w:hint="default" w:ascii="Times New Roman" w:hAnsi="Times New Roman" w:eastAsia="宋体" w:cs="Times New Roman"/>
          <w:color w:val="000000"/>
          <w:sz w:val="24"/>
          <w:szCs w:val="24"/>
        </w:rPr>
        <w:t>原料及成品最大存储量为</w:t>
      </w:r>
      <w:r>
        <w:rPr>
          <w:rFonts w:hint="eastAsia" w:eastAsia="宋体" w:cs="Times New Roman"/>
          <w:color w:val="000000"/>
          <w:sz w:val="24"/>
          <w:szCs w:val="24"/>
          <w:lang w:val="en-US" w:eastAsia="zh-CN"/>
        </w:rPr>
        <w:t>3150</w:t>
      </w:r>
      <w:r>
        <w:rPr>
          <w:rFonts w:hint="default" w:ascii="Times New Roman" w:hAnsi="Times New Roman" w:eastAsia="宋体" w:cs="Times New Roman"/>
          <w:color w:val="000000"/>
          <w:sz w:val="24"/>
          <w:szCs w:val="24"/>
        </w:rPr>
        <w:t>吨，考虑到</w:t>
      </w:r>
      <w:r>
        <w:rPr>
          <w:rFonts w:hint="eastAsia" w:eastAsia="宋体" w:cs="Times New Roman"/>
          <w:color w:val="000000"/>
          <w:sz w:val="24"/>
          <w:szCs w:val="24"/>
          <w:lang w:val="en-US" w:eastAsia="zh-CN"/>
        </w:rPr>
        <w:t>原料</w:t>
      </w:r>
      <w:r>
        <w:rPr>
          <w:rFonts w:hint="default" w:ascii="Times New Roman" w:hAnsi="Times New Roman" w:eastAsia="宋体" w:cs="Times New Roman"/>
          <w:color w:val="000000"/>
          <w:sz w:val="24"/>
          <w:szCs w:val="24"/>
        </w:rPr>
        <w:t>主要成分为</w:t>
      </w:r>
      <w:r>
        <w:rPr>
          <w:rFonts w:hint="eastAsia" w:eastAsia="宋体" w:cs="Times New Roman"/>
          <w:color w:val="000000"/>
          <w:sz w:val="24"/>
          <w:szCs w:val="24"/>
          <w:lang w:val="en-US" w:eastAsia="zh-CN"/>
        </w:rPr>
        <w:t>废木条等主要成分为有机物，</w:t>
      </w:r>
      <w:r>
        <w:rPr>
          <w:rFonts w:hint="default" w:ascii="Times New Roman" w:hAnsi="Times New Roman" w:eastAsia="宋体" w:cs="Times New Roman"/>
          <w:color w:val="000000"/>
          <w:sz w:val="24"/>
          <w:szCs w:val="24"/>
        </w:rPr>
        <w:t>其主要构成元素为碳氢化合物，在燃烧时的主要化学反应为：</w:t>
      </w:r>
    </w:p>
    <w:p w14:paraId="3A231153">
      <w:pPr>
        <w:pStyle w:val="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C</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—CO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O</w:t>
      </w:r>
    </w:p>
    <w:p w14:paraId="692DFACA">
      <w:pPr>
        <w:pStyle w:val="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C</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—CO+H</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O</w:t>
      </w:r>
    </w:p>
    <w:p w14:paraId="78E98724">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假设燃烧一半时，火被扑灭即燃烧量为</w:t>
      </w:r>
      <w:r>
        <w:rPr>
          <w:rFonts w:hint="eastAsia" w:eastAsia="宋体" w:cs="Times New Roman"/>
          <w:color w:val="000000"/>
          <w:sz w:val="24"/>
          <w:szCs w:val="24"/>
          <w:lang w:val="en-US" w:eastAsia="zh-CN"/>
        </w:rPr>
        <w:t>80</w:t>
      </w:r>
      <w:r>
        <w:rPr>
          <w:rFonts w:hint="default" w:ascii="Times New Roman" w:hAnsi="Times New Roman" w:eastAsia="宋体" w:cs="Times New Roman"/>
          <w:color w:val="000000"/>
          <w:sz w:val="24"/>
          <w:szCs w:val="24"/>
        </w:rPr>
        <w:t>吨。由于火灾燃烧时为不完全燃烧，</w:t>
      </w:r>
      <w:r>
        <w:rPr>
          <w:rFonts w:hint="eastAsia" w:eastAsia="宋体" w:cs="Times New Roman"/>
          <w:color w:val="000000"/>
          <w:sz w:val="24"/>
          <w:szCs w:val="24"/>
          <w:lang w:val="en-US" w:eastAsia="zh-CN"/>
        </w:rPr>
        <w:t>海绵胶、热熔胶热分解时会产生可燃有毒气体</w:t>
      </w:r>
      <w:r>
        <w:rPr>
          <w:rFonts w:hint="default" w:ascii="Times New Roman" w:hAnsi="Times New Roman" w:eastAsia="宋体" w:cs="Times New Roman"/>
          <w:color w:val="000000"/>
          <w:sz w:val="24"/>
          <w:szCs w:val="24"/>
        </w:rPr>
        <w:t>，本评价在考虑污染物的时候主要考虑CO。参考类似项目，化学不完全燃烧值取</w:t>
      </w:r>
      <w:r>
        <w:rPr>
          <w:rFonts w:hint="eastAsia" w:eastAsia="宋体" w:cs="Times New Roman"/>
          <w:color w:val="000000"/>
          <w:sz w:val="24"/>
          <w:szCs w:val="24"/>
          <w:lang w:val="en-US" w:eastAsia="zh-CN"/>
        </w:rPr>
        <w:t>5</w:t>
      </w:r>
      <w:r>
        <w:rPr>
          <w:rFonts w:hint="default" w:ascii="Times New Roman" w:hAnsi="Times New Roman" w:eastAsia="宋体" w:cs="Times New Roman"/>
          <w:color w:val="000000"/>
          <w:sz w:val="24"/>
          <w:szCs w:val="24"/>
        </w:rPr>
        <w:t>%。源强计算参照《建设项目环境风险评价技术导则》</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征求意见稿</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推荐的公式计算：</w:t>
      </w:r>
    </w:p>
    <w:p w14:paraId="0F6C86D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燃料燃烧产生的CO量可按下式进行简单估算：</w:t>
      </w:r>
    </w:p>
    <w:p w14:paraId="4E68AE77">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t>G</w:t>
      </w:r>
      <w:r>
        <w:rPr>
          <w:rFonts w:hint="default" w:ascii="Times New Roman" w:hAnsi="Times New Roman" w:eastAsia="宋体" w:cs="Times New Roman"/>
          <w:color w:val="000000"/>
          <w:sz w:val="24"/>
          <w:szCs w:val="24"/>
          <w:vertAlign w:val="subscript"/>
        </w:rPr>
        <w:t>CO</w:t>
      </w:r>
      <w:r>
        <w:rPr>
          <w:rFonts w:hint="default" w:ascii="Times New Roman" w:hAnsi="Times New Roman" w:eastAsia="宋体" w:cs="Times New Roman"/>
          <w:color w:val="000000"/>
          <w:sz w:val="24"/>
          <w:szCs w:val="24"/>
        </w:rPr>
        <w:t>=2330*q*C*</w:t>
      </w:r>
      <w:r>
        <w:rPr>
          <w:rFonts w:hint="default" w:ascii="Times New Roman" w:hAnsi="Times New Roman" w:eastAsia="宋体" w:cs="Times New Roman"/>
          <w:color w:val="000000"/>
          <w:sz w:val="24"/>
          <w:szCs w:val="24"/>
          <w:lang w:val="en-US" w:eastAsia="zh-CN"/>
        </w:rPr>
        <w:t>Q</w:t>
      </w:r>
    </w:p>
    <w:p w14:paraId="60B3FD2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color w:val="000000"/>
          <w:sz w:val="24"/>
          <w:szCs w:val="24"/>
          <w:lang w:eastAsia="zh-CN"/>
        </w:rPr>
      </w:pPr>
      <w:r>
        <w:rPr>
          <w:rFonts w:hint="default" w:ascii="Times New Roman" w:hAnsi="Times New Roman" w:eastAsia="宋体" w:cs="Times New Roman"/>
          <w:color w:val="000000"/>
          <w:sz w:val="24"/>
          <w:szCs w:val="24"/>
        </w:rPr>
        <w:t>式中</w:t>
      </w:r>
      <w:r>
        <w:rPr>
          <w:rFonts w:hint="eastAsia" w:eastAsia="宋体" w:cs="Times New Roman"/>
          <w:color w:val="000000"/>
          <w:sz w:val="24"/>
          <w:szCs w:val="24"/>
          <w:lang w:eastAsia="zh-CN"/>
        </w:rPr>
        <w:t>：</w:t>
      </w:r>
    </w:p>
    <w:p w14:paraId="0751AD72">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G</w:t>
      </w:r>
      <w:r>
        <w:rPr>
          <w:rFonts w:hint="default" w:ascii="Times New Roman" w:hAnsi="Times New Roman" w:eastAsia="宋体" w:cs="Times New Roman"/>
          <w:color w:val="000000"/>
          <w:sz w:val="24"/>
          <w:szCs w:val="24"/>
          <w:vertAlign w:val="subscript"/>
        </w:rPr>
        <w:t>CO</w:t>
      </w:r>
      <w:r>
        <w:rPr>
          <w:rFonts w:hint="default" w:ascii="Times New Roman" w:hAnsi="Times New Roman" w:eastAsia="宋体" w:cs="Times New Roman"/>
          <w:color w:val="000000"/>
          <w:sz w:val="24"/>
          <w:szCs w:val="24"/>
        </w:rPr>
        <w:t>—CO的产生量</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kg</w:t>
      </w:r>
      <w:r>
        <w:rPr>
          <w:rFonts w:hint="default" w:ascii="Times New Roman" w:hAnsi="Times New Roman" w:eastAsia="宋体" w:cs="Times New Roman"/>
          <w:color w:val="000000"/>
          <w:sz w:val="24"/>
          <w:szCs w:val="24"/>
          <w:lang w:val="en-US" w:eastAsia="zh-CN"/>
        </w:rPr>
        <w:t>/s</w:t>
      </w:r>
      <w:r>
        <w:rPr>
          <w:rFonts w:hint="default" w:ascii="Times New Roman" w:hAnsi="Times New Roman" w:eastAsia="宋体" w:cs="Times New Roman"/>
          <w:color w:val="000000"/>
          <w:sz w:val="24"/>
          <w:szCs w:val="24"/>
        </w:rPr>
        <w:t>;</w:t>
      </w:r>
    </w:p>
    <w:p w14:paraId="49C1EF50">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C—燃料中碳的质量百分比含量</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%)，在此取</w:t>
      </w:r>
      <w:r>
        <w:rPr>
          <w:rFonts w:hint="eastAsia" w:eastAsia="宋体" w:cs="Times New Roman"/>
          <w:color w:val="000000"/>
          <w:sz w:val="24"/>
          <w:szCs w:val="24"/>
          <w:lang w:val="en-US" w:eastAsia="zh-CN"/>
        </w:rPr>
        <w:t>80</w:t>
      </w:r>
      <w:r>
        <w:rPr>
          <w:rFonts w:hint="default" w:ascii="Times New Roman" w:hAnsi="Times New Roman" w:eastAsia="宋体" w:cs="Times New Roman"/>
          <w:color w:val="000000"/>
          <w:sz w:val="24"/>
          <w:szCs w:val="24"/>
        </w:rPr>
        <w:t>%；</w:t>
      </w:r>
    </w:p>
    <w:p w14:paraId="12633895">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q—化学不完全燃烧值</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w:t>
      </w:r>
      <w:r>
        <w:rPr>
          <w:rFonts w:hint="eastAsia" w:eastAsia="宋体" w:cs="Times New Roman"/>
          <w:color w:val="000000"/>
          <w:sz w:val="24"/>
          <w:szCs w:val="24"/>
          <w:lang w:val="en-US" w:eastAsia="zh-CN"/>
        </w:rPr>
        <w:t>，取1.5%～6%，</w:t>
      </w:r>
      <w:r>
        <w:rPr>
          <w:rFonts w:hint="default" w:ascii="Times New Roman" w:hAnsi="Times New Roman" w:eastAsia="宋体" w:cs="Times New Roman"/>
          <w:color w:val="000000"/>
          <w:sz w:val="24"/>
          <w:szCs w:val="24"/>
        </w:rPr>
        <w:t>在此取</w:t>
      </w:r>
      <w:r>
        <w:rPr>
          <w:rFonts w:hint="eastAsia" w:eastAsia="宋体" w:cs="Times New Roman"/>
          <w:color w:val="000000"/>
          <w:sz w:val="24"/>
          <w:szCs w:val="24"/>
          <w:lang w:val="en-US" w:eastAsia="zh-CN"/>
        </w:rPr>
        <w:t>5</w:t>
      </w:r>
      <w:r>
        <w:rPr>
          <w:rFonts w:hint="default" w:ascii="Times New Roman" w:hAnsi="Times New Roman" w:eastAsia="宋体" w:cs="Times New Roman"/>
          <w:color w:val="000000"/>
          <w:sz w:val="24"/>
          <w:szCs w:val="24"/>
        </w:rPr>
        <w:t>%；</w:t>
      </w:r>
    </w:p>
    <w:p w14:paraId="786804F8">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Q</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参与燃烧的物质量，t/s</w:t>
      </w:r>
      <w:r>
        <w:rPr>
          <w:rFonts w:hint="default" w:ascii="Times New Roman" w:hAnsi="Times New Roman" w:eastAsia="宋体" w:cs="Times New Roman"/>
          <w:color w:val="000000"/>
          <w:sz w:val="24"/>
          <w:szCs w:val="24"/>
        </w:rPr>
        <w:t>。</w:t>
      </w:r>
    </w:p>
    <w:p w14:paraId="2F2E3A0C">
      <w:pPr>
        <w:pageBreakBefore w:val="0"/>
        <w:kinsoku/>
        <w:wordWrap/>
        <w:overflowPunct/>
        <w:topLinePunct w:val="0"/>
        <w:bidi w:val="0"/>
        <w:snapToGrid w:val="0"/>
        <w:spacing w:line="500" w:lineRule="exact"/>
        <w:ind w:left="0" w:leftChars="0"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表4</w:t>
      </w:r>
      <w:r>
        <w:rPr>
          <w:rFonts w:hint="eastAsia" w:eastAsia="宋体" w:cs="Times New Roman"/>
          <w:b/>
          <w:bCs/>
          <w:color w:val="000000"/>
          <w:sz w:val="24"/>
          <w:szCs w:val="24"/>
          <w:lang w:val="en-US" w:eastAsia="zh-CN"/>
        </w:rPr>
        <w:t>-3</w:t>
      </w:r>
      <w:r>
        <w:rPr>
          <w:rFonts w:hint="default" w:ascii="Times New Roman" w:hAnsi="Times New Roman" w:eastAsia="宋体" w:cs="Times New Roman"/>
          <w:b/>
          <w:bCs/>
          <w:color w:val="000000"/>
          <w:sz w:val="24"/>
          <w:szCs w:val="24"/>
          <w:highlight w:val="none"/>
        </w:rPr>
        <w:t>燃烧产生的CO产生量</w:t>
      </w:r>
      <w:r>
        <w:rPr>
          <w:rFonts w:hint="default" w:ascii="Times New Roman" w:hAnsi="Times New Roman" w:eastAsia="宋体" w:cs="Times New Roman"/>
          <w:b/>
          <w:bCs/>
          <w:color w:val="000000"/>
          <w:sz w:val="24"/>
          <w:szCs w:val="24"/>
        </w:rPr>
        <w:t>估算表</w:t>
      </w:r>
    </w:p>
    <w:tbl>
      <w:tblPr>
        <w:tblStyle w:val="37"/>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810"/>
        <w:gridCol w:w="878"/>
        <w:gridCol w:w="1601"/>
        <w:gridCol w:w="1704"/>
        <w:gridCol w:w="1187"/>
        <w:gridCol w:w="1515"/>
      </w:tblGrid>
      <w:tr w14:paraId="65C17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21" w:type="dxa"/>
            <w:tcBorders>
              <w:tl2br w:val="nil"/>
              <w:tr2bl w:val="nil"/>
            </w:tcBorders>
            <w:noWrap w:val="0"/>
            <w:vAlign w:val="center"/>
          </w:tcPr>
          <w:p w14:paraId="43E4A953">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物质</w:t>
            </w:r>
          </w:p>
        </w:tc>
        <w:tc>
          <w:tcPr>
            <w:tcW w:w="810" w:type="dxa"/>
            <w:tcBorders>
              <w:tl2br w:val="nil"/>
              <w:tr2bl w:val="nil"/>
            </w:tcBorders>
            <w:noWrap w:val="0"/>
            <w:vAlign w:val="center"/>
          </w:tcPr>
          <w:p w14:paraId="24FA6B7D">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C</w:t>
            </w:r>
          </w:p>
        </w:tc>
        <w:tc>
          <w:tcPr>
            <w:tcW w:w="878" w:type="dxa"/>
            <w:tcBorders>
              <w:tl2br w:val="nil"/>
              <w:tr2bl w:val="nil"/>
            </w:tcBorders>
            <w:noWrap w:val="0"/>
            <w:vAlign w:val="center"/>
          </w:tcPr>
          <w:p w14:paraId="760F112E">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q</w:t>
            </w:r>
          </w:p>
        </w:tc>
        <w:tc>
          <w:tcPr>
            <w:tcW w:w="1601" w:type="dxa"/>
            <w:tcBorders>
              <w:tl2br w:val="nil"/>
              <w:tr2bl w:val="nil"/>
            </w:tcBorders>
            <w:noWrap w:val="0"/>
            <w:vAlign w:val="center"/>
          </w:tcPr>
          <w:p w14:paraId="292A2995">
            <w:pPr>
              <w:spacing w:line="240" w:lineRule="auto"/>
              <w:ind w:firstLine="0" w:firstLineChars="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燃烧量</w:t>
            </w:r>
            <w:r>
              <w:rPr>
                <w:rFonts w:hint="eastAsia"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4" w:type="dxa"/>
            <w:tcBorders>
              <w:tl2br w:val="nil"/>
              <w:tr2bl w:val="nil"/>
            </w:tcBorders>
            <w:noWrap w:val="0"/>
            <w:vAlign w:val="center"/>
          </w:tcPr>
          <w:p w14:paraId="659657FD">
            <w:pPr>
              <w:spacing w:line="240" w:lineRule="auto"/>
              <w:ind w:firstLine="0" w:firstLineChars="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燃烧时间</w:t>
            </w:r>
            <w:r>
              <w:rPr>
                <w:rFonts w:hint="eastAsia"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min</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187" w:type="dxa"/>
            <w:tcBorders>
              <w:tl2br w:val="nil"/>
              <w:tr2bl w:val="nil"/>
            </w:tcBorders>
            <w:noWrap w:val="0"/>
            <w:vAlign w:val="center"/>
          </w:tcPr>
          <w:p w14:paraId="6C75BD98">
            <w:pPr>
              <w:spacing w:line="240" w:lineRule="auto"/>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Q</w:t>
            </w:r>
            <w:r>
              <w:rPr>
                <w:rFonts w:hint="eastAsia" w:eastAsia="宋体" w:cs="Times New Roman"/>
                <w:b/>
                <w:bCs/>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sz w:val="24"/>
                <w:szCs w:val="24"/>
                <w:lang w:val="en-US" w:eastAsia="zh-CN"/>
              </w:rPr>
              <w:t>t/s</w:t>
            </w:r>
            <w:r>
              <w:rPr>
                <w:rFonts w:hint="eastAsia" w:ascii="Times New Roman" w:hAnsi="Times New Roman" w:eastAsia="宋体" w:cs="Times New Roman"/>
                <w:color w:val="000000"/>
                <w:sz w:val="24"/>
                <w:szCs w:val="24"/>
                <w:lang w:val="en-US" w:eastAsia="zh-CN"/>
              </w:rPr>
              <w:t>)</w:t>
            </w:r>
          </w:p>
        </w:tc>
        <w:tc>
          <w:tcPr>
            <w:tcW w:w="1515" w:type="dxa"/>
            <w:tcBorders>
              <w:tl2br w:val="nil"/>
              <w:tr2bl w:val="nil"/>
            </w:tcBorders>
            <w:noWrap w:val="0"/>
            <w:vAlign w:val="center"/>
          </w:tcPr>
          <w:p w14:paraId="3683C165">
            <w:pPr>
              <w:spacing w:line="240" w:lineRule="auto"/>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G</w:t>
            </w:r>
            <w:r>
              <w:rPr>
                <w:rFonts w:hint="default" w:ascii="Times New Roman" w:hAnsi="Times New Roman" w:eastAsia="宋体" w:cs="Times New Roman"/>
                <w:color w:val="000000" w:themeColor="text1"/>
                <w:sz w:val="24"/>
                <w:szCs w:val="24"/>
                <w:vertAlign w:val="subscript"/>
                <w14:textFill>
                  <w14:solidFill>
                    <w14:schemeClr w14:val="tx1"/>
                  </w14:solidFill>
                </w14:textFill>
              </w:rPr>
              <w:t>CO</w:t>
            </w:r>
            <w:r>
              <w:rPr>
                <w:rFonts w:hint="eastAsia" w:eastAsia="宋体" w:cs="Times New Roman"/>
                <w:color w:val="000000" w:themeColor="text1"/>
                <w:sz w:val="24"/>
                <w:szCs w:val="24"/>
                <w:vertAlign w:val="subscript"/>
                <w:lang w:val="en-US" w:eastAsia="zh-CN"/>
                <w14:textFill>
                  <w14:solidFill>
                    <w14:schemeClr w14:val="tx1"/>
                  </w14:solidFill>
                </w14:textFill>
              </w:rPr>
              <w:t>(</w:t>
            </w:r>
            <w:r>
              <w:rPr>
                <w:rFonts w:hint="default" w:ascii="Times New Roman" w:hAnsi="Times New Roman" w:eastAsia="宋体" w:cs="Times New Roman"/>
                <w:color w:val="000000"/>
                <w:sz w:val="24"/>
                <w:szCs w:val="24"/>
              </w:rPr>
              <w:t>kg</w:t>
            </w:r>
            <w:r>
              <w:rPr>
                <w:rFonts w:hint="default" w:ascii="Times New Roman" w:hAnsi="Times New Roman" w:eastAsia="宋体" w:cs="Times New Roman"/>
                <w:color w:val="000000"/>
                <w:sz w:val="24"/>
                <w:szCs w:val="24"/>
                <w:lang w:val="en-US" w:eastAsia="zh-CN"/>
              </w:rPr>
              <w:t>/s</w:t>
            </w:r>
            <w:r>
              <w:rPr>
                <w:rFonts w:hint="eastAsia" w:ascii="Times New Roman" w:hAnsi="Times New Roman" w:eastAsia="宋体" w:cs="Times New Roman"/>
                <w:color w:val="000000"/>
                <w:sz w:val="24"/>
                <w:szCs w:val="24"/>
                <w:lang w:val="en-US" w:eastAsia="zh-CN"/>
              </w:rPr>
              <w:t>)</w:t>
            </w:r>
          </w:p>
        </w:tc>
      </w:tr>
      <w:tr w14:paraId="3CD25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21" w:type="dxa"/>
            <w:tcBorders>
              <w:tl2br w:val="nil"/>
              <w:tr2bl w:val="nil"/>
            </w:tcBorders>
            <w:noWrap w:val="0"/>
            <w:vAlign w:val="center"/>
          </w:tcPr>
          <w:p w14:paraId="559E86BE">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木头</w:t>
            </w:r>
          </w:p>
        </w:tc>
        <w:tc>
          <w:tcPr>
            <w:tcW w:w="810" w:type="dxa"/>
            <w:tcBorders>
              <w:tl2br w:val="nil"/>
              <w:tr2bl w:val="nil"/>
            </w:tcBorders>
            <w:noWrap w:val="0"/>
            <w:vAlign w:val="center"/>
          </w:tcPr>
          <w:p w14:paraId="1FE7C1C3">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60</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78" w:type="dxa"/>
            <w:tcBorders>
              <w:tl2br w:val="nil"/>
              <w:tr2bl w:val="nil"/>
            </w:tcBorders>
            <w:noWrap w:val="0"/>
            <w:vAlign w:val="center"/>
          </w:tcPr>
          <w:p w14:paraId="344D5E81">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601" w:type="dxa"/>
            <w:tcBorders>
              <w:tl2br w:val="nil"/>
              <w:tr2bl w:val="nil"/>
            </w:tcBorders>
            <w:noWrap w:val="0"/>
            <w:vAlign w:val="center"/>
          </w:tcPr>
          <w:p w14:paraId="7A3E3F0D">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80</w:t>
            </w:r>
            <w:r>
              <w:rPr>
                <w:rFonts w:hint="default" w:ascii="Times New Roman" w:hAnsi="Times New Roman" w:eastAsia="宋体" w:cs="Times New Roman"/>
                <w:color w:val="000000" w:themeColor="text1"/>
                <w:sz w:val="21"/>
                <w:szCs w:val="21"/>
                <w14:textFill>
                  <w14:solidFill>
                    <w14:schemeClr w14:val="tx1"/>
                  </w14:solidFill>
                </w14:textFill>
              </w:rPr>
              <w:t>t</w:t>
            </w:r>
          </w:p>
        </w:tc>
        <w:tc>
          <w:tcPr>
            <w:tcW w:w="1704" w:type="dxa"/>
            <w:tcBorders>
              <w:tl2br w:val="nil"/>
              <w:tr2bl w:val="nil"/>
            </w:tcBorders>
            <w:noWrap w:val="0"/>
            <w:vAlign w:val="center"/>
          </w:tcPr>
          <w:p w14:paraId="7461CFB4">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14:textFill>
                  <w14:solidFill>
                    <w14:schemeClr w14:val="tx1"/>
                  </w14:solidFill>
                </w14:textFill>
              </w:rPr>
              <w:t>0min</w:t>
            </w:r>
          </w:p>
        </w:tc>
        <w:tc>
          <w:tcPr>
            <w:tcW w:w="1187" w:type="dxa"/>
            <w:tcBorders>
              <w:tl2br w:val="nil"/>
              <w:tr2bl w:val="nil"/>
            </w:tcBorders>
            <w:noWrap w:val="0"/>
            <w:vAlign w:val="center"/>
          </w:tcPr>
          <w:p w14:paraId="12815B33">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w:t>
            </w:r>
            <w:r>
              <w:rPr>
                <w:rFonts w:hint="eastAsia" w:eastAsia="宋体" w:cs="Times New Roman"/>
                <w:color w:val="000000" w:themeColor="text1"/>
                <w:sz w:val="21"/>
                <w:szCs w:val="21"/>
                <w:lang w:val="en-US" w:eastAsia="zh-CN"/>
                <w14:textFill>
                  <w14:solidFill>
                    <w14:schemeClr w14:val="tx1"/>
                  </w14:solidFill>
                </w14:textFill>
              </w:rPr>
              <w:t>022</w:t>
            </w:r>
          </w:p>
        </w:tc>
        <w:tc>
          <w:tcPr>
            <w:tcW w:w="1515" w:type="dxa"/>
            <w:tcBorders>
              <w:tl2br w:val="nil"/>
              <w:tr2bl w:val="nil"/>
            </w:tcBorders>
            <w:noWrap w:val="0"/>
            <w:vAlign w:val="center"/>
          </w:tcPr>
          <w:p w14:paraId="20D1BA14">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1.538</w:t>
            </w:r>
          </w:p>
        </w:tc>
      </w:tr>
      <w:bookmarkEnd w:id="161"/>
    </w:tbl>
    <w:p w14:paraId="2E502D79">
      <w:pPr>
        <w:pStyle w:val="5"/>
        <w:keepNext w:val="0"/>
        <w:keepLines w:val="0"/>
        <w:tabs>
          <w:tab w:val="left" w:pos="3491"/>
        </w:tabs>
        <w:adjustRightInd w:val="0"/>
        <w:snapToGrid w:val="0"/>
        <w:spacing w:line="500" w:lineRule="exact"/>
        <w:ind w:firstLine="0" w:firstLineChars="0"/>
        <w:jc w:val="left"/>
        <w:outlineLvl w:val="2"/>
        <w:rPr>
          <w:rFonts w:hint="default" w:ascii="Times New Roman" w:hAnsi="Times New Roman" w:eastAsia="宋体" w:cs="Times New Roman"/>
          <w:color w:val="000000" w:themeColor="text1"/>
          <w:lang w:val="en-US" w:eastAsia="zh-CN"/>
          <w14:textFill>
            <w14:solidFill>
              <w14:schemeClr w14:val="tx1"/>
            </w14:solidFill>
          </w14:textFill>
        </w:rPr>
      </w:pPr>
      <w:bookmarkStart w:id="162" w:name="_Toc2865"/>
      <w:bookmarkStart w:id="163" w:name="_Toc28763"/>
      <w:bookmarkStart w:id="164" w:name="_Toc11264"/>
      <w:r>
        <w:rPr>
          <w:rFonts w:hint="default" w:ascii="Times New Roman" w:hAnsi="Times New Roman" w:eastAsia="宋体" w:cs="Times New Roman"/>
          <w:color w:val="000000" w:themeColor="text1"/>
          <w14:textFill>
            <w14:solidFill>
              <w14:schemeClr w14:val="tx1"/>
            </w14:solidFill>
          </w14:textFill>
        </w:rPr>
        <w:t>4.2.</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事件情景</w:t>
      </w:r>
      <w:bookmarkEnd w:id="162"/>
      <w:r>
        <w:rPr>
          <w:rFonts w:hint="eastAsia"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6</w:t>
      </w:r>
      <w:bookmarkEnd w:id="163"/>
      <w:bookmarkEnd w:id="164"/>
    </w:p>
    <w:p w14:paraId="51EB5B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公司</w:t>
      </w:r>
      <w:r>
        <w:rPr>
          <w:rFonts w:hint="eastAsia" w:ascii="宋体" w:hAnsi="宋体" w:eastAsia="宋体" w:cs="宋体"/>
          <w:color w:val="000000" w:themeColor="text1"/>
          <w14:textFill>
            <w14:solidFill>
              <w14:schemeClr w14:val="tx1"/>
            </w14:solidFill>
          </w14:textFill>
        </w:rPr>
        <w:t>可能发生的水质异常情况包括：①</w:t>
      </w:r>
      <w:r>
        <w:rPr>
          <w:rFonts w:hint="eastAsia" w:ascii="宋体" w:hAnsi="宋体" w:eastAsia="宋体" w:cs="宋体"/>
          <w:color w:val="000000" w:themeColor="text1"/>
          <w:lang w:val="en-US" w:eastAsia="zh-CN"/>
          <w14:textFill>
            <w14:solidFill>
              <w14:schemeClr w14:val="tx1"/>
            </w14:solidFill>
          </w14:textFill>
        </w:rPr>
        <w:t>发生火灾事故，消防水因雨水阀门未及时关闭或应急事故池引流措施失败导致的事故性排放</w:t>
      </w:r>
      <w:r>
        <w:rPr>
          <w:rFonts w:hint="eastAsia" w:ascii="宋体" w:hAnsi="宋体" w:eastAsia="宋体" w:cs="宋体"/>
          <w:color w:val="000000" w:themeColor="text1"/>
          <w14:textFill>
            <w14:solidFill>
              <w14:schemeClr w14:val="tx1"/>
            </w14:solidFill>
          </w14:textFill>
        </w:rPr>
        <w:t>；②</w:t>
      </w:r>
      <w:r>
        <w:rPr>
          <w:rFonts w:hint="eastAsia" w:ascii="宋体" w:hAnsi="宋体" w:eastAsia="宋体" w:cs="宋体"/>
          <w:color w:val="000000" w:themeColor="text1"/>
          <w:lang w:val="en-US" w:eastAsia="zh-CN"/>
          <w14:textFill>
            <w14:solidFill>
              <w14:schemeClr w14:val="tx1"/>
            </w14:solidFill>
          </w14:textFill>
        </w:rPr>
        <w:t>因水循环一体机管道破损未及时补救等原因，导致生产循环水侵入雨水管道，误排厂外；③当固废堆场防雨设施不完善、遭到破坏时，淋沥固体废物的雨水径流可能进入河流，误排厂外</w:t>
      </w:r>
      <w:r>
        <w:rPr>
          <w:rFonts w:hint="eastAsia" w:ascii="宋体" w:hAnsi="宋体" w:eastAsia="宋体" w:cs="宋体"/>
          <w:color w:val="000000" w:themeColor="text1"/>
          <w14:textFill>
            <w14:solidFill>
              <w14:schemeClr w14:val="tx1"/>
            </w14:solidFill>
          </w14:textFill>
        </w:rPr>
        <w:t>。</w:t>
      </w:r>
    </w:p>
    <w:p w14:paraId="38C828BD">
      <w:pPr>
        <w:pStyle w:val="5"/>
        <w:tabs>
          <w:tab w:val="left" w:pos="3491"/>
        </w:tabs>
        <w:adjustRightInd w:val="0"/>
        <w:snapToGrid w:val="0"/>
        <w:spacing w:line="500" w:lineRule="exact"/>
        <w:jc w:val="left"/>
        <w:rPr>
          <w:rFonts w:hint="default" w:ascii="Times New Roman" w:hAnsi="Times New Roman" w:eastAsia="宋体" w:cs="Times New Roman"/>
          <w:b/>
          <w:bCs/>
          <w:color w:val="000000" w:themeColor="text1"/>
          <w:lang w:val="en-US" w:eastAsia="zh-CN"/>
          <w14:textFill>
            <w14:solidFill>
              <w14:schemeClr w14:val="tx1"/>
            </w14:solidFill>
          </w14:textFill>
        </w:rPr>
      </w:pPr>
      <w:bookmarkStart w:id="165" w:name="_Toc19215"/>
      <w:bookmarkStart w:id="166" w:name="_Toc32065"/>
      <w:bookmarkStart w:id="167" w:name="_Toc4150"/>
      <w:r>
        <w:rPr>
          <w:rFonts w:hint="default" w:ascii="Times New Roman" w:hAnsi="Times New Roman" w:eastAsia="宋体" w:cs="Times New Roman"/>
          <w:b/>
          <w:bCs/>
          <w:color w:val="000000" w:themeColor="text1"/>
          <w14:textFill>
            <w14:solidFill>
              <w14:schemeClr w14:val="tx1"/>
            </w14:solidFill>
          </w14:textFill>
        </w:rPr>
        <w:t>4.2.</w:t>
      </w:r>
      <w:r>
        <w:rPr>
          <w:rFonts w:hint="default" w:ascii="Times New Roman" w:hAnsi="Times New Roman" w:eastAsia="宋体" w:cs="Times New Roman"/>
          <w:b/>
          <w:bCs/>
          <w:color w:val="000000" w:themeColor="text1"/>
          <w:lang w:val="en-US" w:eastAsia="zh-CN"/>
          <w14:textFill>
            <w14:solidFill>
              <w14:schemeClr w14:val="tx1"/>
            </w14:solidFill>
          </w14:textFill>
        </w:rPr>
        <w:t>3</w:t>
      </w:r>
      <w:r>
        <w:rPr>
          <w:rFonts w:hint="default" w:ascii="Times New Roman" w:hAnsi="Times New Roman" w:eastAsia="宋体" w:cs="Times New Roman"/>
          <w:b/>
          <w:bCs/>
          <w:color w:val="000000" w:themeColor="text1"/>
          <w14:textFill>
            <w14:solidFill>
              <w14:schemeClr w14:val="tx1"/>
            </w14:solidFill>
          </w14:textFill>
        </w:rPr>
        <w:t>事件情景</w:t>
      </w:r>
      <w:bookmarkEnd w:id="165"/>
      <w:r>
        <w:rPr>
          <w:rFonts w:hint="eastAsia" w:eastAsia="宋体" w:cs="Times New Roman"/>
          <w:b/>
          <w:bCs/>
          <w:color w:val="000000" w:themeColor="text1"/>
          <w:lang w:val="en-US" w:eastAsia="zh-CN"/>
          <w14:textFill>
            <w14:solidFill>
              <w14:schemeClr w14:val="tx1"/>
            </w14:solidFill>
          </w14:textFill>
        </w:rPr>
        <w:t>4、5</w:t>
      </w:r>
      <w:bookmarkEnd w:id="166"/>
      <w:bookmarkEnd w:id="167"/>
    </w:p>
    <w:p w14:paraId="02E04BC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本项目产生的有组织废气主要为破碎粉尘，</w:t>
      </w:r>
      <w:r>
        <w:rPr>
          <w:rFonts w:hint="eastAsia" w:ascii="Times New Roman" w:hAnsi="Times New Roman" w:eastAsia="宋体" w:cs="Times New Roman"/>
          <w:color w:val="000000" w:themeColor="text1"/>
          <w:lang w:val="en-US" w:eastAsia="zh-CN"/>
          <w14:textFill>
            <w14:solidFill>
              <w14:schemeClr w14:val="tx1"/>
            </w14:solidFill>
          </w14:textFill>
        </w:rPr>
        <w:t>制粒、筛分粉尘</w:t>
      </w:r>
      <w:r>
        <w:rPr>
          <w:rFonts w:hint="default" w:ascii="Times New Roman" w:hAnsi="Times New Roman" w:eastAsia="宋体" w:cs="Times New Roman"/>
          <w:color w:val="000000" w:themeColor="text1"/>
          <w:lang w:val="en-US" w:eastAsia="zh-CN"/>
          <w14:textFill>
            <w14:solidFill>
              <w14:schemeClr w14:val="tx1"/>
            </w14:solidFill>
          </w14:textFill>
        </w:rPr>
        <w:t>。</w:t>
      </w:r>
    </w:p>
    <w:p w14:paraId="712148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根据</w:t>
      </w:r>
      <w:r>
        <w:rPr>
          <w:rFonts w:hint="eastAsia" w:ascii="宋体" w:hAnsi="宋体" w:eastAsia="宋体" w:cs="宋体"/>
          <w:bCs/>
          <w:color w:val="000000" w:themeColor="text1"/>
          <w:lang w:val="en-US" w:eastAsia="zh-CN"/>
          <w14:textFill>
            <w14:solidFill>
              <w14:schemeClr w14:val="tx1"/>
            </w14:solidFill>
          </w14:textFill>
        </w:rPr>
        <w:t>公司</w:t>
      </w:r>
      <w:r>
        <w:rPr>
          <w:rFonts w:hint="eastAsia" w:eastAsia="宋体" w:cs="Times New Roman"/>
          <w:bCs/>
          <w:color w:val="000000" w:themeColor="text1"/>
          <w:lang w:val="en-US" w:eastAsia="zh-CN"/>
          <w14:textFill>
            <w14:solidFill>
              <w14:schemeClr w14:val="tx1"/>
            </w14:solidFill>
          </w14:textFill>
        </w:rPr>
        <w:t>2025年检测</w:t>
      </w:r>
      <w:r>
        <w:rPr>
          <w:rFonts w:hint="eastAsia" w:ascii="宋体" w:hAnsi="宋体" w:eastAsia="宋体" w:cs="宋体"/>
          <w:bCs/>
          <w:color w:val="000000" w:themeColor="text1"/>
          <w:lang w:val="en-US" w:eastAsia="zh-CN"/>
          <w14:textFill>
            <w14:solidFill>
              <w14:schemeClr w14:val="tx1"/>
            </w14:solidFill>
          </w14:textFill>
        </w:rPr>
        <w:t>报告</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废气的产生情况见表</w:t>
      </w:r>
      <w:r>
        <w:rPr>
          <w:rFonts w:hint="eastAsia" w:ascii="Times New Roman" w:hAnsi="Times New Roman" w:eastAsia="宋体" w:cs="Times New Roman"/>
          <w:color w:val="000000" w:themeColor="text1"/>
          <w:lang w:val="en-US" w:eastAsia="zh-CN"/>
          <w14:textFill>
            <w14:solidFill>
              <w14:schemeClr w14:val="tx1"/>
            </w14:solidFill>
          </w14:textFill>
        </w:rPr>
        <w:t>4-</w:t>
      </w:r>
      <w:r>
        <w:rPr>
          <w:rFonts w:hint="eastAsia"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lang w:val="en-US" w:eastAsia="zh-CN"/>
          <w14:textFill>
            <w14:solidFill>
              <w14:schemeClr w14:val="tx1"/>
            </w14:solidFill>
          </w14:textFill>
        </w:rPr>
        <w:t>。</w:t>
      </w:r>
    </w:p>
    <w:p w14:paraId="30E20E25">
      <w:pPr>
        <w:adjustRightInd w:val="0"/>
        <w:snapToGrid w:val="0"/>
        <w:spacing w:line="500" w:lineRule="exact"/>
        <w:ind w:firstLine="482" w:firstLineChars="20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表</w:t>
      </w:r>
      <w:r>
        <w:rPr>
          <w:rFonts w:hint="eastAsia" w:ascii="Times New Roman" w:hAnsi="Times New Roman" w:eastAsia="宋体" w:cs="Times New Roman"/>
          <w:b/>
          <w:bCs/>
          <w:color w:val="auto"/>
          <w:highlight w:val="none"/>
          <w:lang w:val="en-US" w:eastAsia="zh-CN"/>
        </w:rPr>
        <w:t>4-</w:t>
      </w:r>
      <w:r>
        <w:rPr>
          <w:rFonts w:hint="eastAsia" w:eastAsia="宋体" w:cs="Times New Roman"/>
          <w:b/>
          <w:bCs/>
          <w:color w:val="auto"/>
          <w:highlight w:val="none"/>
          <w:lang w:val="en-US" w:eastAsia="zh-CN"/>
        </w:rPr>
        <w:t>4</w:t>
      </w:r>
      <w:r>
        <w:rPr>
          <w:rFonts w:hint="eastAsia" w:ascii="Times New Roman" w:hAnsi="Times New Roman" w:eastAsia="宋体" w:cs="Times New Roman"/>
          <w:b/>
          <w:bCs/>
          <w:color w:val="auto"/>
          <w:highlight w:val="none"/>
          <w:lang w:val="en-US" w:eastAsia="zh-CN"/>
        </w:rPr>
        <w:t>废气产生情况一览表</w:t>
      </w:r>
    </w:p>
    <w:tbl>
      <w:tblPr>
        <w:tblStyle w:val="37"/>
        <w:tblW w:w="533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667"/>
        <w:gridCol w:w="1143"/>
        <w:gridCol w:w="1112"/>
        <w:gridCol w:w="1112"/>
        <w:gridCol w:w="1246"/>
        <w:gridCol w:w="971"/>
        <w:gridCol w:w="1373"/>
        <w:gridCol w:w="1044"/>
      </w:tblGrid>
      <w:tr w14:paraId="03968E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2" w:type="pct"/>
            <w:vMerge w:val="restart"/>
            <w:tcBorders>
              <w:tl2br w:val="nil"/>
              <w:tr2bl w:val="nil"/>
            </w:tcBorders>
            <w:vAlign w:val="center"/>
          </w:tcPr>
          <w:p w14:paraId="3C003632">
            <w:pPr>
              <w:pStyle w:val="140"/>
              <w:spacing w:before="0" w:line="240" w:lineRule="auto"/>
              <w:ind w:left="0" w:right="0"/>
              <w:rPr>
                <w:rFonts w:ascii="Times New Roman" w:hAnsi="Times New Roman" w:cs="Times New Roman"/>
                <w:b/>
                <w:sz w:val="21"/>
              </w:rPr>
            </w:pPr>
            <w:r>
              <w:rPr>
                <w:rFonts w:ascii="Times New Roman" w:hAnsi="Times New Roman" w:cs="Times New Roman"/>
                <w:b/>
                <w:spacing w:val="-9"/>
                <w:sz w:val="21"/>
              </w:rPr>
              <w:t>污染</w:t>
            </w:r>
            <w:r>
              <w:rPr>
                <w:rFonts w:ascii="Times New Roman" w:hAnsi="Times New Roman" w:cs="Times New Roman"/>
                <w:b/>
                <w:sz w:val="21"/>
              </w:rPr>
              <w:t>源</w:t>
            </w:r>
            <w:r>
              <w:rPr>
                <w:rFonts w:ascii="Times New Roman" w:hAnsi="Times New Roman" w:cs="Times New Roman"/>
                <w:b/>
                <w:spacing w:val="-9"/>
                <w:sz w:val="21"/>
              </w:rPr>
              <w:t>名称</w:t>
            </w:r>
          </w:p>
        </w:tc>
        <w:tc>
          <w:tcPr>
            <w:tcW w:w="591" w:type="pct"/>
            <w:vMerge w:val="restart"/>
            <w:tcBorders>
              <w:tl2br w:val="nil"/>
              <w:tr2bl w:val="nil"/>
            </w:tcBorders>
            <w:vAlign w:val="center"/>
          </w:tcPr>
          <w:p w14:paraId="2155C6EC">
            <w:pPr>
              <w:pStyle w:val="140"/>
              <w:spacing w:line="240" w:lineRule="auto"/>
              <w:ind w:left="0" w:right="0" w:firstLine="0"/>
              <w:jc w:val="center"/>
              <w:rPr>
                <w:rFonts w:ascii="Times New Roman" w:hAnsi="Times New Roman" w:cs="Times New Roman"/>
                <w:b/>
                <w:sz w:val="21"/>
              </w:rPr>
            </w:pPr>
            <w:r>
              <w:rPr>
                <w:rFonts w:ascii="Times New Roman" w:hAnsi="Times New Roman" w:cs="Times New Roman"/>
                <w:b/>
                <w:sz w:val="21"/>
              </w:rPr>
              <w:t>污染物名称</w:t>
            </w:r>
          </w:p>
        </w:tc>
        <w:tc>
          <w:tcPr>
            <w:tcW w:w="1794" w:type="pct"/>
            <w:gridSpan w:val="3"/>
            <w:tcBorders>
              <w:tl2br w:val="nil"/>
              <w:tr2bl w:val="nil"/>
            </w:tcBorders>
            <w:vAlign w:val="center"/>
          </w:tcPr>
          <w:p w14:paraId="2022C7A7">
            <w:pPr>
              <w:pStyle w:val="140"/>
              <w:spacing w:before="0"/>
              <w:ind w:left="0"/>
              <w:jc w:val="center"/>
              <w:rPr>
                <w:rFonts w:ascii="Times New Roman" w:hAnsi="Times New Roman" w:cs="Times New Roman"/>
                <w:b/>
                <w:sz w:val="21"/>
              </w:rPr>
            </w:pPr>
            <w:r>
              <w:rPr>
                <w:rFonts w:ascii="Times New Roman" w:hAnsi="Times New Roman" w:cs="Times New Roman"/>
                <w:b/>
                <w:sz w:val="21"/>
              </w:rPr>
              <w:t>产生状况</w:t>
            </w:r>
          </w:p>
        </w:tc>
        <w:tc>
          <w:tcPr>
            <w:tcW w:w="502" w:type="pct"/>
            <w:vMerge w:val="restart"/>
            <w:tcBorders>
              <w:tl2br w:val="nil"/>
              <w:tr2bl w:val="nil"/>
            </w:tcBorders>
            <w:vAlign w:val="center"/>
          </w:tcPr>
          <w:p w14:paraId="2F8E1905">
            <w:pPr>
              <w:pStyle w:val="140"/>
              <w:ind w:left="0"/>
              <w:jc w:val="center"/>
              <w:rPr>
                <w:rFonts w:ascii="Times New Roman" w:hAnsi="Times New Roman" w:cs="Times New Roman"/>
                <w:b/>
                <w:sz w:val="21"/>
              </w:rPr>
            </w:pPr>
            <w:r>
              <w:rPr>
                <w:rFonts w:ascii="Times New Roman" w:hAnsi="Times New Roman" w:cs="Times New Roman"/>
                <w:b/>
                <w:w w:val="95"/>
                <w:sz w:val="21"/>
              </w:rPr>
              <w:t>排气量</w:t>
            </w:r>
          </w:p>
          <w:p w14:paraId="24585F44">
            <w:pPr>
              <w:pStyle w:val="140"/>
              <w:spacing w:before="0"/>
              <w:ind w:left="0"/>
              <w:jc w:val="center"/>
              <w:rPr>
                <w:rFonts w:ascii="Times New Roman" w:hAnsi="Times New Roman" w:cs="Times New Roman"/>
                <w:b/>
                <w:sz w:val="21"/>
              </w:rPr>
            </w:pPr>
            <w:r>
              <w:rPr>
                <w:rFonts w:ascii="Times New Roman" w:hAnsi="Times New Roman" w:cs="Times New Roman"/>
                <w:b/>
                <w:sz w:val="21"/>
              </w:rPr>
              <w:t>(m</w:t>
            </w:r>
            <w:r>
              <w:rPr>
                <w:rFonts w:ascii="Times New Roman" w:hAnsi="Times New Roman" w:cs="Times New Roman"/>
                <w:b/>
                <w:position w:val="7"/>
                <w:sz w:val="13"/>
              </w:rPr>
              <w:t>3</w:t>
            </w:r>
            <w:r>
              <w:rPr>
                <w:rFonts w:ascii="Times New Roman" w:hAnsi="Times New Roman" w:cs="Times New Roman"/>
                <w:b/>
                <w:sz w:val="21"/>
              </w:rPr>
              <w:t>/h)</w:t>
            </w:r>
          </w:p>
        </w:tc>
        <w:tc>
          <w:tcPr>
            <w:tcW w:w="710" w:type="pct"/>
            <w:vMerge w:val="restart"/>
            <w:tcBorders>
              <w:tl2br w:val="nil"/>
              <w:tr2bl w:val="nil"/>
            </w:tcBorders>
            <w:vAlign w:val="center"/>
          </w:tcPr>
          <w:p w14:paraId="52B27DF3">
            <w:pPr>
              <w:pStyle w:val="140"/>
              <w:spacing w:line="240" w:lineRule="auto"/>
              <w:ind w:left="0" w:right="0"/>
              <w:jc w:val="center"/>
              <w:rPr>
                <w:rFonts w:ascii="Times New Roman" w:hAnsi="Times New Roman" w:cs="Times New Roman"/>
                <w:b/>
                <w:sz w:val="21"/>
              </w:rPr>
            </w:pPr>
            <w:r>
              <w:rPr>
                <w:rFonts w:ascii="Times New Roman" w:hAnsi="Times New Roman" w:cs="Times New Roman"/>
                <w:b/>
                <w:sz w:val="21"/>
              </w:rPr>
              <w:t>治理措施</w:t>
            </w:r>
          </w:p>
        </w:tc>
        <w:tc>
          <w:tcPr>
            <w:tcW w:w="539" w:type="pct"/>
            <w:vMerge w:val="restart"/>
            <w:tcBorders>
              <w:tl2br w:val="nil"/>
              <w:tr2bl w:val="nil"/>
            </w:tcBorders>
            <w:vAlign w:val="center"/>
          </w:tcPr>
          <w:p w14:paraId="600D135B">
            <w:pPr>
              <w:pStyle w:val="140"/>
              <w:ind w:left="0"/>
              <w:jc w:val="center"/>
              <w:rPr>
                <w:rFonts w:ascii="Times New Roman" w:hAnsi="Times New Roman" w:cs="Times New Roman"/>
                <w:b/>
                <w:sz w:val="21"/>
              </w:rPr>
            </w:pPr>
            <w:r>
              <w:rPr>
                <w:rFonts w:ascii="Times New Roman" w:hAnsi="Times New Roman" w:cs="Times New Roman"/>
                <w:b/>
                <w:sz w:val="21"/>
              </w:rPr>
              <w:t>排气筒</w:t>
            </w:r>
          </w:p>
        </w:tc>
      </w:tr>
      <w:tr w14:paraId="373FA6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862" w:type="pct"/>
            <w:vMerge w:val="continue"/>
            <w:tcBorders>
              <w:tl2br w:val="nil"/>
              <w:tr2bl w:val="nil"/>
            </w:tcBorders>
            <w:vAlign w:val="center"/>
          </w:tcPr>
          <w:p w14:paraId="7EF7EDDD">
            <w:pPr>
              <w:jc w:val="center"/>
              <w:rPr>
                <w:sz w:val="2"/>
                <w:szCs w:val="2"/>
              </w:rPr>
            </w:pPr>
          </w:p>
        </w:tc>
        <w:tc>
          <w:tcPr>
            <w:tcW w:w="591" w:type="pct"/>
            <w:vMerge w:val="continue"/>
            <w:tcBorders>
              <w:tl2br w:val="nil"/>
              <w:tr2bl w:val="nil"/>
            </w:tcBorders>
            <w:vAlign w:val="center"/>
          </w:tcPr>
          <w:p w14:paraId="4E727112">
            <w:pPr>
              <w:jc w:val="center"/>
              <w:rPr>
                <w:sz w:val="2"/>
                <w:szCs w:val="2"/>
              </w:rPr>
            </w:pPr>
          </w:p>
        </w:tc>
        <w:tc>
          <w:tcPr>
            <w:tcW w:w="575" w:type="pct"/>
            <w:tcBorders>
              <w:tl2br w:val="nil"/>
              <w:tr2bl w:val="nil"/>
            </w:tcBorders>
            <w:vAlign w:val="center"/>
          </w:tcPr>
          <w:p w14:paraId="6C936CB4">
            <w:pPr>
              <w:pStyle w:val="140"/>
              <w:spacing w:before="0" w:line="240" w:lineRule="auto"/>
              <w:ind w:left="0" w:right="0"/>
              <w:rPr>
                <w:rFonts w:hint="default" w:ascii="Times New Roman" w:hAnsi="Times New Roman" w:eastAsia="宋体" w:cs="Times New Roman"/>
                <w:b/>
                <w:sz w:val="21"/>
                <w:lang w:eastAsia="zh-CN"/>
              </w:rPr>
            </w:pPr>
            <w:r>
              <w:rPr>
                <w:rFonts w:ascii="Times New Roman" w:hAnsi="Times New Roman" w:cs="Times New Roman"/>
                <w:b/>
                <w:sz w:val="21"/>
              </w:rPr>
              <w:t>浓度</w:t>
            </w:r>
            <w:r>
              <w:rPr>
                <w:rFonts w:hint="eastAsia" w:ascii="Times New Roman" w:hAnsi="Times New Roman" w:cs="Times New Roman"/>
                <w:b/>
                <w:sz w:val="21"/>
                <w:lang w:eastAsia="zh-CN"/>
              </w:rPr>
              <w:t>（</w:t>
            </w:r>
            <w:r>
              <w:rPr>
                <w:rFonts w:ascii="Times New Roman" w:hAnsi="Times New Roman" w:cs="Times New Roman"/>
                <w:b/>
                <w:w w:val="95"/>
                <w:sz w:val="21"/>
              </w:rPr>
              <w:t>mg/m</w:t>
            </w:r>
            <w:r>
              <w:rPr>
                <w:rFonts w:ascii="Times New Roman" w:hAnsi="Times New Roman" w:cs="Times New Roman"/>
                <w:b/>
                <w:sz w:val="21"/>
                <w:szCs w:val="44"/>
                <w:vertAlign w:val="superscript"/>
              </w:rPr>
              <w:t>3</w:t>
            </w:r>
            <w:r>
              <w:rPr>
                <w:rFonts w:ascii="Times New Roman" w:hAnsi="Times New Roman" w:cs="Times New Roman"/>
                <w:b/>
                <w:sz w:val="21"/>
              </w:rPr>
              <w:t>)</w:t>
            </w:r>
          </w:p>
        </w:tc>
        <w:tc>
          <w:tcPr>
            <w:tcW w:w="575" w:type="pct"/>
            <w:tcBorders>
              <w:tl2br w:val="nil"/>
              <w:tr2bl w:val="nil"/>
            </w:tcBorders>
            <w:vAlign w:val="center"/>
          </w:tcPr>
          <w:p w14:paraId="6C41765B">
            <w:pPr>
              <w:pStyle w:val="140"/>
              <w:spacing w:before="0"/>
              <w:ind w:left="0"/>
              <w:jc w:val="center"/>
              <w:rPr>
                <w:rFonts w:ascii="Times New Roman" w:hAnsi="Times New Roman" w:cs="Times New Roman"/>
                <w:b/>
                <w:sz w:val="21"/>
              </w:rPr>
            </w:pPr>
            <w:r>
              <w:rPr>
                <w:rFonts w:ascii="Times New Roman" w:hAnsi="Times New Roman" w:cs="Times New Roman"/>
                <w:b/>
                <w:sz w:val="21"/>
              </w:rPr>
              <w:t>速率</w:t>
            </w:r>
          </w:p>
          <w:p w14:paraId="0EC43534">
            <w:pPr>
              <w:pStyle w:val="140"/>
              <w:spacing w:before="0"/>
              <w:ind w:left="0"/>
              <w:jc w:val="center"/>
              <w:rPr>
                <w:rFonts w:ascii="Times New Roman" w:hAnsi="Times New Roman" w:cs="Times New Roman"/>
                <w:b/>
                <w:sz w:val="21"/>
              </w:rPr>
            </w:pPr>
            <w:r>
              <w:rPr>
                <w:rFonts w:ascii="Times New Roman" w:hAnsi="Times New Roman" w:cs="Times New Roman"/>
                <w:b/>
                <w:sz w:val="21"/>
              </w:rPr>
              <w:t>(kg/h)</w:t>
            </w:r>
          </w:p>
        </w:tc>
        <w:tc>
          <w:tcPr>
            <w:tcW w:w="643" w:type="pct"/>
            <w:tcBorders>
              <w:tl2br w:val="nil"/>
              <w:tr2bl w:val="nil"/>
            </w:tcBorders>
            <w:vAlign w:val="center"/>
          </w:tcPr>
          <w:p w14:paraId="048D151A">
            <w:pPr>
              <w:pStyle w:val="140"/>
              <w:spacing w:before="0"/>
              <w:ind w:left="0" w:right="0"/>
              <w:rPr>
                <w:rFonts w:ascii="Times New Roman" w:hAnsi="Times New Roman" w:cs="Times New Roman"/>
                <w:b/>
                <w:sz w:val="21"/>
              </w:rPr>
            </w:pPr>
            <w:r>
              <w:rPr>
                <w:rFonts w:ascii="Times New Roman" w:hAnsi="Times New Roman" w:cs="Times New Roman"/>
                <w:b/>
                <w:sz w:val="21"/>
              </w:rPr>
              <w:t>产生量</w:t>
            </w:r>
          </w:p>
          <w:p w14:paraId="5C0F88D3">
            <w:pPr>
              <w:pStyle w:val="140"/>
              <w:spacing w:before="0"/>
              <w:ind w:left="0" w:right="0"/>
              <w:rPr>
                <w:rFonts w:ascii="Times New Roman" w:hAnsi="Times New Roman" w:cs="Times New Roman"/>
                <w:b/>
                <w:sz w:val="21"/>
              </w:rPr>
            </w:pPr>
            <w:r>
              <w:rPr>
                <w:rFonts w:ascii="Times New Roman" w:hAnsi="Times New Roman" w:cs="Times New Roman"/>
                <w:b/>
                <w:sz w:val="21"/>
              </w:rPr>
              <w:t>(t/a)</w:t>
            </w:r>
          </w:p>
        </w:tc>
        <w:tc>
          <w:tcPr>
            <w:tcW w:w="502" w:type="pct"/>
            <w:vMerge w:val="continue"/>
            <w:tcBorders>
              <w:tl2br w:val="nil"/>
              <w:tr2bl w:val="nil"/>
            </w:tcBorders>
            <w:vAlign w:val="center"/>
          </w:tcPr>
          <w:p w14:paraId="17DF54A9">
            <w:pPr>
              <w:jc w:val="center"/>
              <w:rPr>
                <w:sz w:val="2"/>
                <w:szCs w:val="2"/>
              </w:rPr>
            </w:pPr>
          </w:p>
        </w:tc>
        <w:tc>
          <w:tcPr>
            <w:tcW w:w="710" w:type="pct"/>
            <w:vMerge w:val="continue"/>
            <w:tcBorders>
              <w:tl2br w:val="nil"/>
              <w:tr2bl w:val="nil"/>
            </w:tcBorders>
            <w:vAlign w:val="center"/>
          </w:tcPr>
          <w:p w14:paraId="670C70D6">
            <w:pPr>
              <w:jc w:val="center"/>
              <w:rPr>
                <w:sz w:val="2"/>
                <w:szCs w:val="2"/>
              </w:rPr>
            </w:pPr>
          </w:p>
        </w:tc>
        <w:tc>
          <w:tcPr>
            <w:tcW w:w="539" w:type="pct"/>
            <w:vMerge w:val="continue"/>
            <w:tcBorders>
              <w:tl2br w:val="nil"/>
              <w:tr2bl w:val="nil"/>
            </w:tcBorders>
            <w:vAlign w:val="center"/>
          </w:tcPr>
          <w:p w14:paraId="0EB22742">
            <w:pPr>
              <w:jc w:val="center"/>
              <w:rPr>
                <w:sz w:val="2"/>
                <w:szCs w:val="2"/>
              </w:rPr>
            </w:pPr>
          </w:p>
        </w:tc>
      </w:tr>
      <w:tr w14:paraId="3A3929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62" w:type="pct"/>
            <w:tcBorders>
              <w:tl2br w:val="nil"/>
              <w:tr2bl w:val="nil"/>
            </w:tcBorders>
            <w:vAlign w:val="center"/>
          </w:tcPr>
          <w:p w14:paraId="40DF1095">
            <w:pPr>
              <w:adjustRightInd w:val="0"/>
              <w:snapToGrid w:val="0"/>
              <w:jc w:val="center"/>
              <w:rPr>
                <w:rFonts w:hint="default" w:ascii="Times New Roman" w:hAnsi="Times New Roman" w:eastAsia="宋体" w:cs="Times New Roman"/>
                <w:sz w:val="21"/>
                <w:lang w:val="en-US" w:eastAsia="zh-CN"/>
              </w:rPr>
            </w:pPr>
            <w:r>
              <w:rPr>
                <w:rFonts w:ascii="Times New Roman" w:hAnsi="Times New Roman" w:eastAsia="仿宋_GB2312" w:cs="Times New Roman"/>
                <w:color w:val="000000"/>
                <w:sz w:val="21"/>
                <w:szCs w:val="21"/>
              </w:rPr>
              <w:t>破碎粉碎</w:t>
            </w:r>
          </w:p>
        </w:tc>
        <w:tc>
          <w:tcPr>
            <w:tcW w:w="591" w:type="pct"/>
            <w:tcBorders>
              <w:tl2br w:val="nil"/>
              <w:tr2bl w:val="nil"/>
            </w:tcBorders>
            <w:vAlign w:val="center"/>
          </w:tcPr>
          <w:p w14:paraId="652265E1">
            <w:pPr>
              <w:spacing w:before="0" w:line="240" w:lineRule="auto"/>
              <w:ind w:lef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1109" w:type="dxa"/>
            <w:tcBorders>
              <w:tl2br w:val="nil"/>
              <w:tr2bl w:val="nil"/>
            </w:tcBorders>
            <w:vAlign w:val="center"/>
          </w:tcPr>
          <w:p w14:paraId="36C7C1D3">
            <w:pPr>
              <w:jc w:val="center"/>
              <w:textAlignment w:val="center"/>
              <w:rPr>
                <w:rFonts w:hint="default" w:ascii="Times New Roman" w:hAnsi="Times New Roman" w:eastAsia="宋体" w:cs="Times New Roman"/>
                <w:sz w:val="21"/>
                <w:lang w:val="en-US" w:eastAsia="zh-CN"/>
              </w:rPr>
            </w:pPr>
            <w:r>
              <w:rPr>
                <w:rFonts w:ascii="Times New Roman" w:hAnsi="Times New Roman" w:eastAsia="仿宋_GB2312" w:cs="Times New Roman"/>
                <w:color w:val="000000"/>
                <w:sz w:val="21"/>
                <w:szCs w:val="21"/>
              </w:rPr>
              <w:t>26.228</w:t>
            </w:r>
          </w:p>
        </w:tc>
        <w:tc>
          <w:tcPr>
            <w:tcW w:w="1109" w:type="dxa"/>
            <w:tcBorders>
              <w:tl2br w:val="nil"/>
              <w:tr2bl w:val="nil"/>
            </w:tcBorders>
            <w:vAlign w:val="center"/>
          </w:tcPr>
          <w:p w14:paraId="294AA67B">
            <w:pPr>
              <w:jc w:val="center"/>
              <w:textAlignment w:val="center"/>
              <w:rPr>
                <w:rFonts w:hint="default" w:ascii="Times New Roman" w:hAnsi="Times New Roman" w:eastAsia="宋体" w:cs="Times New Roman"/>
                <w:sz w:val="21"/>
                <w:lang w:val="en-US" w:eastAsia="zh-CN"/>
              </w:rPr>
            </w:pPr>
            <w:r>
              <w:rPr>
                <w:rFonts w:ascii="Times New Roman" w:hAnsi="Times New Roman" w:eastAsia="仿宋_GB2312" w:cs="Times New Roman"/>
                <w:color w:val="000000"/>
                <w:sz w:val="21"/>
                <w:szCs w:val="21"/>
              </w:rPr>
              <w:t>1.311</w:t>
            </w:r>
          </w:p>
        </w:tc>
        <w:tc>
          <w:tcPr>
            <w:tcW w:w="1240" w:type="dxa"/>
            <w:tcBorders>
              <w:tl2br w:val="nil"/>
              <w:tr2bl w:val="nil"/>
            </w:tcBorders>
            <w:vAlign w:val="center"/>
          </w:tcPr>
          <w:p w14:paraId="1210FB83">
            <w:pPr>
              <w:jc w:val="center"/>
              <w:textAlignment w:val="center"/>
              <w:rPr>
                <w:rFonts w:hint="default" w:ascii="Times New Roman" w:hAnsi="Times New Roman" w:eastAsia="宋体" w:cs="Times New Roman"/>
                <w:sz w:val="21"/>
                <w:lang w:val="en-US" w:eastAsia="zh-CN"/>
              </w:rPr>
            </w:pPr>
            <w:r>
              <w:rPr>
                <w:rFonts w:ascii="Times New Roman" w:hAnsi="Times New Roman" w:eastAsia="仿宋_GB2312" w:cs="Times New Roman"/>
                <w:color w:val="000000"/>
                <w:sz w:val="21"/>
                <w:szCs w:val="21"/>
              </w:rPr>
              <w:t>6.924</w:t>
            </w:r>
          </w:p>
        </w:tc>
        <w:tc>
          <w:tcPr>
            <w:tcW w:w="968" w:type="dxa"/>
            <w:tcBorders>
              <w:tl2br w:val="nil"/>
              <w:tr2bl w:val="nil"/>
            </w:tcBorders>
            <w:vAlign w:val="center"/>
          </w:tcPr>
          <w:p w14:paraId="5061E19B">
            <w:pPr>
              <w:jc w:val="center"/>
              <w:textAlignment w:val="center"/>
              <w:rPr>
                <w:rFonts w:hint="default" w:ascii="Times New Roman" w:hAnsi="Times New Roman" w:eastAsia="宋体" w:cs="Times New Roman"/>
                <w:sz w:val="21"/>
                <w:lang w:val="en-US" w:eastAsia="zh-CN"/>
              </w:rPr>
            </w:pPr>
            <w:r>
              <w:rPr>
                <w:rFonts w:ascii="Times New Roman" w:hAnsi="Times New Roman" w:eastAsia="仿宋_GB2312" w:cs="Times New Roman"/>
                <w:color w:val="000000"/>
                <w:sz w:val="21"/>
                <w:szCs w:val="21"/>
              </w:rPr>
              <w:t>50000</w:t>
            </w:r>
          </w:p>
        </w:tc>
        <w:tc>
          <w:tcPr>
            <w:tcW w:w="710" w:type="pct"/>
            <w:tcBorders>
              <w:tl2br w:val="nil"/>
              <w:tr2bl w:val="nil"/>
            </w:tcBorders>
            <w:vAlign w:val="center"/>
          </w:tcPr>
          <w:p w14:paraId="173608B1">
            <w:pPr>
              <w:pStyle w:val="140"/>
              <w:spacing w:before="0" w:line="240" w:lineRule="auto"/>
              <w:ind w:left="0" w:leftChars="0"/>
              <w:jc w:val="center"/>
              <w:rPr>
                <w:rFonts w:hint="eastAsia"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中央集尘系统</w:t>
            </w:r>
          </w:p>
        </w:tc>
        <w:tc>
          <w:tcPr>
            <w:tcW w:w="539" w:type="pct"/>
            <w:tcBorders>
              <w:tl2br w:val="nil"/>
              <w:tr2bl w:val="nil"/>
            </w:tcBorders>
            <w:vAlign w:val="center"/>
          </w:tcPr>
          <w:p w14:paraId="24F8F211">
            <w:pPr>
              <w:pStyle w:val="140"/>
              <w:spacing w:before="0" w:line="240" w:lineRule="auto"/>
              <w:ind w:left="0"/>
              <w:jc w:val="center"/>
              <w:rPr>
                <w:rFonts w:ascii="Times New Roman" w:hAnsi="Times New Roman" w:cs="Times New Roman"/>
                <w:sz w:val="21"/>
              </w:rPr>
            </w:pPr>
            <w:r>
              <w:rPr>
                <w:rFonts w:hint="eastAsia" w:ascii="Times New Roman" w:hAnsi="Times New Roman" w:cs="Times New Roman"/>
                <w:sz w:val="21"/>
                <w:lang w:val="en-US" w:eastAsia="zh-CN"/>
              </w:rPr>
              <w:t>1#15m排气筒排放</w:t>
            </w:r>
          </w:p>
        </w:tc>
      </w:tr>
      <w:tr w14:paraId="1DF103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62" w:type="pct"/>
            <w:tcBorders>
              <w:tl2br w:val="nil"/>
              <w:tr2bl w:val="nil"/>
            </w:tcBorders>
            <w:vAlign w:val="center"/>
          </w:tcPr>
          <w:p w14:paraId="6B178FC7">
            <w:pPr>
              <w:adjustRightInd w:val="0"/>
              <w:snapToGrid w:val="0"/>
              <w:jc w:val="center"/>
              <w:rPr>
                <w:rFonts w:hint="eastAsia" w:ascii="Times New Roman" w:hAnsi="Times New Roman" w:cs="Times New Roman"/>
                <w:sz w:val="21"/>
                <w:lang w:val="en-US" w:eastAsia="zh-CN"/>
              </w:rPr>
            </w:pPr>
            <w:r>
              <w:rPr>
                <w:rFonts w:ascii="Times New Roman" w:hAnsi="Times New Roman" w:eastAsia="仿宋_GB2312" w:cs="Times New Roman"/>
                <w:color w:val="000000"/>
                <w:sz w:val="21"/>
                <w:szCs w:val="21"/>
              </w:rPr>
              <w:t>制粒、筛分</w:t>
            </w:r>
          </w:p>
        </w:tc>
        <w:tc>
          <w:tcPr>
            <w:tcW w:w="591" w:type="pct"/>
            <w:tcBorders>
              <w:tl2br w:val="nil"/>
              <w:tr2bl w:val="nil"/>
            </w:tcBorders>
            <w:vAlign w:val="center"/>
          </w:tcPr>
          <w:p w14:paraId="1FB3811F">
            <w:pPr>
              <w:spacing w:before="0" w:line="240" w:lineRule="auto"/>
              <w:ind w:lef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1109" w:type="dxa"/>
            <w:tcBorders>
              <w:tl2br w:val="nil"/>
              <w:tr2bl w:val="nil"/>
            </w:tcBorders>
            <w:vAlign w:val="center"/>
          </w:tcPr>
          <w:p w14:paraId="28874346">
            <w:pPr>
              <w:jc w:val="center"/>
              <w:textAlignment w:val="center"/>
              <w:rPr>
                <w:rFonts w:hint="default" w:ascii="Times New Roman" w:hAnsi="Times New Roman" w:cs="Times New Roman"/>
                <w:sz w:val="21"/>
                <w:lang w:val="en-US" w:eastAsia="zh-CN"/>
              </w:rPr>
            </w:pPr>
            <w:r>
              <w:rPr>
                <w:rFonts w:ascii="Times New Roman" w:hAnsi="Times New Roman" w:eastAsia="仿宋_GB2312" w:cs="Times New Roman"/>
                <w:color w:val="000000"/>
                <w:sz w:val="21"/>
                <w:szCs w:val="21"/>
              </w:rPr>
              <w:t>37.468</w:t>
            </w:r>
          </w:p>
        </w:tc>
        <w:tc>
          <w:tcPr>
            <w:tcW w:w="1109" w:type="dxa"/>
            <w:tcBorders>
              <w:tl2br w:val="nil"/>
              <w:tr2bl w:val="nil"/>
            </w:tcBorders>
            <w:vAlign w:val="center"/>
          </w:tcPr>
          <w:p w14:paraId="640B66C9">
            <w:pPr>
              <w:jc w:val="center"/>
              <w:textAlignment w:val="center"/>
              <w:rPr>
                <w:rFonts w:hint="default" w:ascii="Times New Roman" w:hAnsi="Times New Roman" w:cs="Times New Roman"/>
                <w:sz w:val="21"/>
                <w:lang w:val="en-US" w:eastAsia="zh-CN"/>
              </w:rPr>
            </w:pPr>
            <w:r>
              <w:rPr>
                <w:rFonts w:ascii="Times New Roman" w:hAnsi="Times New Roman" w:eastAsia="仿宋_GB2312" w:cs="Times New Roman"/>
                <w:color w:val="000000"/>
                <w:sz w:val="21"/>
                <w:szCs w:val="21"/>
              </w:rPr>
              <w:t>1.311</w:t>
            </w:r>
          </w:p>
        </w:tc>
        <w:tc>
          <w:tcPr>
            <w:tcW w:w="1240" w:type="dxa"/>
            <w:tcBorders>
              <w:tl2br w:val="nil"/>
              <w:tr2bl w:val="nil"/>
            </w:tcBorders>
            <w:vAlign w:val="center"/>
          </w:tcPr>
          <w:p w14:paraId="2AC53EB3">
            <w:pPr>
              <w:jc w:val="center"/>
              <w:textAlignment w:val="center"/>
              <w:rPr>
                <w:rFonts w:hint="default" w:ascii="Times New Roman" w:hAnsi="Times New Roman" w:cs="Times New Roman"/>
                <w:sz w:val="21"/>
                <w:lang w:val="en-US" w:eastAsia="zh-CN"/>
              </w:rPr>
            </w:pPr>
            <w:r>
              <w:rPr>
                <w:rFonts w:ascii="Times New Roman" w:hAnsi="Times New Roman" w:eastAsia="仿宋_GB2312" w:cs="Times New Roman"/>
                <w:color w:val="000000"/>
                <w:sz w:val="21"/>
                <w:szCs w:val="21"/>
              </w:rPr>
              <w:t>6.924</w:t>
            </w:r>
          </w:p>
        </w:tc>
        <w:tc>
          <w:tcPr>
            <w:tcW w:w="968" w:type="dxa"/>
            <w:tcBorders>
              <w:tl2br w:val="nil"/>
              <w:tr2bl w:val="nil"/>
            </w:tcBorders>
            <w:vAlign w:val="center"/>
          </w:tcPr>
          <w:p w14:paraId="6619398C">
            <w:pPr>
              <w:jc w:val="center"/>
              <w:textAlignment w:val="center"/>
              <w:rPr>
                <w:rFonts w:hint="default" w:ascii="Times New Roman" w:hAnsi="Times New Roman" w:cs="Times New Roman"/>
                <w:sz w:val="21"/>
                <w:lang w:val="en-US" w:eastAsia="zh-CN"/>
              </w:rPr>
            </w:pPr>
            <w:r>
              <w:rPr>
                <w:rFonts w:ascii="Times New Roman" w:hAnsi="Times New Roman" w:eastAsia="仿宋_GB2312" w:cs="Times New Roman"/>
                <w:color w:val="000000"/>
                <w:sz w:val="21"/>
                <w:szCs w:val="21"/>
              </w:rPr>
              <w:t>35000</w:t>
            </w:r>
          </w:p>
        </w:tc>
        <w:tc>
          <w:tcPr>
            <w:tcW w:w="710" w:type="pct"/>
            <w:tcBorders>
              <w:tl2br w:val="nil"/>
              <w:tr2bl w:val="nil"/>
            </w:tcBorders>
            <w:vAlign w:val="center"/>
          </w:tcPr>
          <w:p w14:paraId="709B7D53">
            <w:pPr>
              <w:pStyle w:val="140"/>
              <w:spacing w:before="0" w:line="240" w:lineRule="auto"/>
              <w:ind w:left="0" w:leftChars="0"/>
              <w:jc w:val="center"/>
              <w:rPr>
                <w:rFonts w:hint="eastAsia"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中央集尘系统</w:t>
            </w:r>
          </w:p>
        </w:tc>
        <w:tc>
          <w:tcPr>
            <w:tcW w:w="539" w:type="pct"/>
            <w:tcBorders>
              <w:tl2br w:val="nil"/>
              <w:tr2bl w:val="nil"/>
            </w:tcBorders>
            <w:vAlign w:val="center"/>
          </w:tcPr>
          <w:p w14:paraId="132F2957">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1#15m排气筒排放</w:t>
            </w:r>
          </w:p>
        </w:tc>
      </w:tr>
    </w:tbl>
    <w:p w14:paraId="78B609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0000FF"/>
          <w:szCs w:val="28"/>
          <w:lang w:val="en-US" w:eastAsia="zh-CN"/>
        </w:rPr>
      </w:pPr>
      <w:r>
        <w:rPr>
          <w:rFonts w:hint="eastAsia" w:ascii="宋体" w:hAnsi="宋体" w:eastAsia="宋体" w:cs="宋体"/>
          <w:color w:val="000000" w:themeColor="text1"/>
          <w:szCs w:val="21"/>
          <w14:textFill>
            <w14:solidFill>
              <w14:schemeClr w14:val="tx1"/>
            </w14:solidFill>
          </w14:textFill>
        </w:rPr>
        <w:t>假设废气不经处理，直接排放</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8"/>
          <w14:textFill>
            <w14:solidFill>
              <w14:schemeClr w14:val="tx1"/>
            </w14:solidFill>
          </w14:textFill>
        </w:rPr>
        <w:t>员工发现超标事故至关闭</w:t>
      </w:r>
      <w:r>
        <w:rPr>
          <w:rFonts w:hint="eastAsia" w:ascii="宋体" w:hAnsi="宋体" w:eastAsia="宋体" w:cs="宋体"/>
          <w:color w:val="000000" w:themeColor="text1"/>
          <w:szCs w:val="28"/>
          <w:lang w:val="en-US" w:eastAsia="zh-CN"/>
          <w14:textFill>
            <w14:solidFill>
              <w14:schemeClr w14:val="tx1"/>
            </w14:solidFill>
          </w14:textFill>
        </w:rPr>
        <w:t>生产设备</w:t>
      </w:r>
      <w:r>
        <w:rPr>
          <w:rFonts w:hint="eastAsia" w:ascii="宋体" w:hAnsi="宋体" w:eastAsia="宋体" w:cs="宋体"/>
          <w:color w:val="000000" w:themeColor="text1"/>
          <w:szCs w:val="28"/>
          <w14:textFill>
            <w14:solidFill>
              <w14:schemeClr w14:val="tx1"/>
            </w14:solidFill>
          </w14:textFill>
        </w:rPr>
        <w:t>时间为</w:t>
      </w:r>
      <w:r>
        <w:rPr>
          <w:rFonts w:hint="default" w:ascii="Times New Roman" w:hAnsi="Times New Roman" w:eastAsia="宋体" w:cs="Times New Roman"/>
          <w:color w:val="000000" w:themeColor="text1"/>
          <w:szCs w:val="28"/>
          <w14:textFill>
            <w14:solidFill>
              <w14:schemeClr w14:val="tx1"/>
            </w14:solidFill>
          </w14:textFill>
        </w:rPr>
        <w:t>15分钟，即超标排放时间为15分钟，</w:t>
      </w:r>
      <w:r>
        <w:rPr>
          <w:rFonts w:hint="default" w:ascii="Times New Roman" w:hAnsi="Times New Roman" w:eastAsia="宋体" w:cs="Times New Roman"/>
          <w:color w:val="000000" w:themeColor="text1"/>
          <w:lang w:val="en-US" w:eastAsia="zh-CN"/>
          <w14:textFill>
            <w14:solidFill>
              <w14:schemeClr w14:val="tx1"/>
            </w14:solidFill>
          </w14:textFill>
        </w:rPr>
        <w:t>各类污染物</w:t>
      </w:r>
      <w:r>
        <w:rPr>
          <w:rFonts w:hint="default" w:ascii="Times New Roman" w:hAnsi="Times New Roman" w:eastAsia="宋体" w:cs="Times New Roman"/>
          <w:color w:val="000000" w:themeColor="text1"/>
          <w:szCs w:val="28"/>
          <w14:textFill>
            <w14:solidFill>
              <w14:schemeClr w14:val="tx1"/>
            </w14:solidFill>
          </w14:textFill>
        </w:rPr>
        <w:t>的泄漏源强</w:t>
      </w:r>
      <w:r>
        <w:rPr>
          <w:rFonts w:hint="default" w:ascii="Times New Roman" w:hAnsi="Times New Roman" w:eastAsia="宋体" w:cs="Times New Roman"/>
          <w:color w:val="000000" w:themeColor="text1"/>
          <w:szCs w:val="28"/>
          <w:lang w:val="en-US" w:eastAsia="zh-CN"/>
          <w14:textFill>
            <w14:solidFill>
              <w14:schemeClr w14:val="tx1"/>
            </w14:solidFill>
          </w14:textFill>
        </w:rPr>
        <w:t>见表</w:t>
      </w:r>
      <w:r>
        <w:rPr>
          <w:rFonts w:hint="eastAsia" w:ascii="Times New Roman" w:hAnsi="Times New Roman" w:eastAsia="宋体" w:cs="Times New Roman"/>
          <w:color w:val="000000" w:themeColor="text1"/>
          <w:szCs w:val="28"/>
          <w:lang w:val="en-US" w:eastAsia="zh-CN"/>
          <w14:textFill>
            <w14:solidFill>
              <w14:schemeClr w14:val="tx1"/>
            </w14:solidFill>
          </w14:textFill>
        </w:rPr>
        <w:t>4-</w:t>
      </w:r>
      <w:r>
        <w:rPr>
          <w:rFonts w:hint="eastAsia" w:eastAsia="宋体" w:cs="Times New Roman"/>
          <w:color w:val="000000" w:themeColor="text1"/>
          <w:szCs w:val="28"/>
          <w:lang w:val="en-US" w:eastAsia="zh-CN"/>
          <w14:textFill>
            <w14:solidFill>
              <w14:schemeClr w14:val="tx1"/>
            </w14:solidFill>
          </w14:textFill>
        </w:rPr>
        <w:t>5</w:t>
      </w:r>
      <w:r>
        <w:rPr>
          <w:rFonts w:hint="eastAsia" w:ascii="Times New Roman" w:hAnsi="Times New Roman" w:eastAsia="宋体" w:cs="Times New Roman"/>
          <w:color w:val="000000" w:themeColor="text1"/>
          <w:szCs w:val="28"/>
          <w:lang w:val="en-US" w:eastAsia="zh-CN"/>
          <w14:textFill>
            <w14:solidFill>
              <w14:schemeClr w14:val="tx1"/>
            </w14:solidFill>
          </w14:textFill>
        </w:rPr>
        <w:t>。</w:t>
      </w:r>
    </w:p>
    <w:p w14:paraId="2FCACB06">
      <w:pPr>
        <w:adjustRightInd w:val="0"/>
        <w:snapToGrid w:val="0"/>
        <w:spacing w:line="500" w:lineRule="exact"/>
        <w:jc w:val="center"/>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表</w:t>
      </w:r>
      <w:r>
        <w:rPr>
          <w:rFonts w:hint="eastAsia" w:ascii="Times New Roman" w:hAnsi="Times New Roman" w:eastAsia="宋体" w:cs="Times New Roman"/>
          <w:b/>
          <w:bCs/>
          <w:color w:val="000000" w:themeColor="text1"/>
          <w:lang w:val="en-US" w:eastAsia="zh-CN"/>
          <w14:textFill>
            <w14:solidFill>
              <w14:schemeClr w14:val="tx1"/>
            </w14:solidFill>
          </w14:textFill>
        </w:rPr>
        <w:t>4</w:t>
      </w:r>
      <w:r>
        <w:rPr>
          <w:rFonts w:hint="eastAsia" w:eastAsia="宋体" w:cs="Times New Roman"/>
          <w:b/>
          <w:bCs/>
          <w:color w:val="000000" w:themeColor="text1"/>
          <w:lang w:val="en-US" w:eastAsia="zh-CN"/>
          <w14:textFill>
            <w14:solidFill>
              <w14:schemeClr w14:val="tx1"/>
            </w14:solidFill>
          </w14:textFill>
        </w:rPr>
        <w:t>—5</w:t>
      </w:r>
      <w:r>
        <w:rPr>
          <w:rFonts w:hint="default" w:ascii="Times New Roman" w:hAnsi="Times New Roman" w:eastAsia="宋体" w:cs="Times New Roman"/>
          <w:b/>
          <w:bCs/>
          <w:color w:val="000000" w:themeColor="text1"/>
          <w:szCs w:val="28"/>
          <w14:textFill>
            <w14:solidFill>
              <w14:schemeClr w14:val="tx1"/>
            </w14:solidFill>
          </w14:textFill>
        </w:rPr>
        <w:t>15分</w:t>
      </w:r>
      <w:r>
        <w:rPr>
          <w:rFonts w:hint="default" w:ascii="Times New Roman" w:hAnsi="Times New Roman" w:eastAsia="宋体" w:cs="Times New Roman"/>
          <w:b/>
          <w:bCs/>
          <w:color w:val="000000" w:themeColor="text1"/>
          <w:szCs w:val="28"/>
          <w:highlight w:val="none"/>
          <w14:textFill>
            <w14:solidFill>
              <w14:schemeClr w14:val="tx1"/>
            </w14:solidFill>
          </w14:textFill>
        </w:rPr>
        <w:t>钟</w:t>
      </w:r>
      <w:r>
        <w:rPr>
          <w:rFonts w:hint="eastAsia" w:eastAsia="宋体" w:cs="Times New Roman"/>
          <w:b/>
          <w:bCs/>
          <w:color w:val="000000" w:themeColor="text1"/>
          <w:szCs w:val="28"/>
          <w:highlight w:val="none"/>
          <w:lang w:val="en-US" w:eastAsia="zh-CN"/>
          <w14:textFill>
            <w14:solidFill>
              <w14:schemeClr w14:val="tx1"/>
            </w14:solidFill>
          </w14:textFill>
        </w:rPr>
        <w:t>内废气产生情况</w:t>
      </w:r>
      <w:r>
        <w:rPr>
          <w:rFonts w:hint="eastAsia" w:eastAsia="宋体" w:cs="Times New Roman"/>
          <w:b/>
          <w:bCs/>
          <w:color w:val="000000" w:themeColor="text1"/>
          <w:szCs w:val="28"/>
          <w:lang w:val="en-US" w:eastAsia="zh-CN"/>
          <w14:textFill>
            <w14:solidFill>
              <w14:schemeClr w14:val="tx1"/>
            </w14:solidFill>
          </w14:textFill>
        </w:rPr>
        <w:t>一览表</w:t>
      </w:r>
    </w:p>
    <w:tbl>
      <w:tblPr>
        <w:tblStyle w:val="37"/>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02"/>
        <w:gridCol w:w="1846"/>
        <w:gridCol w:w="1986"/>
        <w:gridCol w:w="1938"/>
        <w:gridCol w:w="1763"/>
      </w:tblGrid>
      <w:tr w14:paraId="68F12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1" w:type="pct"/>
            <w:vMerge w:val="restart"/>
            <w:shd w:val="clear" w:color="auto" w:fill="auto"/>
            <w:noWrap w:val="0"/>
            <w:vAlign w:val="center"/>
          </w:tcPr>
          <w:p w14:paraId="1F37AD81">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排放源</w:t>
            </w:r>
          </w:p>
        </w:tc>
        <w:tc>
          <w:tcPr>
            <w:tcW w:w="999" w:type="pct"/>
            <w:vMerge w:val="restart"/>
            <w:shd w:val="clear" w:color="auto" w:fill="auto"/>
            <w:noWrap w:val="0"/>
            <w:vAlign w:val="center"/>
          </w:tcPr>
          <w:p w14:paraId="2535EC8C">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废气量</w:t>
            </w:r>
          </w:p>
          <w:p w14:paraId="0A4F9011">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3</w:t>
            </w:r>
            <w:r>
              <w:rPr>
                <w:rFonts w:hint="default" w:ascii="Times New Roman" w:hAnsi="Times New Roman" w:eastAsia="宋体" w:cs="Times New Roman"/>
                <w:color w:val="000000"/>
                <w:kern w:val="0"/>
                <w:sz w:val="21"/>
                <w:szCs w:val="21"/>
              </w:rPr>
              <w:t>/h</w:t>
            </w:r>
          </w:p>
        </w:tc>
        <w:tc>
          <w:tcPr>
            <w:tcW w:w="1075" w:type="pct"/>
            <w:vMerge w:val="restart"/>
            <w:shd w:val="clear" w:color="auto" w:fill="auto"/>
            <w:noWrap w:val="0"/>
            <w:vAlign w:val="center"/>
          </w:tcPr>
          <w:p w14:paraId="398E0FA2">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污染物</w:t>
            </w:r>
          </w:p>
          <w:p w14:paraId="47E77C91">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名称</w:t>
            </w:r>
          </w:p>
        </w:tc>
        <w:tc>
          <w:tcPr>
            <w:tcW w:w="2003" w:type="pct"/>
            <w:gridSpan w:val="2"/>
            <w:shd w:val="clear" w:color="auto" w:fill="auto"/>
            <w:noWrap w:val="0"/>
            <w:vAlign w:val="center"/>
          </w:tcPr>
          <w:p w14:paraId="20711583">
            <w:pPr>
              <w:adjustRightInd w:val="0"/>
              <w:snapToGrid w:val="0"/>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15分钟内</w:t>
            </w:r>
            <w:r>
              <w:rPr>
                <w:rFonts w:hint="default" w:ascii="Times New Roman" w:hAnsi="Times New Roman" w:eastAsia="宋体" w:cs="Times New Roman"/>
                <w:color w:val="000000"/>
                <w:kern w:val="0"/>
                <w:sz w:val="21"/>
                <w:szCs w:val="21"/>
              </w:rPr>
              <w:t>产生情况</w:t>
            </w:r>
          </w:p>
        </w:tc>
      </w:tr>
      <w:tr w14:paraId="639E6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auto"/>
            <w:noWrap w:val="0"/>
            <w:vAlign w:val="center"/>
          </w:tcPr>
          <w:p w14:paraId="7C8EA95A">
            <w:pPr>
              <w:adjustRightInd w:val="0"/>
              <w:snapToGrid w:val="0"/>
              <w:jc w:val="center"/>
              <w:rPr>
                <w:rFonts w:hint="default" w:ascii="Times New Roman" w:hAnsi="Times New Roman" w:eastAsia="宋体" w:cs="Times New Roman"/>
                <w:color w:val="000000"/>
                <w:kern w:val="0"/>
                <w:sz w:val="21"/>
                <w:szCs w:val="21"/>
              </w:rPr>
            </w:pPr>
          </w:p>
        </w:tc>
        <w:tc>
          <w:tcPr>
            <w:tcW w:w="999" w:type="pct"/>
            <w:vMerge w:val="continue"/>
            <w:shd w:val="clear" w:color="auto" w:fill="auto"/>
            <w:noWrap w:val="0"/>
            <w:vAlign w:val="center"/>
          </w:tcPr>
          <w:p w14:paraId="55A2786E">
            <w:pPr>
              <w:adjustRightInd w:val="0"/>
              <w:snapToGrid w:val="0"/>
              <w:jc w:val="center"/>
              <w:rPr>
                <w:rFonts w:hint="default" w:ascii="Times New Roman" w:hAnsi="Times New Roman" w:eastAsia="宋体" w:cs="Times New Roman"/>
                <w:color w:val="000000"/>
                <w:kern w:val="0"/>
                <w:sz w:val="21"/>
                <w:szCs w:val="21"/>
              </w:rPr>
            </w:pPr>
          </w:p>
        </w:tc>
        <w:tc>
          <w:tcPr>
            <w:tcW w:w="1075" w:type="pct"/>
            <w:vMerge w:val="continue"/>
            <w:shd w:val="clear" w:color="auto" w:fill="auto"/>
            <w:noWrap w:val="0"/>
            <w:vAlign w:val="center"/>
          </w:tcPr>
          <w:p w14:paraId="2FAD7A27">
            <w:pPr>
              <w:adjustRightInd w:val="0"/>
              <w:snapToGrid w:val="0"/>
              <w:jc w:val="center"/>
              <w:rPr>
                <w:rFonts w:hint="default" w:ascii="Times New Roman" w:hAnsi="Times New Roman" w:eastAsia="宋体" w:cs="Times New Roman"/>
                <w:color w:val="000000"/>
                <w:kern w:val="0"/>
                <w:sz w:val="21"/>
                <w:szCs w:val="21"/>
              </w:rPr>
            </w:pPr>
          </w:p>
        </w:tc>
        <w:tc>
          <w:tcPr>
            <w:tcW w:w="1049" w:type="pct"/>
            <w:shd w:val="clear" w:color="auto" w:fill="auto"/>
            <w:noWrap w:val="0"/>
            <w:vAlign w:val="center"/>
          </w:tcPr>
          <w:p w14:paraId="24C92A3D">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速率</w:t>
            </w:r>
          </w:p>
        </w:tc>
        <w:tc>
          <w:tcPr>
            <w:tcW w:w="954" w:type="pct"/>
            <w:shd w:val="clear" w:color="auto" w:fill="auto"/>
            <w:noWrap w:val="0"/>
            <w:vAlign w:val="center"/>
          </w:tcPr>
          <w:p w14:paraId="3D784174">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产生量</w:t>
            </w:r>
          </w:p>
        </w:tc>
      </w:tr>
      <w:tr w14:paraId="60A7C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auto"/>
            <w:noWrap w:val="0"/>
            <w:vAlign w:val="center"/>
          </w:tcPr>
          <w:p w14:paraId="73823023">
            <w:pPr>
              <w:adjustRightInd w:val="0"/>
              <w:snapToGrid w:val="0"/>
              <w:jc w:val="center"/>
              <w:rPr>
                <w:rFonts w:hint="default" w:ascii="Times New Roman" w:hAnsi="Times New Roman" w:eastAsia="宋体" w:cs="Times New Roman"/>
                <w:color w:val="000000"/>
                <w:kern w:val="0"/>
                <w:sz w:val="21"/>
                <w:szCs w:val="21"/>
              </w:rPr>
            </w:pPr>
          </w:p>
        </w:tc>
        <w:tc>
          <w:tcPr>
            <w:tcW w:w="999" w:type="pct"/>
            <w:vMerge w:val="continue"/>
            <w:shd w:val="clear" w:color="auto" w:fill="auto"/>
            <w:noWrap w:val="0"/>
            <w:vAlign w:val="center"/>
          </w:tcPr>
          <w:p w14:paraId="2E5BDE4C">
            <w:pPr>
              <w:adjustRightInd w:val="0"/>
              <w:snapToGrid w:val="0"/>
              <w:jc w:val="center"/>
              <w:rPr>
                <w:rFonts w:hint="default" w:ascii="Times New Roman" w:hAnsi="Times New Roman" w:eastAsia="宋体" w:cs="Times New Roman"/>
                <w:color w:val="000000"/>
                <w:kern w:val="0"/>
                <w:sz w:val="21"/>
                <w:szCs w:val="21"/>
              </w:rPr>
            </w:pPr>
          </w:p>
        </w:tc>
        <w:tc>
          <w:tcPr>
            <w:tcW w:w="1075" w:type="pct"/>
            <w:vMerge w:val="continue"/>
            <w:shd w:val="clear" w:color="auto" w:fill="auto"/>
            <w:noWrap w:val="0"/>
            <w:vAlign w:val="center"/>
          </w:tcPr>
          <w:p w14:paraId="36DAA81F">
            <w:pPr>
              <w:adjustRightInd w:val="0"/>
              <w:snapToGrid w:val="0"/>
              <w:jc w:val="center"/>
              <w:rPr>
                <w:rFonts w:hint="default" w:ascii="Times New Roman" w:hAnsi="Times New Roman" w:eastAsia="宋体" w:cs="Times New Roman"/>
                <w:color w:val="000000"/>
                <w:kern w:val="0"/>
                <w:sz w:val="21"/>
                <w:szCs w:val="21"/>
              </w:rPr>
            </w:pPr>
          </w:p>
        </w:tc>
        <w:tc>
          <w:tcPr>
            <w:tcW w:w="1049" w:type="pct"/>
            <w:shd w:val="clear" w:color="auto" w:fill="auto"/>
            <w:noWrap w:val="0"/>
            <w:vAlign w:val="center"/>
          </w:tcPr>
          <w:p w14:paraId="5CA9CC52">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kg/h</w:t>
            </w:r>
          </w:p>
        </w:tc>
        <w:tc>
          <w:tcPr>
            <w:tcW w:w="954" w:type="pct"/>
            <w:shd w:val="clear" w:color="auto" w:fill="auto"/>
            <w:noWrap w:val="0"/>
            <w:vAlign w:val="center"/>
          </w:tcPr>
          <w:p w14:paraId="7626E7D1">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kg</w:t>
            </w:r>
          </w:p>
        </w:tc>
      </w:tr>
      <w:tr w14:paraId="4F4BC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shd w:val="clear" w:color="auto" w:fill="FFFFFF"/>
            <w:noWrap w:val="0"/>
            <w:vAlign w:val="center"/>
          </w:tcPr>
          <w:p w14:paraId="25A357C1">
            <w:pPr>
              <w:pStyle w:val="140"/>
              <w:spacing w:before="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w w:val="100"/>
                <w:sz w:val="21"/>
                <w:szCs w:val="21"/>
                <w:lang w:val="en-US" w:eastAsia="zh-CN"/>
              </w:rPr>
              <w:t>1#排气筒</w:t>
            </w:r>
          </w:p>
        </w:tc>
        <w:tc>
          <w:tcPr>
            <w:tcW w:w="1846" w:type="dxa"/>
            <w:shd w:val="clear" w:color="auto" w:fill="auto"/>
            <w:noWrap w:val="0"/>
            <w:vAlign w:val="center"/>
          </w:tcPr>
          <w:p w14:paraId="0EF63182">
            <w:pPr>
              <w:jc w:val="center"/>
              <w:textAlignment w:val="center"/>
              <w:rPr>
                <w:rFonts w:hint="default" w:ascii="Times New Roman" w:hAnsi="Times New Roman" w:eastAsia="宋体" w:cs="Times New Roman"/>
                <w:kern w:val="2"/>
                <w:sz w:val="21"/>
                <w:szCs w:val="24"/>
                <w:lang w:val="en-US" w:eastAsia="zh-CN" w:bidi="ar-SA"/>
              </w:rPr>
            </w:pPr>
            <w:r>
              <w:rPr>
                <w:rFonts w:ascii="Times New Roman" w:hAnsi="Times New Roman" w:eastAsia="仿宋_GB2312" w:cs="Times New Roman"/>
                <w:color w:val="000000"/>
                <w:sz w:val="21"/>
                <w:szCs w:val="21"/>
              </w:rPr>
              <w:t>50000</w:t>
            </w:r>
          </w:p>
        </w:tc>
        <w:tc>
          <w:tcPr>
            <w:tcW w:w="1075" w:type="pct"/>
            <w:shd w:val="clear" w:color="auto" w:fill="FFFFFF"/>
            <w:noWrap w:val="0"/>
            <w:vAlign w:val="center"/>
          </w:tcPr>
          <w:p w14:paraId="576CC4E4">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938" w:type="dxa"/>
            <w:shd w:val="clear" w:color="auto" w:fill="auto"/>
            <w:noWrap w:val="0"/>
            <w:vAlign w:val="center"/>
          </w:tcPr>
          <w:p w14:paraId="495CF6F5">
            <w:pPr>
              <w:jc w:val="center"/>
              <w:textAlignment w:val="center"/>
              <w:rPr>
                <w:rFonts w:hint="default" w:ascii="Times New Roman" w:hAnsi="Times New Roman" w:eastAsia="宋体" w:cs="Times New Roman"/>
                <w:kern w:val="2"/>
                <w:sz w:val="21"/>
                <w:szCs w:val="24"/>
                <w:lang w:val="en-US" w:eastAsia="zh-CN" w:bidi="ar-SA"/>
              </w:rPr>
            </w:pPr>
            <w:r>
              <w:rPr>
                <w:rFonts w:ascii="Times New Roman" w:hAnsi="Times New Roman" w:eastAsia="仿宋_GB2312" w:cs="Times New Roman"/>
                <w:color w:val="000000"/>
                <w:sz w:val="21"/>
                <w:szCs w:val="21"/>
              </w:rPr>
              <w:t>1.311</w:t>
            </w:r>
          </w:p>
        </w:tc>
        <w:tc>
          <w:tcPr>
            <w:tcW w:w="954" w:type="pct"/>
            <w:shd w:val="clear" w:color="auto" w:fill="auto"/>
            <w:noWrap w:val="0"/>
            <w:vAlign w:val="center"/>
          </w:tcPr>
          <w:p w14:paraId="7D56655B">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0.32775</w:t>
            </w:r>
          </w:p>
        </w:tc>
      </w:tr>
      <w:tr w14:paraId="266CD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21" w:type="pct"/>
            <w:shd w:val="clear" w:color="auto" w:fill="FFFFFF"/>
            <w:noWrap w:val="0"/>
            <w:vAlign w:val="center"/>
          </w:tcPr>
          <w:p w14:paraId="48CBEE08">
            <w:pPr>
              <w:pStyle w:val="140"/>
              <w:spacing w:before="0" w:line="240" w:lineRule="auto"/>
              <w:ind w:left="0" w:leftChars="0" w:right="0" w:righ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#排气筒</w:t>
            </w:r>
          </w:p>
        </w:tc>
        <w:tc>
          <w:tcPr>
            <w:tcW w:w="1846" w:type="dxa"/>
            <w:shd w:val="clear" w:color="auto" w:fill="auto"/>
            <w:noWrap w:val="0"/>
            <w:vAlign w:val="center"/>
          </w:tcPr>
          <w:p w14:paraId="6ABB9A7D">
            <w:pPr>
              <w:jc w:val="center"/>
              <w:textAlignment w:val="center"/>
              <w:rPr>
                <w:rFonts w:hint="default" w:ascii="Times New Roman" w:hAnsi="Times New Roman" w:eastAsia="宋体" w:cs="Times New Roman"/>
                <w:kern w:val="2"/>
                <w:sz w:val="21"/>
                <w:szCs w:val="24"/>
                <w:lang w:val="en-US" w:eastAsia="zh-CN" w:bidi="ar-SA"/>
              </w:rPr>
            </w:pPr>
            <w:r>
              <w:rPr>
                <w:rFonts w:ascii="Times New Roman" w:hAnsi="Times New Roman" w:eastAsia="仿宋_GB2312" w:cs="Times New Roman"/>
                <w:color w:val="000000"/>
                <w:sz w:val="21"/>
                <w:szCs w:val="21"/>
              </w:rPr>
              <w:t>35000</w:t>
            </w:r>
          </w:p>
        </w:tc>
        <w:tc>
          <w:tcPr>
            <w:tcW w:w="1075" w:type="pct"/>
            <w:shd w:val="clear" w:color="auto" w:fill="FFFFFF"/>
            <w:noWrap w:val="0"/>
            <w:vAlign w:val="center"/>
          </w:tcPr>
          <w:p w14:paraId="1AF39AD9">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938" w:type="dxa"/>
            <w:shd w:val="clear" w:color="auto" w:fill="auto"/>
            <w:noWrap w:val="0"/>
            <w:vAlign w:val="center"/>
          </w:tcPr>
          <w:p w14:paraId="34AF8E26">
            <w:pPr>
              <w:jc w:val="center"/>
              <w:textAlignment w:val="center"/>
              <w:rPr>
                <w:rFonts w:hint="default" w:ascii="Times New Roman" w:hAnsi="Times New Roman" w:eastAsia="宋体" w:cs="Times New Roman"/>
                <w:kern w:val="2"/>
                <w:sz w:val="21"/>
                <w:szCs w:val="24"/>
                <w:lang w:val="en-US" w:eastAsia="zh-CN" w:bidi="ar-SA"/>
              </w:rPr>
            </w:pPr>
            <w:r>
              <w:rPr>
                <w:rFonts w:ascii="Times New Roman" w:hAnsi="Times New Roman" w:eastAsia="仿宋_GB2312" w:cs="Times New Roman"/>
                <w:color w:val="000000"/>
                <w:sz w:val="21"/>
                <w:szCs w:val="21"/>
              </w:rPr>
              <w:t>1.311</w:t>
            </w:r>
          </w:p>
        </w:tc>
        <w:tc>
          <w:tcPr>
            <w:tcW w:w="954" w:type="pct"/>
            <w:shd w:val="clear" w:color="auto" w:fill="auto"/>
            <w:noWrap w:val="0"/>
            <w:vAlign w:val="center"/>
          </w:tcPr>
          <w:p w14:paraId="390A3434">
            <w:pPr>
              <w:pStyle w:val="140"/>
              <w:spacing w:before="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0.32775</w:t>
            </w:r>
          </w:p>
        </w:tc>
      </w:tr>
    </w:tbl>
    <w:p w14:paraId="7643FAFB">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bookmarkStart w:id="168" w:name="_Toc5652"/>
      <w:bookmarkStart w:id="169" w:name="_Toc19941"/>
      <w:bookmarkStart w:id="170" w:name="_Toc24510"/>
      <w:r>
        <w:rPr>
          <w:rFonts w:hint="default" w:ascii="Times New Roman" w:hAnsi="Times New Roman" w:eastAsia="宋体" w:cs="Times New Roman"/>
          <w:b/>
          <w:bCs/>
          <w:color w:val="000000" w:themeColor="text1"/>
          <w:sz w:val="24"/>
          <w:szCs w:val="24"/>
          <w14:textFill>
            <w14:solidFill>
              <w14:schemeClr w14:val="tx1"/>
            </w14:solidFill>
          </w14:textFill>
        </w:rPr>
        <w:t>4.3释放环境风险物质的扩散途径、涉及环境风险防控与应急措施、应急资源情况分析</w:t>
      </w:r>
      <w:bookmarkEnd w:id="168"/>
      <w:bookmarkEnd w:id="169"/>
      <w:bookmarkEnd w:id="170"/>
    </w:p>
    <w:p w14:paraId="5CDC946C">
      <w:pPr>
        <w:pStyle w:val="5"/>
        <w:keepNext/>
        <w:keepLines/>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b/>
          <w:bCs/>
          <w:color w:val="000000" w:themeColor="text1"/>
          <w14:textFill>
            <w14:solidFill>
              <w14:schemeClr w14:val="tx1"/>
            </w14:solidFill>
          </w14:textFill>
        </w:rPr>
      </w:pPr>
      <w:bookmarkStart w:id="171" w:name="_Toc20607"/>
      <w:bookmarkStart w:id="172" w:name="_Toc1477"/>
      <w:bookmarkStart w:id="173" w:name="_Toc14674"/>
      <w:r>
        <w:rPr>
          <w:rFonts w:hint="default" w:ascii="Times New Roman" w:hAnsi="Times New Roman" w:eastAsia="宋体" w:cs="Times New Roman"/>
          <w:b/>
          <w:bCs/>
          <w:color w:val="000000" w:themeColor="text1"/>
          <w14:textFill>
            <w14:solidFill>
              <w14:schemeClr w14:val="tx1"/>
            </w14:solidFill>
          </w14:textFill>
        </w:rPr>
        <w:t>4.3.1事件情景1</w:t>
      </w:r>
      <w:bookmarkEnd w:id="171"/>
      <w:bookmarkEnd w:id="172"/>
      <w:bookmarkEnd w:id="173"/>
    </w:p>
    <w:p w14:paraId="2416321E">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val="0"/>
          <w:color w:val="000000" w:themeColor="text1"/>
          <w:lang w:val="en-US" w:eastAsia="zh-CN"/>
          <w14:textFill>
            <w14:solidFill>
              <w14:schemeClr w14:val="tx1"/>
            </w14:solidFill>
          </w14:textFill>
        </w:rPr>
      </w:pPr>
      <w:r>
        <w:rPr>
          <w:rFonts w:hint="eastAsia" w:ascii="宋体" w:hAnsi="宋体" w:eastAsia="宋体" w:cs="宋体"/>
          <w:b/>
          <w:bCs w:val="0"/>
          <w:color w:val="000000" w:themeColor="text1"/>
          <w:szCs w:val="28"/>
          <w:lang w:eastAsia="zh-CN"/>
          <w14:textFill>
            <w14:solidFill>
              <w14:schemeClr w14:val="tx1"/>
            </w14:solidFill>
          </w14:textFill>
        </w:rPr>
        <w:t>（</w:t>
      </w:r>
      <w:r>
        <w:rPr>
          <w:rFonts w:hint="eastAsia" w:ascii="宋体" w:hAnsi="宋体" w:eastAsia="宋体" w:cs="宋体"/>
          <w:b/>
          <w:bCs w:val="0"/>
          <w:color w:val="000000" w:themeColor="text1"/>
          <w:szCs w:val="28"/>
          <w:lang w:val="en-US" w:eastAsia="zh-CN"/>
          <w14:textFill>
            <w14:solidFill>
              <w14:schemeClr w14:val="tx1"/>
            </w14:solidFill>
          </w14:textFill>
        </w:rPr>
        <w:t>1）</w:t>
      </w:r>
      <w:r>
        <w:rPr>
          <w:rFonts w:hint="default" w:ascii="Times New Roman" w:hAnsi="Times New Roman" w:eastAsia="宋体" w:cs="Times New Roman"/>
          <w:b/>
          <w:bCs w:val="0"/>
          <w:color w:val="000000" w:themeColor="text1"/>
          <w:lang w:val="en-US" w:eastAsia="zh-CN"/>
          <w14:textFill>
            <w14:solidFill>
              <w14:schemeClr w14:val="tx1"/>
            </w14:solidFill>
          </w14:textFill>
        </w:rPr>
        <w:t>风险物质的扩散途径</w:t>
      </w:r>
    </w:p>
    <w:p w14:paraId="217F7E0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火灾爆炸</w:t>
      </w:r>
      <w:r>
        <w:rPr>
          <w:rFonts w:hint="eastAsia" w:ascii="宋体" w:hAnsi="宋体" w:eastAsia="宋体" w:cs="宋体"/>
          <w:color w:val="000000" w:themeColor="text1"/>
          <w14:textFill>
            <w14:solidFill>
              <w14:schemeClr w14:val="tx1"/>
            </w14:solidFill>
          </w14:textFill>
        </w:rPr>
        <w:t>对周边以热辐射及冲击波形式产</w:t>
      </w:r>
      <w:r>
        <w:rPr>
          <w:rFonts w:hint="default" w:ascii="Times New Roman" w:hAnsi="Times New Roman" w:eastAsia="宋体" w:cs="Times New Roman"/>
          <w:color w:val="000000" w:themeColor="text1"/>
          <w14:textFill>
            <w14:solidFill>
              <w14:schemeClr w14:val="tx1"/>
            </w14:solidFill>
          </w14:textFill>
        </w:rPr>
        <w:t>生影响，燃烧过程中会产生CO</w:t>
      </w:r>
      <w:r>
        <w:rPr>
          <w:rFonts w:hint="eastAsia" w:eastAsia="宋体" w:cs="Times New Roman"/>
          <w:color w:val="000000" w:themeColor="text1"/>
          <w:lang w:val="en-US" w:eastAsia="zh-CN"/>
          <w14:textFill>
            <w14:solidFill>
              <w14:schemeClr w14:val="tx1"/>
            </w14:solidFill>
          </w14:textFill>
        </w:rPr>
        <w:t>等</w:t>
      </w:r>
      <w:r>
        <w:rPr>
          <w:rFonts w:hint="default" w:ascii="Times New Roman" w:hAnsi="Times New Roman" w:eastAsia="宋体" w:cs="Times New Roman"/>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产生大量烟尘</w:t>
      </w:r>
      <w:r>
        <w:rPr>
          <w:rFonts w:hint="eastAsia"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对大气环境有一定影响。</w:t>
      </w:r>
    </w:p>
    <w:p w14:paraId="6003110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2</w:t>
      </w: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环境风险防控与应急措施</w:t>
      </w:r>
    </w:p>
    <w:p w14:paraId="7A051B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①假如发现发生火情，最早发现者应立即报告当班调度或公司领导。公司领导接报后，立即通知公司各应急小组成员赶赴现场。</w:t>
      </w:r>
      <w:r>
        <w:rPr>
          <w:rFonts w:hint="eastAsia" w:cs="Times New Roman" w:eastAsiaTheme="minorEastAsia"/>
          <w:color w:val="000000" w:themeColor="text1"/>
          <w:sz w:val="24"/>
          <w:szCs w:val="24"/>
          <w:lang w:eastAsia="zh-CN"/>
          <w14:textFill>
            <w14:solidFill>
              <w14:schemeClr w14:val="tx1"/>
            </w14:solidFill>
          </w14:textFill>
        </w:rPr>
        <w:t>现场处置组</w:t>
      </w:r>
      <w:r>
        <w:rPr>
          <w:rFonts w:hint="default" w:ascii="Times New Roman" w:hAnsi="Times New Roman" w:cs="Times New Roman" w:eastAsiaTheme="minorEastAsia"/>
          <w:color w:val="000000" w:themeColor="text1"/>
          <w:sz w:val="24"/>
          <w:szCs w:val="24"/>
          <w14:textFill>
            <w14:solidFill>
              <w14:schemeClr w14:val="tx1"/>
            </w14:solidFill>
          </w14:textFill>
        </w:rPr>
        <w:t>成员到达现场后，进行火情侦查，确定有无人员被困，灭火前做好</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关闭雨水闸控，开启事故应急池闸控</w:t>
      </w:r>
      <w:r>
        <w:rPr>
          <w:rFonts w:hint="default" w:ascii="Times New Roman" w:hAnsi="Times New Roman" w:cs="Times New Roman" w:eastAsiaTheme="minorEastAsia"/>
          <w:color w:val="000000" w:themeColor="text1"/>
          <w:sz w:val="24"/>
          <w:szCs w:val="24"/>
          <w14:textFill>
            <w14:solidFill>
              <w14:schemeClr w14:val="tx1"/>
            </w14:solidFill>
          </w14:textFill>
        </w:rPr>
        <w:t>工作。</w:t>
      </w:r>
      <w:r>
        <w:rPr>
          <w:rFonts w:hint="eastAsia" w:cs="Times New Roman" w:eastAsiaTheme="minorEastAsia"/>
          <w:color w:val="000000" w:themeColor="text1"/>
          <w:sz w:val="24"/>
          <w:szCs w:val="24"/>
          <w:lang w:val="en-US" w:eastAsia="zh-CN"/>
          <w14:textFill>
            <w14:solidFill>
              <w14:schemeClr w14:val="tx1"/>
            </w14:solidFill>
          </w14:textFill>
        </w:rPr>
        <w:t>现场处置组</w:t>
      </w:r>
      <w:r>
        <w:rPr>
          <w:rFonts w:hint="default" w:ascii="Times New Roman" w:hAnsi="Times New Roman" w:cs="Times New Roman" w:eastAsiaTheme="minorEastAsia"/>
          <w:color w:val="000000" w:themeColor="text1"/>
          <w:sz w:val="24"/>
          <w:szCs w:val="24"/>
          <w14:textFill>
            <w14:solidFill>
              <w14:schemeClr w14:val="tx1"/>
            </w14:solidFill>
          </w14:textFill>
        </w:rPr>
        <w:t>人员戴自给</w:t>
      </w:r>
      <w:r>
        <w:rPr>
          <w:rFonts w:hint="eastAsia" w:cs="Times New Roman" w:eastAsiaTheme="minorEastAsia"/>
          <w:color w:val="000000" w:themeColor="text1"/>
          <w:sz w:val="24"/>
          <w:szCs w:val="24"/>
          <w:lang w:eastAsia="zh-CN"/>
          <w14:textFill>
            <w14:solidFill>
              <w14:schemeClr w14:val="tx1"/>
            </w14:solidFill>
          </w14:textFill>
        </w:rPr>
        <w:t>防毒面具</w:t>
      </w:r>
      <w:r>
        <w:rPr>
          <w:rFonts w:hint="default" w:ascii="Times New Roman" w:hAnsi="Times New Roman" w:cs="Times New Roman" w:eastAsiaTheme="minorEastAsia"/>
          <w:color w:val="000000" w:themeColor="text1"/>
          <w:sz w:val="24"/>
          <w:szCs w:val="24"/>
          <w14:textFill>
            <w14:solidFill>
              <w14:schemeClr w14:val="tx1"/>
            </w14:solidFill>
          </w14:textFill>
        </w:rPr>
        <w:t>，戴安全防护眼镜，穿</w:t>
      </w:r>
      <w:r>
        <w:rPr>
          <w:rFonts w:hint="eastAsia" w:cs="Times New Roman" w:eastAsiaTheme="minorEastAsia"/>
          <w:color w:val="000000" w:themeColor="text1"/>
          <w:sz w:val="24"/>
          <w:szCs w:val="24"/>
          <w:lang w:val="en-US" w:eastAsia="zh-CN"/>
          <w14:textFill>
            <w14:solidFill>
              <w14:schemeClr w14:val="tx1"/>
            </w14:solidFill>
          </w14:textFill>
        </w:rPr>
        <w:t>消防服</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eastAsia" w:cs="Times New Roman" w:eastAsiaTheme="minorEastAsia"/>
          <w:color w:val="000000" w:themeColor="text1"/>
          <w:sz w:val="24"/>
          <w:szCs w:val="24"/>
          <w:lang w:eastAsia="zh-CN"/>
          <w14:textFill>
            <w14:solidFill>
              <w14:schemeClr w14:val="tx1"/>
            </w14:solidFill>
          </w14:textFill>
        </w:rPr>
        <w:t>防护手套</w:t>
      </w:r>
      <w:r>
        <w:rPr>
          <w:rFonts w:hint="default" w:ascii="Times New Roman" w:hAnsi="Times New Roman" w:cs="Times New Roman" w:eastAsiaTheme="minorEastAsia"/>
          <w:color w:val="000000" w:themeColor="text1"/>
          <w:sz w:val="24"/>
          <w:szCs w:val="24"/>
          <w14:textFill>
            <w14:solidFill>
              <w14:schemeClr w14:val="tx1"/>
            </w14:solidFill>
          </w14:textFill>
        </w:rPr>
        <w:t>，使用生产现场配置的灭火设备，扑灭初期火灾；为防止火势蔓延，在保证生产安全情况下，关停生产设备，拉下电闸。</w:t>
      </w:r>
    </w:p>
    <w:p w14:paraId="514CF2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②现场管理人员要立即指挥员工搬离火场附近的可燃物，避免火灾区域扩大。</w:t>
      </w:r>
      <w:r>
        <w:rPr>
          <w:rFonts w:hint="eastAsia" w:cs="Times New Roman" w:eastAsiaTheme="minorEastAsia"/>
          <w:sz w:val="24"/>
          <w:szCs w:val="24"/>
          <w:lang w:val="en-US" w:eastAsia="zh-CN"/>
        </w:rPr>
        <w:t>应急保障组</w:t>
      </w:r>
      <w:r>
        <w:rPr>
          <w:rFonts w:hint="default" w:ascii="Times New Roman" w:hAnsi="Times New Roman" w:cs="Times New Roman" w:eastAsiaTheme="minorEastAsia"/>
          <w:sz w:val="24"/>
          <w:szCs w:val="24"/>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247413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sz w:val="24"/>
          <w:szCs w:val="24"/>
          <w:lang w:eastAsia="zh-CN"/>
        </w:rPr>
        <w:t>总经理</w:t>
      </w:r>
      <w:r>
        <w:rPr>
          <w:rFonts w:hint="default" w:ascii="Times New Roman" w:hAnsi="Times New Roman" w:cs="Times New Roman" w:eastAsiaTheme="minorEastAsia"/>
          <w:sz w:val="24"/>
          <w:szCs w:val="24"/>
        </w:rPr>
        <w:t>下令全公司全部停止，将所有人员疏散到厂区外安全地带，并进行隔离，严格限制出入，等待救援。当事件已经或可能对</w:t>
      </w:r>
      <w:r>
        <w:rPr>
          <w:rFonts w:hint="eastAsia" w:ascii="Times New Roman" w:hAnsi="Times New Roman" w:cs="Times New Roman" w:eastAsiaTheme="minorEastAsia"/>
          <w:sz w:val="24"/>
          <w:szCs w:val="24"/>
          <w:lang w:eastAsia="zh-CN"/>
        </w:rPr>
        <w:t>公司</w:t>
      </w:r>
      <w:r>
        <w:rPr>
          <w:rFonts w:hint="default" w:ascii="Times New Roman" w:hAnsi="Times New Roman" w:cs="Times New Roman" w:eastAsiaTheme="minorEastAsia"/>
          <w:sz w:val="24"/>
          <w:szCs w:val="24"/>
        </w:rPr>
        <w:t>外环境造成影响时，应</w:t>
      </w:r>
      <w:r>
        <w:rPr>
          <w:rFonts w:hint="default" w:ascii="Times New Roman" w:hAnsi="Times New Roman" w:cs="Times New Roman" w:eastAsiaTheme="minorEastAsia"/>
          <w:sz w:val="24"/>
          <w:szCs w:val="24"/>
          <w:lang w:eastAsia="zh-CN"/>
        </w:rPr>
        <w:t>经上级政府批准后由有权部门</w:t>
      </w:r>
      <w:r>
        <w:rPr>
          <w:rFonts w:hint="default" w:ascii="Times New Roman" w:hAnsi="Times New Roman" w:cs="Times New Roman" w:eastAsiaTheme="minorEastAsia"/>
          <w:sz w:val="24"/>
          <w:szCs w:val="24"/>
        </w:rPr>
        <w:t>向环境突发事件可能影响的区域通报突发事件的情况，包括事件的产生、处理情况，对周围群众可能造成的影响，并给出合适的建议来确保周围群众的安全。</w:t>
      </w:r>
    </w:p>
    <w:p w14:paraId="778B203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一般的小火灾，利用现场灭火器材可以扑灭，其产生的污染较小，对外环境的影响不需考虑。当请求外部救援灭火时，应及时堵住雨水排口，防止废物排出厂外。发生火灾时，避免用大量水灭火，应使用泡沫、二氧化碳干粉、砂土等进行灭火，防止火灾影响范围扩大。</w:t>
      </w:r>
    </w:p>
    <w:p w14:paraId="158D33E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⑤灭火过程产生的废物，如受污染的砂土等应收集送资质单位处置。</w:t>
      </w:r>
      <w:r>
        <w:rPr>
          <w:rFonts w:hint="eastAsia" w:ascii="Times New Roman" w:hAnsi="Times New Roman" w:cs="Times New Roman" w:eastAsiaTheme="minorEastAsia"/>
          <w:sz w:val="24"/>
          <w:szCs w:val="24"/>
          <w:lang w:eastAsia="zh-CN"/>
        </w:rPr>
        <w:t>消防水</w:t>
      </w:r>
      <w:r>
        <w:rPr>
          <w:rFonts w:hint="default" w:ascii="Times New Roman" w:hAnsi="Times New Roman" w:cs="Times New Roman" w:eastAsiaTheme="minorEastAsia"/>
          <w:sz w:val="24"/>
          <w:szCs w:val="24"/>
        </w:rPr>
        <w:t>经雨水管网</w:t>
      </w:r>
      <w:r>
        <w:rPr>
          <w:rFonts w:hint="eastAsia" w:ascii="Times New Roman" w:hAnsi="Times New Roman" w:cs="Times New Roman" w:eastAsiaTheme="minorEastAsia"/>
          <w:sz w:val="24"/>
          <w:szCs w:val="24"/>
          <w:lang w:val="en-US" w:eastAsia="zh-CN"/>
        </w:rPr>
        <w:t>排入</w:t>
      </w:r>
      <w:r>
        <w:rPr>
          <w:rFonts w:hint="default" w:ascii="Times New Roman" w:hAnsi="Times New Roman" w:cs="Times New Roman" w:eastAsiaTheme="minorEastAsia"/>
          <w:sz w:val="24"/>
          <w:szCs w:val="24"/>
        </w:rPr>
        <w:t>厂内事故应急池，再分批进行处置。</w:t>
      </w:r>
    </w:p>
    <w:p w14:paraId="2837302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default" w:ascii="Times New Roman" w:hAnsi="Times New Roman" w:cs="Times New Roman" w:eastAsiaTheme="minorEastAsia"/>
          <w:sz w:val="24"/>
          <w:szCs w:val="24"/>
        </w:rPr>
        <w:t>⑥灭火工作应采取“先控制、后消灭”的原则，集中力量切断火势蔓延途径，将火势控制在一定的范围内，防止火势向主生产区、主生产设备、易燃易爆物品、人员集中场所</w:t>
      </w:r>
      <w:r>
        <w:rPr>
          <w:rFonts w:hint="default" w:ascii="Times New Roman" w:hAnsi="Times New Roman" w:cs="Times New Roman" w:eastAsiaTheme="minorEastAsia"/>
          <w:color w:val="000000" w:themeColor="text1"/>
          <w:sz w:val="24"/>
          <w:szCs w:val="24"/>
          <w14:textFill>
            <w14:solidFill>
              <w14:schemeClr w14:val="tx1"/>
            </w14:solidFill>
          </w14:textFill>
        </w:rPr>
        <w:t>、重要建筑等蔓延。</w:t>
      </w:r>
    </w:p>
    <w:p w14:paraId="081AEF7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3</w:t>
      </w: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应急资源</w:t>
      </w:r>
    </w:p>
    <w:p w14:paraId="507205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bookmarkStart w:id="174" w:name="_Toc2270"/>
      <w:r>
        <w:rPr>
          <w:rFonts w:hint="default" w:ascii="Times New Roman" w:hAnsi="Times New Roman" w:cs="Times New Roman" w:eastAsiaTheme="minorEastAsia"/>
          <w:sz w:val="24"/>
          <w:szCs w:val="24"/>
        </w:rPr>
        <w:t>自给</w:t>
      </w:r>
      <w:r>
        <w:rPr>
          <w:rFonts w:hint="eastAsia" w:cs="Times New Roman" w:eastAsiaTheme="minorEastAsia"/>
          <w:sz w:val="24"/>
          <w:szCs w:val="24"/>
          <w:lang w:eastAsia="zh-CN"/>
        </w:rPr>
        <w:t>防毒面具</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消防服</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挖土工具如铁锹，</w:t>
      </w:r>
      <w:r>
        <w:rPr>
          <w:rFonts w:hint="default" w:ascii="Times New Roman" w:hAnsi="Times New Roman" w:cs="Times New Roman" w:eastAsiaTheme="minorEastAsia"/>
          <w:sz w:val="24"/>
          <w:szCs w:val="24"/>
        </w:rPr>
        <w:t>砂土、灭火器等。</w:t>
      </w:r>
      <w:bookmarkEnd w:id="174"/>
    </w:p>
    <w:p w14:paraId="2312FF52">
      <w:pPr>
        <w:pStyle w:val="5"/>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75" w:name="_Toc28688"/>
      <w:bookmarkStart w:id="176" w:name="_Toc5056"/>
      <w:bookmarkStart w:id="177" w:name="_Toc10339"/>
      <w:r>
        <w:rPr>
          <w:rFonts w:hint="default" w:ascii="Times New Roman" w:hAnsi="Times New Roman" w:eastAsia="宋体" w:cs="Times New Roman"/>
          <w:color w:val="000000" w:themeColor="text1"/>
          <w14:textFill>
            <w14:solidFill>
              <w14:schemeClr w14:val="tx1"/>
            </w14:solidFill>
          </w14:textFill>
        </w:rPr>
        <w:t>4.3.</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事件情景</w:t>
      </w:r>
      <w:bookmarkEnd w:id="175"/>
      <w:r>
        <w:rPr>
          <w:rFonts w:hint="eastAsia" w:eastAsia="宋体" w:cs="Times New Roman"/>
          <w:color w:val="000000" w:themeColor="text1"/>
          <w:lang w:val="en-US" w:eastAsia="zh-CN"/>
          <w14:textFill>
            <w14:solidFill>
              <w14:schemeClr w14:val="tx1"/>
            </w14:solidFill>
          </w14:textFill>
        </w:rPr>
        <w:t>3、6</w:t>
      </w:r>
      <w:bookmarkEnd w:id="176"/>
      <w:bookmarkEnd w:id="177"/>
    </w:p>
    <w:p w14:paraId="3095638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A.废水外排事故</w:t>
      </w:r>
    </w:p>
    <w:p w14:paraId="6EFE9C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（1）风险物质的扩散途径</w:t>
      </w:r>
    </w:p>
    <w:p w14:paraId="766663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因</w:t>
      </w:r>
      <w:r>
        <w:rPr>
          <w:rFonts w:hint="eastAsia" w:ascii="宋体" w:hAnsi="宋体" w:eastAsia="宋体" w:cs="宋体"/>
          <w:color w:val="000000" w:themeColor="text1"/>
          <w:lang w:val="en-US" w:eastAsia="zh-CN"/>
          <w14:textFill>
            <w14:solidFill>
              <w14:schemeClr w14:val="tx1"/>
            </w14:solidFill>
          </w14:textFill>
        </w:rPr>
        <w:t>污水处理设施故障、应急事故池引流措施失败、未及时关闭雨水排口阀门等原因</w:t>
      </w:r>
      <w:r>
        <w:rPr>
          <w:rFonts w:hint="eastAsia" w:ascii="宋体" w:hAnsi="宋体" w:eastAsia="宋体" w:cs="宋体"/>
          <w:color w:val="000000" w:themeColor="text1"/>
          <w14:textFill>
            <w14:solidFill>
              <w14:schemeClr w14:val="tx1"/>
            </w14:solidFill>
          </w14:textFill>
        </w:rPr>
        <w:t>导致的污水</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泄漏的化学物质通过雨水管道</w:t>
      </w:r>
      <w:r>
        <w:rPr>
          <w:rFonts w:hint="eastAsia" w:ascii="宋体" w:hAnsi="宋体" w:eastAsia="宋体" w:cs="宋体"/>
          <w:color w:val="000000" w:themeColor="text1"/>
          <w14:textFill>
            <w14:solidFill>
              <w14:schemeClr w14:val="tx1"/>
            </w14:solidFill>
          </w14:textFill>
        </w:rPr>
        <w:t>进入</w:t>
      </w:r>
      <w:r>
        <w:rPr>
          <w:rFonts w:hint="eastAsia" w:ascii="宋体" w:hAnsi="宋体" w:eastAsia="宋体" w:cs="宋体"/>
          <w:color w:val="000000" w:themeColor="text1"/>
          <w:lang w:val="en-US" w:eastAsia="zh-CN"/>
          <w14:textFill>
            <w14:solidFill>
              <w14:schemeClr w14:val="tx1"/>
            </w14:solidFill>
          </w14:textFill>
        </w:rPr>
        <w:t>胡墩河</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将</w:t>
      </w:r>
      <w:r>
        <w:rPr>
          <w:rFonts w:hint="eastAsia" w:ascii="宋体" w:hAnsi="宋体" w:eastAsia="宋体" w:cs="宋体"/>
          <w:color w:val="000000" w:themeColor="text1"/>
          <w14:textFill>
            <w14:solidFill>
              <w14:schemeClr w14:val="tx1"/>
            </w14:solidFill>
          </w14:textFill>
        </w:rPr>
        <w:t>对</w:t>
      </w:r>
      <w:r>
        <w:rPr>
          <w:rFonts w:hint="eastAsia" w:ascii="宋体" w:hAnsi="宋体" w:eastAsia="宋体" w:cs="宋体"/>
          <w:color w:val="000000" w:themeColor="text1"/>
          <w:lang w:val="en-US" w:eastAsia="zh-CN"/>
          <w14:textFill>
            <w14:solidFill>
              <w14:schemeClr w14:val="tx1"/>
            </w14:solidFill>
          </w14:textFill>
        </w:rPr>
        <w:t>胡墩河</w:t>
      </w:r>
      <w:r>
        <w:rPr>
          <w:rFonts w:hint="eastAsia" w:ascii="宋体" w:hAnsi="宋体" w:eastAsia="宋体" w:cs="宋体"/>
          <w:color w:val="000000" w:themeColor="text1"/>
          <w14:textFill>
            <w14:solidFill>
              <w14:schemeClr w14:val="tx1"/>
            </w14:solidFill>
          </w14:textFill>
        </w:rPr>
        <w:t>断面产生不良影响。</w:t>
      </w:r>
    </w:p>
    <w:p w14:paraId="446123FF">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76039C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color w:val="000000" w:themeColor="text1"/>
          <w:spacing w:val="0"/>
          <w14:textFill>
            <w14:solidFill>
              <w14:schemeClr w14:val="tx1"/>
            </w14:solidFill>
          </w14:textFill>
        </w:rPr>
        <w:t>一旦发生消防废水进入</w:t>
      </w:r>
      <w:r>
        <w:rPr>
          <w:rFonts w:hint="eastAsia" w:ascii="宋体" w:hAnsi="宋体" w:eastAsia="宋体" w:cs="宋体"/>
          <w:color w:val="000000" w:themeColor="text1"/>
          <w:lang w:val="en-US" w:eastAsia="zh-CN"/>
          <w14:textFill>
            <w14:solidFill>
              <w14:schemeClr w14:val="tx1"/>
            </w14:solidFill>
          </w14:textFill>
        </w:rPr>
        <w:t>胡墩河</w:t>
      </w:r>
      <w:r>
        <w:rPr>
          <w:rFonts w:hint="eastAsia" w:ascii="宋体" w:hAnsi="宋体" w:eastAsia="宋体" w:cs="宋体"/>
          <w:color w:val="000000" w:themeColor="text1"/>
          <w:spacing w:val="0"/>
          <w14:textFill>
            <w14:solidFill>
              <w14:schemeClr w14:val="tx1"/>
            </w14:solidFill>
          </w14:textFill>
        </w:rPr>
        <w:t>的情况，应堵住雨水总排口，同时通知政府部门，严密监视</w:t>
      </w:r>
      <w:r>
        <w:rPr>
          <w:rFonts w:hint="eastAsia" w:ascii="宋体" w:hAnsi="宋体" w:eastAsia="宋体" w:cs="宋体"/>
          <w:color w:val="000000" w:themeColor="text1"/>
          <w:lang w:val="en-US" w:eastAsia="zh-CN"/>
          <w14:textFill>
            <w14:solidFill>
              <w14:schemeClr w14:val="tx1"/>
            </w14:solidFill>
          </w14:textFill>
        </w:rPr>
        <w:t>胡墩河</w:t>
      </w:r>
      <w:r>
        <w:rPr>
          <w:rFonts w:hint="eastAsia" w:ascii="宋体" w:hAnsi="宋体" w:eastAsia="宋体" w:cs="宋体"/>
          <w:color w:val="000000" w:themeColor="text1"/>
          <w:spacing w:val="0"/>
          <w14:textFill>
            <w14:solidFill>
              <w14:schemeClr w14:val="tx1"/>
            </w14:solidFill>
          </w14:textFill>
        </w:rPr>
        <w:t>水质情况，视污染程度决定是否启动开发区级环境突发事件</w:t>
      </w:r>
      <w:r>
        <w:rPr>
          <w:rFonts w:hint="eastAsia" w:ascii="宋体" w:hAnsi="宋体" w:eastAsia="宋体" w:cs="宋体"/>
          <w:color w:val="000000" w:themeColor="text1"/>
          <w14:textFill>
            <w14:solidFill>
              <w14:schemeClr w14:val="tx1"/>
            </w14:solidFill>
          </w14:textFill>
        </w:rPr>
        <w:t>应急预案。</w:t>
      </w:r>
    </w:p>
    <w:p w14:paraId="308EA2F1">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20D1F6F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工作服，手套、切换阀、截流阀门等</w:t>
      </w:r>
    </w:p>
    <w:p w14:paraId="50EE967C">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color w:val="000000" w:themeColor="text1"/>
          <w:szCs w:val="28"/>
          <w14:textFill>
            <w14:solidFill>
              <w14:schemeClr w14:val="tx1"/>
            </w14:solidFill>
          </w14:textFill>
        </w:rPr>
      </w:pPr>
      <w:r>
        <w:rPr>
          <w:rFonts w:hint="default" w:ascii="Times New Roman" w:hAnsi="Times New Roman" w:eastAsia="宋体" w:cs="Times New Roman"/>
          <w:b/>
          <w:color w:val="000000" w:themeColor="text1"/>
          <w:szCs w:val="28"/>
          <w:lang w:val="en-US" w:eastAsia="zh-CN"/>
          <w14:textFill>
            <w14:solidFill>
              <w14:schemeClr w14:val="tx1"/>
            </w14:solidFill>
          </w14:textFill>
        </w:rPr>
        <w:t>B</w:t>
      </w:r>
      <w:r>
        <w:rPr>
          <w:rFonts w:hint="eastAsia" w:eastAsia="宋体" w:cs="Times New Roman"/>
          <w:b/>
          <w:color w:val="000000" w:themeColor="text1"/>
          <w:szCs w:val="28"/>
          <w:lang w:val="en-US" w:eastAsia="zh-CN"/>
          <w14:textFill>
            <w14:solidFill>
              <w14:schemeClr w14:val="tx1"/>
            </w14:solidFill>
          </w14:textFill>
        </w:rPr>
        <w:t>.</w:t>
      </w:r>
      <w:r>
        <w:rPr>
          <w:rFonts w:hint="default" w:ascii="Times New Roman" w:hAnsi="Times New Roman" w:eastAsia="宋体" w:cs="Times New Roman"/>
          <w:b/>
          <w:color w:val="000000" w:themeColor="text1"/>
          <w:szCs w:val="28"/>
          <w14:textFill>
            <w14:solidFill>
              <w14:schemeClr w14:val="tx1"/>
            </w14:solidFill>
          </w14:textFill>
        </w:rPr>
        <w:t>污染土壤、地下水事故</w:t>
      </w:r>
    </w:p>
    <w:p w14:paraId="5151AEB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7D64D7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w:t>
      </w:r>
      <w:r>
        <w:rPr>
          <w:rFonts w:hint="eastAsia" w:ascii="宋体" w:hAnsi="宋体" w:eastAsia="宋体" w:cs="宋体"/>
          <w:color w:val="000000" w:themeColor="text1"/>
          <w:lang w:val="en-US" w:eastAsia="zh-CN"/>
          <w14:textFill>
            <w14:solidFill>
              <w14:schemeClr w14:val="tx1"/>
            </w14:solidFill>
          </w14:textFill>
        </w:rPr>
        <w:t>润滑油</w:t>
      </w:r>
      <w:r>
        <w:rPr>
          <w:rFonts w:hint="eastAsia" w:ascii="宋体" w:hAnsi="宋体" w:eastAsia="宋体" w:cs="宋体"/>
          <w:color w:val="000000" w:themeColor="text1"/>
          <w14:textFill>
            <w14:solidFill>
              <w14:schemeClr w14:val="tx1"/>
            </w14:solidFill>
          </w14:textFill>
        </w:rPr>
        <w:t>泄漏，渗漏的污染物</w:t>
      </w:r>
      <w:r>
        <w:rPr>
          <w:rFonts w:hint="eastAsia" w:ascii="宋体" w:hAnsi="宋体" w:eastAsia="宋体" w:cs="宋体"/>
          <w:color w:val="000000" w:themeColor="text1"/>
          <w:lang w:val="en-US" w:eastAsia="zh-CN"/>
          <w14:textFill>
            <w14:solidFill>
              <w14:schemeClr w14:val="tx1"/>
            </w14:solidFill>
          </w14:textFill>
        </w:rPr>
        <w:t>将以渗透、吸收等方式</w:t>
      </w:r>
      <w:r>
        <w:rPr>
          <w:rFonts w:hint="eastAsia" w:ascii="宋体" w:hAnsi="宋体" w:eastAsia="宋体" w:cs="宋体"/>
          <w:color w:val="000000" w:themeColor="text1"/>
          <w14:textFill>
            <w14:solidFill>
              <w14:schemeClr w14:val="tx1"/>
            </w14:solidFill>
          </w14:textFill>
        </w:rPr>
        <w:t>污染土壤及地下水。</w:t>
      </w:r>
    </w:p>
    <w:p w14:paraId="7C1750C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530311C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t>为了防止一般性渗漏或其他状况产生的污染物污染土壤和地下水，应严格按照国家相关规范要求，进行源头控制</w:t>
      </w:r>
      <w:r>
        <w:rPr>
          <w:rFonts w:hint="eastAsia" w:ascii="宋体" w:hAnsi="宋体" w:eastAsia="宋体" w:cs="宋体"/>
          <w:color w:val="000000" w:themeColor="text1"/>
          <w:lang w:eastAsia="zh-CN"/>
          <w14:textFill>
            <w14:solidFill>
              <w14:schemeClr w14:val="tx1"/>
            </w14:solidFill>
          </w14:textFill>
        </w:rPr>
        <w:t>。</w:t>
      </w:r>
    </w:p>
    <w:p w14:paraId="5FEA2ED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②对厂区及各装置设施采取严格的防渗措施。防渗处理是防止地下水、土壤污染的重要环境保护措施，也是杜绝地下水、土壤污染的最后一道防线。末端控制坚持分区管理和控制原则。</w:t>
      </w:r>
      <w:r>
        <w:rPr>
          <w:rFonts w:hint="eastAsia" w:ascii="宋体" w:hAnsi="宋体" w:eastAsia="宋体" w:cs="宋体"/>
          <w:color w:val="000000" w:themeColor="text1"/>
          <w:szCs w:val="28"/>
          <w:lang w:val="en-US" w:eastAsia="zh-CN"/>
          <w14:textFill>
            <w14:solidFill>
              <w14:schemeClr w14:val="tx1"/>
            </w14:solidFill>
          </w14:textFill>
        </w:rPr>
        <w:t>公司内</w:t>
      </w:r>
      <w:r>
        <w:rPr>
          <w:rFonts w:hint="eastAsia" w:ascii="宋体" w:hAnsi="宋体" w:eastAsia="宋体" w:cs="宋体"/>
          <w:color w:val="000000" w:themeColor="text1"/>
          <w:szCs w:val="28"/>
          <w14:textFill>
            <w14:solidFill>
              <w14:schemeClr w14:val="tx1"/>
            </w14:solidFill>
          </w14:textFill>
        </w:rPr>
        <w:t>划分为重点防渗区、一般防渗和简单防渗区，不同的污染物区，采取不同等级的防渗措施，并确保其可靠性和有效性</w:t>
      </w:r>
      <w:r>
        <w:rPr>
          <w:rFonts w:hint="eastAsia" w:ascii="宋体" w:hAnsi="宋体" w:eastAsia="宋体" w:cs="宋体"/>
          <w:color w:val="000000" w:themeColor="text1"/>
          <w14:textFill>
            <w14:solidFill>
              <w14:schemeClr w14:val="tx1"/>
            </w14:solidFill>
          </w14:textFill>
        </w:rPr>
        <w:t>。</w:t>
      </w:r>
    </w:p>
    <w:p w14:paraId="268B9D2D">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③根据污染区通过各种途径可能进入地下水、土壤环境的各种有毒有害原辅材料的泄漏量及其他各类污染物的性质、产生和排放量，将污染区进一步分为一般污染防治区、重点污染防治区。</w:t>
      </w:r>
    </w:p>
    <w:p w14:paraId="2519C2F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④重点污染防治区根据工程地质及水文地质条件、各生产、贮运装置及污染处理设施防渗要求及分类进行防</w:t>
      </w:r>
      <w:r>
        <w:rPr>
          <w:rFonts w:hint="default" w:ascii="Times New Roman" w:hAnsi="Times New Roman" w:eastAsia="宋体" w:cs="Times New Roman"/>
          <w:color w:val="000000" w:themeColor="text1"/>
          <w:szCs w:val="28"/>
          <w14:textFill>
            <w14:solidFill>
              <w14:schemeClr w14:val="tx1"/>
            </w14:solidFill>
          </w14:textFill>
        </w:rPr>
        <w:t>渗设计。重点污染防治区应参照《危险废物安全填埋处置工程建设技术要求》（</w:t>
      </w:r>
      <w:r>
        <w:rPr>
          <w:rFonts w:hint="eastAsia" w:eastAsia="宋体" w:cs="Times New Roman"/>
          <w:color w:val="000000" w:themeColor="text1"/>
          <w:szCs w:val="28"/>
          <w:lang w:eastAsia="zh-CN"/>
          <w14:textFill>
            <w14:solidFill>
              <w14:schemeClr w14:val="tx1"/>
            </w14:solidFill>
          </w14:textFill>
        </w:rPr>
        <w:t>国家环保总局</w:t>
      </w:r>
      <w:r>
        <w:rPr>
          <w:rFonts w:hint="default" w:ascii="Times New Roman" w:hAnsi="Times New Roman" w:eastAsia="宋体" w:cs="Times New Roman"/>
          <w:color w:val="000000" w:themeColor="text1"/>
          <w:szCs w:val="28"/>
          <w14:textFill>
            <w14:solidFill>
              <w14:schemeClr w14:val="tx1"/>
            </w14:solidFill>
          </w14:textFill>
        </w:rPr>
        <w:t>2004.4.30颁布试行）和《危险废物填埋污染控制标准》（GB18598-20</w:t>
      </w:r>
      <w:r>
        <w:rPr>
          <w:rFonts w:hint="eastAsia" w:eastAsia="宋体" w:cs="Times New Roman"/>
          <w:color w:val="000000" w:themeColor="text1"/>
          <w:szCs w:val="28"/>
          <w:lang w:val="en-US" w:eastAsia="zh-CN"/>
          <w14:textFill>
            <w14:solidFill>
              <w14:schemeClr w14:val="tx1"/>
            </w14:solidFill>
          </w14:textFill>
        </w:rPr>
        <w:t>19</w:t>
      </w:r>
      <w:r>
        <w:rPr>
          <w:rFonts w:hint="default" w:ascii="Times New Roman" w:hAnsi="Times New Roman" w:eastAsia="宋体" w:cs="Times New Roman"/>
          <w:color w:val="000000" w:themeColor="text1"/>
          <w:szCs w:val="28"/>
          <w14:textFill>
            <w14:solidFill>
              <w14:schemeClr w14:val="tx1"/>
            </w14:solidFill>
          </w14:textFill>
        </w:rPr>
        <w:t>）及其修改单制定</w:t>
      </w:r>
      <w:r>
        <w:rPr>
          <w:rFonts w:hint="eastAsia" w:ascii="宋体" w:hAnsi="宋体" w:eastAsia="宋体" w:cs="宋体"/>
          <w:color w:val="000000" w:themeColor="text1"/>
          <w:szCs w:val="28"/>
          <w14:textFill>
            <w14:solidFill>
              <w14:schemeClr w14:val="tx1"/>
            </w14:solidFill>
          </w14:textFill>
        </w:rPr>
        <w:t>防渗设计方案。</w:t>
      </w:r>
    </w:p>
    <w:p w14:paraId="2EEF154D">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fldChar w:fldCharType="begin"/>
      </w:r>
      <w:r>
        <w:rPr>
          <w:rFonts w:hint="eastAsia" w:ascii="宋体" w:hAnsi="宋体" w:eastAsia="宋体" w:cs="宋体"/>
          <w:color w:val="000000" w:themeColor="text1"/>
          <w:szCs w:val="28"/>
          <w14:textFill>
            <w14:solidFill>
              <w14:schemeClr w14:val="tx1"/>
            </w14:solidFill>
          </w14:textFill>
        </w:rPr>
        <w:instrText xml:space="preserve"> = 5 \* GB3 </w:instrText>
      </w:r>
      <w:r>
        <w:rPr>
          <w:rFonts w:hint="eastAsia" w:ascii="宋体" w:hAnsi="宋体" w:eastAsia="宋体" w:cs="宋体"/>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⑤</w:t>
      </w:r>
      <w:r>
        <w:rPr>
          <w:rFonts w:hint="eastAsia" w:ascii="宋体" w:hAnsi="宋体" w:eastAsia="宋体" w:cs="宋体"/>
          <w:color w:val="000000" w:themeColor="text1"/>
          <w:szCs w:val="28"/>
          <w14:textFill>
            <w14:solidFill>
              <w14:schemeClr w14:val="tx1"/>
            </w14:solidFill>
          </w14:textFill>
        </w:rPr>
        <w:fldChar w:fldCharType="end"/>
      </w:r>
      <w:r>
        <w:rPr>
          <w:rFonts w:hint="eastAsia" w:ascii="宋体" w:hAnsi="宋体" w:eastAsia="宋体" w:cs="宋体"/>
          <w:color w:val="000000" w:themeColor="text1"/>
          <w:szCs w:val="28"/>
          <w14:textFill>
            <w14:solidFill>
              <w14:schemeClr w14:val="tx1"/>
            </w14:solidFill>
          </w14:textFill>
        </w:rPr>
        <w:t>一般污染防治区参照《一般工业固体废物贮存、处置场污染控制标准》（GB18599－20</w:t>
      </w:r>
      <w:r>
        <w:rPr>
          <w:rFonts w:hint="eastAsia" w:ascii="宋体" w:hAnsi="宋体" w:eastAsia="宋体" w:cs="宋体"/>
          <w:color w:val="000000" w:themeColor="text1"/>
          <w:szCs w:val="28"/>
          <w:lang w:val="en-US" w:eastAsia="zh-CN"/>
          <w14:textFill>
            <w14:solidFill>
              <w14:schemeClr w14:val="tx1"/>
            </w14:solidFill>
          </w14:textFill>
        </w:rPr>
        <w:t>20</w:t>
      </w:r>
      <w:r>
        <w:rPr>
          <w:rFonts w:hint="eastAsia" w:ascii="宋体" w:hAnsi="宋体" w:eastAsia="宋体" w:cs="宋体"/>
          <w:color w:val="000000" w:themeColor="text1"/>
          <w:szCs w:val="28"/>
          <w14:textFill>
            <w14:solidFill>
              <w14:schemeClr w14:val="tx1"/>
            </w14:solidFill>
          </w14:textFill>
        </w:rPr>
        <w:t>）及其修改单制定防渗设计方案。</w:t>
      </w:r>
    </w:p>
    <w:p w14:paraId="2CAD29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w:t>
      </w:r>
      <w:r>
        <w:rPr>
          <w:rFonts w:hint="eastAsia" w:ascii="Times New Roman" w:hAnsi="Times New Roman" w:cs="Times New Roman" w:eastAsiaTheme="minorEastAsia"/>
          <w:color w:val="000000" w:themeColor="text1"/>
          <w:sz w:val="24"/>
          <w:szCs w:val="24"/>
          <w14:textFill>
            <w14:solidFill>
              <w14:schemeClr w14:val="tx1"/>
            </w14:solidFill>
          </w14:textFill>
        </w:rPr>
        <w:t>小量泄漏：</w:t>
      </w:r>
      <w:r>
        <w:rPr>
          <w:rFonts w:hint="eastAsia" w:cs="Times New Roman" w:eastAsiaTheme="minorEastAsia"/>
          <w:color w:val="000000" w:themeColor="text1"/>
          <w:sz w:val="24"/>
          <w:szCs w:val="24"/>
          <w:lang w:val="en-US" w:eastAsia="zh-CN"/>
          <w14:textFill>
            <w14:solidFill>
              <w14:schemeClr w14:val="tx1"/>
            </w14:solidFill>
          </w14:textFill>
        </w:rPr>
        <w:t>优先选</w:t>
      </w:r>
      <w:r>
        <w:rPr>
          <w:rFonts w:hint="eastAsia" w:ascii="Times New Roman" w:hAnsi="Times New Roman" w:cs="Times New Roman" w:eastAsiaTheme="minorEastAsia"/>
          <w:color w:val="000000" w:themeColor="text1"/>
          <w:sz w:val="24"/>
          <w:szCs w:val="24"/>
          <w14:textFill>
            <w14:solidFill>
              <w14:schemeClr w14:val="tx1"/>
            </w14:solidFill>
          </w14:textFill>
        </w:rPr>
        <w:t>用砂土混合。</w:t>
      </w:r>
    </w:p>
    <w:p w14:paraId="5B7417E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⑥</w:t>
      </w:r>
      <w:r>
        <w:rPr>
          <w:rFonts w:hint="eastAsia" w:ascii="Times New Roman" w:hAnsi="Times New Roman" w:cs="Times New Roman" w:eastAsiaTheme="minorEastAsia"/>
          <w:color w:val="000000" w:themeColor="text1"/>
          <w:sz w:val="24"/>
          <w:szCs w:val="24"/>
          <w14:textFill>
            <w14:solidFill>
              <w14:schemeClr w14:val="tx1"/>
            </w14:solidFill>
          </w14:textFill>
        </w:rPr>
        <w:t>大量泄漏：构筑围堤或挖坑收容</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用防爆泵转移至移动专用收集容器中回收利用或作危废处理。泄漏场地用水冲洗，经稀释的洗水收集至事故应急池</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若流入外环境，</w:t>
      </w:r>
      <w:r>
        <w:rPr>
          <w:rFonts w:hint="default" w:ascii="Times New Roman" w:hAnsi="Times New Roman" w:cs="Times New Roman" w:eastAsiaTheme="minorEastAsia"/>
          <w:color w:val="000000" w:themeColor="text1"/>
          <w:sz w:val="24"/>
          <w:szCs w:val="24"/>
          <w14:textFill>
            <w14:solidFill>
              <w14:schemeClr w14:val="tx1"/>
            </w14:solidFill>
          </w14:textFill>
        </w:rPr>
        <w:t>在雨水排口下游迅速筑坝，切断受污染水体的流动，采取有效措施处理排入水体的污染物</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故障排除后，应联系</w:t>
      </w:r>
      <w:r>
        <w:rPr>
          <w:rFonts w:hint="eastAsia" w:cs="Times New Roman" w:eastAsiaTheme="minorEastAsia"/>
          <w:color w:val="000000" w:themeColor="text1"/>
          <w:sz w:val="24"/>
          <w:szCs w:val="24"/>
          <w:lang w:val="en-US" w:eastAsia="zh-CN"/>
          <w14:textFill>
            <w14:solidFill>
              <w14:schemeClr w14:val="tx1"/>
            </w14:solidFill>
          </w14:textFill>
        </w:rPr>
        <w:t>江苏裕和检测技术有限公司</w:t>
      </w:r>
      <w:r>
        <w:rPr>
          <w:rFonts w:hint="default" w:ascii="Times New Roman" w:hAnsi="Times New Roman" w:cs="Times New Roman" w:eastAsiaTheme="minorEastAsia"/>
          <w:color w:val="000000" w:themeColor="text1"/>
          <w:sz w:val="24"/>
          <w:szCs w:val="24"/>
          <w14:textFill>
            <w14:solidFill>
              <w14:schemeClr w14:val="tx1"/>
            </w14:solidFill>
          </w14:textFill>
        </w:rPr>
        <w:t>对受污染的下游水体及时进行监测，实时掌握水质情况</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p>
    <w:p w14:paraId="228890AF">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宋体" w:hAnsi="宋体" w:eastAsia="宋体" w:cs="宋体"/>
          <w:b/>
          <w:color w:val="000000" w:themeColor="text1"/>
          <w:szCs w:val="28"/>
          <w:lang w:val="en-US" w:eastAsia="zh-CN"/>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w:t>
      </w:r>
      <w:r>
        <w:rPr>
          <w:rFonts w:hint="eastAsia" w:ascii="宋体" w:hAnsi="宋体" w:eastAsia="宋体" w:cs="宋体"/>
          <w:b/>
          <w:color w:val="000000" w:themeColor="text1"/>
          <w:szCs w:val="28"/>
          <w:lang w:val="en-US" w:eastAsia="zh-CN"/>
          <w14:textFill>
            <w14:solidFill>
              <w14:schemeClr w14:val="tx1"/>
            </w14:solidFill>
          </w14:textFill>
        </w:rPr>
        <w:t>3</w:t>
      </w:r>
      <w:r>
        <w:rPr>
          <w:rFonts w:hint="eastAsia" w:ascii="宋体" w:hAnsi="宋体" w:eastAsia="宋体" w:cs="宋体"/>
          <w:b/>
          <w:color w:val="000000" w:themeColor="text1"/>
          <w:szCs w:val="28"/>
          <w14:textFill>
            <w14:solidFill>
              <w14:schemeClr w14:val="tx1"/>
            </w14:solidFill>
          </w14:textFill>
        </w:rPr>
        <w:t>）</w:t>
      </w:r>
      <w:r>
        <w:rPr>
          <w:rFonts w:hint="eastAsia" w:ascii="宋体" w:hAnsi="宋体" w:eastAsia="宋体" w:cs="宋体"/>
          <w:b/>
          <w:color w:val="000000" w:themeColor="text1"/>
          <w:szCs w:val="28"/>
          <w:lang w:val="en-US" w:eastAsia="zh-CN"/>
          <w14:textFill>
            <w14:solidFill>
              <w14:schemeClr w14:val="tx1"/>
            </w14:solidFill>
          </w14:textFill>
        </w:rPr>
        <w:t>应急资源</w:t>
      </w:r>
    </w:p>
    <w:p w14:paraId="268EE450">
      <w:pPr>
        <w:keepNext/>
        <w:keepLines/>
        <w:adjustRightInd w:val="0"/>
        <w:snapToGrid w:val="0"/>
        <w:spacing w:line="500" w:lineRule="exact"/>
        <w:ind w:firstLine="480" w:firstLineChars="200"/>
        <w:jc w:val="left"/>
        <w:outlineLvl w:val="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砂土、移动式专用收集容器、沙包、应急泵等。</w:t>
      </w:r>
      <w:bookmarkStart w:id="178" w:name="_Toc299"/>
    </w:p>
    <w:p w14:paraId="2167211C">
      <w:pPr>
        <w:pStyle w:val="5"/>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79" w:name="_Toc20452"/>
      <w:bookmarkStart w:id="180" w:name="_Toc19174"/>
      <w:r>
        <w:rPr>
          <w:rFonts w:hint="default" w:ascii="Times New Roman" w:hAnsi="Times New Roman" w:eastAsia="宋体" w:cs="Times New Roman"/>
          <w:color w:val="000000" w:themeColor="text1"/>
          <w14:textFill>
            <w14:solidFill>
              <w14:schemeClr w14:val="tx1"/>
            </w14:solidFill>
          </w14:textFill>
        </w:rPr>
        <w:t>4.3.</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事件情景</w:t>
      </w:r>
      <w:bookmarkEnd w:id="178"/>
      <w:r>
        <w:rPr>
          <w:rFonts w:hint="eastAsia" w:eastAsia="宋体" w:cs="Times New Roman"/>
          <w:color w:val="000000" w:themeColor="text1"/>
          <w:lang w:val="en-US" w:eastAsia="zh-CN"/>
          <w14:textFill>
            <w14:solidFill>
              <w14:schemeClr w14:val="tx1"/>
            </w14:solidFill>
          </w14:textFill>
        </w:rPr>
        <w:t>4、5</w:t>
      </w:r>
      <w:bookmarkEnd w:id="179"/>
      <w:bookmarkEnd w:id="180"/>
    </w:p>
    <w:p w14:paraId="2629B2A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1F8D46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一旦发生废气超标排放，生产过程产生的污染物不经处理直接进入周边大气环境，造成影响。</w:t>
      </w:r>
    </w:p>
    <w:p w14:paraId="2F4E180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76D1876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①假如发现废气超标排放（</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废气处理设备故障、</w:t>
      </w:r>
      <w:r>
        <w:rPr>
          <w:rFonts w:hint="default" w:ascii="Times New Roman" w:hAnsi="Times New Roman" w:cs="Times New Roman" w:eastAsiaTheme="minorEastAsia"/>
          <w:color w:val="000000" w:themeColor="text1"/>
          <w:sz w:val="24"/>
          <w:szCs w:val="24"/>
          <w14:textFill>
            <w14:solidFill>
              <w14:schemeClr w14:val="tx1"/>
            </w14:solidFill>
          </w14:textFill>
        </w:rPr>
        <w:t>车间味道明显增大，员工因环境污染导致身体不适等），最早发现事故者应立即报告</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应急救援指挥组</w:t>
      </w:r>
      <w:r>
        <w:rPr>
          <w:rFonts w:hint="default" w:ascii="Times New Roman" w:hAnsi="Times New Roman" w:cs="Times New Roman" w:eastAsiaTheme="minorEastAsia"/>
          <w:color w:val="000000" w:themeColor="text1"/>
          <w:sz w:val="24"/>
          <w:szCs w:val="24"/>
          <w14:textFill>
            <w14:solidFill>
              <w14:schemeClr w14:val="tx1"/>
            </w14:solidFill>
          </w14:textFill>
        </w:rPr>
        <w:t>。</w:t>
      </w:r>
    </w:p>
    <w:p w14:paraId="106C705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②各应急救援队伍接到</w:t>
      </w:r>
      <w:r>
        <w:rPr>
          <w:rFonts w:hint="default" w:ascii="Times New Roman" w:hAnsi="Times New Roman" w:cs="Times New Roman" w:eastAsiaTheme="minorEastAsia"/>
          <w:sz w:val="24"/>
          <w:szCs w:val="24"/>
        </w:rPr>
        <w:t>通知，应迅速携带相关器材赶往事故现场。</w:t>
      </w:r>
    </w:p>
    <w:p w14:paraId="4466558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③检查设备情况，若废气超标在短时间内不能有效控制，现场应急处置指挥部视情况严重程度，下达生产线全线停产指令。</w:t>
      </w:r>
    </w:p>
    <w:p w14:paraId="6255007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④若废气管道泄漏，</w:t>
      </w:r>
      <w:r>
        <w:rPr>
          <w:rFonts w:hint="eastAsia" w:ascii="Times New Roman" w:hAnsi="Times New Roman" w:cs="Times New Roman" w:eastAsiaTheme="minorEastAsia"/>
          <w:sz w:val="24"/>
          <w:szCs w:val="24"/>
          <w:lang w:eastAsia="zh-CN"/>
        </w:rPr>
        <w:t>应急小组</w:t>
      </w:r>
      <w:r>
        <w:rPr>
          <w:rFonts w:hint="default" w:ascii="Times New Roman" w:hAnsi="Times New Roman" w:cs="Times New Roman" w:eastAsiaTheme="minorEastAsia"/>
          <w:sz w:val="24"/>
          <w:szCs w:val="24"/>
        </w:rPr>
        <w:t>到达现场后，应首先穿戴</w:t>
      </w:r>
      <w:r>
        <w:rPr>
          <w:rFonts w:hint="eastAsia" w:cs="Times New Roman" w:eastAsiaTheme="minorEastAsia"/>
          <w:sz w:val="24"/>
          <w:szCs w:val="24"/>
          <w:lang w:val="en-US" w:eastAsia="zh-CN"/>
        </w:rPr>
        <w:t>防化服</w:t>
      </w:r>
      <w:r>
        <w:rPr>
          <w:rFonts w:hint="default" w:ascii="Times New Roman" w:hAnsi="Times New Roman" w:cs="Times New Roman" w:eastAsiaTheme="minorEastAsia"/>
          <w:sz w:val="24"/>
          <w:szCs w:val="24"/>
        </w:rPr>
        <w:t>、佩戴</w:t>
      </w:r>
      <w:r>
        <w:rPr>
          <w:rFonts w:hint="eastAsia" w:cs="Times New Roman" w:eastAsiaTheme="minorEastAsia"/>
          <w:sz w:val="24"/>
          <w:szCs w:val="24"/>
          <w:lang w:eastAsia="zh-CN"/>
        </w:rPr>
        <w:t>防毒面具</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停止生产后</w:t>
      </w:r>
      <w:r>
        <w:rPr>
          <w:rFonts w:hint="default" w:ascii="Times New Roman" w:hAnsi="Times New Roman" w:cs="Times New Roman" w:eastAsiaTheme="minorEastAsia"/>
          <w:sz w:val="24"/>
          <w:szCs w:val="24"/>
        </w:rPr>
        <w:t>关闭废气处理设施、修补泄漏管道，阻止有毒有害气体继续外泄。</w:t>
      </w:r>
    </w:p>
    <w:p w14:paraId="276157A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w:t>
      </w:r>
      <w:r>
        <w:rPr>
          <w:rFonts w:hint="eastAsia" w:ascii="Times New Roman" w:hAnsi="Times New Roman" w:cs="Times New Roman" w:eastAsiaTheme="minorEastAsia"/>
          <w:sz w:val="24"/>
          <w:szCs w:val="24"/>
          <w:lang w:eastAsia="zh-CN"/>
        </w:rPr>
        <w:t>应急救援指挥组</w:t>
      </w:r>
      <w:r>
        <w:rPr>
          <w:rFonts w:hint="default" w:ascii="Times New Roman" w:hAnsi="Times New Roman" w:cs="Times New Roman" w:eastAsiaTheme="minorEastAsia"/>
          <w:sz w:val="24"/>
          <w:szCs w:val="24"/>
        </w:rPr>
        <w:t>调查废气</w:t>
      </w:r>
      <w:r>
        <w:rPr>
          <w:rFonts w:hint="eastAsia" w:ascii="Times New Roman" w:hAnsi="Times New Roman" w:cs="Times New Roman" w:eastAsiaTheme="minorEastAsia"/>
          <w:sz w:val="24"/>
          <w:szCs w:val="24"/>
          <w:lang w:val="en-US" w:eastAsia="zh-CN"/>
        </w:rPr>
        <w:t>超标排放</w:t>
      </w:r>
      <w:r>
        <w:rPr>
          <w:rFonts w:hint="default" w:ascii="Times New Roman" w:hAnsi="Times New Roman" w:cs="Times New Roman" w:eastAsiaTheme="minorEastAsia"/>
          <w:sz w:val="24"/>
          <w:szCs w:val="24"/>
        </w:rPr>
        <w:t>的原因、已造成的污染范围、影响程度、影响后果等，并立即采取相应的对策措施，如</w:t>
      </w:r>
      <w:r>
        <w:rPr>
          <w:rFonts w:hint="eastAsia" w:ascii="Times New Roman" w:hAnsi="Times New Roman" w:cs="Times New Roman" w:eastAsiaTheme="minorEastAsia"/>
          <w:sz w:val="24"/>
          <w:szCs w:val="24"/>
          <w:lang w:val="en-US" w:eastAsia="zh-CN"/>
        </w:rPr>
        <w:t>停止生产</w:t>
      </w:r>
      <w:r>
        <w:rPr>
          <w:rFonts w:hint="default" w:ascii="Times New Roman" w:hAnsi="Times New Roman" w:cs="Times New Roman" w:eastAsiaTheme="minorEastAsia"/>
          <w:sz w:val="24"/>
          <w:szCs w:val="24"/>
        </w:rPr>
        <w:t>更换故障设备等。</w:t>
      </w:r>
    </w:p>
    <w:p w14:paraId="05F2C8A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⑥员工因环境污染导致身体不适时，应停止相关生产线，并加强局部通风。通知车间负责人，车间负责人立即赴现场指挥并同时通知安全环保负责人；车间负责人通知引导员工紧急疏散，集中点数。现场人员佩戴防毒面具，及时排除故障；若故障不能排除，则委托外部专业公司维修。</w:t>
      </w:r>
    </w:p>
    <w:p w14:paraId="07FBA2E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⑦故障排除后，应联系</w:t>
      </w:r>
      <w:r>
        <w:rPr>
          <w:rFonts w:hint="eastAsia" w:cs="Times New Roman" w:eastAsiaTheme="minorEastAsia"/>
          <w:color w:val="000000" w:themeColor="text1"/>
          <w:sz w:val="24"/>
          <w:szCs w:val="24"/>
          <w:lang w:val="en-US" w:eastAsia="zh-CN"/>
          <w14:textFill>
            <w14:solidFill>
              <w14:schemeClr w14:val="tx1"/>
            </w14:solidFill>
          </w14:textFill>
        </w:rPr>
        <w:t>江苏裕和检测技术有限公司</w:t>
      </w:r>
      <w:r>
        <w:rPr>
          <w:rFonts w:hint="default" w:ascii="Times New Roman" w:hAnsi="Times New Roman" w:cs="Times New Roman" w:eastAsiaTheme="minorEastAsia"/>
          <w:color w:val="000000" w:themeColor="text1"/>
          <w:sz w:val="24"/>
          <w:szCs w:val="24"/>
          <w14:textFill>
            <w14:solidFill>
              <w14:schemeClr w14:val="tx1"/>
            </w14:solidFill>
          </w14:textFill>
        </w:rPr>
        <w:t>对废气进行检测，废气排放达标后，恢复相关生产。</w:t>
      </w:r>
    </w:p>
    <w:p w14:paraId="33AA015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cs="Times New Roman" w:eastAsiaTheme="minorEastAsia"/>
          <w:color w:val="000000" w:themeColor="text1"/>
          <w:sz w:val="24"/>
          <w:szCs w:val="24"/>
          <w:lang w:val="en-US" w:eastAsia="zh-CN"/>
          <w14:textFill>
            <w14:solidFill>
              <w14:schemeClr w14:val="tx1"/>
            </w14:solidFill>
          </w14:textFill>
        </w:rPr>
        <w:t>⑧事故后向南通市海安生态环境局汇报废气处理设施的异常情况。</w:t>
      </w:r>
    </w:p>
    <w:p w14:paraId="265F70E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41F37C5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eastAsia" w:cs="Times New Roman" w:eastAsiaTheme="minorEastAsia"/>
          <w:color w:val="000000" w:themeColor="text1"/>
          <w:sz w:val="24"/>
          <w:szCs w:val="24"/>
          <w:lang w:eastAsia="zh-CN"/>
          <w14:textFill>
            <w14:solidFill>
              <w14:schemeClr w14:val="tx1"/>
            </w14:solidFill>
          </w14:textFill>
        </w:rPr>
        <w:t>防毒面具</w:t>
      </w:r>
      <w:r>
        <w:rPr>
          <w:rFonts w:hint="default" w:ascii="Times New Roman" w:hAnsi="Times New Roman" w:cs="Times New Roman" w:eastAsiaTheme="minorEastAsia"/>
          <w:color w:val="000000" w:themeColor="text1"/>
          <w:sz w:val="24"/>
          <w:szCs w:val="24"/>
          <w14:textFill>
            <w14:solidFill>
              <w14:schemeClr w14:val="tx1"/>
            </w14:solidFill>
          </w14:textFill>
        </w:rPr>
        <w:t>、防护服等。</w:t>
      </w:r>
    </w:p>
    <w:p w14:paraId="3B5295DE">
      <w:pPr>
        <w:pStyle w:val="3"/>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81" w:name="_Toc30305"/>
      <w:bookmarkStart w:id="182" w:name="_Toc3234"/>
      <w:bookmarkStart w:id="183" w:name="_Toc26102"/>
      <w:r>
        <w:rPr>
          <w:rFonts w:hint="default" w:ascii="Times New Roman" w:hAnsi="Times New Roman" w:eastAsia="宋体" w:cs="Times New Roman"/>
          <w:color w:val="000000" w:themeColor="text1"/>
          <w:sz w:val="24"/>
          <w:szCs w:val="24"/>
          <w14:textFill>
            <w14:solidFill>
              <w14:schemeClr w14:val="tx1"/>
            </w14:solidFill>
          </w14:textFill>
        </w:rPr>
        <w:t>4.4突发环境事件危害后果分析</w:t>
      </w:r>
      <w:bookmarkEnd w:id="181"/>
      <w:bookmarkEnd w:id="182"/>
      <w:bookmarkEnd w:id="183"/>
    </w:p>
    <w:p w14:paraId="1702301E">
      <w:pPr>
        <w:pStyle w:val="5"/>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000000" w:themeColor="text1"/>
          <w:lang w:val="en-US" w:eastAsia="zh-CN"/>
          <w14:textFill>
            <w14:solidFill>
              <w14:schemeClr w14:val="tx1"/>
            </w14:solidFill>
          </w14:textFill>
        </w:rPr>
      </w:pPr>
      <w:bookmarkStart w:id="184" w:name="_Toc30977"/>
      <w:bookmarkStart w:id="185" w:name="_Toc31396"/>
      <w:bookmarkStart w:id="186" w:name="_Toc26602"/>
      <w:bookmarkStart w:id="187" w:name="_Toc5010"/>
      <w:r>
        <w:rPr>
          <w:rFonts w:hint="default" w:ascii="Times New Roman" w:hAnsi="Times New Roman" w:eastAsia="宋体" w:cs="Times New Roman"/>
          <w:color w:val="000000" w:themeColor="text1"/>
          <w14:textFill>
            <w14:solidFill>
              <w14:schemeClr w14:val="tx1"/>
            </w14:solidFill>
          </w14:textFill>
        </w:rPr>
        <w:t>4.4.1</w:t>
      </w:r>
      <w:bookmarkEnd w:id="184"/>
      <w:bookmarkEnd w:id="185"/>
      <w:r>
        <w:rPr>
          <w:rFonts w:hint="eastAsia" w:eastAsia="宋体" w:cs="Times New Roman"/>
          <w:color w:val="000000" w:themeColor="text1"/>
          <w:lang w:val="en-US" w:eastAsia="zh-CN"/>
          <w14:textFill>
            <w14:solidFill>
              <w14:schemeClr w14:val="tx1"/>
            </w14:solidFill>
          </w14:textFill>
        </w:rPr>
        <w:t>事件情景1</w:t>
      </w:r>
      <w:bookmarkEnd w:id="186"/>
    </w:p>
    <w:p w14:paraId="3AFC4DFA">
      <w:pPr>
        <w:adjustRightInd w:val="0"/>
        <w:snapToGrid w:val="0"/>
        <w:spacing w:line="500" w:lineRule="exact"/>
        <w:ind w:firstLine="482" w:firstLineChars="200"/>
        <w:jc w:val="center"/>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表4-</w:t>
      </w:r>
      <w:r>
        <w:rPr>
          <w:rFonts w:hint="eastAsia" w:eastAsia="宋体" w:cs="Times New Roman"/>
          <w:b/>
          <w:bCs/>
          <w:color w:val="000000" w:themeColor="text1"/>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CO影响范围预测结果</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15"/>
        <w:gridCol w:w="15"/>
        <w:gridCol w:w="2130"/>
      </w:tblGrid>
      <w:tr w14:paraId="5B20C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5775E07C">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毒性终点浓度2</w:t>
            </w:r>
          </w:p>
        </w:tc>
        <w:tc>
          <w:tcPr>
            <w:tcW w:w="6390" w:type="dxa"/>
            <w:gridSpan w:val="4"/>
            <w:tcBorders>
              <w:tl2br w:val="nil"/>
              <w:tr2bl w:val="nil"/>
            </w:tcBorders>
            <w:vAlign w:val="center"/>
          </w:tcPr>
          <w:p w14:paraId="4E640BCB">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1.93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r w14:paraId="49C46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791591AB">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6FC34726">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30" w:type="dxa"/>
            <w:gridSpan w:val="2"/>
            <w:tcBorders>
              <w:tl2br w:val="nil"/>
              <w:tr2bl w:val="nil"/>
            </w:tcBorders>
            <w:vAlign w:val="center"/>
          </w:tcPr>
          <w:p w14:paraId="54EFC3EC">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19E96696">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15CDE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877178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w:t>
            </w:r>
          </w:p>
        </w:tc>
        <w:tc>
          <w:tcPr>
            <w:tcW w:w="2130" w:type="dxa"/>
            <w:tcBorders>
              <w:tl2br w:val="nil"/>
              <w:tr2bl w:val="nil"/>
            </w:tcBorders>
            <w:vAlign w:val="center"/>
          </w:tcPr>
          <w:p w14:paraId="425790F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86.76</w:t>
            </w:r>
          </w:p>
        </w:tc>
        <w:tc>
          <w:tcPr>
            <w:tcW w:w="2130" w:type="dxa"/>
            <w:gridSpan w:val="2"/>
            <w:tcBorders>
              <w:tl2br w:val="nil"/>
              <w:tr2bl w:val="nil"/>
            </w:tcBorders>
            <w:vAlign w:val="center"/>
          </w:tcPr>
          <w:p w14:paraId="0B82B95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300.0</w:t>
            </w:r>
          </w:p>
        </w:tc>
        <w:tc>
          <w:tcPr>
            <w:tcW w:w="2130" w:type="dxa"/>
            <w:tcBorders>
              <w:tl2br w:val="nil"/>
              <w:tr2bl w:val="nil"/>
            </w:tcBorders>
            <w:vAlign w:val="center"/>
          </w:tcPr>
          <w:p w14:paraId="294ECD0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31.88</w:t>
            </w:r>
          </w:p>
        </w:tc>
      </w:tr>
      <w:tr w14:paraId="1BB01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56AD92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25.0</w:t>
            </w:r>
          </w:p>
        </w:tc>
        <w:tc>
          <w:tcPr>
            <w:tcW w:w="2130" w:type="dxa"/>
            <w:tcBorders>
              <w:tl2br w:val="nil"/>
              <w:tr2bl w:val="nil"/>
            </w:tcBorders>
            <w:vAlign w:val="center"/>
          </w:tcPr>
          <w:p w14:paraId="65ADAC5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162.09</w:t>
            </w:r>
          </w:p>
        </w:tc>
        <w:tc>
          <w:tcPr>
            <w:tcW w:w="2130" w:type="dxa"/>
            <w:gridSpan w:val="2"/>
            <w:tcBorders>
              <w:tl2br w:val="nil"/>
              <w:tr2bl w:val="nil"/>
            </w:tcBorders>
            <w:vAlign w:val="center"/>
          </w:tcPr>
          <w:p w14:paraId="707C07C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325.0</w:t>
            </w:r>
          </w:p>
        </w:tc>
        <w:tc>
          <w:tcPr>
            <w:tcW w:w="2130" w:type="dxa"/>
            <w:tcBorders>
              <w:tl2br w:val="nil"/>
              <w:tr2bl w:val="nil"/>
            </w:tcBorders>
            <w:vAlign w:val="center"/>
          </w:tcPr>
          <w:p w14:paraId="42CEC0F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30.12</w:t>
            </w:r>
          </w:p>
        </w:tc>
      </w:tr>
      <w:tr w14:paraId="07EF4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F4D192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50.0</w:t>
            </w:r>
          </w:p>
        </w:tc>
        <w:tc>
          <w:tcPr>
            <w:tcW w:w="2130" w:type="dxa"/>
            <w:tcBorders>
              <w:tl2br w:val="nil"/>
              <w:tr2bl w:val="nil"/>
            </w:tcBorders>
            <w:vAlign w:val="center"/>
          </w:tcPr>
          <w:p w14:paraId="4B2213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154.50</w:t>
            </w:r>
          </w:p>
        </w:tc>
        <w:tc>
          <w:tcPr>
            <w:tcW w:w="2130" w:type="dxa"/>
            <w:gridSpan w:val="2"/>
            <w:tcBorders>
              <w:tl2br w:val="nil"/>
              <w:tr2bl w:val="nil"/>
            </w:tcBorders>
            <w:vAlign w:val="center"/>
          </w:tcPr>
          <w:p w14:paraId="13B46A7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350.0</w:t>
            </w:r>
          </w:p>
        </w:tc>
        <w:tc>
          <w:tcPr>
            <w:tcW w:w="2130" w:type="dxa"/>
            <w:tcBorders>
              <w:tl2br w:val="nil"/>
              <w:tr2bl w:val="nil"/>
            </w:tcBorders>
            <w:vAlign w:val="center"/>
          </w:tcPr>
          <w:p w14:paraId="6CF189D1">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28.57</w:t>
            </w:r>
          </w:p>
        </w:tc>
      </w:tr>
      <w:tr w14:paraId="5B9E5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C41402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75.0</w:t>
            </w:r>
          </w:p>
        </w:tc>
        <w:tc>
          <w:tcPr>
            <w:tcW w:w="2130" w:type="dxa"/>
            <w:tcBorders>
              <w:tl2br w:val="nil"/>
              <w:tr2bl w:val="nil"/>
            </w:tcBorders>
            <w:vAlign w:val="center"/>
          </w:tcPr>
          <w:p w14:paraId="0F41558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113.31</w:t>
            </w:r>
          </w:p>
        </w:tc>
        <w:tc>
          <w:tcPr>
            <w:tcW w:w="2130" w:type="dxa"/>
            <w:gridSpan w:val="2"/>
            <w:tcBorders>
              <w:tl2br w:val="nil"/>
              <w:tr2bl w:val="nil"/>
            </w:tcBorders>
            <w:vAlign w:val="center"/>
          </w:tcPr>
          <w:p w14:paraId="09FC071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375.0</w:t>
            </w:r>
          </w:p>
        </w:tc>
        <w:tc>
          <w:tcPr>
            <w:tcW w:w="2130" w:type="dxa"/>
            <w:tcBorders>
              <w:tl2br w:val="nil"/>
              <w:tr2bl w:val="nil"/>
            </w:tcBorders>
            <w:vAlign w:val="center"/>
          </w:tcPr>
          <w:p w14:paraId="7C32C92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27.21</w:t>
            </w:r>
          </w:p>
        </w:tc>
      </w:tr>
      <w:tr w14:paraId="5C14A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F0A79C1">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100.01</w:t>
            </w:r>
          </w:p>
        </w:tc>
        <w:tc>
          <w:tcPr>
            <w:tcW w:w="2130" w:type="dxa"/>
            <w:tcBorders>
              <w:tl2br w:val="nil"/>
              <w:tr2bl w:val="nil"/>
            </w:tcBorders>
            <w:vAlign w:val="center"/>
          </w:tcPr>
          <w:p w14:paraId="78BCF27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93.08</w:t>
            </w:r>
          </w:p>
        </w:tc>
        <w:tc>
          <w:tcPr>
            <w:tcW w:w="2130" w:type="dxa"/>
            <w:gridSpan w:val="2"/>
            <w:tcBorders>
              <w:tl2br w:val="nil"/>
              <w:tr2bl w:val="nil"/>
            </w:tcBorders>
            <w:vAlign w:val="center"/>
          </w:tcPr>
          <w:p w14:paraId="3C718AB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400.0</w:t>
            </w:r>
          </w:p>
        </w:tc>
        <w:tc>
          <w:tcPr>
            <w:tcW w:w="2130" w:type="dxa"/>
            <w:tcBorders>
              <w:tl2br w:val="nil"/>
              <w:tr2bl w:val="nil"/>
            </w:tcBorders>
            <w:vAlign w:val="center"/>
          </w:tcPr>
          <w:p w14:paraId="0FEB548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25.99</w:t>
            </w:r>
          </w:p>
        </w:tc>
      </w:tr>
      <w:tr w14:paraId="3714E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3BC2B5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109.0</w:t>
            </w:r>
          </w:p>
        </w:tc>
        <w:tc>
          <w:tcPr>
            <w:tcW w:w="2130" w:type="dxa"/>
            <w:tcBorders>
              <w:tl2br w:val="nil"/>
              <w:tr2bl w:val="nil"/>
            </w:tcBorders>
            <w:vAlign w:val="center"/>
          </w:tcPr>
          <w:p w14:paraId="4776D10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75.01</w:t>
            </w:r>
          </w:p>
        </w:tc>
        <w:tc>
          <w:tcPr>
            <w:tcW w:w="2130" w:type="dxa"/>
            <w:gridSpan w:val="2"/>
            <w:tcBorders>
              <w:tl2br w:val="nil"/>
              <w:tr2bl w:val="nil"/>
            </w:tcBorders>
            <w:vAlign w:val="center"/>
          </w:tcPr>
          <w:p w14:paraId="682D6213">
            <w:pPr>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425.0</w:t>
            </w:r>
          </w:p>
        </w:tc>
        <w:tc>
          <w:tcPr>
            <w:tcW w:w="2130" w:type="dxa"/>
            <w:tcBorders>
              <w:tl2br w:val="nil"/>
              <w:tr2bl w:val="nil"/>
            </w:tcBorders>
            <w:vAlign w:val="center"/>
          </w:tcPr>
          <w:p w14:paraId="2298DAF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24.90</w:t>
            </w:r>
          </w:p>
        </w:tc>
      </w:tr>
      <w:tr w14:paraId="1F085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879422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125.0</w:t>
            </w:r>
          </w:p>
        </w:tc>
        <w:tc>
          <w:tcPr>
            <w:tcW w:w="2130" w:type="dxa"/>
            <w:tcBorders>
              <w:tl2br w:val="nil"/>
              <w:tr2bl w:val="nil"/>
            </w:tcBorders>
            <w:vAlign w:val="center"/>
          </w:tcPr>
          <w:p w14:paraId="2F46D69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61.40</w:t>
            </w:r>
          </w:p>
        </w:tc>
        <w:tc>
          <w:tcPr>
            <w:tcW w:w="2130" w:type="dxa"/>
            <w:gridSpan w:val="2"/>
            <w:tcBorders>
              <w:tl2br w:val="nil"/>
              <w:tr2bl w:val="nil"/>
            </w:tcBorders>
            <w:vAlign w:val="center"/>
          </w:tcPr>
          <w:p w14:paraId="674DF52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450.0</w:t>
            </w:r>
          </w:p>
        </w:tc>
        <w:tc>
          <w:tcPr>
            <w:tcW w:w="2130" w:type="dxa"/>
            <w:tcBorders>
              <w:tl2br w:val="nil"/>
              <w:tr2bl w:val="nil"/>
            </w:tcBorders>
            <w:vAlign w:val="center"/>
          </w:tcPr>
          <w:p w14:paraId="5BE81B5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24.35</w:t>
            </w:r>
          </w:p>
        </w:tc>
      </w:tr>
      <w:tr w14:paraId="2D877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1F1F8B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150.0</w:t>
            </w:r>
          </w:p>
        </w:tc>
        <w:tc>
          <w:tcPr>
            <w:tcW w:w="2130" w:type="dxa"/>
            <w:tcBorders>
              <w:tl2br w:val="nil"/>
              <w:tr2bl w:val="nil"/>
            </w:tcBorders>
            <w:vAlign w:val="center"/>
          </w:tcPr>
          <w:p w14:paraId="4ADF2A6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52.76</w:t>
            </w:r>
          </w:p>
        </w:tc>
        <w:tc>
          <w:tcPr>
            <w:tcW w:w="2130" w:type="dxa"/>
            <w:gridSpan w:val="2"/>
            <w:tcBorders>
              <w:tl2br w:val="nil"/>
              <w:tr2bl w:val="nil"/>
            </w:tcBorders>
            <w:vAlign w:val="center"/>
          </w:tcPr>
          <w:p w14:paraId="26BD264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475.0</w:t>
            </w:r>
          </w:p>
        </w:tc>
        <w:tc>
          <w:tcPr>
            <w:tcW w:w="2130" w:type="dxa"/>
            <w:tcBorders>
              <w:tl2br w:val="nil"/>
              <w:tr2bl w:val="nil"/>
            </w:tcBorders>
            <w:vAlign w:val="center"/>
          </w:tcPr>
          <w:p w14:paraId="4B090D6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23.91</w:t>
            </w:r>
          </w:p>
        </w:tc>
      </w:tr>
      <w:tr w14:paraId="09F36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4C64E8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175.0</w:t>
            </w:r>
          </w:p>
        </w:tc>
        <w:tc>
          <w:tcPr>
            <w:tcW w:w="2130" w:type="dxa"/>
            <w:tcBorders>
              <w:tl2br w:val="nil"/>
              <w:tr2bl w:val="nil"/>
            </w:tcBorders>
            <w:vAlign w:val="center"/>
          </w:tcPr>
          <w:p w14:paraId="58A95F6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46.94</w:t>
            </w:r>
          </w:p>
        </w:tc>
        <w:tc>
          <w:tcPr>
            <w:tcW w:w="2130" w:type="dxa"/>
            <w:gridSpan w:val="2"/>
            <w:tcBorders>
              <w:tl2br w:val="nil"/>
              <w:tr2bl w:val="nil"/>
            </w:tcBorders>
            <w:vAlign w:val="center"/>
          </w:tcPr>
          <w:p w14:paraId="0039DD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500.0</w:t>
            </w:r>
          </w:p>
        </w:tc>
        <w:tc>
          <w:tcPr>
            <w:tcW w:w="2130" w:type="dxa"/>
            <w:tcBorders>
              <w:tl2br w:val="nil"/>
              <w:tr2bl w:val="nil"/>
            </w:tcBorders>
            <w:vAlign w:val="center"/>
          </w:tcPr>
          <w:p w14:paraId="0448140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23.49</w:t>
            </w:r>
          </w:p>
        </w:tc>
      </w:tr>
      <w:tr w14:paraId="66712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CB91AA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200.0</w:t>
            </w:r>
          </w:p>
        </w:tc>
        <w:tc>
          <w:tcPr>
            <w:tcW w:w="2130" w:type="dxa"/>
            <w:tcBorders>
              <w:tl2br w:val="nil"/>
              <w:tr2bl w:val="nil"/>
            </w:tcBorders>
            <w:vAlign w:val="center"/>
          </w:tcPr>
          <w:p w14:paraId="4AC7BE3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42.60</w:t>
            </w:r>
          </w:p>
        </w:tc>
        <w:tc>
          <w:tcPr>
            <w:tcW w:w="2130" w:type="dxa"/>
            <w:gridSpan w:val="2"/>
            <w:tcBorders>
              <w:tl2br w:val="nil"/>
              <w:tr2bl w:val="nil"/>
            </w:tcBorders>
            <w:vAlign w:val="center"/>
          </w:tcPr>
          <w:p w14:paraId="7C55B22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525.0</w:t>
            </w:r>
          </w:p>
        </w:tc>
        <w:tc>
          <w:tcPr>
            <w:tcW w:w="2130" w:type="dxa"/>
            <w:tcBorders>
              <w:tl2br w:val="nil"/>
              <w:tr2bl w:val="nil"/>
            </w:tcBorders>
            <w:vAlign w:val="center"/>
          </w:tcPr>
          <w:p w14:paraId="08D60D2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23.11</w:t>
            </w:r>
          </w:p>
        </w:tc>
      </w:tr>
      <w:tr w14:paraId="4142F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0AF803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225.0</w:t>
            </w:r>
          </w:p>
        </w:tc>
        <w:tc>
          <w:tcPr>
            <w:tcW w:w="2130" w:type="dxa"/>
            <w:tcBorders>
              <w:tl2br w:val="nil"/>
              <w:tr2bl w:val="nil"/>
            </w:tcBorders>
            <w:vAlign w:val="center"/>
          </w:tcPr>
          <w:p w14:paraId="1FDD703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39.15</w:t>
            </w:r>
          </w:p>
        </w:tc>
        <w:tc>
          <w:tcPr>
            <w:tcW w:w="2130" w:type="dxa"/>
            <w:gridSpan w:val="2"/>
            <w:tcBorders>
              <w:tl2br w:val="nil"/>
              <w:tr2bl w:val="nil"/>
            </w:tcBorders>
            <w:vAlign w:val="center"/>
          </w:tcPr>
          <w:p w14:paraId="39BF7B3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71F61CC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5511D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219F6D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250.0</w:t>
            </w:r>
          </w:p>
        </w:tc>
        <w:tc>
          <w:tcPr>
            <w:tcW w:w="2130" w:type="dxa"/>
            <w:tcBorders>
              <w:tl2br w:val="nil"/>
              <w:tr2bl w:val="nil"/>
            </w:tcBorders>
            <w:vAlign w:val="center"/>
          </w:tcPr>
          <w:p w14:paraId="670F64E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36.31</w:t>
            </w:r>
          </w:p>
        </w:tc>
        <w:tc>
          <w:tcPr>
            <w:tcW w:w="2130" w:type="dxa"/>
            <w:gridSpan w:val="2"/>
            <w:tcBorders>
              <w:tl2br w:val="nil"/>
              <w:tr2bl w:val="nil"/>
            </w:tcBorders>
            <w:vAlign w:val="center"/>
          </w:tcPr>
          <w:p w14:paraId="6517DA2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004AA82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299E6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661108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275.0</w:t>
            </w:r>
          </w:p>
        </w:tc>
        <w:tc>
          <w:tcPr>
            <w:tcW w:w="2130" w:type="dxa"/>
            <w:tcBorders>
              <w:tl2br w:val="nil"/>
              <w:tr2bl w:val="nil"/>
            </w:tcBorders>
            <w:vAlign w:val="center"/>
          </w:tcPr>
          <w:p w14:paraId="4D0217D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33.92</w:t>
            </w:r>
          </w:p>
        </w:tc>
        <w:tc>
          <w:tcPr>
            <w:tcW w:w="2130" w:type="dxa"/>
            <w:gridSpan w:val="2"/>
            <w:tcBorders>
              <w:tl2br w:val="nil"/>
              <w:tr2bl w:val="nil"/>
            </w:tcBorders>
            <w:vAlign w:val="center"/>
          </w:tcPr>
          <w:p w14:paraId="7ACD2FF6">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12A350AB">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6EFBE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225F2760">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毒</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性终点浓度1</w:t>
            </w:r>
          </w:p>
        </w:tc>
        <w:tc>
          <w:tcPr>
            <w:tcW w:w="6390" w:type="dxa"/>
            <w:gridSpan w:val="4"/>
            <w:tcBorders>
              <w:tl2br w:val="nil"/>
              <w:tr2bl w:val="nil"/>
            </w:tcBorders>
            <w:vAlign w:val="center"/>
          </w:tcPr>
          <w:p w14:paraId="07F8495B">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1.90</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p>
        </w:tc>
      </w:tr>
      <w:tr w14:paraId="66A34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74ECD901">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1D4C8010">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15" w:type="dxa"/>
            <w:tcBorders>
              <w:tl2br w:val="nil"/>
              <w:tr2bl w:val="nil"/>
            </w:tcBorders>
            <w:vAlign w:val="center"/>
          </w:tcPr>
          <w:p w14:paraId="5FB895B4">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45" w:type="dxa"/>
            <w:gridSpan w:val="2"/>
            <w:tcBorders>
              <w:tl2br w:val="nil"/>
              <w:tr2bl w:val="nil"/>
            </w:tcBorders>
            <w:vAlign w:val="center"/>
          </w:tcPr>
          <w:p w14:paraId="73608DCF">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27078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899BA9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w:t>
            </w:r>
          </w:p>
        </w:tc>
        <w:tc>
          <w:tcPr>
            <w:tcW w:w="2130" w:type="dxa"/>
            <w:tcBorders>
              <w:tl2br w:val="nil"/>
              <w:tr2bl w:val="nil"/>
            </w:tcBorders>
            <w:vAlign w:val="center"/>
          </w:tcPr>
          <w:p w14:paraId="235DDC5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22.74</w:t>
            </w:r>
          </w:p>
        </w:tc>
        <w:tc>
          <w:tcPr>
            <w:tcW w:w="2115" w:type="dxa"/>
            <w:tcBorders>
              <w:tl2br w:val="nil"/>
              <w:tr2bl w:val="nil"/>
            </w:tcBorders>
            <w:vAlign w:val="center"/>
          </w:tcPr>
          <w:p w14:paraId="2DC6438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w:t>
            </w:r>
          </w:p>
        </w:tc>
        <w:tc>
          <w:tcPr>
            <w:tcW w:w="2145" w:type="dxa"/>
            <w:gridSpan w:val="2"/>
            <w:tcBorders>
              <w:tl2br w:val="nil"/>
              <w:tr2bl w:val="nil"/>
            </w:tcBorders>
            <w:vAlign w:val="center"/>
          </w:tcPr>
          <w:p w14:paraId="3EFD244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21.47</w:t>
            </w:r>
          </w:p>
        </w:tc>
      </w:tr>
      <w:tr w14:paraId="52DCE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01E7FE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w:t>
            </w:r>
          </w:p>
        </w:tc>
        <w:tc>
          <w:tcPr>
            <w:tcW w:w="2130" w:type="dxa"/>
            <w:tcBorders>
              <w:tl2br w:val="nil"/>
              <w:tr2bl w:val="nil"/>
            </w:tcBorders>
            <w:vAlign w:val="center"/>
          </w:tcPr>
          <w:p w14:paraId="13AF8DC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22.40</w:t>
            </w:r>
          </w:p>
        </w:tc>
        <w:tc>
          <w:tcPr>
            <w:tcW w:w="2115" w:type="dxa"/>
            <w:tcBorders>
              <w:tl2br w:val="nil"/>
              <w:tr2bl w:val="nil"/>
            </w:tcBorders>
            <w:vAlign w:val="center"/>
          </w:tcPr>
          <w:p w14:paraId="1A7EE3B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125</w:t>
            </w:r>
          </w:p>
        </w:tc>
        <w:tc>
          <w:tcPr>
            <w:tcW w:w="2145" w:type="dxa"/>
            <w:gridSpan w:val="2"/>
            <w:tcBorders>
              <w:tl2br w:val="nil"/>
              <w:tr2bl w:val="nil"/>
            </w:tcBorders>
            <w:vAlign w:val="center"/>
          </w:tcPr>
          <w:p w14:paraId="5D4B220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21.18</w:t>
            </w:r>
          </w:p>
        </w:tc>
      </w:tr>
      <w:tr w14:paraId="2D74C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4BA776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w:t>
            </w:r>
          </w:p>
        </w:tc>
        <w:tc>
          <w:tcPr>
            <w:tcW w:w="2130" w:type="dxa"/>
            <w:tcBorders>
              <w:tl2br w:val="nil"/>
              <w:tr2bl w:val="nil"/>
            </w:tcBorders>
            <w:vAlign w:val="center"/>
          </w:tcPr>
          <w:p w14:paraId="07267B1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22.07</w:t>
            </w:r>
          </w:p>
        </w:tc>
        <w:tc>
          <w:tcPr>
            <w:tcW w:w="2115" w:type="dxa"/>
            <w:tcBorders>
              <w:tl2br w:val="nil"/>
              <w:tr2bl w:val="nil"/>
            </w:tcBorders>
            <w:vAlign w:val="center"/>
          </w:tcPr>
          <w:p w14:paraId="2620FFB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w:t>
            </w:r>
          </w:p>
        </w:tc>
        <w:tc>
          <w:tcPr>
            <w:tcW w:w="2145" w:type="dxa"/>
            <w:gridSpan w:val="2"/>
            <w:tcBorders>
              <w:tl2br w:val="nil"/>
              <w:tr2bl w:val="nil"/>
            </w:tcBorders>
            <w:vAlign w:val="center"/>
          </w:tcPr>
          <w:p w14:paraId="04B9745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20.91</w:t>
            </w:r>
          </w:p>
        </w:tc>
      </w:tr>
      <w:tr w14:paraId="1A3E7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bottom w:val="single" w:color="auto" w:sz="12" w:space="0"/>
            </w:tcBorders>
            <w:vAlign w:val="center"/>
          </w:tcPr>
          <w:p w14:paraId="5C70177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75</w:t>
            </w:r>
          </w:p>
        </w:tc>
        <w:tc>
          <w:tcPr>
            <w:tcW w:w="2130" w:type="dxa"/>
            <w:tcBorders>
              <w:bottom w:val="single" w:color="auto" w:sz="12" w:space="0"/>
            </w:tcBorders>
            <w:vAlign w:val="center"/>
          </w:tcPr>
          <w:p w14:paraId="6618689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21.76</w:t>
            </w:r>
          </w:p>
        </w:tc>
        <w:tc>
          <w:tcPr>
            <w:tcW w:w="2115" w:type="dxa"/>
            <w:tcBorders>
              <w:bottom w:val="single" w:color="auto" w:sz="12" w:space="0"/>
            </w:tcBorders>
            <w:vAlign w:val="center"/>
          </w:tcPr>
          <w:p w14:paraId="4473CED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45" w:type="dxa"/>
            <w:gridSpan w:val="2"/>
            <w:tcBorders>
              <w:bottom w:val="single" w:color="auto" w:sz="12" w:space="0"/>
            </w:tcBorders>
            <w:vAlign w:val="center"/>
          </w:tcPr>
          <w:p w14:paraId="5A9832F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bl>
    <w:p w14:paraId="151DC9A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lang w:val="en-US" w:eastAsia="zh-CN"/>
          <w14:textFill>
            <w14:solidFill>
              <w14:schemeClr w14:val="tx1"/>
            </w14:solidFill>
          </w14:textFill>
        </w:rPr>
        <w:t>由预测结果可知，发生火灾时CO扩散的最大影响</w:t>
      </w:r>
      <w:r>
        <w:rPr>
          <w:rFonts w:hint="default" w:ascii="Times New Roman" w:hAnsi="Times New Roman" w:eastAsia="宋体" w:cs="Times New Roman"/>
          <w:lang w:val="en-US" w:eastAsia="zh-CN"/>
        </w:rPr>
        <w:t>范围为周边</w:t>
      </w:r>
      <w:r>
        <w:rPr>
          <w:rFonts w:hint="eastAsia" w:eastAsia="宋体" w:cs="Times New Roman"/>
          <w:lang w:val="en-US" w:eastAsia="zh-CN"/>
        </w:rPr>
        <w:t>25</w:t>
      </w:r>
      <w:r>
        <w:rPr>
          <w:rFonts w:hint="default" w:ascii="Times New Roman" w:hAnsi="Times New Roman" w:eastAsia="宋体" w:cs="Times New Roman"/>
          <w:lang w:val="en-US" w:eastAsia="zh-CN"/>
        </w:rPr>
        <w:t>米内。</w:t>
      </w:r>
    </w:p>
    <w:p w14:paraId="5E14436A">
      <w:pPr>
        <w:pStyle w:val="5"/>
        <w:adjustRightInd w:val="0"/>
        <w:snapToGrid w:val="0"/>
        <w:spacing w:line="500" w:lineRule="exact"/>
        <w:jc w:val="left"/>
        <w:rPr>
          <w:rFonts w:hint="default" w:eastAsia="宋体" w:cs="Times New Roman"/>
          <w:color w:val="000000" w:themeColor="text1"/>
          <w:lang w:val="en-US" w:eastAsia="zh-CN"/>
          <w14:textFill>
            <w14:solidFill>
              <w14:schemeClr w14:val="tx1"/>
            </w14:solidFill>
          </w14:textFill>
        </w:rPr>
      </w:pPr>
      <w:bookmarkStart w:id="188" w:name="_Toc11612"/>
      <w:bookmarkStart w:id="189" w:name="_Toc6104"/>
      <w:r>
        <w:rPr>
          <w:rFonts w:hint="default" w:ascii="Times New Roman" w:hAnsi="Times New Roman" w:eastAsia="宋体" w:cs="Times New Roman"/>
          <w:color w:val="000000" w:themeColor="text1"/>
          <w14:textFill>
            <w14:solidFill>
              <w14:schemeClr w14:val="tx1"/>
            </w14:solidFill>
          </w14:textFill>
        </w:rPr>
        <w:t>4.4.</w:t>
      </w:r>
      <w:r>
        <w:rPr>
          <w:rFonts w:hint="eastAsia" w:eastAsia="宋体" w:cs="Times New Roman"/>
          <w:color w:val="000000" w:themeColor="text1"/>
          <w:lang w:val="en-US" w:eastAsia="zh-CN"/>
          <w14:textFill>
            <w14:solidFill>
              <w14:schemeClr w14:val="tx1"/>
            </w14:solidFill>
          </w14:textFill>
        </w:rPr>
        <w:t>2</w:t>
      </w:r>
      <w:bookmarkEnd w:id="187"/>
      <w:bookmarkEnd w:id="188"/>
      <w:r>
        <w:rPr>
          <w:rFonts w:hint="eastAsia" w:eastAsia="宋体" w:cs="Times New Roman"/>
          <w:color w:val="000000" w:themeColor="text1"/>
          <w:lang w:val="en-US" w:eastAsia="zh-CN"/>
          <w14:textFill>
            <w14:solidFill>
              <w14:schemeClr w14:val="tx1"/>
            </w14:solidFill>
          </w14:textFill>
        </w:rPr>
        <w:t>事件情景3、6</w:t>
      </w:r>
      <w:bookmarkEnd w:id="189"/>
    </w:p>
    <w:p w14:paraId="6B0194D1">
      <w:pPr>
        <w:pStyle w:val="6"/>
        <w:adjustRightInd w:val="0"/>
        <w:snapToGrid w:val="0"/>
        <w:spacing w:before="0" w:after="0" w:line="500" w:lineRule="exact"/>
        <w:jc w:val="left"/>
        <w:outlineLvl w:val="3"/>
        <w:rPr>
          <w:rFonts w:hint="default" w:ascii="Times New Roman" w:hAnsi="Times New Roman" w:eastAsia="宋体" w:cs="Times New Roman"/>
          <w:color w:val="000000" w:themeColor="text1"/>
          <w:sz w:val="24"/>
          <w:szCs w:val="32"/>
          <w:lang w:val="en-US"/>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4.4.</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32"/>
          <w:lang w:val="en-US" w:eastAsia="zh-CN"/>
          <w14:textFill>
            <w14:solidFill>
              <w14:schemeClr w14:val="tx1"/>
            </w14:solidFill>
          </w14:textFill>
        </w:rPr>
        <w:t>.1润滑油泄漏</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事</w:t>
      </w:r>
      <w:r>
        <w:rPr>
          <w:rFonts w:hint="eastAsia" w:ascii="Times New Roman" w:hAnsi="Times New Roman" w:eastAsia="宋体" w:cs="Times New Roman"/>
          <w:color w:val="000000" w:themeColor="text1"/>
          <w:sz w:val="24"/>
          <w:szCs w:val="32"/>
          <w:lang w:val="en-US" w:eastAsia="zh-CN"/>
          <w14:textFill>
            <w14:solidFill>
              <w14:schemeClr w14:val="tx1"/>
            </w14:solidFill>
          </w14:textFill>
        </w:rPr>
        <w:t>件</w:t>
      </w:r>
    </w:p>
    <w:p w14:paraId="6CE63FD2">
      <w:pPr>
        <w:adjustRightInd w:val="0"/>
        <w:snapToGrid w:val="0"/>
        <w:spacing w:line="500" w:lineRule="exact"/>
        <w:ind w:firstLine="480" w:firstLineChars="200"/>
        <w:jc w:val="both"/>
        <w:rPr>
          <w:rFonts w:hint="eastAsia" w:ascii="Times New Roman" w:hAnsi="Times New Roman" w:eastAsia="宋体" w:cs="Times New Roman"/>
          <w:lang w:eastAsia="zh-CN"/>
        </w:rPr>
      </w:pPr>
      <w:bookmarkStart w:id="190" w:name="_Toc1731"/>
      <w:r>
        <w:rPr>
          <w:rFonts w:hint="eastAsia" w:eastAsia="宋体" w:cs="Times New Roman"/>
          <w:bCs/>
          <w:lang w:val="en-US" w:eastAsia="zh-CN"/>
        </w:rPr>
        <w:t>润滑油</w:t>
      </w:r>
      <w:r>
        <w:rPr>
          <w:rFonts w:hint="default" w:ascii="Times New Roman" w:hAnsi="Times New Roman" w:eastAsia="宋体" w:cs="Times New Roman"/>
          <w:bCs/>
        </w:rPr>
        <w:t>泄漏为液体泄漏，液体泄漏按《建设项目环境风险评价技术导则》（HJ169-2018）附录F.1.1公式计算：</w:t>
      </w:r>
    </w:p>
    <w:p w14:paraId="7E4C082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式中：</w:t>
      </w:r>
    </w:p>
    <w:p w14:paraId="53B5D7E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Q</w:t>
      </w:r>
      <w:r>
        <w:rPr>
          <w:rFonts w:hint="default" w:ascii="Times New Roman" w:hAnsi="Times New Roman" w:eastAsia="宋体" w:cs="Times New Roman"/>
          <w:vertAlign w:val="subscript"/>
        </w:rPr>
        <w:t>L</w:t>
      </w:r>
      <w:r>
        <w:rPr>
          <w:rFonts w:hint="default" w:ascii="Times New Roman" w:hAnsi="Times New Roman" w:eastAsia="宋体" w:cs="Times New Roman"/>
        </w:rPr>
        <w:t>——液体泄漏速度，kg/s；</w:t>
      </w:r>
    </w:p>
    <w:p w14:paraId="1C1DFF42">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P——容器内介质压力，Pa；</w:t>
      </w:r>
    </w:p>
    <w:p w14:paraId="220E7AEE">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P</w:t>
      </w:r>
      <w:r>
        <w:rPr>
          <w:rFonts w:hint="default" w:ascii="Times New Roman" w:hAnsi="Times New Roman" w:eastAsia="宋体" w:cs="Times New Roman"/>
          <w:vertAlign w:val="subscript"/>
        </w:rPr>
        <w:t>0</w:t>
      </w:r>
      <w:r>
        <w:rPr>
          <w:rFonts w:hint="default" w:ascii="Times New Roman" w:hAnsi="Times New Roman" w:eastAsia="宋体" w:cs="Times New Roman"/>
        </w:rPr>
        <w:t>——环境压力，Pa；</w:t>
      </w:r>
    </w:p>
    <w:p w14:paraId="01200B0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ρ——泄漏液体密度，kg/m</w:t>
      </w:r>
      <w:r>
        <w:rPr>
          <w:rFonts w:hint="default" w:ascii="Times New Roman" w:hAnsi="Times New Roman" w:eastAsia="宋体" w:cs="Times New Roman"/>
          <w:vertAlign w:val="superscript"/>
        </w:rPr>
        <w:t>3</w:t>
      </w:r>
      <w:r>
        <w:rPr>
          <w:rFonts w:hint="default" w:ascii="Times New Roman" w:hAnsi="Times New Roman" w:eastAsia="宋体" w:cs="Times New Roman"/>
        </w:rPr>
        <w:t>，</w:t>
      </w:r>
      <w:r>
        <w:rPr>
          <w:rFonts w:hint="eastAsia" w:eastAsia="宋体" w:cs="Times New Roman"/>
          <w:lang w:val="en-US" w:eastAsia="zh-CN"/>
        </w:rPr>
        <w:t>润滑油</w:t>
      </w:r>
      <w:r>
        <w:rPr>
          <w:rFonts w:hint="default" w:ascii="Times New Roman" w:hAnsi="Times New Roman" w:eastAsia="宋体" w:cs="Times New Roman"/>
        </w:rPr>
        <w:t>密度取</w:t>
      </w:r>
      <w:r>
        <w:rPr>
          <w:rFonts w:hint="eastAsia" w:eastAsia="宋体" w:cs="Times New Roman"/>
          <w:lang w:val="en-US" w:eastAsia="zh-CN"/>
        </w:rPr>
        <w:t>1100</w:t>
      </w:r>
      <w:r>
        <w:rPr>
          <w:rFonts w:hint="default" w:ascii="Times New Roman" w:hAnsi="Times New Roman" w:eastAsia="宋体" w:cs="Times New Roman"/>
        </w:rPr>
        <w:t>kg/m</w:t>
      </w:r>
      <w:r>
        <w:rPr>
          <w:rFonts w:hint="default" w:ascii="Times New Roman" w:hAnsi="Times New Roman" w:eastAsia="宋体" w:cs="Times New Roman"/>
          <w:vertAlign w:val="superscript"/>
        </w:rPr>
        <w:t>3</w:t>
      </w:r>
      <w:r>
        <w:rPr>
          <w:rFonts w:hint="default" w:ascii="Times New Roman" w:hAnsi="Times New Roman" w:eastAsia="宋体" w:cs="Times New Roman"/>
        </w:rPr>
        <w:t>；</w:t>
      </w:r>
    </w:p>
    <w:p w14:paraId="358B4571">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g——重力加速度，9.8m/s</w:t>
      </w:r>
      <w:r>
        <w:rPr>
          <w:rFonts w:hint="default" w:ascii="Times New Roman" w:hAnsi="Times New Roman" w:eastAsia="宋体" w:cs="Times New Roman"/>
          <w:vertAlign w:val="superscript"/>
        </w:rPr>
        <w:t>2</w:t>
      </w:r>
      <w:r>
        <w:rPr>
          <w:rFonts w:hint="default" w:ascii="Times New Roman" w:hAnsi="Times New Roman" w:eastAsia="宋体" w:cs="Times New Roman"/>
        </w:rPr>
        <w:t>；</w:t>
      </w:r>
    </w:p>
    <w:p w14:paraId="4243BFD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h——裂口之上液位高度，m。</w:t>
      </w:r>
    </w:p>
    <w:p w14:paraId="7E8C2995">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C</w:t>
      </w:r>
      <w:r>
        <w:rPr>
          <w:rFonts w:hint="default" w:ascii="Times New Roman" w:hAnsi="Times New Roman" w:eastAsia="宋体" w:cs="Times New Roman"/>
          <w:vertAlign w:val="subscript"/>
        </w:rPr>
        <w:t>d</w:t>
      </w:r>
      <w:r>
        <w:rPr>
          <w:rFonts w:hint="default" w:ascii="Times New Roman" w:hAnsi="Times New Roman" w:eastAsia="宋体" w:cs="Times New Roman"/>
        </w:rPr>
        <w:t>——液体泄漏系数，此值常用0.6-0.64，取0.62；</w:t>
      </w:r>
    </w:p>
    <w:p w14:paraId="6C6B9B28">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A——裂口面积，m</w:t>
      </w:r>
      <w:r>
        <w:rPr>
          <w:rFonts w:hint="default" w:ascii="Times New Roman" w:hAnsi="Times New Roman" w:eastAsia="宋体" w:cs="Times New Roman"/>
          <w:vertAlign w:val="superscript"/>
        </w:rPr>
        <w:t>2</w:t>
      </w:r>
      <w:r>
        <w:rPr>
          <w:rFonts w:hint="default" w:ascii="Times New Roman" w:hAnsi="Times New Roman" w:eastAsia="宋体" w:cs="Times New Roman"/>
        </w:rPr>
        <w:t>；</w:t>
      </w:r>
    </w:p>
    <w:p w14:paraId="088A3109">
      <w:pPr>
        <w:adjustRightInd w:val="0"/>
        <w:snapToGrid w:val="0"/>
        <w:spacing w:before="0" w:line="500" w:lineRule="exact"/>
        <w:ind w:left="0" w:leftChars="0" w:right="0" w:firstLine="480" w:firstLineChars="200"/>
        <w:jc w:val="both"/>
        <w:rPr>
          <w:rFonts w:hint="eastAsia" w:hAnsi="Cambria Math" w:cs="Times New Roman"/>
          <w:i w:val="0"/>
          <w:lang w:val="en-US" w:eastAsia="zh-CN"/>
        </w:rPr>
      </w:pPr>
      <w:bookmarkStart w:id="191" w:name="_Hlk47517831"/>
      <w:r>
        <w:rPr>
          <w:rFonts w:hint="default" w:ascii="Times New Roman" w:hAnsi="Times New Roman" w:eastAsia="宋体" w:cs="Times New Roman"/>
        </w:rPr>
        <w:t>裂口为圆形（多边形）时泄漏速度比裂口为三角形或长方形时的泄漏速度大，腐蚀裂口多为多边形或圆形，因此，假设该公司发生事故时裂口为圆形，根据《建设项目环境风险评价技术导则》（HJ169-2018）附录E泄漏频率的推荐值，泄漏孔径为10mm，面积为0.0000785m</w:t>
      </w:r>
      <w:r>
        <w:rPr>
          <w:rFonts w:hint="default" w:ascii="Times New Roman" w:hAnsi="Times New Roman" w:eastAsia="宋体" w:cs="Times New Roman"/>
          <w:vertAlign w:val="superscript"/>
        </w:rPr>
        <w:t>2</w:t>
      </w:r>
      <w:r>
        <w:rPr>
          <w:rFonts w:hint="default" w:ascii="Times New Roman" w:hAnsi="Times New Roman" w:eastAsia="宋体" w:cs="Times New Roman"/>
        </w:rPr>
        <w:t>，根据企业提供资料，</w:t>
      </w:r>
      <w:r>
        <w:rPr>
          <w:rFonts w:hint="eastAsia" w:eastAsia="宋体" w:cs="Times New Roman"/>
          <w:lang w:val="en-US" w:eastAsia="zh-CN"/>
        </w:rPr>
        <w:t>润滑油</w:t>
      </w:r>
      <w:r>
        <w:rPr>
          <w:rFonts w:hint="default" w:ascii="Times New Roman" w:hAnsi="Times New Roman" w:eastAsia="宋体" w:cs="Times New Roman"/>
        </w:rPr>
        <w:t>桶高约0.</w:t>
      </w:r>
      <w:r>
        <w:rPr>
          <w:rFonts w:hint="eastAsia" w:eastAsia="宋体" w:cs="Times New Roman"/>
          <w:lang w:val="en-US" w:eastAsia="zh-CN"/>
        </w:rPr>
        <w:t>25</w:t>
      </w:r>
      <w:r>
        <w:rPr>
          <w:rFonts w:hint="default" w:ascii="Times New Roman" w:hAnsi="Times New Roman" w:eastAsia="宋体" w:cs="Times New Roman"/>
        </w:rPr>
        <w:t>米，故裂口之上液位高度h取0.</w:t>
      </w:r>
      <w:r>
        <w:rPr>
          <w:rFonts w:hint="eastAsia" w:eastAsia="宋体" w:cs="Times New Roman"/>
          <w:lang w:val="en-US" w:eastAsia="zh-CN"/>
        </w:rPr>
        <w:t>25</w:t>
      </w:r>
      <w:r>
        <w:rPr>
          <w:rFonts w:hint="default" w:ascii="Times New Roman" w:hAnsi="Times New Roman" w:eastAsia="宋体" w:cs="Times New Roman"/>
        </w:rPr>
        <w:t>m</w:t>
      </w:r>
      <w:bookmarkEnd w:id="191"/>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若一个</w:t>
      </w:r>
      <w:r>
        <w:rPr>
          <w:rFonts w:hint="eastAsia" w:eastAsia="宋体" w:cs="Times New Roman"/>
          <w:lang w:val="en-US" w:eastAsia="zh-CN"/>
        </w:rPr>
        <w:t>润滑油</w:t>
      </w:r>
      <w:r>
        <w:rPr>
          <w:rFonts w:hint="eastAsia" w:ascii="Times New Roman" w:hAnsi="Times New Roman" w:eastAsia="宋体" w:cs="Times New Roman"/>
          <w:lang w:val="en-US" w:eastAsia="zh-CN"/>
        </w:rPr>
        <w:t>桶泄漏，则Q</w:t>
      </w:r>
      <w:r>
        <w:rPr>
          <w:rFonts w:hint="eastAsia" w:ascii="Times New Roman" w:hAnsi="Times New Roman" w:eastAsia="宋体" w:cs="Times New Roman"/>
          <w:vertAlign w:val="subscript"/>
          <w:lang w:val="en-US" w:eastAsia="zh-CN"/>
        </w:rPr>
        <w:t>L</w:t>
      </w:r>
      <w:r>
        <w:rPr>
          <w:rFonts w:hint="eastAsia" w:ascii="Times New Roman" w:hAnsi="Times New Roman" w:eastAsia="宋体" w:cs="Times New Roman"/>
          <w:lang w:val="en-US" w:eastAsia="zh-CN"/>
        </w:rPr>
        <w:t>=0.62*0.0000785*</w:t>
      </w:r>
      <w:r>
        <w:rPr>
          <w:rFonts w:hint="eastAsia" w:eastAsia="宋体" w:cs="Times New Roman"/>
          <w:lang w:val="en-US" w:eastAsia="zh-CN"/>
        </w:rPr>
        <w:t>1100</w:t>
      </w:r>
      <w:r>
        <w:rPr>
          <w:rFonts w:hint="eastAsia" w:ascii="Times New Roman" w:hAnsi="Times New Roman" w:eastAsia="宋体" w:cs="Times New Roman"/>
          <w:lang w:val="en-US" w:eastAsia="zh-CN"/>
        </w:rPr>
        <w:t>*</w:t>
      </w:r>
      <m:oMath>
        <m:r>
          <m:rPr>
            <m:sty m:val="p"/>
          </m:rPr>
          <w:rPr>
            <w:rFonts w:ascii="Cambria Math" w:hAnsi="Cambria Math" w:cs="Times New Roman"/>
            <w:lang w:val="en-US"/>
          </w:rPr>
          <m:t>√</m:t>
        </m:r>
        <m:r>
          <m:rPr>
            <m:sty m:val="p"/>
          </m:rPr>
          <w:rPr>
            <w:rFonts w:hint="default" w:ascii="Cambria Math" w:hAnsi="Cambria Math" w:cs="Times New Roman"/>
            <w:lang w:val="en-US" w:eastAsia="zh-CN"/>
          </w:rPr>
          <m:t>（2∗9.8∗0.25）</m:t>
        </m:r>
      </m:oMath>
      <w:r>
        <w:rPr>
          <w:rFonts w:hint="eastAsia" w:hAnsi="Cambria Math" w:cs="Times New Roman"/>
          <w:i w:val="0"/>
          <w:lang w:val="en-US" w:eastAsia="zh-CN"/>
        </w:rPr>
        <w:t>=0.119kg/s。</w:t>
      </w:r>
    </w:p>
    <w:p w14:paraId="3AF9E3D0">
      <w:pPr>
        <w:pStyle w:val="6"/>
        <w:adjustRightInd w:val="0"/>
        <w:snapToGrid w:val="0"/>
        <w:spacing w:before="0" w:after="0" w:line="500" w:lineRule="exact"/>
        <w:jc w:val="left"/>
        <w:outlineLvl w:val="3"/>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4.4.</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2.2消防废水污染水环境事件</w:t>
      </w:r>
    </w:p>
    <w:p w14:paraId="503114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对地表水造成的不良影</w:t>
      </w:r>
      <w:r>
        <w:rPr>
          <w:rFonts w:hint="default" w:ascii="Times New Roman" w:hAnsi="Times New Roman" w:eastAsia="宋体" w:cs="Times New Roman"/>
          <w:color w:val="000000" w:themeColor="text1"/>
          <w14:textFill>
            <w14:solidFill>
              <w14:schemeClr w14:val="tx1"/>
            </w14:solidFill>
          </w14:textFill>
        </w:rPr>
        <w:t>响以</w:t>
      </w:r>
      <w:r>
        <w:rPr>
          <w:rFonts w:hint="eastAsia" w:eastAsia="宋体" w:cs="Times New Roman"/>
          <w:color w:val="000000" w:themeColor="text1"/>
          <w:lang w:val="en-US" w:eastAsia="zh-CN"/>
          <w14:textFill>
            <w14:solidFill>
              <w14:schemeClr w14:val="tx1"/>
            </w14:solidFill>
          </w14:textFill>
        </w:rPr>
        <w:t>洗消废水</w:t>
      </w:r>
      <w:r>
        <w:rPr>
          <w:rFonts w:hint="default" w:ascii="Times New Roman" w:hAnsi="Times New Roman" w:eastAsia="宋体" w:cs="Times New Roman"/>
          <w:color w:val="000000" w:themeColor="text1"/>
          <w14:textFill>
            <w14:solidFill>
              <w14:schemeClr w14:val="tx1"/>
            </w14:solidFill>
          </w14:textFill>
        </w:rPr>
        <w:t>进入</w:t>
      </w:r>
      <w:r>
        <w:rPr>
          <w:rFonts w:hint="eastAsia" w:ascii="宋体" w:hAnsi="宋体" w:eastAsia="宋体" w:cs="宋体"/>
          <w:color w:val="000000" w:themeColor="text1"/>
          <w:lang w:val="en-US" w:eastAsia="zh-CN"/>
          <w14:textFill>
            <w14:solidFill>
              <w14:schemeClr w14:val="tx1"/>
            </w14:solidFill>
          </w14:textFill>
        </w:rPr>
        <w:t>胡墩河</w:t>
      </w:r>
      <w:r>
        <w:rPr>
          <w:rFonts w:hint="default" w:ascii="Times New Roman" w:hAnsi="Times New Roman" w:eastAsia="宋体" w:cs="Times New Roman"/>
          <w:color w:val="000000" w:themeColor="text1"/>
          <w14:textFill>
            <w14:solidFill>
              <w14:schemeClr w14:val="tx1"/>
            </w14:solidFill>
          </w14:textFill>
        </w:rPr>
        <w:t>进行测算</w:t>
      </w:r>
      <w:r>
        <w:rPr>
          <w:rFonts w:hint="default" w:ascii="Times New Roman" w:hAnsi="Times New Roman" w:eastAsia="宋体" w:cs="Times New Roman"/>
          <w:color w:val="000000" w:themeColor="text1"/>
          <w:highlight w:val="none"/>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胡墩河</w:t>
      </w:r>
      <w:r>
        <w:rPr>
          <w:rFonts w:hint="default" w:ascii="Times New Roman" w:hAnsi="Times New Roman" w:eastAsia="宋体" w:cs="Times New Roman"/>
          <w:color w:val="000000" w:themeColor="text1"/>
          <w:highlight w:val="none"/>
          <w14:textFill>
            <w14:solidFill>
              <w14:schemeClr w14:val="tx1"/>
            </w14:solidFill>
          </w14:textFill>
        </w:rPr>
        <w:t>COD为</w:t>
      </w:r>
      <w:r>
        <w:rPr>
          <w:rFonts w:hint="eastAsia" w:eastAsia="宋体" w:cs="Times New Roman"/>
          <w:color w:val="000000" w:themeColor="text1"/>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highlight w:val="none"/>
          <w14:textFill>
            <w14:solidFill>
              <w14:schemeClr w14:val="tx1"/>
            </w14:solidFill>
          </w14:textFill>
        </w:rPr>
        <w:t>mg/L，水深3</w:t>
      </w:r>
      <w:r>
        <w:rPr>
          <w:rFonts w:hint="eastAsia" w:eastAsia="宋体"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4米，枯水期流速平均约为0.06m/s，枯水期流量约</w:t>
      </w:r>
      <w:r>
        <w:rPr>
          <w:rFonts w:hint="eastAsia" w:eastAsia="宋体" w:cs="Times New Roman"/>
          <w:color w:val="000000" w:themeColor="text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highlight w:val="none"/>
          <w14:textFill>
            <w14:solidFill>
              <w14:schemeClr w14:val="tx1"/>
            </w14:solidFill>
          </w14:textFill>
        </w:rPr>
        <w:t>m</w:t>
      </w:r>
      <w:r>
        <w:rPr>
          <w:rFonts w:hint="default" w:ascii="Times New Roman" w:hAnsi="Times New Roman" w:eastAsia="宋体" w:cs="Times New Roman"/>
          <w:color w:val="000000" w:themeColor="text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highlight w:val="none"/>
          <w14:textFill>
            <w14:solidFill>
              <w14:schemeClr w14:val="tx1"/>
            </w14:solidFill>
          </w14:textFill>
        </w:rPr>
        <w:t>/s。</w:t>
      </w:r>
      <w:r>
        <w:rPr>
          <w:rFonts w:hint="eastAsia" w:ascii="宋体" w:hAnsi="宋体" w:eastAsia="宋体" w:cs="宋体"/>
          <w:color w:val="000000" w:themeColor="text1"/>
          <w:lang w:val="en-US" w:eastAsia="zh-CN"/>
          <w14:textFill>
            <w14:solidFill>
              <w14:schemeClr w14:val="tx1"/>
            </w14:solidFill>
          </w14:textFill>
        </w:rPr>
        <w:t>胡墩河</w:t>
      </w:r>
      <w:r>
        <w:rPr>
          <w:rFonts w:hint="default" w:ascii="Times New Roman" w:hAnsi="Times New Roman" w:eastAsia="宋体" w:cs="Times New Roman"/>
          <w:color w:val="000000" w:themeColor="text1"/>
          <w:highlight w:val="none"/>
          <w14:textFill>
            <w14:solidFill>
              <w14:schemeClr w14:val="tx1"/>
            </w14:solidFill>
          </w14:textFill>
        </w:rPr>
        <w:t>水质情况见表4-</w:t>
      </w:r>
      <w:r>
        <w:rPr>
          <w:rFonts w:hint="eastAsia" w:eastAsia="宋体" w:cs="Times New Roman"/>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w:t>
      </w:r>
    </w:p>
    <w:p w14:paraId="0D831BDC">
      <w:pPr>
        <w:pStyle w:val="13"/>
        <w:adjustRightInd w:val="0"/>
        <w:snapToGrid w:val="0"/>
        <w:spacing w:after="0" w:line="500" w:lineRule="exact"/>
        <w:jc w:val="center"/>
        <w:rPr>
          <w:rFonts w:ascii="宋体" w:hAnsi="宋体" w:eastAsia="宋体" w:cs="宋体"/>
          <w:b/>
          <w:color w:val="0000FF"/>
        </w:rPr>
      </w:pPr>
      <w:r>
        <w:rPr>
          <w:rFonts w:hint="default" w:ascii="Times New Roman" w:hAnsi="Times New Roman" w:eastAsia="宋体" w:cs="Times New Roman"/>
          <w:b/>
          <w:color w:val="000000" w:themeColor="text1"/>
          <w14:textFill>
            <w14:solidFill>
              <w14:schemeClr w14:val="tx1"/>
            </w14:solidFill>
          </w14:textFill>
        </w:rPr>
        <w:t>表4-</w:t>
      </w:r>
      <w:r>
        <w:rPr>
          <w:rFonts w:hint="eastAsia" w:eastAsia="宋体" w:cs="Times New Roman"/>
          <w:b/>
          <w:color w:val="000000" w:themeColor="text1"/>
          <w:lang w:val="en-US" w:eastAsia="zh-CN"/>
          <w14:textFill>
            <w14:solidFill>
              <w14:schemeClr w14:val="tx1"/>
            </w14:solidFill>
          </w14:textFill>
        </w:rPr>
        <w:t>7胡墩河</w:t>
      </w:r>
      <w:r>
        <w:rPr>
          <w:rFonts w:hint="default" w:ascii="Times New Roman" w:hAnsi="Times New Roman" w:eastAsia="宋体" w:cs="Times New Roman"/>
          <w:b/>
          <w:color w:val="000000" w:themeColor="text1"/>
          <w14:textFill>
            <w14:solidFill>
              <w14:schemeClr w14:val="tx1"/>
            </w14:solidFill>
          </w14:textFill>
        </w:rPr>
        <w:t>水质情况</w:t>
      </w:r>
    </w:p>
    <w:tbl>
      <w:tblPr>
        <w:tblStyle w:val="37"/>
        <w:tblW w:w="49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3763"/>
        <w:gridCol w:w="5295"/>
      </w:tblGrid>
      <w:tr w14:paraId="0E409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6" w:hRule="atLeast"/>
          <w:jc w:val="center"/>
        </w:trPr>
        <w:tc>
          <w:tcPr>
            <w:tcW w:w="2077" w:type="pct"/>
            <w:tcBorders>
              <w:tl2br w:val="nil"/>
              <w:tr2bl w:val="nil"/>
            </w:tcBorders>
            <w:vAlign w:val="center"/>
          </w:tcPr>
          <w:p w14:paraId="0D81D36A">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河流</w:t>
            </w:r>
          </w:p>
        </w:tc>
        <w:tc>
          <w:tcPr>
            <w:tcW w:w="2922" w:type="pct"/>
            <w:tcBorders>
              <w:tl2br w:val="nil"/>
              <w:tr2bl w:val="nil"/>
            </w:tcBorders>
            <w:vAlign w:val="center"/>
          </w:tcPr>
          <w:p w14:paraId="75C52F2E">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CODcr(mg/L)</w:t>
            </w:r>
          </w:p>
        </w:tc>
      </w:tr>
      <w:tr w14:paraId="3812A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0" w:hRule="atLeast"/>
          <w:jc w:val="center"/>
        </w:trPr>
        <w:tc>
          <w:tcPr>
            <w:tcW w:w="2077" w:type="pct"/>
            <w:tcBorders>
              <w:tl2br w:val="nil"/>
              <w:tr2bl w:val="nil"/>
            </w:tcBorders>
            <w:vAlign w:val="center"/>
          </w:tcPr>
          <w:p w14:paraId="2FDB775B">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胡墩河</w:t>
            </w:r>
          </w:p>
        </w:tc>
        <w:tc>
          <w:tcPr>
            <w:tcW w:w="2922" w:type="pct"/>
            <w:tcBorders>
              <w:tl2br w:val="nil"/>
              <w:tr2bl w:val="nil"/>
            </w:tcBorders>
            <w:vAlign w:val="center"/>
          </w:tcPr>
          <w:p w14:paraId="24115CF5">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r>
    </w:tbl>
    <w:p w14:paraId="74A9DA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污水非正常</w:t>
      </w:r>
      <w:r>
        <w:rPr>
          <w:rFonts w:hint="eastAsia" w:ascii="宋体" w:hAnsi="宋体" w:eastAsia="宋体" w:cs="宋体"/>
          <w:color w:val="000000" w:themeColor="text1"/>
          <w14:textFill>
            <w14:solidFill>
              <w14:schemeClr w14:val="tx1"/>
            </w14:solidFill>
          </w14:textFill>
        </w:rPr>
        <w:t>排放对水质</w:t>
      </w:r>
      <w:r>
        <w:rPr>
          <w:rFonts w:hint="eastAsia" w:ascii="宋体" w:hAnsi="宋体" w:eastAsia="宋体" w:cs="宋体"/>
          <w:color w:val="000000" w:themeColor="text1"/>
          <w:lang w:val="en-US" w:eastAsia="zh-CN"/>
          <w14:textFill>
            <w14:solidFill>
              <w14:schemeClr w14:val="tx1"/>
            </w14:solidFill>
          </w14:textFill>
        </w:rPr>
        <w:t>会产生</w:t>
      </w:r>
      <w:r>
        <w:rPr>
          <w:rFonts w:hint="eastAsia" w:ascii="宋体" w:hAnsi="宋体" w:eastAsia="宋体" w:cs="宋体"/>
          <w:color w:val="000000" w:themeColor="text1"/>
          <w14:textFill>
            <w14:solidFill>
              <w14:schemeClr w14:val="tx1"/>
            </w14:solidFill>
          </w14:textFill>
        </w:rPr>
        <w:t>不良影响，</w:t>
      </w:r>
      <w:r>
        <w:rPr>
          <w:rFonts w:hint="eastAsia" w:ascii="宋体" w:hAnsi="宋体" w:eastAsia="宋体" w:cs="宋体"/>
          <w:color w:val="000000" w:themeColor="text1"/>
          <w:lang w:val="en-US" w:eastAsia="zh-CN"/>
          <w14:textFill>
            <w14:solidFill>
              <w14:schemeClr w14:val="tx1"/>
            </w14:solidFill>
          </w14:textFill>
        </w:rPr>
        <w:t>假设污</w:t>
      </w:r>
      <w:r>
        <w:rPr>
          <w:rFonts w:hint="default" w:ascii="Times New Roman" w:hAnsi="Times New Roman" w:eastAsia="宋体" w:cs="Times New Roman"/>
          <w:color w:val="000000" w:themeColor="text1"/>
          <w:lang w:val="en-US" w:eastAsia="zh-CN"/>
          <w14:textFill>
            <w14:solidFill>
              <w14:schemeClr w14:val="tx1"/>
            </w14:solidFill>
          </w14:textFill>
        </w:rPr>
        <w:t>水</w:t>
      </w:r>
      <w:r>
        <w:rPr>
          <w:rFonts w:hint="default" w:ascii="Times New Roman" w:hAnsi="Times New Roman" w:eastAsia="宋体" w:cs="Times New Roman"/>
          <w:color w:val="000000" w:themeColor="text1"/>
          <w14:textFill>
            <w14:solidFill>
              <w14:schemeClr w14:val="tx1"/>
            </w14:solidFill>
          </w14:textFill>
        </w:rPr>
        <w:t>COD</w:t>
      </w:r>
      <w:r>
        <w:rPr>
          <w:rFonts w:hint="default" w:ascii="Times New Roman" w:hAnsi="Times New Roman" w:eastAsia="宋体" w:cs="Times New Roman"/>
          <w:color w:val="000000" w:themeColor="text1"/>
          <w:lang w:val="en-US" w:eastAsia="zh-CN"/>
          <w14:textFill>
            <w14:solidFill>
              <w14:schemeClr w14:val="tx1"/>
            </w14:solidFill>
          </w14:textFill>
        </w:rPr>
        <w:t>浓度为</w:t>
      </w:r>
      <w:r>
        <w:rPr>
          <w:rFonts w:hint="eastAsia" w:eastAsia="宋体" w:cs="Times New Roman"/>
          <w:color w:val="000000" w:themeColor="text1"/>
          <w:lang w:val="en-US" w:eastAsia="zh-CN"/>
          <w14:textFill>
            <w14:solidFill>
              <w14:schemeClr w14:val="tx1"/>
            </w14:solidFill>
          </w14:textFill>
        </w:rPr>
        <w:t>250</w:t>
      </w:r>
      <w:r>
        <w:rPr>
          <w:rFonts w:hint="default" w:ascii="Times New Roman" w:hAnsi="Times New Roman" w:eastAsia="宋体" w:cs="Times New Roman"/>
          <w:color w:val="000000" w:themeColor="text1"/>
          <w14:textFill>
            <w14:solidFill>
              <w14:schemeClr w14:val="tx1"/>
            </w14:solidFill>
          </w14:textFill>
        </w:rPr>
        <w:t>mg/L，流量</w:t>
      </w:r>
      <w:r>
        <w:rPr>
          <w:rFonts w:hint="default" w:ascii="Times New Roman" w:hAnsi="Times New Roman" w:eastAsia="宋体" w:cs="Times New Roman"/>
          <w:color w:val="000000" w:themeColor="text1"/>
          <w:szCs w:val="28"/>
          <w:lang w:val="en-US" w:eastAsia="zh-CN"/>
          <w14:textFill>
            <w14:solidFill>
              <w14:schemeClr w14:val="tx1"/>
            </w14:solidFill>
          </w14:textFill>
        </w:rPr>
        <w:t>0.</w:t>
      </w:r>
      <w:r>
        <w:rPr>
          <w:rFonts w:hint="eastAsia" w:eastAsia="宋体" w:cs="Times New Roman"/>
          <w:color w:val="000000" w:themeColor="text1"/>
          <w:szCs w:val="28"/>
          <w:lang w:val="en-US" w:eastAsia="zh-CN"/>
          <w14:textFill>
            <w14:solidFill>
              <w14:schemeClr w14:val="tx1"/>
            </w14:solidFill>
          </w14:textFill>
        </w:rPr>
        <w:t>03</w:t>
      </w:r>
      <w:r>
        <w:rPr>
          <w:rFonts w:hint="default" w:ascii="Times New Roman" w:hAnsi="Times New Roman" w:eastAsia="宋体" w:cs="Times New Roman"/>
          <w:color w:val="000000" w:themeColor="text1"/>
          <w:szCs w:val="28"/>
          <w14:textFill>
            <w14:solidFill>
              <w14:schemeClr w14:val="tx1"/>
            </w14:solidFill>
          </w14:textFill>
        </w:rPr>
        <w:t>m</w:t>
      </w:r>
      <w:r>
        <w:rPr>
          <w:rFonts w:hint="default" w:ascii="Times New Roman" w:hAnsi="Times New Roman" w:eastAsia="宋体" w:cs="Times New Roman"/>
          <w:color w:val="000000" w:themeColor="text1"/>
          <w:szCs w:val="28"/>
          <w:vertAlign w:val="superscript"/>
          <w14:textFill>
            <w14:solidFill>
              <w14:schemeClr w14:val="tx1"/>
            </w14:solidFill>
          </w14:textFill>
        </w:rPr>
        <w:t>3</w:t>
      </w:r>
      <w:r>
        <w:rPr>
          <w:rFonts w:hint="default" w:ascii="Times New Roman" w:hAnsi="Times New Roman" w:eastAsia="宋体" w:cs="Times New Roman"/>
          <w:color w:val="000000" w:themeColor="text1"/>
          <w:szCs w:val="28"/>
          <w14:textFill>
            <w14:solidFill>
              <w14:schemeClr w14:val="tx1"/>
            </w14:solidFill>
          </w14:textFill>
        </w:rPr>
        <w:t>/s</w:t>
      </w:r>
      <w:r>
        <w:rPr>
          <w:rFonts w:hint="default" w:ascii="Times New Roman" w:hAnsi="Times New Roman" w:eastAsia="宋体" w:cs="Times New Roman"/>
          <w:color w:val="000000" w:themeColor="text1"/>
          <w14:textFill>
            <w14:solidFill>
              <w14:schemeClr w14:val="tx1"/>
            </w14:solidFill>
          </w14:textFill>
        </w:rPr>
        <w:t>，事故时间</w:t>
      </w:r>
      <w:r>
        <w:rPr>
          <w:rFonts w:hint="eastAsia" w:eastAsia="宋体" w:cs="Times New Roman"/>
          <w:color w:val="000000" w:themeColor="text1"/>
          <w:lang w:val="en-US" w:eastAsia="zh-CN"/>
          <w14:textFill>
            <w14:solidFill>
              <w14:schemeClr w14:val="tx1"/>
            </w14:solidFill>
          </w14:textFill>
        </w:rPr>
        <w:t>1h</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总废水量</w:t>
      </w:r>
      <w:r>
        <w:rPr>
          <w:rFonts w:hint="eastAsia" w:eastAsia="宋体" w:cs="Times New Roman"/>
          <w:color w:val="000000" w:themeColor="text1"/>
          <w:highlight w:val="none"/>
          <w:lang w:val="en-US" w:eastAsia="zh-CN"/>
          <w14:textFill>
            <w14:solidFill>
              <w14:schemeClr w14:val="tx1"/>
            </w14:solidFill>
          </w14:textFill>
        </w:rPr>
        <w:t>108</w:t>
      </w:r>
      <w:r>
        <w:rPr>
          <w:rFonts w:hint="default" w:ascii="Times New Roman" w:hAnsi="Times New Roman" w:eastAsia="宋体" w:cs="Times New Roman"/>
          <w:color w:val="000000" w:themeColor="text1"/>
          <w:highlight w:val="none"/>
          <w14:textFill>
            <w14:solidFill>
              <w14:schemeClr w14:val="tx1"/>
            </w14:solidFill>
          </w14:textFill>
        </w:rPr>
        <w:t>m</w:t>
      </w:r>
      <w:r>
        <w:rPr>
          <w:rFonts w:hint="default" w:ascii="Times New Roman" w:hAnsi="Times New Roman" w:eastAsia="宋体" w:cs="Times New Roman"/>
          <w:color w:val="000000" w:themeColor="text1"/>
          <w:highlight w:val="none"/>
          <w:vertAlign w:val="superscript"/>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w:t>
      </w:r>
    </w:p>
    <w:p w14:paraId="653FC24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按照《环境影响评</w:t>
      </w:r>
      <w:r>
        <w:rPr>
          <w:rFonts w:hint="eastAsia" w:ascii="宋体" w:hAnsi="宋体" w:eastAsia="宋体" w:cs="宋体"/>
          <w:color w:val="000000" w:themeColor="text1"/>
          <w:lang w:val="en-US" w:eastAsia="zh-CN"/>
          <w14:textFill>
            <w14:solidFill>
              <w14:schemeClr w14:val="tx1"/>
            </w14:solidFill>
          </w14:textFill>
        </w:rPr>
        <w:t>价</w:t>
      </w:r>
      <w:r>
        <w:rPr>
          <w:rFonts w:hint="eastAsia" w:ascii="宋体" w:hAnsi="宋体" w:eastAsia="宋体" w:cs="宋体"/>
          <w:color w:val="000000" w:themeColor="text1"/>
          <w14:textFill>
            <w14:solidFill>
              <w14:schemeClr w14:val="tx1"/>
            </w14:solidFill>
          </w14:textFill>
        </w:rPr>
        <w:t>技术导则</w:t>
      </w:r>
      <w:r>
        <w:rPr>
          <w:rFonts w:hint="eastAsia" w:ascii="宋体" w:hAnsi="宋体" w:eastAsia="宋体" w:cs="宋体"/>
          <w:color w:val="000000" w:themeColor="text1"/>
          <w:lang w:val="en-US" w:eastAsia="zh-CN"/>
          <w14:textFill>
            <w14:solidFill>
              <w14:schemeClr w14:val="tx1"/>
            </w14:solidFill>
          </w14:textFill>
        </w:rPr>
        <w:t>地表水环境</w:t>
      </w:r>
      <w:r>
        <w:rPr>
          <w:rFonts w:hint="eastAsia" w:ascii="宋体" w:hAnsi="宋体" w:eastAsia="宋体" w:cs="宋体"/>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附近水体</w:t>
      </w:r>
      <w:r>
        <w:rPr>
          <w:rFonts w:hint="eastAsia" w:ascii="宋体" w:hAnsi="宋体" w:eastAsia="宋体" w:cs="宋体"/>
          <w:color w:val="000000" w:themeColor="text1"/>
          <w14:textFill>
            <w14:solidFill>
              <w14:schemeClr w14:val="tx1"/>
            </w14:solidFill>
          </w14:textFill>
        </w:rPr>
        <w:t>河道基本平直</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考虑河流充分混合段，评价采用一维对流扩散模型进行预测。</w:t>
      </w:r>
    </w:p>
    <w:p w14:paraId="097E03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FF"/>
        </w:rPr>
      </w:pPr>
      <w:r>
        <w:rPr>
          <w:rFonts w:hint="eastAsia" w:ascii="宋体" w:hAnsi="宋体" w:eastAsia="宋体" w:cs="宋体"/>
          <w:color w:val="000000" w:themeColor="text1"/>
          <w14:textFill>
            <w14:solidFill>
              <w14:schemeClr w14:val="tx1"/>
            </w14:solidFill>
          </w14:textFill>
        </w:rPr>
        <w:t>一维对流扩散模型如下：</w:t>
      </w:r>
    </w:p>
    <w:p w14:paraId="72DB9252">
      <w:pPr>
        <w:spacing w:line="360" w:lineRule="auto"/>
        <w:jc w:val="center"/>
        <w:rPr>
          <w:rFonts w:ascii="宋体" w:hAnsi="宋体" w:eastAsia="宋体" w:cs="宋体"/>
          <w:color w:val="0000FF"/>
          <w:sz w:val="28"/>
          <w:szCs w:val="28"/>
        </w:rPr>
      </w:pPr>
      <w:r>
        <w:rPr>
          <w:rFonts w:hint="eastAsia" w:ascii="宋体" w:hAnsi="宋体" w:eastAsia="宋体" w:cs="宋体"/>
          <w:color w:val="0000FF"/>
          <w:position w:val="-28"/>
          <w:sz w:val="28"/>
          <w:szCs w:val="28"/>
        </w:rPr>
        <w:object>
          <v:shape id="_x0000_i1025" o:spt="75" type="#_x0000_t75" style="height:34.65pt;width:124.3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p>
    <w:p w14:paraId="4D74A0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式中：</w:t>
      </w:r>
    </w:p>
    <w:p w14:paraId="6BA2631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C—预测河段污染物浓度，mg/L;</w:t>
      </w:r>
    </w:p>
    <w:p w14:paraId="7EE1B2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—初始预测断面污染物浓度，mg/L;</w:t>
      </w:r>
    </w:p>
    <w:p w14:paraId="61EB549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k</w:t>
      </w:r>
      <w:r>
        <w:rPr>
          <w:rFonts w:hint="default" w:ascii="Times New Roman" w:hAnsi="Times New Roman" w:eastAsia="宋体" w:cs="Times New Roman"/>
          <w:color w:val="000000" w:themeColor="text1"/>
          <w:vertAlign w:val="sub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—衰减系数，1/d;</w:t>
      </w:r>
    </w:p>
    <w:p w14:paraId="2F7E74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d—混合深度；</w:t>
      </w:r>
    </w:p>
    <w:p w14:paraId="47C003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x—距排污口的纵向距离，m;</w:t>
      </w:r>
    </w:p>
    <w:p w14:paraId="67ADC58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u—河水流速，m/s;</w:t>
      </w:r>
    </w:p>
    <w:p w14:paraId="4607172B">
      <w:pPr>
        <w:keepNext w:val="0"/>
        <w:keepLines w:val="0"/>
        <w:pageBreakBefore w:val="0"/>
        <w:widowControl/>
        <w:kinsoku/>
        <w:wordWrap/>
        <w:overflowPunct/>
        <w:topLinePunct w:val="0"/>
        <w:autoSpaceDE/>
        <w:autoSpaceDN/>
        <w:bidi w:val="0"/>
        <w:adjustRightInd w:val="0"/>
        <w:snapToGrid w:val="0"/>
        <w:spacing w:line="360" w:lineRule="auto"/>
        <w:ind w:firstLine="560" w:firstLineChars="0"/>
        <w:textAlignment w:val="auto"/>
        <w:rPr>
          <w:rFonts w:hint="default" w:ascii="Times New Roman" w:hAnsi="Times New Roman" w:eastAsia="宋体" w:cs="Times New Roman"/>
          <w:color w:val="000000" w:themeColor="text1"/>
          <w14:textFill>
            <w14:solidFill>
              <w14:schemeClr w14:val="tx1"/>
            </w14:solidFill>
          </w14:textFill>
        </w:rPr>
      </w:pPr>
      <w:r>
        <w:rPr>
          <w:rFonts w:ascii="宋体" w:hAnsi="宋体" w:eastAsia="宋体" w:cs="宋体"/>
          <w:color w:val="0000FF"/>
        </w:rPr>
        <w:pict>
          <v:shape id="_x0000_s1027" o:spid="_x0000_s1027" o:spt="75" type="#_x0000_t75" style="position:absolute;left:0pt;margin-left:152.25pt;margin-top:6.4pt;height:36.75pt;width:106.5pt;mso-wrap-distance-bottom:0pt;mso-wrap-distance-top:0pt;z-index:251664384;mso-width-relative:page;mso-height-relative:page;" o:ole="t" filled="f" o:preferrelative="t" stroked="f" coordsize="21600,21600">
            <v:path/>
            <v:fill on="f" focussize="0,0"/>
            <v:stroke on="f" joinstyle="miter"/>
            <v:imagedata r:id="rId21" o:title=""/>
            <o:lock v:ext="edit" aspectratio="t"/>
            <w10:wrap type="topAndBottom"/>
          </v:shape>
          <o:OLEObject Type="Embed" ProgID="Equation.3" ShapeID="_x0000_s1027" DrawAspect="Content" ObjectID="_1468075726" r:id="rId20">
            <o:LockedField>false</o:LockedField>
          </o:OLEObject>
        </w:pict>
      </w:r>
      <w:r>
        <w:rPr>
          <w:rFonts w:hint="default" w:ascii="Times New Roman" w:hAnsi="Times New Roman" w:eastAsia="宋体" w:cs="Times New Roman"/>
          <w:color w:val="000000" w:themeColor="text1"/>
          <w14:textFill>
            <w14:solidFill>
              <w14:schemeClr w14:val="tx1"/>
            </w14:solidFill>
          </w14:textFill>
        </w:rPr>
        <w:t>式中：</w:t>
      </w:r>
    </w:p>
    <w:p w14:paraId="2BC8B4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—混合后河流中污染物浓度，mg/L;</w:t>
      </w:r>
    </w:p>
    <w:p w14:paraId="0E2EFD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—河流中污染物的背景浓度，mg/L;</w:t>
      </w:r>
    </w:p>
    <w:p w14:paraId="7447C8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p</w:t>
      </w:r>
      <w:r>
        <w:rPr>
          <w:rFonts w:hint="default" w:ascii="Times New Roman" w:hAnsi="Times New Roman" w:eastAsia="宋体" w:cs="Times New Roman"/>
          <w:color w:val="000000" w:themeColor="text1"/>
          <w14:textFill>
            <w14:solidFill>
              <w14:schemeClr w14:val="tx1"/>
            </w14:solidFill>
          </w14:textFill>
        </w:rPr>
        <w:t>—污水中污染物的浓度，mg/L;</w:t>
      </w:r>
    </w:p>
    <w:p w14:paraId="5DD63C4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Q</w:t>
      </w:r>
      <w:r>
        <w:rPr>
          <w:rFonts w:hint="default" w:ascii="Times New Roman" w:hAnsi="Times New Roman" w:eastAsia="宋体" w:cs="Times New Roman"/>
          <w:color w:val="000000" w:themeColor="text1"/>
          <w:vertAlign w:val="subscript"/>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—河流流量，m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/s;</w:t>
      </w:r>
    </w:p>
    <w:p w14:paraId="52603B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Q</w:t>
      </w:r>
      <w:r>
        <w:rPr>
          <w:rFonts w:hint="default" w:ascii="Times New Roman" w:hAnsi="Times New Roman" w:eastAsia="宋体" w:cs="Times New Roman"/>
          <w:color w:val="000000" w:themeColor="text1"/>
          <w:vertAlign w:val="subscript"/>
          <w14:textFill>
            <w14:solidFill>
              <w14:schemeClr w14:val="tx1"/>
            </w14:solidFill>
          </w14:textFill>
        </w:rPr>
        <w:t>p</w:t>
      </w:r>
      <w:r>
        <w:rPr>
          <w:rFonts w:hint="default" w:ascii="Times New Roman" w:hAnsi="Times New Roman" w:eastAsia="宋体" w:cs="Times New Roman"/>
          <w:color w:val="000000" w:themeColor="text1"/>
          <w14:textFill>
            <w14:solidFill>
              <w14:schemeClr w14:val="tx1"/>
            </w14:solidFill>
          </w14:textFill>
        </w:rPr>
        <w:t>—污水流量，m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/s。</w:t>
      </w:r>
    </w:p>
    <w:p w14:paraId="56A054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COD降解系数K</w:t>
      </w:r>
      <w:r>
        <w:rPr>
          <w:rFonts w:hint="default" w:ascii="Times New Roman" w:hAnsi="Times New Roman" w:eastAsia="宋体" w:cs="Times New Roman"/>
          <w:color w:val="000000" w:themeColor="text1"/>
          <w:vertAlign w:val="subscript"/>
          <w:lang w:val="en-US" w:eastAsia="zh-CN"/>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为</w:t>
      </w:r>
      <w:r>
        <w:rPr>
          <w:rFonts w:hint="default" w:ascii="Times New Roman" w:hAnsi="Times New Roman" w:eastAsia="宋体" w:cs="Times New Roman"/>
          <w:color w:val="000000" w:themeColor="text1"/>
          <w:highlight w:val="none"/>
          <w14:textFill>
            <w14:solidFill>
              <w14:schemeClr w14:val="tx1"/>
            </w14:solidFill>
          </w14:textFill>
        </w:rPr>
        <w:t>0.1</w:t>
      </w:r>
      <w:r>
        <w:rPr>
          <w:rFonts w:hint="eastAsia" w:eastAsia="宋体"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0.25d</w:t>
      </w:r>
      <w:r>
        <w:rPr>
          <w:rFonts w:hint="default" w:ascii="Times New Roman" w:hAnsi="Times New Roman" w:eastAsia="宋体" w:cs="Times New Roman"/>
          <w:color w:val="000000" w:themeColor="text1"/>
          <w:highlight w:val="none"/>
          <w:vertAlign w:val="super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，取0.2。</w:t>
      </w:r>
    </w:p>
    <w:p w14:paraId="3CBD80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生产废水超标排放对</w:t>
      </w:r>
      <w:r>
        <w:rPr>
          <w:rFonts w:hint="eastAsia" w:ascii="宋体" w:hAnsi="宋体" w:eastAsia="宋体" w:cs="宋体"/>
          <w:color w:val="000000" w:themeColor="text1"/>
          <w:lang w:val="en-US" w:eastAsia="zh-CN"/>
          <w14:textFill>
            <w14:solidFill>
              <w14:schemeClr w14:val="tx1"/>
            </w14:solidFill>
          </w14:textFill>
        </w:rPr>
        <w:t>胡墩河</w:t>
      </w:r>
      <w:r>
        <w:rPr>
          <w:rFonts w:hint="default" w:ascii="Times New Roman" w:hAnsi="Times New Roman" w:eastAsia="宋体" w:cs="Times New Roman"/>
          <w:color w:val="000000" w:themeColor="text1"/>
          <w14:textFill>
            <w14:solidFill>
              <w14:schemeClr w14:val="tx1"/>
            </w14:solidFill>
          </w14:textFill>
        </w:rPr>
        <w:t>河段COD浓度影响进行预测，结算结果见表4-</w:t>
      </w:r>
      <w:r>
        <w:rPr>
          <w:rFonts w:hint="eastAsia" w:eastAsia="宋体"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14:textFill>
            <w14:solidFill>
              <w14:schemeClr w14:val="tx1"/>
            </w14:solidFill>
          </w14:textFill>
        </w:rPr>
        <w:t>。</w:t>
      </w:r>
    </w:p>
    <w:p w14:paraId="49FABC1B">
      <w:pPr>
        <w:pStyle w:val="13"/>
        <w:adjustRightInd w:val="0"/>
        <w:snapToGrid w:val="0"/>
        <w:spacing w:after="0" w:line="460" w:lineRule="exact"/>
        <w:jc w:val="center"/>
        <w:rPr>
          <w:rFonts w:hint="default" w:ascii="Times New Roman" w:hAnsi="Times New Roman" w:eastAsia="宋体" w:cs="Times New Roman"/>
          <w:b/>
          <w:color w:val="0000FF"/>
        </w:rPr>
      </w:pPr>
      <w:r>
        <w:rPr>
          <w:rFonts w:hint="default" w:ascii="Times New Roman" w:hAnsi="Times New Roman" w:eastAsia="宋体" w:cs="Times New Roman"/>
          <w:b/>
          <w:color w:val="000000" w:themeColor="text1"/>
          <w14:textFill>
            <w14:solidFill>
              <w14:schemeClr w14:val="tx1"/>
            </w14:solidFill>
          </w14:textFill>
        </w:rPr>
        <w:t>表4-</w:t>
      </w:r>
      <w:r>
        <w:rPr>
          <w:rFonts w:hint="eastAsia" w:eastAsia="宋体" w:cs="Times New Roman"/>
          <w:b/>
          <w:color w:val="000000" w:themeColor="text1"/>
          <w:lang w:val="en-US" w:eastAsia="zh-CN"/>
          <w14:textFill>
            <w14:solidFill>
              <w14:schemeClr w14:val="tx1"/>
            </w14:solidFill>
          </w14:textFill>
        </w:rPr>
        <w:t>8</w:t>
      </w:r>
      <w:r>
        <w:rPr>
          <w:rFonts w:hint="default" w:ascii="Times New Roman" w:hAnsi="Times New Roman" w:eastAsia="宋体" w:cs="Times New Roman"/>
          <w:b/>
          <w:color w:val="000000" w:themeColor="text1"/>
          <w14:textFill>
            <w14:solidFill>
              <w14:schemeClr w14:val="tx1"/>
            </w14:solidFill>
          </w14:textFill>
        </w:rPr>
        <w:t>超标废水直排对下游不同断面影响</w:t>
      </w:r>
    </w:p>
    <w:tbl>
      <w:tblPr>
        <w:tblStyle w:val="38"/>
        <w:tblW w:w="8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390"/>
      </w:tblGrid>
      <w:tr w14:paraId="1CAFB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90" w:type="dxa"/>
            <w:tcBorders>
              <w:tl2br w:val="nil"/>
              <w:tr2bl w:val="nil"/>
            </w:tcBorders>
            <w:vAlign w:val="center"/>
          </w:tcPr>
          <w:p w14:paraId="4231ECF7">
            <w:pPr>
              <w:pStyle w:val="13"/>
              <w:adjustRightInd w:val="0"/>
              <w:snapToGrid w:val="0"/>
              <w:spacing w:after="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排污口下游距离x（m）</w:t>
            </w:r>
          </w:p>
        </w:tc>
        <w:tc>
          <w:tcPr>
            <w:tcW w:w="4390" w:type="dxa"/>
            <w:tcBorders>
              <w:tl2br w:val="nil"/>
              <w:tr2bl w:val="nil"/>
            </w:tcBorders>
            <w:vAlign w:val="center"/>
          </w:tcPr>
          <w:p w14:paraId="5ABC4EE1">
            <w:pPr>
              <w:pStyle w:val="13"/>
              <w:adjustRightInd w:val="0"/>
              <w:snapToGrid w:val="0"/>
              <w:spacing w:after="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COD（mg/L）</w:t>
            </w:r>
          </w:p>
        </w:tc>
      </w:tr>
      <w:tr w14:paraId="436EB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0EC01FAB">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4390" w:type="dxa"/>
            <w:tcBorders>
              <w:tl2br w:val="nil"/>
              <w:tr2bl w:val="nil"/>
            </w:tcBorders>
            <w:vAlign w:val="center"/>
          </w:tcPr>
          <w:p w14:paraId="66B2DFE3">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26.24</w:t>
            </w:r>
          </w:p>
        </w:tc>
      </w:tr>
      <w:tr w14:paraId="60948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6A9AB3A7">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100</w:t>
            </w:r>
          </w:p>
        </w:tc>
        <w:tc>
          <w:tcPr>
            <w:tcW w:w="4390" w:type="dxa"/>
            <w:tcBorders>
              <w:tl2br w:val="nil"/>
              <w:tr2bl w:val="nil"/>
            </w:tcBorders>
            <w:vAlign w:val="center"/>
          </w:tcPr>
          <w:p w14:paraId="17B1201A">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24.06</w:t>
            </w:r>
          </w:p>
        </w:tc>
      </w:tr>
      <w:tr w14:paraId="2B3AD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48617186">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200</w:t>
            </w:r>
          </w:p>
        </w:tc>
        <w:tc>
          <w:tcPr>
            <w:tcW w:w="4390" w:type="dxa"/>
            <w:tcBorders>
              <w:tl2br w:val="nil"/>
              <w:tr2bl w:val="nil"/>
            </w:tcBorders>
            <w:vAlign w:val="center"/>
          </w:tcPr>
          <w:p w14:paraId="40326711">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23.83</w:t>
            </w:r>
          </w:p>
        </w:tc>
      </w:tr>
      <w:tr w14:paraId="3BA52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099BDCA">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300</w:t>
            </w:r>
          </w:p>
        </w:tc>
        <w:tc>
          <w:tcPr>
            <w:tcW w:w="4390" w:type="dxa"/>
            <w:tcBorders>
              <w:tl2br w:val="nil"/>
              <w:tr2bl w:val="nil"/>
            </w:tcBorders>
            <w:vAlign w:val="center"/>
          </w:tcPr>
          <w:p w14:paraId="2384080C">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23.6</w:t>
            </w:r>
          </w:p>
        </w:tc>
      </w:tr>
      <w:tr w14:paraId="51B7F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1E904B09">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400</w:t>
            </w:r>
          </w:p>
        </w:tc>
        <w:tc>
          <w:tcPr>
            <w:tcW w:w="4390" w:type="dxa"/>
            <w:tcBorders>
              <w:tl2br w:val="nil"/>
              <w:tr2bl w:val="nil"/>
            </w:tcBorders>
            <w:vAlign w:val="center"/>
          </w:tcPr>
          <w:p w14:paraId="2243F43A">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23.37</w:t>
            </w:r>
          </w:p>
        </w:tc>
      </w:tr>
      <w:tr w14:paraId="633AA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3C5FA1F3">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500</w:t>
            </w:r>
          </w:p>
        </w:tc>
        <w:tc>
          <w:tcPr>
            <w:tcW w:w="4390" w:type="dxa"/>
            <w:tcBorders>
              <w:tl2br w:val="nil"/>
              <w:tr2bl w:val="nil"/>
            </w:tcBorders>
            <w:vAlign w:val="center"/>
          </w:tcPr>
          <w:p w14:paraId="7B08FF9C">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23.15</w:t>
            </w:r>
          </w:p>
        </w:tc>
      </w:tr>
      <w:tr w14:paraId="2D681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3E505A3">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600</w:t>
            </w:r>
          </w:p>
        </w:tc>
        <w:tc>
          <w:tcPr>
            <w:tcW w:w="4390" w:type="dxa"/>
            <w:tcBorders>
              <w:tl2br w:val="nil"/>
              <w:tr2bl w:val="nil"/>
            </w:tcBorders>
            <w:vAlign w:val="center"/>
          </w:tcPr>
          <w:p w14:paraId="18B0DCE6">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22.93</w:t>
            </w:r>
          </w:p>
        </w:tc>
      </w:tr>
      <w:tr w14:paraId="1CD60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90" w:type="dxa"/>
            <w:tcBorders>
              <w:tl2br w:val="nil"/>
              <w:tr2bl w:val="nil"/>
            </w:tcBorders>
            <w:vAlign w:val="center"/>
          </w:tcPr>
          <w:p w14:paraId="702FC018">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700</w:t>
            </w:r>
          </w:p>
        </w:tc>
        <w:tc>
          <w:tcPr>
            <w:tcW w:w="4390" w:type="dxa"/>
            <w:tcBorders>
              <w:tl2br w:val="nil"/>
              <w:tr2bl w:val="nil"/>
            </w:tcBorders>
            <w:vAlign w:val="center"/>
          </w:tcPr>
          <w:p w14:paraId="4DDD915B">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22.71</w:t>
            </w:r>
          </w:p>
        </w:tc>
      </w:tr>
      <w:tr w14:paraId="514E7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05391C5F">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800</w:t>
            </w:r>
          </w:p>
        </w:tc>
        <w:tc>
          <w:tcPr>
            <w:tcW w:w="4390" w:type="dxa"/>
            <w:vAlign w:val="center"/>
          </w:tcPr>
          <w:p w14:paraId="20F71B72">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22.49</w:t>
            </w:r>
          </w:p>
        </w:tc>
      </w:tr>
      <w:tr w14:paraId="766F9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367E76A2">
            <w:pPr>
              <w:pStyle w:val="13"/>
              <w:adjustRightInd w:val="0"/>
              <w:snapToGrid w:val="0"/>
              <w:spacing w:after="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900</w:t>
            </w:r>
          </w:p>
        </w:tc>
        <w:tc>
          <w:tcPr>
            <w:tcW w:w="4390" w:type="dxa"/>
            <w:vAlign w:val="center"/>
          </w:tcPr>
          <w:p w14:paraId="465014C9">
            <w:pPr>
              <w:pStyle w:val="13"/>
              <w:adjustRightInd w:val="0"/>
              <w:snapToGrid w:val="0"/>
              <w:spacing w:after="0"/>
              <w:jc w:val="center"/>
              <w:rPr>
                <w:rFonts w:hint="default"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22.27</w:t>
            </w:r>
          </w:p>
        </w:tc>
      </w:tr>
      <w:tr w14:paraId="3F726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bottom w:val="single" w:color="auto" w:sz="12" w:space="0"/>
            </w:tcBorders>
            <w:vAlign w:val="center"/>
          </w:tcPr>
          <w:p w14:paraId="1B0FE0A1">
            <w:pPr>
              <w:pStyle w:val="13"/>
              <w:adjustRightInd w:val="0"/>
              <w:snapToGrid w:val="0"/>
              <w:spacing w:after="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1000</w:t>
            </w:r>
          </w:p>
        </w:tc>
        <w:tc>
          <w:tcPr>
            <w:tcW w:w="4390" w:type="dxa"/>
            <w:tcBorders>
              <w:bottom w:val="single" w:color="auto" w:sz="12" w:space="0"/>
            </w:tcBorders>
            <w:vAlign w:val="center"/>
          </w:tcPr>
          <w:p w14:paraId="1B1498DF">
            <w:pPr>
              <w:pStyle w:val="13"/>
              <w:adjustRightInd w:val="0"/>
              <w:snapToGrid w:val="0"/>
              <w:spacing w:after="0"/>
              <w:jc w:val="center"/>
              <w:rPr>
                <w:rFonts w:hint="default"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22.06</w:t>
            </w:r>
          </w:p>
        </w:tc>
      </w:tr>
    </w:tbl>
    <w:p w14:paraId="67DEDB2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由上表可以看出，初始混合浓</w:t>
      </w:r>
      <w:r>
        <w:rPr>
          <w:rFonts w:hint="default" w:ascii="Times New Roman" w:hAnsi="Times New Roman" w:eastAsia="宋体" w:cs="Times New Roman"/>
          <w:color w:val="000000" w:themeColor="text1"/>
          <w14:textFill>
            <w14:solidFill>
              <w14:schemeClr w14:val="tx1"/>
            </w14:solidFill>
          </w14:textFill>
        </w:rPr>
        <w:t>度为</w:t>
      </w:r>
      <w:r>
        <w:rPr>
          <w:rFonts w:hint="eastAsia" w:eastAsia="宋体" w:cs="Times New Roman"/>
          <w:color w:val="000000" w:themeColor="text1"/>
          <w:lang w:val="en-US" w:eastAsia="zh-CN"/>
          <w14:textFill>
            <w14:solidFill>
              <w14:schemeClr w14:val="tx1"/>
            </w14:solidFill>
          </w14:textFill>
        </w:rPr>
        <w:t>24.06</w:t>
      </w:r>
      <w:r>
        <w:rPr>
          <w:rFonts w:hint="default" w:ascii="Times New Roman" w:hAnsi="Times New Roman" w:eastAsia="宋体" w:cs="Times New Roman"/>
          <w:color w:val="000000" w:themeColor="text1"/>
          <w14:textFill>
            <w14:solidFill>
              <w14:schemeClr w14:val="tx1"/>
            </w14:solidFill>
          </w14:textFill>
        </w:rPr>
        <w:t>mg/L，与本底值（</w:t>
      </w:r>
      <w:r>
        <w:rPr>
          <w:rFonts w:hint="eastAsia" w:eastAsia="宋体" w:cs="Times New Roman"/>
          <w:color w:val="000000" w:themeColor="text1"/>
          <w:lang w:val="en-US" w:eastAsia="zh-CN"/>
          <w14:textFill>
            <w14:solidFill>
              <w14:schemeClr w14:val="tx1"/>
            </w14:solidFill>
          </w14:textFill>
        </w:rPr>
        <w:t>20</w:t>
      </w:r>
      <w:r>
        <w:rPr>
          <w:rFonts w:hint="default" w:ascii="Times New Roman" w:hAnsi="Times New Roman" w:eastAsia="宋体" w:cs="Times New Roman"/>
          <w:color w:val="000000" w:themeColor="text1"/>
          <w14:textFill>
            <w14:solidFill>
              <w14:schemeClr w14:val="tx1"/>
            </w14:solidFill>
          </w14:textFill>
        </w:rPr>
        <w:t>mg/L）相比，超标废水直接进入</w:t>
      </w:r>
      <w:r>
        <w:rPr>
          <w:rFonts w:hint="eastAsia" w:ascii="宋体" w:hAnsi="宋体" w:eastAsia="宋体" w:cs="宋体"/>
          <w:color w:val="000000" w:themeColor="text1"/>
          <w:lang w:val="en-US" w:eastAsia="zh-CN"/>
          <w14:textFill>
            <w14:solidFill>
              <w14:schemeClr w14:val="tx1"/>
            </w14:solidFill>
          </w14:textFill>
        </w:rPr>
        <w:t>胡墩河</w:t>
      </w:r>
      <w:r>
        <w:rPr>
          <w:rFonts w:hint="default" w:ascii="Times New Roman" w:hAnsi="Times New Roman" w:eastAsia="宋体" w:cs="Times New Roman"/>
          <w:color w:val="000000" w:themeColor="text1"/>
          <w14:textFill>
            <w14:solidFill>
              <w14:schemeClr w14:val="tx1"/>
            </w14:solidFill>
          </w14:textFill>
        </w:rPr>
        <w:t>将对</w:t>
      </w:r>
      <w:r>
        <w:rPr>
          <w:rFonts w:hint="eastAsia" w:ascii="宋体" w:hAnsi="宋体" w:eastAsia="宋体" w:cs="宋体"/>
          <w:color w:val="000000" w:themeColor="text1"/>
          <w:lang w:val="en-US" w:eastAsia="zh-CN"/>
          <w14:textFill>
            <w14:solidFill>
              <w14:schemeClr w14:val="tx1"/>
            </w14:solidFill>
          </w14:textFill>
        </w:rPr>
        <w:t>胡墩河</w:t>
      </w:r>
      <w:r>
        <w:rPr>
          <w:rFonts w:hint="default" w:ascii="Times New Roman" w:hAnsi="Times New Roman" w:eastAsia="宋体" w:cs="Times New Roman"/>
          <w:color w:val="000000" w:themeColor="text1"/>
          <w14:textFill>
            <w14:solidFill>
              <w14:schemeClr w14:val="tx1"/>
            </w14:solidFill>
          </w14:textFill>
        </w:rPr>
        <w:t>断面COD指标</w:t>
      </w:r>
      <w:r>
        <w:rPr>
          <w:rFonts w:hint="eastAsia" w:ascii="宋体" w:hAnsi="宋体" w:eastAsia="宋体" w:cs="宋体"/>
          <w:color w:val="000000" w:themeColor="text1"/>
          <w14:textFill>
            <w14:solidFill>
              <w14:schemeClr w14:val="tx1"/>
            </w14:solidFill>
          </w14:textFill>
        </w:rPr>
        <w:t>有一定影响。</w:t>
      </w:r>
    </w:p>
    <w:p w14:paraId="5F8199AB">
      <w:pPr>
        <w:pStyle w:val="5"/>
        <w:adjustRightInd w:val="0"/>
        <w:snapToGrid w:val="0"/>
        <w:spacing w:line="500" w:lineRule="exact"/>
        <w:jc w:val="left"/>
        <w:rPr>
          <w:rFonts w:hint="default" w:ascii="Times New Roman" w:hAnsi="Times New Roman" w:eastAsia="宋体" w:cs="Times New Roman"/>
          <w:color w:val="000000" w:themeColor="text1"/>
          <w:lang w:val="en-US"/>
          <w14:textFill>
            <w14:solidFill>
              <w14:schemeClr w14:val="tx1"/>
            </w14:solidFill>
          </w14:textFill>
        </w:rPr>
      </w:pPr>
      <w:bookmarkStart w:id="192" w:name="_Toc8859"/>
      <w:bookmarkStart w:id="193" w:name="_Toc6431"/>
      <w:r>
        <w:rPr>
          <w:rFonts w:hint="default" w:ascii="Times New Roman" w:hAnsi="Times New Roman" w:eastAsia="宋体" w:cs="Times New Roman"/>
          <w:color w:val="000000" w:themeColor="text1"/>
          <w14:textFill>
            <w14:solidFill>
              <w14:schemeClr w14:val="tx1"/>
            </w14:solidFill>
          </w14:textFill>
        </w:rPr>
        <w:t>4.4.</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事件情景</w:t>
      </w:r>
      <w:bookmarkEnd w:id="190"/>
      <w:r>
        <w:rPr>
          <w:rFonts w:hint="eastAsia" w:eastAsia="宋体" w:cs="Times New Roman"/>
          <w:color w:val="000000" w:themeColor="text1"/>
          <w:lang w:val="en-US" w:eastAsia="zh-CN"/>
          <w14:textFill>
            <w14:solidFill>
              <w14:schemeClr w14:val="tx1"/>
            </w14:solidFill>
          </w14:textFill>
        </w:rPr>
        <w:t>4、5</w:t>
      </w:r>
      <w:bookmarkEnd w:id="192"/>
      <w:bookmarkEnd w:id="193"/>
    </w:p>
    <w:p w14:paraId="5A6D89D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废气超标排放对外环境影响根据大气环境影响评价技术导则中的单源预测模式。根据公司</w:t>
      </w:r>
      <w:r>
        <w:rPr>
          <w:rFonts w:hint="eastAsia" w:ascii="宋体" w:hAnsi="宋体" w:eastAsia="宋体" w:cs="宋体"/>
          <w:color w:val="000000" w:themeColor="text1"/>
          <w:lang w:val="en-US" w:eastAsia="zh-CN"/>
          <w14:textFill>
            <w14:solidFill>
              <w14:schemeClr w14:val="tx1"/>
            </w14:solidFill>
          </w14:textFill>
        </w:rPr>
        <w:t>验收报告</w:t>
      </w:r>
      <w:r>
        <w:rPr>
          <w:rFonts w:hint="eastAsia" w:ascii="宋体" w:hAnsi="宋体" w:eastAsia="宋体" w:cs="宋体"/>
          <w:color w:val="000000" w:themeColor="text1"/>
          <w14:textFill>
            <w14:solidFill>
              <w14:schemeClr w14:val="tx1"/>
            </w14:solidFill>
          </w14:textFill>
        </w:rPr>
        <w:t>，预测源强参数见</w:t>
      </w:r>
      <w:r>
        <w:rPr>
          <w:rFonts w:hint="default" w:ascii="Times New Roman" w:hAnsi="Times New Roman" w:eastAsia="宋体" w:cs="Times New Roman"/>
          <w:color w:val="000000" w:themeColor="text1"/>
          <w14:textFill>
            <w14:solidFill>
              <w14:schemeClr w14:val="tx1"/>
            </w14:solidFill>
          </w14:textFill>
        </w:rPr>
        <w:t>表4-</w:t>
      </w:r>
      <w:r>
        <w:rPr>
          <w:rFonts w:hint="eastAsia" w:eastAsia="宋体"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14:textFill>
            <w14:solidFill>
              <w14:schemeClr w14:val="tx1"/>
            </w14:solidFill>
          </w14:textFill>
        </w:rPr>
        <w:t>，预测结果见表4-</w:t>
      </w:r>
      <w:r>
        <w:rPr>
          <w:rFonts w:hint="eastAsia" w:eastAsia="宋体" w:cs="Times New Roman"/>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w:t>
      </w:r>
    </w:p>
    <w:p w14:paraId="3EDCDE64">
      <w:pPr>
        <w:pStyle w:val="12"/>
        <w:adjustRightInd w:val="0"/>
        <w:snapToGrid w:val="0"/>
        <w:spacing w:line="460" w:lineRule="exact"/>
        <w:ind w:firstLine="0"/>
        <w:jc w:val="center"/>
        <w:rPr>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hint="default" w:ascii="Times New Roman" w:hAnsi="Times New Roman" w:eastAsia="宋体" w:cs="Times New Roman"/>
          <w:b/>
          <w:color w:val="000000" w:themeColor="text1"/>
          <w14:textFill>
            <w14:solidFill>
              <w14:schemeClr w14:val="tx1"/>
            </w14:solidFill>
          </w14:textFill>
        </w:rPr>
        <w:t>4-</w:t>
      </w:r>
      <w:r>
        <w:rPr>
          <w:rFonts w:hint="eastAsia" w:eastAsia="宋体" w:cs="Times New Roman"/>
          <w:b/>
          <w:color w:val="000000" w:themeColor="text1"/>
          <w:lang w:val="en-US" w:eastAsia="zh-CN"/>
          <w14:textFill>
            <w14:solidFill>
              <w14:schemeClr w14:val="tx1"/>
            </w14:solidFill>
          </w14:textFill>
        </w:rPr>
        <w:t>9</w:t>
      </w:r>
      <w:r>
        <w:rPr>
          <w:rFonts w:hint="eastAsia" w:ascii="宋体" w:hAnsi="宋体" w:eastAsia="宋体" w:cs="宋体"/>
          <w:b/>
          <w:color w:val="000000" w:themeColor="text1"/>
          <w:highlight w:val="none"/>
          <w14:textFill>
            <w14:solidFill>
              <w14:schemeClr w14:val="tx1"/>
            </w14:solidFill>
          </w14:textFill>
        </w:rPr>
        <w:t>有组织污染源参</w:t>
      </w:r>
      <w:r>
        <w:rPr>
          <w:rFonts w:hint="eastAsia" w:ascii="宋体" w:hAnsi="宋体" w:eastAsia="宋体" w:cs="宋体"/>
          <w:b/>
          <w:color w:val="000000" w:themeColor="text1"/>
          <w14:textFill>
            <w14:solidFill>
              <w14:schemeClr w14:val="tx1"/>
            </w14:solidFill>
          </w14:textFill>
        </w:rPr>
        <w:t>数</w:t>
      </w:r>
    </w:p>
    <w:tbl>
      <w:tblPr>
        <w:tblStyle w:val="37"/>
        <w:tblW w:w="575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999"/>
        <w:gridCol w:w="1143"/>
        <w:gridCol w:w="1229"/>
        <w:gridCol w:w="1461"/>
        <w:gridCol w:w="1200"/>
        <w:gridCol w:w="1131"/>
        <w:gridCol w:w="1615"/>
        <w:gridCol w:w="1649"/>
      </w:tblGrid>
      <w:tr w14:paraId="4322FA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79" w:type="pct"/>
            <w:tcBorders>
              <w:tl2br w:val="nil"/>
              <w:tr2bl w:val="nil"/>
            </w:tcBorders>
            <w:vAlign w:val="center"/>
          </w:tcPr>
          <w:p w14:paraId="693E75DB">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污染源</w:t>
            </w:r>
          </w:p>
        </w:tc>
        <w:tc>
          <w:tcPr>
            <w:tcW w:w="548" w:type="pct"/>
            <w:tcBorders>
              <w:tl2br w:val="nil"/>
              <w:tr2bl w:val="nil"/>
            </w:tcBorders>
            <w:vAlign w:val="center"/>
          </w:tcPr>
          <w:p w14:paraId="15953772">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污染物名称</w:t>
            </w:r>
          </w:p>
        </w:tc>
        <w:tc>
          <w:tcPr>
            <w:tcW w:w="589" w:type="pct"/>
            <w:tcBorders>
              <w:tl2br w:val="nil"/>
              <w:tr2bl w:val="nil"/>
            </w:tcBorders>
            <w:vAlign w:val="center"/>
          </w:tcPr>
          <w:p w14:paraId="27E5FF1C">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排气筒高度（m）</w:t>
            </w:r>
          </w:p>
        </w:tc>
        <w:tc>
          <w:tcPr>
            <w:tcW w:w="700" w:type="pct"/>
            <w:tcBorders>
              <w:tl2br w:val="nil"/>
              <w:tr2bl w:val="nil"/>
            </w:tcBorders>
            <w:vAlign w:val="center"/>
          </w:tcPr>
          <w:p w14:paraId="5B4405F3">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排气筒出口内径（m）</w:t>
            </w:r>
          </w:p>
        </w:tc>
        <w:tc>
          <w:tcPr>
            <w:tcW w:w="575" w:type="pct"/>
            <w:tcBorders>
              <w:tl2br w:val="nil"/>
              <w:tr2bl w:val="nil"/>
            </w:tcBorders>
            <w:vAlign w:val="center"/>
          </w:tcPr>
          <w:p w14:paraId="02B022D1">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标况气量（m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/h）</w:t>
            </w:r>
          </w:p>
        </w:tc>
        <w:tc>
          <w:tcPr>
            <w:tcW w:w="542" w:type="pct"/>
            <w:tcBorders>
              <w:tl2br w:val="nil"/>
              <w:tr2bl w:val="nil"/>
            </w:tcBorders>
            <w:vAlign w:val="center"/>
          </w:tcPr>
          <w:p w14:paraId="69B2ECF1">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烟气温度（℃）</w:t>
            </w:r>
          </w:p>
        </w:tc>
        <w:tc>
          <w:tcPr>
            <w:tcW w:w="774" w:type="pct"/>
            <w:tcBorders>
              <w:tl2br w:val="nil"/>
              <w:tr2bl w:val="nil"/>
            </w:tcBorders>
            <w:vAlign w:val="center"/>
          </w:tcPr>
          <w:p w14:paraId="020668D4">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评价标准</w:t>
            </w:r>
          </w:p>
          <w:p w14:paraId="67E24482">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（µg/m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w:t>
            </w:r>
          </w:p>
        </w:tc>
        <w:tc>
          <w:tcPr>
            <w:tcW w:w="790" w:type="pct"/>
            <w:tcBorders>
              <w:tl2br w:val="nil"/>
              <w:tr2bl w:val="nil"/>
            </w:tcBorders>
            <w:vAlign w:val="center"/>
          </w:tcPr>
          <w:p w14:paraId="28EC672B">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非正常排放时源强（kg/h）</w:t>
            </w:r>
          </w:p>
        </w:tc>
      </w:tr>
      <w:tr w14:paraId="464CB7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79" w:type="pct"/>
            <w:tcBorders>
              <w:tl2br w:val="nil"/>
              <w:tr2bl w:val="nil"/>
            </w:tcBorders>
            <w:vAlign w:val="center"/>
          </w:tcPr>
          <w:p w14:paraId="179E2BA4">
            <w:pPr>
              <w:pStyle w:val="140"/>
              <w:spacing w:before="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w w:val="100"/>
                <w:sz w:val="21"/>
                <w:szCs w:val="21"/>
                <w:lang w:val="en-US" w:eastAsia="zh-CN"/>
              </w:rPr>
              <w:t>1#排气筒</w:t>
            </w:r>
          </w:p>
        </w:tc>
        <w:tc>
          <w:tcPr>
            <w:tcW w:w="548" w:type="pct"/>
            <w:tcBorders>
              <w:tl2br w:val="nil"/>
              <w:tr2bl w:val="nil"/>
            </w:tcBorders>
            <w:vAlign w:val="center"/>
          </w:tcPr>
          <w:p w14:paraId="2A11691B">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08CE3ADE">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15</w:t>
            </w:r>
          </w:p>
        </w:tc>
        <w:tc>
          <w:tcPr>
            <w:tcW w:w="700" w:type="pct"/>
            <w:tcBorders>
              <w:tl2br w:val="nil"/>
              <w:tr2bl w:val="nil"/>
            </w:tcBorders>
            <w:vAlign w:val="center"/>
          </w:tcPr>
          <w:p w14:paraId="4E852C6F">
            <w:pPr>
              <w:adjustRightInd w:val="0"/>
              <w:snapToGrid w:val="0"/>
              <w:jc w:val="center"/>
              <w:rPr>
                <w:rFonts w:hint="default"/>
                <w:color w:val="000000"/>
                <w:sz w:val="21"/>
                <w:szCs w:val="21"/>
                <w:lang w:val="en-US" w:eastAsia="zh-CN"/>
              </w:rPr>
            </w:pPr>
            <w:r>
              <w:rPr>
                <w:rFonts w:hint="eastAsia"/>
                <w:color w:val="000000"/>
                <w:sz w:val="21"/>
                <w:szCs w:val="21"/>
                <w:lang w:val="en-US" w:eastAsia="zh-CN"/>
              </w:rPr>
              <w:t>1</w:t>
            </w:r>
          </w:p>
        </w:tc>
        <w:tc>
          <w:tcPr>
            <w:tcW w:w="575" w:type="pct"/>
            <w:tcBorders>
              <w:tl2br w:val="nil"/>
              <w:tr2bl w:val="nil"/>
            </w:tcBorders>
            <w:vAlign w:val="center"/>
          </w:tcPr>
          <w:p w14:paraId="7B49099A">
            <w:pPr>
              <w:pStyle w:val="140"/>
              <w:spacing w:before="0"/>
              <w:ind w:left="0" w:leftChars="0"/>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50000</w:t>
            </w:r>
          </w:p>
        </w:tc>
        <w:tc>
          <w:tcPr>
            <w:tcW w:w="542" w:type="pct"/>
            <w:tcBorders>
              <w:tl2br w:val="nil"/>
              <w:tr2bl w:val="nil"/>
            </w:tcBorders>
            <w:vAlign w:val="center"/>
          </w:tcPr>
          <w:p w14:paraId="232AB3F1">
            <w:pPr>
              <w:adjustRightInd w:val="0"/>
              <w:snapToGrid w:val="0"/>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4" w:type="pct"/>
            <w:tcBorders>
              <w:tl2br w:val="nil"/>
              <w:tr2bl w:val="nil"/>
            </w:tcBorders>
            <w:vAlign w:val="center"/>
          </w:tcPr>
          <w:p w14:paraId="27875B37">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tc>
        <w:tc>
          <w:tcPr>
            <w:tcW w:w="790" w:type="pct"/>
            <w:tcBorders>
              <w:tl2br w:val="nil"/>
              <w:tr2bl w:val="nil"/>
            </w:tcBorders>
            <w:vAlign w:val="center"/>
          </w:tcPr>
          <w:p w14:paraId="065A4487">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w:t>
            </w:r>
          </w:p>
        </w:tc>
      </w:tr>
      <w:tr w14:paraId="19BB80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9" w:type="pct"/>
            <w:tcBorders>
              <w:tl2br w:val="nil"/>
              <w:tr2bl w:val="nil"/>
            </w:tcBorders>
            <w:vAlign w:val="center"/>
          </w:tcPr>
          <w:p w14:paraId="262D0348">
            <w:pPr>
              <w:pStyle w:val="140"/>
              <w:ind w:left="0" w:leftChars="0" w:right="0" w:rightChars="0"/>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sz w:val="21"/>
                <w:szCs w:val="21"/>
                <w:lang w:val="en-US" w:eastAsia="zh-CN"/>
              </w:rPr>
              <w:t>2</w:t>
            </w:r>
            <w:r>
              <w:rPr>
                <w:rFonts w:hint="eastAsia" w:ascii="Times New Roman" w:hAnsi="Times New Roman" w:eastAsia="宋体" w:cs="Times New Roman"/>
                <w:spacing w:val="0"/>
                <w:sz w:val="21"/>
                <w:szCs w:val="21"/>
                <w:lang w:val="en-US" w:eastAsia="zh-CN"/>
              </w:rPr>
              <w:t>#排气筒</w:t>
            </w:r>
          </w:p>
        </w:tc>
        <w:tc>
          <w:tcPr>
            <w:tcW w:w="548" w:type="pct"/>
            <w:tcBorders>
              <w:tl2br w:val="nil"/>
              <w:tr2bl w:val="nil"/>
            </w:tcBorders>
            <w:vAlign w:val="center"/>
          </w:tcPr>
          <w:p w14:paraId="3C03B5C4">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774CDB75">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15</w:t>
            </w:r>
          </w:p>
        </w:tc>
        <w:tc>
          <w:tcPr>
            <w:tcW w:w="700" w:type="pct"/>
            <w:tcBorders>
              <w:tl2br w:val="nil"/>
              <w:tr2bl w:val="nil"/>
            </w:tcBorders>
            <w:vAlign w:val="center"/>
          </w:tcPr>
          <w:p w14:paraId="32C41DC1">
            <w:pPr>
              <w:adjustRightInd w:val="0"/>
              <w:snapToGrid w:val="0"/>
              <w:jc w:val="center"/>
              <w:rPr>
                <w:rFonts w:hint="default"/>
                <w:color w:val="000000"/>
                <w:sz w:val="21"/>
                <w:szCs w:val="21"/>
                <w:lang w:val="en-US" w:eastAsia="zh-CN"/>
              </w:rPr>
            </w:pPr>
            <w:r>
              <w:rPr>
                <w:rFonts w:hint="eastAsia"/>
                <w:color w:val="000000"/>
                <w:sz w:val="21"/>
                <w:szCs w:val="21"/>
                <w:lang w:val="en-US" w:eastAsia="zh-CN"/>
              </w:rPr>
              <w:t>1</w:t>
            </w:r>
          </w:p>
        </w:tc>
        <w:tc>
          <w:tcPr>
            <w:tcW w:w="575" w:type="pct"/>
            <w:tcBorders>
              <w:bottom w:val="single" w:color="auto" w:sz="4" w:space="0"/>
              <w:tl2br w:val="nil"/>
              <w:tr2bl w:val="nil"/>
            </w:tcBorders>
            <w:vAlign w:val="center"/>
          </w:tcPr>
          <w:p w14:paraId="551F0C37">
            <w:pPr>
              <w:pStyle w:val="140"/>
              <w:spacing w:before="0"/>
              <w:ind w:left="0" w:leftChars="0"/>
              <w:jc w:val="center"/>
              <w:rPr>
                <w:rFonts w:hint="default"/>
                <w:color w:val="000000"/>
                <w:sz w:val="21"/>
                <w:szCs w:val="21"/>
                <w:lang w:val="en-US" w:eastAsia="zh-CN"/>
              </w:rPr>
            </w:pPr>
            <w:r>
              <w:rPr>
                <w:rFonts w:hint="eastAsia"/>
                <w:color w:val="000000"/>
                <w:sz w:val="21"/>
                <w:szCs w:val="21"/>
                <w:lang w:val="en-US" w:eastAsia="zh-CN"/>
              </w:rPr>
              <w:t>35000</w:t>
            </w:r>
          </w:p>
        </w:tc>
        <w:tc>
          <w:tcPr>
            <w:tcW w:w="542" w:type="pct"/>
            <w:tcBorders>
              <w:bottom w:val="single" w:color="auto" w:sz="4" w:space="0"/>
              <w:tl2br w:val="nil"/>
              <w:tr2bl w:val="nil"/>
            </w:tcBorders>
            <w:vAlign w:val="center"/>
          </w:tcPr>
          <w:p w14:paraId="467BEBA9">
            <w:pPr>
              <w:adjustRightInd w:val="0"/>
              <w:snapToGrid w:val="0"/>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4" w:type="pct"/>
            <w:tcBorders>
              <w:tl2br w:val="nil"/>
              <w:tr2bl w:val="nil"/>
            </w:tcBorders>
            <w:vAlign w:val="center"/>
          </w:tcPr>
          <w:p w14:paraId="7F9C3BD0">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tc>
        <w:tc>
          <w:tcPr>
            <w:tcW w:w="790" w:type="pct"/>
            <w:tcBorders>
              <w:tl2br w:val="nil"/>
              <w:tr2bl w:val="nil"/>
            </w:tcBorders>
            <w:vAlign w:val="center"/>
          </w:tcPr>
          <w:p w14:paraId="52286063">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w:t>
            </w:r>
          </w:p>
        </w:tc>
      </w:tr>
    </w:tbl>
    <w:p w14:paraId="38A2D60D">
      <w:pPr>
        <w:pStyle w:val="13"/>
        <w:adjustRightInd w:val="0"/>
        <w:snapToGrid w:val="0"/>
        <w:spacing w:after="0" w:line="500" w:lineRule="exact"/>
        <w:jc w:val="center"/>
        <w:rPr>
          <w:rFonts w:hint="default" w:ascii="宋体" w:hAnsi="宋体" w:eastAsia="宋体" w:cs="宋体"/>
          <w:b/>
          <w:color w:val="000000" w:themeColor="text1"/>
          <w:lang w:val="en-US" w:eastAsia="zh-CN"/>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hint="default" w:ascii="Times New Roman" w:hAnsi="Times New Roman" w:eastAsia="宋体" w:cs="Times New Roman"/>
          <w:b/>
          <w:color w:val="000000" w:themeColor="text1"/>
          <w14:textFill>
            <w14:solidFill>
              <w14:schemeClr w14:val="tx1"/>
            </w14:solidFill>
          </w14:textFill>
        </w:rPr>
        <w:t>4-</w:t>
      </w:r>
      <w:r>
        <w:rPr>
          <w:rFonts w:hint="eastAsia" w:eastAsia="宋体" w:cs="Times New Roman"/>
          <w:b/>
          <w:color w:val="000000" w:themeColor="text1"/>
          <w:lang w:val="en-US" w:eastAsia="zh-CN"/>
          <w14:textFill>
            <w14:solidFill>
              <w14:schemeClr w14:val="tx1"/>
            </w14:solidFill>
          </w14:textFill>
        </w:rPr>
        <w:t>11</w:t>
      </w:r>
      <w:r>
        <w:rPr>
          <w:rFonts w:hint="eastAsia" w:ascii="宋体" w:hAnsi="宋体" w:eastAsia="宋体" w:cs="宋体"/>
          <w:b/>
          <w:color w:val="000000" w:themeColor="text1"/>
          <w14:textFill>
            <w14:solidFill>
              <w14:schemeClr w14:val="tx1"/>
            </w14:solidFill>
          </w14:textFill>
        </w:rPr>
        <w:t>废气</w:t>
      </w:r>
      <w:r>
        <w:rPr>
          <w:rFonts w:hint="eastAsia" w:ascii="宋体" w:hAnsi="宋体" w:eastAsia="宋体" w:cs="宋体"/>
          <w:b/>
          <w:color w:val="000000" w:themeColor="text1"/>
          <w:lang w:eastAsia="zh-CN"/>
          <w14:textFill>
            <w14:solidFill>
              <w14:schemeClr w14:val="tx1"/>
            </w14:solidFill>
          </w14:textFill>
        </w:rPr>
        <w:t>污染源监测</w:t>
      </w:r>
      <w:r>
        <w:rPr>
          <w:rFonts w:hint="eastAsia" w:ascii="宋体" w:hAnsi="宋体" w:eastAsia="宋体" w:cs="宋体"/>
          <w:b/>
          <w:color w:val="000000" w:themeColor="text1"/>
          <w:lang w:val="en-US" w:eastAsia="zh-CN"/>
          <w14:textFill>
            <w14:solidFill>
              <w14:schemeClr w14:val="tx1"/>
            </w14:solidFill>
          </w14:textFill>
        </w:rPr>
        <w:t>参数</w:t>
      </w:r>
    </w:p>
    <w:tbl>
      <w:tblPr>
        <w:tblStyle w:val="37"/>
        <w:tblpPr w:leftFromText="180" w:rightFromText="180" w:vertAnchor="text" w:horzAnchor="page" w:tblpX="1562" w:tblpY="301"/>
        <w:tblOverlap w:val="never"/>
        <w:tblW w:w="4996" w:type="pct"/>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1831"/>
        <w:gridCol w:w="1476"/>
        <w:gridCol w:w="3084"/>
        <w:gridCol w:w="1621"/>
      </w:tblGrid>
      <w:tr w14:paraId="3D767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2" w:hRule="atLeast"/>
          <w:tblHeader/>
        </w:trPr>
        <w:tc>
          <w:tcPr>
            <w:tcW w:w="662" w:type="pct"/>
            <w:tcBorders>
              <w:tl2br w:val="nil"/>
              <w:tr2bl w:val="nil"/>
            </w:tcBorders>
            <w:vAlign w:val="center"/>
          </w:tcPr>
          <w:p w14:paraId="3E56A941">
            <w:pPr>
              <w:pStyle w:val="13"/>
              <w:adjustRightInd w:val="0"/>
              <w:snapToGrid w:val="0"/>
              <w:spacing w:before="0" w:after="0"/>
              <w:ind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污染源</w:t>
            </w:r>
          </w:p>
        </w:tc>
        <w:tc>
          <w:tcPr>
            <w:tcW w:w="991" w:type="pct"/>
            <w:tcBorders>
              <w:tl2br w:val="nil"/>
              <w:tr2bl w:val="nil"/>
            </w:tcBorders>
            <w:vAlign w:val="center"/>
          </w:tcPr>
          <w:p w14:paraId="46E91AAF">
            <w:pPr>
              <w:pStyle w:val="13"/>
              <w:adjustRightInd w:val="0"/>
              <w:snapToGrid w:val="0"/>
              <w:spacing w:before="0" w:after="0"/>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下风向距离(m)</w:t>
            </w:r>
          </w:p>
        </w:tc>
        <w:tc>
          <w:tcPr>
            <w:tcW w:w="799" w:type="pct"/>
            <w:tcBorders>
              <w:tl2br w:val="nil"/>
              <w:tr2bl w:val="nil"/>
            </w:tcBorders>
            <w:vAlign w:val="center"/>
          </w:tcPr>
          <w:p w14:paraId="7F8D7522">
            <w:pPr>
              <w:pStyle w:val="140"/>
              <w:adjustRightInd w:val="0"/>
              <w:snapToGrid w:val="0"/>
              <w:ind w:left="0" w:right="0"/>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污染物名称</w:t>
            </w:r>
          </w:p>
        </w:tc>
        <w:tc>
          <w:tcPr>
            <w:tcW w:w="1669" w:type="pct"/>
            <w:tcBorders>
              <w:tl2br w:val="nil"/>
              <w:tr2bl w:val="nil"/>
            </w:tcBorders>
            <w:vAlign w:val="center"/>
          </w:tcPr>
          <w:p w14:paraId="2A78D549">
            <w:pPr>
              <w:pStyle w:val="140"/>
              <w:adjustRightInd w:val="0"/>
              <w:snapToGrid w:val="0"/>
              <w:ind w:left="0" w:right="0"/>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下风向预测浓度Ci(mg/m</w:t>
            </w:r>
            <w:r>
              <w:rPr>
                <w:rFonts w:hint="default" w:ascii="Times New Roman" w:hAnsi="Times New Roman" w:cs="Times New Roman"/>
                <w:b w:val="0"/>
                <w:bCs w:val="0"/>
                <w:color w:val="000000" w:themeColor="text1"/>
                <w:sz w:val="21"/>
                <w:szCs w:val="21"/>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w:t>
            </w:r>
          </w:p>
        </w:tc>
        <w:tc>
          <w:tcPr>
            <w:tcW w:w="877" w:type="pct"/>
            <w:tcBorders>
              <w:tl2br w:val="nil"/>
              <w:tr2bl w:val="nil"/>
            </w:tcBorders>
            <w:vAlign w:val="center"/>
          </w:tcPr>
          <w:p w14:paraId="0CE10AD0">
            <w:pPr>
              <w:pStyle w:val="140"/>
              <w:adjustRightInd w:val="0"/>
              <w:snapToGrid w:val="0"/>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占标率Pi(%)</w:t>
            </w:r>
          </w:p>
        </w:tc>
      </w:tr>
      <w:tr w14:paraId="301CA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pct"/>
            <w:tcBorders>
              <w:tl2br w:val="nil"/>
              <w:tr2bl w:val="nil"/>
            </w:tcBorders>
            <w:vAlign w:val="center"/>
          </w:tcPr>
          <w:p w14:paraId="78039DB1">
            <w:pPr>
              <w:pStyle w:val="140"/>
              <w:spacing w:before="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w w:val="100"/>
                <w:sz w:val="21"/>
                <w:szCs w:val="21"/>
                <w:lang w:val="en-US" w:eastAsia="zh-CN"/>
              </w:rPr>
              <w:t>1#排气筒</w:t>
            </w:r>
          </w:p>
        </w:tc>
        <w:tc>
          <w:tcPr>
            <w:tcW w:w="991" w:type="pct"/>
            <w:tcBorders>
              <w:tl2br w:val="nil"/>
              <w:tr2bl w:val="nil"/>
            </w:tcBorders>
            <w:vAlign w:val="center"/>
          </w:tcPr>
          <w:p w14:paraId="52297F07">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188</w:t>
            </w:r>
          </w:p>
        </w:tc>
        <w:tc>
          <w:tcPr>
            <w:tcW w:w="799" w:type="pct"/>
            <w:tcBorders>
              <w:tl2br w:val="nil"/>
              <w:tr2bl w:val="nil"/>
            </w:tcBorders>
            <w:vAlign w:val="center"/>
          </w:tcPr>
          <w:p w14:paraId="0E85C87E">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1669" w:type="pct"/>
            <w:tcBorders>
              <w:tl2br w:val="nil"/>
              <w:tr2bl w:val="nil"/>
            </w:tcBorders>
            <w:vAlign w:val="center"/>
          </w:tcPr>
          <w:p w14:paraId="6DDCDFCE">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0.53</w:t>
            </w:r>
          </w:p>
        </w:tc>
        <w:tc>
          <w:tcPr>
            <w:tcW w:w="877" w:type="pct"/>
            <w:tcBorders>
              <w:tl2br w:val="nil"/>
              <w:tr2bl w:val="nil"/>
            </w:tcBorders>
            <w:vAlign w:val="center"/>
          </w:tcPr>
          <w:p w14:paraId="1C7A45B6">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0.06</w:t>
            </w:r>
          </w:p>
        </w:tc>
      </w:tr>
      <w:tr w14:paraId="0D9BE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pct"/>
            <w:tcBorders>
              <w:tl2br w:val="nil"/>
              <w:tr2bl w:val="nil"/>
            </w:tcBorders>
            <w:vAlign w:val="center"/>
          </w:tcPr>
          <w:p w14:paraId="3718EF4D">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#排气筒</w:t>
            </w:r>
          </w:p>
        </w:tc>
        <w:tc>
          <w:tcPr>
            <w:tcW w:w="991" w:type="pct"/>
            <w:tcBorders>
              <w:tl2br w:val="nil"/>
              <w:tr2bl w:val="nil"/>
            </w:tcBorders>
            <w:shd w:val="clear" w:color="auto" w:fill="auto"/>
            <w:vAlign w:val="center"/>
          </w:tcPr>
          <w:p w14:paraId="3098A25A">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432</w:t>
            </w:r>
          </w:p>
        </w:tc>
        <w:tc>
          <w:tcPr>
            <w:tcW w:w="799" w:type="pct"/>
            <w:tcBorders>
              <w:tl2br w:val="nil"/>
              <w:tr2bl w:val="nil"/>
            </w:tcBorders>
            <w:shd w:val="clear" w:color="auto" w:fill="auto"/>
            <w:vAlign w:val="center"/>
          </w:tcPr>
          <w:p w14:paraId="5E59A425">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1669" w:type="pct"/>
            <w:tcBorders>
              <w:tl2br w:val="nil"/>
              <w:tr2bl w:val="nil"/>
            </w:tcBorders>
            <w:shd w:val="clear" w:color="auto" w:fill="auto"/>
            <w:vAlign w:val="center"/>
          </w:tcPr>
          <w:p w14:paraId="7A12FF1D">
            <w:pPr>
              <w:adjustRightInd w:val="0"/>
              <w:snapToGrid w:val="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0.14</w:t>
            </w:r>
          </w:p>
        </w:tc>
        <w:tc>
          <w:tcPr>
            <w:tcW w:w="877" w:type="pct"/>
            <w:tcBorders>
              <w:tl2br w:val="nil"/>
              <w:tr2bl w:val="nil"/>
            </w:tcBorders>
            <w:shd w:val="clear" w:color="auto" w:fill="auto"/>
            <w:vAlign w:val="center"/>
          </w:tcPr>
          <w:p w14:paraId="42E5E866">
            <w:pPr>
              <w:adjustRightInd w:val="0"/>
              <w:snapToGrid w:val="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0.02</w:t>
            </w:r>
          </w:p>
        </w:tc>
      </w:tr>
    </w:tbl>
    <w:p w14:paraId="0F9DADCA">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color w:val="000000" w:themeColor="text1"/>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1#</w:t>
      </w:r>
      <w:r>
        <w:rPr>
          <w:rFonts w:hint="eastAsia" w:ascii="宋体" w:hAnsi="宋体" w:eastAsia="宋体" w:cs="宋体"/>
          <w:b/>
          <w:color w:val="000000" w:themeColor="text1"/>
          <w:lang w:val="en-US" w:eastAsia="zh-CN"/>
          <w14:textFill>
            <w14:solidFill>
              <w14:schemeClr w14:val="tx1"/>
            </w14:solidFill>
          </w14:textFill>
        </w:rPr>
        <w:t>排气筒</w:t>
      </w:r>
      <w:r>
        <w:rPr>
          <w:rFonts w:hint="eastAsia" w:ascii="宋体" w:hAnsi="宋体" w:eastAsia="宋体" w:cs="宋体"/>
          <w:b/>
          <w:color w:val="000000" w:themeColor="text1"/>
          <w14:textFill>
            <w14:solidFill>
              <w14:schemeClr w14:val="tx1"/>
            </w14:solidFill>
          </w14:textFill>
        </w:rPr>
        <w:t>废气超标排放事故</w:t>
      </w:r>
    </w:p>
    <w:p w14:paraId="469BDEA2">
      <w:pPr>
        <w:adjustRightInd w:val="0"/>
        <w:snapToGrid w:val="0"/>
        <w:spacing w:line="500" w:lineRule="exact"/>
        <w:ind w:firstLine="480" w:firstLineChars="200"/>
        <w:rPr>
          <w:rFonts w:hint="eastAsia"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从上表分析可知，在</w:t>
      </w:r>
      <w:r>
        <w:rPr>
          <w:rFonts w:hint="eastAsia" w:eastAsia="宋体" w:cs="Times New Roman"/>
          <w:color w:val="000000" w:themeColor="text1"/>
          <w:lang w:val="en-US" w:eastAsia="zh-CN"/>
          <w14:textFill>
            <w14:solidFill>
              <w14:schemeClr w14:val="tx1"/>
            </w14:solidFill>
          </w14:textFill>
        </w:rPr>
        <w:t>1#排气筒</w:t>
      </w:r>
      <w:r>
        <w:rPr>
          <w:rFonts w:hint="default" w:ascii="Times New Roman" w:hAnsi="Times New Roman" w:eastAsia="宋体" w:cs="Times New Roman"/>
          <w:color w:val="000000" w:themeColor="text1"/>
          <w14:textFill>
            <w14:solidFill>
              <w14:schemeClr w14:val="tx1"/>
            </w14:solidFill>
          </w14:textFill>
        </w:rPr>
        <w:t>下方向</w:t>
      </w:r>
      <w:r>
        <w:rPr>
          <w:rFonts w:hint="eastAsia" w:eastAsia="宋体" w:cs="Times New Roman"/>
          <w:color w:val="000000" w:themeColor="text1"/>
          <w:lang w:val="en-US" w:eastAsia="zh-CN"/>
          <w14:textFill>
            <w14:solidFill>
              <w14:schemeClr w14:val="tx1"/>
            </w14:solidFill>
          </w14:textFill>
        </w:rPr>
        <w:t>188</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0.53</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lang w:val="en-US" w:eastAsia="zh-CN"/>
          <w14:textFill>
            <w14:solidFill>
              <w14:schemeClr w14:val="tx1"/>
            </w14:solidFill>
          </w14:textFill>
        </w:rPr>
        <w:t>标准</w:t>
      </w:r>
      <w:r>
        <w:rPr>
          <w:rFonts w:hint="default" w:ascii="Times New Roman" w:hAnsi="Times New Roman" w:eastAsia="宋体" w:cs="Times New Roman"/>
          <w:color w:val="000000" w:themeColor="text1"/>
          <w14:textFill>
            <w14:solidFill>
              <w14:schemeClr w14:val="tx1"/>
            </w14:solidFill>
          </w14:textFill>
        </w:rPr>
        <w:t>值</w:t>
      </w:r>
      <w:r>
        <w:rPr>
          <w:rFonts w:hint="eastAsia" w:eastAsia="宋体" w:cs="Times New Roman"/>
          <w:color w:val="000000" w:themeColor="text1"/>
          <w:lang w:val="en-US" w:eastAsia="zh-CN"/>
          <w14:textFill>
            <w14:solidFill>
              <w14:schemeClr w14:val="tx1"/>
            </w14:solidFill>
          </w14:textFill>
        </w:rPr>
        <w:t>0.9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bookmarkStart w:id="194" w:name="OLE_LINK2"/>
    </w:p>
    <w:p w14:paraId="3BB92E29">
      <w:pPr>
        <w:adjustRightInd w:val="0"/>
        <w:snapToGrid w:val="0"/>
        <w:spacing w:line="500" w:lineRule="exact"/>
        <w:ind w:firstLine="482" w:firstLineChars="200"/>
        <w:rPr>
          <w:rFonts w:hint="default" w:ascii="Times New Roman" w:hAnsi="Times New Roman" w:eastAsia="宋体" w:cs="Times New Roman"/>
          <w:b/>
          <w:color w:val="000000" w:themeColor="text1"/>
          <w14:textFill>
            <w14:solidFill>
              <w14:schemeClr w14:val="tx1"/>
            </w14:solidFill>
          </w14:textFill>
        </w:rPr>
      </w:pPr>
      <w:r>
        <w:rPr>
          <w:rFonts w:hint="eastAsia" w:eastAsia="宋体" w:cs="Times New Roman"/>
          <w:b/>
          <w:color w:val="000000" w:themeColor="text1"/>
          <w:lang w:val="en-US" w:eastAsia="zh-CN"/>
          <w14:textFill>
            <w14:solidFill>
              <w14:schemeClr w14:val="tx1"/>
            </w14:solidFill>
          </w14:textFill>
        </w:rPr>
        <w:t>2</w:t>
      </w:r>
      <w:r>
        <w:rPr>
          <w:rFonts w:hint="default" w:ascii="Times New Roman" w:hAnsi="Times New Roman" w:eastAsia="宋体" w:cs="Times New Roman"/>
          <w:b/>
          <w:color w:val="000000" w:themeColor="text1"/>
          <w:lang w:val="en-US" w:eastAsia="zh-CN"/>
          <w14:textFill>
            <w14:solidFill>
              <w14:schemeClr w14:val="tx1"/>
            </w14:solidFill>
          </w14:textFill>
        </w:rPr>
        <w:t>#排气筒</w:t>
      </w:r>
      <w:r>
        <w:rPr>
          <w:rFonts w:hint="default" w:ascii="Times New Roman" w:hAnsi="Times New Roman" w:eastAsia="宋体" w:cs="Times New Roman"/>
          <w:b/>
          <w:color w:val="000000" w:themeColor="text1"/>
          <w14:textFill>
            <w14:solidFill>
              <w14:schemeClr w14:val="tx1"/>
            </w14:solidFill>
          </w14:textFill>
        </w:rPr>
        <w:t>废气超标排放事故</w:t>
      </w:r>
    </w:p>
    <w:p w14:paraId="131A2800">
      <w:pPr>
        <w:pStyle w:val="12"/>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从上表分析可知，在</w:t>
      </w:r>
      <w:r>
        <w:rPr>
          <w:rFonts w:hint="eastAsia" w:eastAsia="宋体" w:cs="Times New Roman"/>
          <w:color w:val="000000" w:themeColor="text1"/>
          <w:lang w:val="en-US" w:eastAsia="zh-CN"/>
          <w14:textFill>
            <w14:solidFill>
              <w14:schemeClr w14:val="tx1"/>
            </w14:solidFill>
          </w14:textFill>
        </w:rPr>
        <w:t>2#排气筒</w:t>
      </w:r>
      <w:r>
        <w:rPr>
          <w:rFonts w:hint="default" w:ascii="Times New Roman" w:hAnsi="Times New Roman" w:eastAsia="宋体" w:cs="Times New Roman"/>
          <w:color w:val="000000" w:themeColor="text1"/>
          <w14:textFill>
            <w14:solidFill>
              <w14:schemeClr w14:val="tx1"/>
            </w14:solidFill>
          </w14:textFill>
        </w:rPr>
        <w:t>下方向</w:t>
      </w:r>
      <w:r>
        <w:rPr>
          <w:rFonts w:hint="eastAsia" w:eastAsia="宋体" w:cs="Times New Roman"/>
          <w:color w:val="000000" w:themeColor="text1"/>
          <w:lang w:val="en-US" w:eastAsia="zh-CN"/>
          <w14:textFill>
            <w14:solidFill>
              <w14:schemeClr w14:val="tx1"/>
            </w14:solidFill>
          </w14:textFill>
        </w:rPr>
        <w:t>432</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0.14</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lang w:val="en-US" w:eastAsia="zh-CN"/>
          <w14:textFill>
            <w14:solidFill>
              <w14:schemeClr w14:val="tx1"/>
            </w14:solidFill>
          </w14:textFill>
        </w:rPr>
        <w:t>标准</w:t>
      </w:r>
      <w:r>
        <w:rPr>
          <w:rFonts w:hint="default" w:ascii="Times New Roman" w:hAnsi="Times New Roman" w:eastAsia="宋体" w:cs="Times New Roman"/>
          <w:color w:val="000000" w:themeColor="text1"/>
          <w14:textFill>
            <w14:solidFill>
              <w14:schemeClr w14:val="tx1"/>
            </w14:solidFill>
          </w14:textFill>
        </w:rPr>
        <w:t>值</w:t>
      </w:r>
      <w:r>
        <w:rPr>
          <w:rFonts w:hint="eastAsia" w:eastAsia="宋体" w:cs="Times New Roman"/>
          <w:color w:val="000000" w:themeColor="text1"/>
          <w:lang w:val="en-US" w:eastAsia="zh-CN"/>
          <w14:textFill>
            <w14:solidFill>
              <w14:schemeClr w14:val="tx1"/>
            </w14:solidFill>
          </w14:textFill>
        </w:rPr>
        <w:t>0.9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p>
    <w:bookmarkEnd w:id="194"/>
    <w:p w14:paraId="41CA6F08">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195" w:name="_Toc32454"/>
      <w:bookmarkStart w:id="196" w:name="_Toc30419"/>
      <w:bookmarkStart w:id="197" w:name="_Toc2754"/>
      <w:r>
        <w:rPr>
          <w:rFonts w:hint="eastAsia" w:ascii="Times New Roman" w:hAnsi="Times New Roman" w:eastAsia="宋体" w:cs="Times New Roman"/>
          <w:color w:val="000000" w:themeColor="text1"/>
          <w:sz w:val="24"/>
          <w:szCs w:val="24"/>
          <w14:textFill>
            <w14:solidFill>
              <w14:schemeClr w14:val="tx1"/>
            </w14:solidFill>
          </w14:textFill>
        </w:rPr>
        <w:t>5现有环境风险防控和应急措施差距分析</w:t>
      </w:r>
      <w:bookmarkEnd w:id="150"/>
      <w:bookmarkEnd w:id="195"/>
      <w:bookmarkEnd w:id="196"/>
      <w:bookmarkEnd w:id="197"/>
    </w:p>
    <w:p w14:paraId="67EBA356">
      <w:pPr>
        <w:pStyle w:val="3"/>
        <w:adjustRightInd w:val="0"/>
        <w:snapToGrid w:val="0"/>
        <w:spacing w:line="500" w:lineRule="exact"/>
        <w:ind w:firstLine="480" w:firstLineChars="200"/>
        <w:jc w:val="left"/>
        <w:rPr>
          <w:rFonts w:hint="eastAsia" w:ascii="Times New Roman" w:hAnsi="Times New Roman" w:eastAsia="宋体" w:cs="Times New Roman"/>
          <w:b w:val="0"/>
          <w:bCs w:val="0"/>
          <w:kern w:val="2"/>
          <w:sz w:val="24"/>
          <w:szCs w:val="24"/>
          <w:lang w:val="en-US" w:eastAsia="zh-CN" w:bidi="ar-SA"/>
        </w:rPr>
      </w:pPr>
      <w:bookmarkStart w:id="198" w:name="_Toc7007"/>
      <w:bookmarkStart w:id="199" w:name="_Toc2496"/>
      <w:bookmarkStart w:id="200" w:name="_Toc402776217"/>
      <w:bookmarkStart w:id="201" w:name="_Toc27239"/>
      <w:bookmarkStart w:id="202" w:name="_Toc353379550"/>
      <w:r>
        <w:rPr>
          <w:rFonts w:hint="eastAsia" w:ascii="Times New Roman" w:hAnsi="Times New Roman" w:eastAsia="宋体" w:cs="Times New Roman"/>
          <w:b w:val="0"/>
          <w:bCs w:val="0"/>
          <w:kern w:val="2"/>
          <w:sz w:val="24"/>
          <w:szCs w:val="24"/>
          <w:lang w:val="en-US" w:eastAsia="zh-CN" w:bidi="ar-SA"/>
        </w:rPr>
        <w:t>公司在环境风险防控和应急方面做了大量工作，基本建立起了一套较为完整的风险防控和应急系统，但与国家的相关标准和要求仍然存在着差距，通过寻找公司现有环境风险防控和应急措施方面存在的差距，通过整改和补充，可以进一步完善公司风险防控和应急体系，健全相关制度和程序，不断提高公司防范和应对突发环境事件的能力，可以从以下几个方面进行对比，寻找差距。</w:t>
      </w:r>
    </w:p>
    <w:p w14:paraId="23CCC704">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5.1环境风险管理制度</w:t>
      </w:r>
      <w:bookmarkEnd w:id="198"/>
      <w:bookmarkEnd w:id="199"/>
      <w:bookmarkEnd w:id="200"/>
      <w:bookmarkEnd w:id="201"/>
    </w:p>
    <w:p w14:paraId="5C7B83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bookmarkStart w:id="203" w:name="_Toc402776219"/>
      <w:r>
        <w:rPr>
          <w:rFonts w:hint="default" w:ascii="Times New Roman" w:hAnsi="Times New Roman" w:eastAsia="宋体" w:cs="Times New Roman"/>
        </w:rPr>
        <w:t>公司现有环境风险管理制度差距分析见表5-1。</w:t>
      </w:r>
    </w:p>
    <w:p w14:paraId="13F9DFBD">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表5-1环境风险管理制度差距分析</w:t>
      </w:r>
    </w:p>
    <w:tbl>
      <w:tblPr>
        <w:tblStyle w:val="37"/>
        <w:tblW w:w="501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21"/>
        <w:gridCol w:w="2462"/>
        <w:gridCol w:w="4075"/>
        <w:gridCol w:w="1829"/>
      </w:tblGrid>
      <w:tr w14:paraId="17592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 w:hRule="atLeast"/>
          <w:tblHeader/>
          <w:jc w:val="center"/>
        </w:trPr>
        <w:tc>
          <w:tcPr>
            <w:tcW w:w="397" w:type="pct"/>
            <w:tcBorders>
              <w:tl2br w:val="nil"/>
              <w:tr2bl w:val="nil"/>
            </w:tcBorders>
            <w:vAlign w:val="center"/>
          </w:tcPr>
          <w:p w14:paraId="26BFE7FB">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序号</w:t>
            </w:r>
          </w:p>
        </w:tc>
        <w:tc>
          <w:tcPr>
            <w:tcW w:w="1354" w:type="pct"/>
            <w:tcBorders>
              <w:tl2br w:val="nil"/>
              <w:tr2bl w:val="nil"/>
            </w:tcBorders>
            <w:vAlign w:val="center"/>
          </w:tcPr>
          <w:p w14:paraId="67F83A9D">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项目</w:t>
            </w:r>
          </w:p>
        </w:tc>
        <w:tc>
          <w:tcPr>
            <w:tcW w:w="2241" w:type="pct"/>
            <w:tcBorders>
              <w:tl2br w:val="nil"/>
              <w:tr2bl w:val="nil"/>
            </w:tcBorders>
            <w:vAlign w:val="center"/>
          </w:tcPr>
          <w:p w14:paraId="1D989DF5">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实际情况</w:t>
            </w:r>
          </w:p>
        </w:tc>
        <w:tc>
          <w:tcPr>
            <w:tcW w:w="1006" w:type="pct"/>
            <w:tcBorders>
              <w:tl2br w:val="nil"/>
              <w:tr2bl w:val="nil"/>
            </w:tcBorders>
            <w:vAlign w:val="center"/>
          </w:tcPr>
          <w:p w14:paraId="70830B4E">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存在问题</w:t>
            </w:r>
          </w:p>
        </w:tc>
      </w:tr>
      <w:tr w14:paraId="3DBFE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63" w:hRule="atLeast"/>
          <w:jc w:val="center"/>
        </w:trPr>
        <w:tc>
          <w:tcPr>
            <w:tcW w:w="397" w:type="pct"/>
            <w:tcBorders>
              <w:tl2br w:val="nil"/>
              <w:tr2bl w:val="nil"/>
            </w:tcBorders>
            <w:vAlign w:val="center"/>
          </w:tcPr>
          <w:p w14:paraId="0AC1D003">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354" w:type="pct"/>
            <w:tcBorders>
              <w:tl2br w:val="nil"/>
              <w:tr2bl w:val="nil"/>
            </w:tcBorders>
            <w:vAlign w:val="center"/>
          </w:tcPr>
          <w:p w14:paraId="3BF2A34E">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环境风险防控和应急措施制度是否建立，环境风险防控重点岗位的责任人或责任机构是否明确，定期巡检和维护责任制度是否落实。</w:t>
            </w:r>
          </w:p>
        </w:tc>
        <w:tc>
          <w:tcPr>
            <w:tcW w:w="2241" w:type="pct"/>
            <w:tcBorders>
              <w:tl2br w:val="nil"/>
              <w:tr2bl w:val="nil"/>
            </w:tcBorders>
            <w:shd w:val="clear" w:color="auto" w:fill="auto"/>
            <w:vAlign w:val="center"/>
          </w:tcPr>
          <w:p w14:paraId="2D037A31">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公司已建立了环境风险防控和应急措施制度</w:t>
            </w:r>
            <w:r>
              <w:rPr>
                <w:rFonts w:hint="default" w:ascii="Times New Roman" w:hAnsi="Times New Roman" w:eastAsia="宋体" w:cs="Times New Roman"/>
                <w:sz w:val="21"/>
                <w:lang w:eastAsia="zh-CN"/>
              </w:rPr>
              <w:t>、</w:t>
            </w:r>
            <w:r>
              <w:rPr>
                <w:rFonts w:hint="default" w:ascii="Times New Roman" w:hAnsi="Times New Roman" w:eastAsia="宋体" w:cs="Times New Roman"/>
                <w:sz w:val="21"/>
              </w:rPr>
              <w:t>环境应急资源维护更新制度、污染防治设施运行管理制度，重点风险防控岗位由专人负责，见表5-</w:t>
            </w:r>
            <w:r>
              <w:rPr>
                <w:rFonts w:hint="default" w:ascii="Times New Roman" w:hAnsi="Times New Roman" w:eastAsia="宋体" w:cs="Times New Roman"/>
                <w:sz w:val="21"/>
                <w:lang w:val="en-US" w:eastAsia="zh-CN"/>
              </w:rPr>
              <w:t>2、5-3</w:t>
            </w:r>
            <w:r>
              <w:rPr>
                <w:rFonts w:hint="default" w:ascii="Times New Roman" w:hAnsi="Times New Roman" w:eastAsia="宋体" w:cs="Times New Roman"/>
                <w:sz w:val="21"/>
              </w:rPr>
              <w:t>。</w:t>
            </w:r>
          </w:p>
        </w:tc>
        <w:tc>
          <w:tcPr>
            <w:tcW w:w="1006" w:type="pct"/>
            <w:tcBorders>
              <w:tl2br w:val="nil"/>
              <w:tr2bl w:val="nil"/>
            </w:tcBorders>
            <w:vAlign w:val="center"/>
          </w:tcPr>
          <w:p w14:paraId="7BEED91D">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w:t>
            </w:r>
          </w:p>
        </w:tc>
      </w:tr>
      <w:tr w14:paraId="15749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1F2C962F">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354" w:type="pct"/>
            <w:tcBorders>
              <w:tl2br w:val="nil"/>
              <w:tr2bl w:val="nil"/>
            </w:tcBorders>
            <w:vAlign w:val="center"/>
          </w:tcPr>
          <w:p w14:paraId="31D57735">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环评及批复文件的各项环境风险防控和应急措施要求是否落实。</w:t>
            </w:r>
          </w:p>
        </w:tc>
        <w:tc>
          <w:tcPr>
            <w:tcW w:w="2241" w:type="pct"/>
            <w:tcBorders>
              <w:tl2br w:val="nil"/>
              <w:tr2bl w:val="nil"/>
            </w:tcBorders>
            <w:shd w:val="clear" w:color="auto" w:fill="auto"/>
            <w:vAlign w:val="center"/>
          </w:tcPr>
          <w:p w14:paraId="1819D991">
            <w:pPr>
              <w:pStyle w:val="116"/>
              <w:adjustRightInd w:val="0"/>
              <w:spacing w:line="240" w:lineRule="auto"/>
              <w:jc w:val="both"/>
              <w:rPr>
                <w:rFonts w:hint="default" w:ascii="Times New Roman" w:hAnsi="Times New Roman" w:eastAsia="宋体" w:cs="Times New Roman"/>
                <w:sz w:val="21"/>
              </w:rPr>
            </w:pPr>
            <w:r>
              <w:rPr>
                <w:rFonts w:hint="default" w:ascii="Times New Roman" w:hAnsi="Times New Roman" w:eastAsia="宋体" w:cs="Times New Roman"/>
                <w:sz w:val="21"/>
              </w:rPr>
              <w:t>公司</w:t>
            </w:r>
            <w:r>
              <w:rPr>
                <w:rFonts w:hint="default" w:ascii="Times New Roman" w:hAnsi="Times New Roman" w:eastAsia="宋体" w:cs="Times New Roman"/>
                <w:sz w:val="21"/>
                <w:lang w:eastAsia="zh-CN"/>
              </w:rPr>
              <w:t>建设项目</w:t>
            </w:r>
            <w:r>
              <w:rPr>
                <w:rFonts w:hint="eastAsia" w:eastAsia="宋体" w:cs="Times New Roman"/>
                <w:sz w:val="21"/>
                <w:lang w:val="en-US" w:eastAsia="zh-CN"/>
              </w:rPr>
              <w:t>环评</w:t>
            </w:r>
            <w:r>
              <w:rPr>
                <w:rFonts w:hint="default" w:ascii="Times New Roman" w:hAnsi="Times New Roman" w:eastAsia="宋体" w:cs="Times New Roman"/>
                <w:sz w:val="21"/>
              </w:rPr>
              <w:t>及</w:t>
            </w:r>
            <w:r>
              <w:rPr>
                <w:rFonts w:hint="eastAsia" w:eastAsia="宋体" w:cs="Times New Roman"/>
                <w:sz w:val="21"/>
                <w:lang w:val="en-US" w:eastAsia="zh-CN"/>
              </w:rPr>
              <w:t>环评批复</w:t>
            </w:r>
            <w:r>
              <w:rPr>
                <w:rFonts w:hint="default" w:ascii="Times New Roman" w:hAnsi="Times New Roman" w:eastAsia="宋体" w:cs="Times New Roman"/>
                <w:sz w:val="21"/>
              </w:rPr>
              <w:t>的各项环境风险防控和应急措施均已落实。</w:t>
            </w:r>
          </w:p>
        </w:tc>
        <w:tc>
          <w:tcPr>
            <w:tcW w:w="1006" w:type="pct"/>
            <w:tcBorders>
              <w:tl2br w:val="nil"/>
              <w:tr2bl w:val="nil"/>
            </w:tcBorders>
            <w:vAlign w:val="center"/>
          </w:tcPr>
          <w:p w14:paraId="171B49FA">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1872A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6BD2B57B">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3</w:t>
            </w:r>
          </w:p>
        </w:tc>
        <w:tc>
          <w:tcPr>
            <w:tcW w:w="1354" w:type="pct"/>
            <w:tcBorders>
              <w:tl2br w:val="nil"/>
              <w:tr2bl w:val="nil"/>
            </w:tcBorders>
            <w:vAlign w:val="center"/>
          </w:tcPr>
          <w:p w14:paraId="7E0D9DD9">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是否经常对职工开展环境风险和环境应急管理宣传和培训。</w:t>
            </w:r>
          </w:p>
        </w:tc>
        <w:tc>
          <w:tcPr>
            <w:tcW w:w="2241" w:type="pct"/>
            <w:tcBorders>
              <w:tl2br w:val="nil"/>
              <w:tr2bl w:val="nil"/>
            </w:tcBorders>
            <w:vAlign w:val="center"/>
          </w:tcPr>
          <w:p w14:paraId="37C0FBE8">
            <w:pPr>
              <w:pStyle w:val="116"/>
              <w:adjustRightInd w:val="0"/>
              <w:spacing w:line="240" w:lineRule="auto"/>
              <w:rPr>
                <w:rFonts w:hint="default" w:ascii="Times New Roman" w:hAnsi="Times New Roman" w:eastAsia="宋体" w:cs="Times New Roman"/>
                <w:sz w:val="21"/>
              </w:rPr>
            </w:pPr>
            <w:r>
              <w:rPr>
                <w:rFonts w:hint="eastAsia" w:eastAsia="宋体" w:cs="Times New Roman"/>
                <w:sz w:val="21"/>
                <w:lang w:val="en-US" w:eastAsia="zh-CN"/>
              </w:rPr>
              <w:t>未张贴应急处置卡</w:t>
            </w:r>
            <w:r>
              <w:rPr>
                <w:rFonts w:hint="default" w:ascii="Times New Roman" w:hAnsi="Times New Roman" w:eastAsia="宋体" w:cs="Times New Roman"/>
                <w:sz w:val="21"/>
              </w:rPr>
              <w:t>，</w:t>
            </w:r>
            <w:r>
              <w:rPr>
                <w:rFonts w:hint="eastAsia" w:eastAsia="宋体" w:cs="Times New Roman"/>
                <w:sz w:val="21"/>
                <w:lang w:val="en-US" w:eastAsia="zh-CN"/>
              </w:rPr>
              <w:t>但已对</w:t>
            </w:r>
            <w:r>
              <w:rPr>
                <w:rFonts w:hint="default" w:ascii="Times New Roman" w:hAnsi="Times New Roman" w:eastAsia="宋体" w:cs="Times New Roman"/>
                <w:sz w:val="21"/>
              </w:rPr>
              <w:t>对员工进行宣讲及培训。</w:t>
            </w:r>
          </w:p>
        </w:tc>
        <w:tc>
          <w:tcPr>
            <w:tcW w:w="1006" w:type="pct"/>
            <w:tcBorders>
              <w:tl2br w:val="nil"/>
              <w:tr2bl w:val="nil"/>
            </w:tcBorders>
            <w:vAlign w:val="center"/>
          </w:tcPr>
          <w:p w14:paraId="22772C47">
            <w:pPr>
              <w:pStyle w:val="116"/>
              <w:adjustRightInd w:val="0"/>
              <w:spacing w:line="240" w:lineRule="auto"/>
              <w:rPr>
                <w:rFonts w:hint="default" w:ascii="Times New Roman" w:hAnsi="Times New Roman" w:eastAsia="宋体" w:cs="Times New Roman"/>
                <w:sz w:val="21"/>
                <w:lang w:val="en-US" w:eastAsia="zh-CN"/>
              </w:rPr>
            </w:pPr>
            <w:r>
              <w:rPr>
                <w:rFonts w:hint="eastAsia" w:eastAsia="宋体" w:cs="Times New Roman"/>
                <w:sz w:val="21"/>
                <w:lang w:val="en-US" w:eastAsia="zh-CN"/>
              </w:rPr>
              <w:t>未张贴应急处置卡</w:t>
            </w:r>
          </w:p>
        </w:tc>
      </w:tr>
      <w:tr w14:paraId="3365E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397" w:type="pct"/>
            <w:tcBorders>
              <w:tl2br w:val="nil"/>
              <w:tr2bl w:val="nil"/>
            </w:tcBorders>
            <w:vAlign w:val="center"/>
          </w:tcPr>
          <w:p w14:paraId="05E7A2E2">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4</w:t>
            </w:r>
          </w:p>
        </w:tc>
        <w:tc>
          <w:tcPr>
            <w:tcW w:w="1354" w:type="pct"/>
            <w:tcBorders>
              <w:tl2br w:val="nil"/>
              <w:tr2bl w:val="nil"/>
            </w:tcBorders>
            <w:vAlign w:val="center"/>
          </w:tcPr>
          <w:p w14:paraId="73572569">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是否建立突发环境事件信息报告制度，并有效执行。</w:t>
            </w:r>
          </w:p>
        </w:tc>
        <w:tc>
          <w:tcPr>
            <w:tcW w:w="2241" w:type="pct"/>
            <w:tcBorders>
              <w:tl2br w:val="nil"/>
              <w:tr2bl w:val="nil"/>
            </w:tcBorders>
            <w:vAlign w:val="center"/>
          </w:tcPr>
          <w:p w14:paraId="4129A2DA">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公司建立了有效的突发环境事件信息报告制度，并确保有效执行。</w:t>
            </w:r>
          </w:p>
        </w:tc>
        <w:tc>
          <w:tcPr>
            <w:tcW w:w="1006" w:type="pct"/>
            <w:tcBorders>
              <w:tl2br w:val="nil"/>
              <w:tr2bl w:val="nil"/>
            </w:tcBorders>
            <w:vAlign w:val="center"/>
          </w:tcPr>
          <w:p w14:paraId="4EDE520E">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w:t>
            </w:r>
          </w:p>
        </w:tc>
      </w:tr>
    </w:tbl>
    <w:p w14:paraId="730AFC6A">
      <w:pPr>
        <w:adjustRightInd w:val="0"/>
        <w:snapToGrid w:val="0"/>
        <w:spacing w:line="500" w:lineRule="exact"/>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公司已建立了环境风险防控和应急措施制度，重点风险防控岗位由专人负责；公司环境风险防控相关制度见表5-2；关键装置/重点部位岗位责任情况见表5-3。</w:t>
      </w:r>
    </w:p>
    <w:p w14:paraId="7A45B8E2">
      <w:pPr>
        <w:adjustRightInd w:val="0"/>
        <w:snapToGrid w:val="0"/>
        <w:spacing w:line="500" w:lineRule="exact"/>
        <w:jc w:val="center"/>
        <w:rPr>
          <w:rFonts w:hint="default" w:ascii="Times New Roman" w:hAnsi="Times New Roman" w:eastAsia="宋体" w:cs="Times New Roman"/>
          <w:b/>
          <w:lang w:val="en-US" w:eastAsia="zh-CN"/>
        </w:rPr>
      </w:pPr>
      <w:r>
        <w:rPr>
          <w:rFonts w:hint="default" w:ascii="Times New Roman" w:hAnsi="Times New Roman" w:eastAsia="宋体" w:cs="Times New Roman"/>
          <w:b/>
        </w:rPr>
        <w:t>表5-2环境风险防控</w:t>
      </w:r>
      <w:r>
        <w:rPr>
          <w:rFonts w:hint="default" w:ascii="Times New Roman" w:hAnsi="Times New Roman" w:eastAsia="宋体" w:cs="Times New Roman"/>
          <w:b/>
          <w:lang w:val="en-US" w:eastAsia="zh-CN"/>
        </w:rPr>
        <w:t>相关制度一览表</w:t>
      </w:r>
    </w:p>
    <w:tbl>
      <w:tblPr>
        <w:tblStyle w:val="37"/>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6"/>
        <w:gridCol w:w="8162"/>
      </w:tblGrid>
      <w:tr w14:paraId="19031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529" w:type="pct"/>
            <w:tcBorders>
              <w:tl2br w:val="nil"/>
              <w:tr2bl w:val="nil"/>
            </w:tcBorders>
            <w:tcMar>
              <w:left w:w="0" w:type="dxa"/>
              <w:right w:w="0" w:type="dxa"/>
            </w:tcMar>
            <w:vAlign w:val="center"/>
          </w:tcPr>
          <w:p w14:paraId="56F9F7AD">
            <w:pPr>
              <w:widowControl/>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序号</w:t>
            </w:r>
          </w:p>
        </w:tc>
        <w:tc>
          <w:tcPr>
            <w:tcW w:w="4470" w:type="pct"/>
            <w:tcBorders>
              <w:tl2br w:val="nil"/>
              <w:tr2bl w:val="nil"/>
            </w:tcBorders>
            <w:tcMar>
              <w:left w:w="0" w:type="dxa"/>
              <w:right w:w="0" w:type="dxa"/>
            </w:tcMar>
            <w:vAlign w:val="center"/>
          </w:tcPr>
          <w:p w14:paraId="48BD9887">
            <w:pPr>
              <w:widowControl/>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文件名称</w:t>
            </w:r>
          </w:p>
        </w:tc>
      </w:tr>
      <w:tr w14:paraId="79264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63811CB9">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4470" w:type="pct"/>
            <w:tcBorders>
              <w:tl2br w:val="nil"/>
              <w:tr2bl w:val="nil"/>
            </w:tcBorders>
            <w:tcMar>
              <w:left w:w="0" w:type="dxa"/>
              <w:right w:w="0" w:type="dxa"/>
            </w:tcMar>
            <w:vAlign w:val="center"/>
          </w:tcPr>
          <w:p w14:paraId="5296225E">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环境风险防控和应急措施制度</w:t>
            </w:r>
          </w:p>
        </w:tc>
      </w:tr>
      <w:tr w14:paraId="1A651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48E9EB1B">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4470" w:type="pct"/>
            <w:tcBorders>
              <w:tl2br w:val="nil"/>
              <w:tr2bl w:val="nil"/>
            </w:tcBorders>
            <w:tcMar>
              <w:left w:w="0" w:type="dxa"/>
              <w:right w:w="0" w:type="dxa"/>
            </w:tcMar>
            <w:vAlign w:val="center"/>
          </w:tcPr>
          <w:p w14:paraId="107A4DC6">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环境应急资源维护更新制度</w:t>
            </w:r>
          </w:p>
        </w:tc>
      </w:tr>
      <w:tr w14:paraId="62C2C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529" w:type="pct"/>
            <w:tcBorders>
              <w:tl2br w:val="nil"/>
              <w:tr2bl w:val="nil"/>
            </w:tcBorders>
            <w:tcMar>
              <w:left w:w="0" w:type="dxa"/>
              <w:right w:w="0" w:type="dxa"/>
            </w:tcMar>
            <w:vAlign w:val="center"/>
          </w:tcPr>
          <w:p w14:paraId="0B11406E">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4470" w:type="pct"/>
            <w:tcBorders>
              <w:tl2br w:val="nil"/>
              <w:tr2bl w:val="nil"/>
            </w:tcBorders>
            <w:tcMar>
              <w:left w:w="0" w:type="dxa"/>
              <w:right w:w="0" w:type="dxa"/>
            </w:tcMar>
            <w:vAlign w:val="center"/>
          </w:tcPr>
          <w:p w14:paraId="5F99A2DB">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污染防治设施运行管理制度</w:t>
            </w:r>
          </w:p>
        </w:tc>
      </w:tr>
    </w:tbl>
    <w:p w14:paraId="789C9BAD">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表5-3</w:t>
      </w:r>
      <w:r>
        <w:rPr>
          <w:rFonts w:hint="default" w:ascii="Times New Roman" w:hAnsi="Times New Roman" w:eastAsia="宋体" w:cs="Times New Roman"/>
          <w:b/>
          <w:highlight w:val="none"/>
        </w:rPr>
        <w:t>环境风险防控重点岗位责任一览表</w:t>
      </w:r>
    </w:p>
    <w:tbl>
      <w:tblPr>
        <w:tblStyle w:val="37"/>
        <w:tblW w:w="911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3102"/>
        <w:gridCol w:w="1378"/>
        <w:gridCol w:w="1721"/>
        <w:gridCol w:w="2917"/>
      </w:tblGrid>
      <w:tr w14:paraId="16D1A8D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3102" w:type="dxa"/>
            <w:tcBorders>
              <w:tl2br w:val="nil"/>
              <w:tr2bl w:val="nil"/>
            </w:tcBorders>
            <w:vAlign w:val="center"/>
          </w:tcPr>
          <w:p w14:paraId="08F24B7F">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重点风险防控岗位名称</w:t>
            </w:r>
          </w:p>
        </w:tc>
        <w:tc>
          <w:tcPr>
            <w:tcW w:w="1378" w:type="dxa"/>
            <w:tcBorders>
              <w:tl2br w:val="nil"/>
              <w:tr2bl w:val="nil"/>
            </w:tcBorders>
            <w:vAlign w:val="center"/>
          </w:tcPr>
          <w:p w14:paraId="65359B7D">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负责部门</w:t>
            </w:r>
          </w:p>
        </w:tc>
        <w:tc>
          <w:tcPr>
            <w:tcW w:w="1721" w:type="dxa"/>
            <w:tcBorders>
              <w:tl2br w:val="nil"/>
              <w:tr2bl w:val="nil"/>
            </w:tcBorders>
            <w:vAlign w:val="center"/>
          </w:tcPr>
          <w:p w14:paraId="7FEDD65E">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highlight w:val="none"/>
              </w:rPr>
              <w:t>部门负责人</w:t>
            </w:r>
          </w:p>
        </w:tc>
        <w:tc>
          <w:tcPr>
            <w:tcW w:w="2917" w:type="dxa"/>
            <w:tcBorders>
              <w:tl2br w:val="nil"/>
              <w:tr2bl w:val="nil"/>
            </w:tcBorders>
            <w:vAlign w:val="center"/>
          </w:tcPr>
          <w:p w14:paraId="5A95CDEB">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管理要求</w:t>
            </w:r>
          </w:p>
        </w:tc>
      </w:tr>
      <w:tr w14:paraId="4C3671C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10084B55">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生产车间</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原料仓库</w:t>
            </w:r>
          </w:p>
        </w:tc>
        <w:tc>
          <w:tcPr>
            <w:tcW w:w="1378" w:type="dxa"/>
            <w:tcBorders>
              <w:tl2br w:val="nil"/>
              <w:tr2bl w:val="nil"/>
            </w:tcBorders>
            <w:vAlign w:val="center"/>
          </w:tcPr>
          <w:p w14:paraId="71F67B5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3EDA2F6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yellow"/>
                <w:lang w:val="en-US" w:eastAsia="zh-CN" w:bidi="zh-CN"/>
              </w:rPr>
            </w:pPr>
            <w:r>
              <w:rPr>
                <w:rFonts w:hint="eastAsia" w:eastAsia="宋体" w:cs="Times New Roman"/>
                <w:b w:val="0"/>
                <w:bCs w:val="0"/>
                <w:color w:val="000000"/>
                <w:sz w:val="21"/>
                <w:szCs w:val="21"/>
                <w:lang w:val="en-US" w:eastAsia="zh-CN"/>
              </w:rPr>
              <w:t>沈建</w:t>
            </w:r>
          </w:p>
        </w:tc>
        <w:tc>
          <w:tcPr>
            <w:tcW w:w="2917" w:type="dxa"/>
            <w:vMerge w:val="restart"/>
            <w:tcBorders>
              <w:tl2br w:val="nil"/>
              <w:tr2bl w:val="nil"/>
            </w:tcBorders>
            <w:vAlign w:val="center"/>
          </w:tcPr>
          <w:p w14:paraId="44FDE405">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按要求进行操作和定期维护保养，定期对安全设施进行检查并记录，确保有效实施</w:t>
            </w:r>
          </w:p>
        </w:tc>
      </w:tr>
      <w:tr w14:paraId="59B1F69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5068B946">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危废仓库</w:t>
            </w:r>
          </w:p>
        </w:tc>
        <w:tc>
          <w:tcPr>
            <w:tcW w:w="1378" w:type="dxa"/>
            <w:tcBorders>
              <w:tl2br w:val="nil"/>
              <w:tr2bl w:val="nil"/>
            </w:tcBorders>
            <w:vAlign w:val="center"/>
          </w:tcPr>
          <w:p w14:paraId="2E44063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2E505D3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yellow"/>
                <w:lang w:val="en-US" w:eastAsia="zh-CN" w:bidi="zh-CN"/>
              </w:rPr>
            </w:pPr>
            <w:r>
              <w:rPr>
                <w:rFonts w:hint="eastAsia" w:eastAsia="宋体" w:cs="Times New Roman"/>
                <w:b w:val="0"/>
                <w:bCs w:val="0"/>
                <w:color w:val="000000"/>
                <w:sz w:val="21"/>
                <w:szCs w:val="21"/>
                <w:lang w:val="en-US" w:eastAsia="zh-CN"/>
              </w:rPr>
              <w:t>沈建</w:t>
            </w:r>
          </w:p>
        </w:tc>
        <w:tc>
          <w:tcPr>
            <w:tcW w:w="2917" w:type="dxa"/>
            <w:vMerge w:val="continue"/>
            <w:tcBorders>
              <w:tl2br w:val="nil"/>
              <w:tr2bl w:val="nil"/>
            </w:tcBorders>
            <w:vAlign w:val="center"/>
          </w:tcPr>
          <w:p w14:paraId="0143988E">
            <w:pPr>
              <w:widowControl/>
              <w:adjustRightInd w:val="0"/>
              <w:snapToGrid w:val="0"/>
              <w:jc w:val="center"/>
              <w:rPr>
                <w:rFonts w:ascii="宋体" w:hAnsi="宋体" w:eastAsia="宋体" w:cs="宋体"/>
                <w:kern w:val="0"/>
                <w:sz w:val="21"/>
                <w:szCs w:val="21"/>
              </w:rPr>
            </w:pPr>
          </w:p>
        </w:tc>
      </w:tr>
      <w:tr w14:paraId="227BFA9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1E738838">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废</w:t>
            </w:r>
            <w:r>
              <w:rPr>
                <w:rFonts w:hint="eastAsia" w:ascii="宋体" w:hAnsi="宋体" w:eastAsia="宋体" w:cs="宋体"/>
                <w:kern w:val="0"/>
                <w:sz w:val="21"/>
                <w:szCs w:val="21"/>
                <w:lang w:val="en-US" w:eastAsia="zh-CN"/>
              </w:rPr>
              <w:t>气处理设施</w:t>
            </w:r>
          </w:p>
        </w:tc>
        <w:tc>
          <w:tcPr>
            <w:tcW w:w="1378" w:type="dxa"/>
            <w:tcBorders>
              <w:tl2br w:val="nil"/>
              <w:tr2bl w:val="nil"/>
            </w:tcBorders>
            <w:vAlign w:val="center"/>
          </w:tcPr>
          <w:p w14:paraId="3884D21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6C56D0B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eastAsia="宋体" w:cs="Times New Roman"/>
                <w:b w:val="0"/>
                <w:bCs w:val="0"/>
                <w:color w:val="000000"/>
                <w:sz w:val="21"/>
                <w:szCs w:val="21"/>
                <w:lang w:val="en-US" w:eastAsia="zh-CN"/>
              </w:rPr>
              <w:t>沈建</w:t>
            </w:r>
          </w:p>
        </w:tc>
        <w:tc>
          <w:tcPr>
            <w:tcW w:w="2917" w:type="dxa"/>
            <w:vMerge w:val="continue"/>
            <w:tcBorders>
              <w:tl2br w:val="nil"/>
              <w:tr2bl w:val="nil"/>
            </w:tcBorders>
            <w:vAlign w:val="center"/>
          </w:tcPr>
          <w:p w14:paraId="6E4DAAD2">
            <w:pPr>
              <w:widowControl/>
              <w:adjustRightInd w:val="0"/>
              <w:snapToGrid w:val="0"/>
              <w:jc w:val="center"/>
              <w:rPr>
                <w:rFonts w:ascii="宋体" w:hAnsi="宋体" w:eastAsia="宋体" w:cs="宋体"/>
                <w:kern w:val="0"/>
                <w:sz w:val="21"/>
                <w:szCs w:val="21"/>
              </w:rPr>
            </w:pPr>
          </w:p>
        </w:tc>
      </w:tr>
      <w:tr w14:paraId="6424E16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38BD678D">
            <w:pPr>
              <w:widowControl/>
              <w:adjustRightInd w:val="0"/>
              <w:snapToGrid w:val="0"/>
              <w:jc w:val="center"/>
              <w:rPr>
                <w:rFonts w:hint="default" w:ascii="宋体" w:hAnsi="宋体" w:eastAsia="宋体" w:cs="宋体"/>
                <w:kern w:val="0"/>
                <w:sz w:val="21"/>
                <w:szCs w:val="21"/>
                <w:lang w:val="en-US" w:eastAsia="zh-CN"/>
              </w:rPr>
            </w:pPr>
            <w:bookmarkStart w:id="204" w:name="_Toc402776218"/>
            <w:bookmarkStart w:id="205" w:name="_Toc496887136"/>
            <w:bookmarkStart w:id="206" w:name="_Toc4920"/>
            <w:bookmarkStart w:id="207" w:name="_Toc510092964"/>
            <w:r>
              <w:rPr>
                <w:rFonts w:hint="eastAsia" w:ascii="宋体" w:hAnsi="宋体" w:eastAsia="宋体" w:cs="宋体"/>
                <w:kern w:val="0"/>
                <w:sz w:val="21"/>
                <w:szCs w:val="21"/>
                <w:lang w:val="en-US" w:eastAsia="zh-CN"/>
              </w:rPr>
              <w:t>污水处理设施</w:t>
            </w:r>
          </w:p>
        </w:tc>
        <w:tc>
          <w:tcPr>
            <w:tcW w:w="1378" w:type="dxa"/>
            <w:tcBorders>
              <w:tl2br w:val="nil"/>
              <w:tr2bl w:val="nil"/>
            </w:tcBorders>
            <w:vAlign w:val="center"/>
          </w:tcPr>
          <w:p w14:paraId="6244710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3121CA5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eastAsia="宋体" w:cs="Times New Roman"/>
                <w:b w:val="0"/>
                <w:bCs w:val="0"/>
                <w:color w:val="000000"/>
                <w:sz w:val="21"/>
                <w:szCs w:val="21"/>
                <w:lang w:val="en-US" w:eastAsia="zh-CN"/>
              </w:rPr>
              <w:t>沈建</w:t>
            </w:r>
          </w:p>
        </w:tc>
        <w:tc>
          <w:tcPr>
            <w:tcW w:w="2917" w:type="dxa"/>
            <w:vMerge w:val="continue"/>
            <w:tcBorders>
              <w:tl2br w:val="nil"/>
              <w:tr2bl w:val="nil"/>
            </w:tcBorders>
            <w:vAlign w:val="center"/>
          </w:tcPr>
          <w:p w14:paraId="49F295CD">
            <w:pPr>
              <w:widowControl/>
              <w:adjustRightInd w:val="0"/>
              <w:snapToGrid w:val="0"/>
              <w:jc w:val="center"/>
              <w:rPr>
                <w:rFonts w:ascii="宋体" w:hAnsi="宋体" w:eastAsia="宋体" w:cs="宋体"/>
                <w:kern w:val="0"/>
                <w:sz w:val="21"/>
                <w:szCs w:val="21"/>
              </w:rPr>
            </w:pPr>
          </w:p>
        </w:tc>
      </w:tr>
      <w:tr w14:paraId="6827948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3772FB21">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雨水排口</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应急池</w:t>
            </w:r>
          </w:p>
        </w:tc>
        <w:tc>
          <w:tcPr>
            <w:tcW w:w="1378" w:type="dxa"/>
            <w:tcBorders>
              <w:tl2br w:val="nil"/>
              <w:tr2bl w:val="nil"/>
            </w:tcBorders>
            <w:vAlign w:val="center"/>
          </w:tcPr>
          <w:p w14:paraId="1F8F81E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none"/>
                <w:lang w:val="en-US" w:eastAsia="zh-CN" w:bidi="zh-CN"/>
              </w:rPr>
            </w:pPr>
            <w:r>
              <w:rPr>
                <w:rFonts w:hint="eastAsia" w:ascii="宋体" w:hAnsi="宋体" w:eastAsia="宋体" w:cs="宋体"/>
                <w:color w:val="auto"/>
                <w:sz w:val="21"/>
                <w:szCs w:val="21"/>
                <w:lang w:val="en-US" w:eastAsia="zh-CN"/>
              </w:rPr>
              <w:t>租赁厂区</w:t>
            </w:r>
          </w:p>
        </w:tc>
        <w:tc>
          <w:tcPr>
            <w:tcW w:w="1721" w:type="dxa"/>
            <w:tcBorders>
              <w:tl2br w:val="nil"/>
              <w:tr2bl w:val="nil"/>
            </w:tcBorders>
            <w:vAlign w:val="center"/>
          </w:tcPr>
          <w:p w14:paraId="63BCD7C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auto"/>
                <w:sz w:val="21"/>
                <w:szCs w:val="21"/>
                <w:lang w:val="en-US" w:eastAsia="zh-CN"/>
              </w:rPr>
            </w:pPr>
            <w:r>
              <w:rPr>
                <w:rFonts w:hint="eastAsia" w:eastAsia="宋体" w:cs="Times New Roman"/>
                <w:b w:val="0"/>
                <w:bCs w:val="0"/>
                <w:color w:val="000000"/>
                <w:sz w:val="21"/>
                <w:szCs w:val="21"/>
                <w:lang w:val="en-US" w:eastAsia="zh-CN"/>
              </w:rPr>
              <w:t>沈建</w:t>
            </w:r>
          </w:p>
        </w:tc>
        <w:tc>
          <w:tcPr>
            <w:tcW w:w="2917" w:type="dxa"/>
            <w:vMerge w:val="continue"/>
            <w:tcBorders>
              <w:tl2br w:val="nil"/>
              <w:tr2bl w:val="nil"/>
            </w:tcBorders>
            <w:vAlign w:val="center"/>
          </w:tcPr>
          <w:p w14:paraId="24AB650D">
            <w:pPr>
              <w:widowControl/>
              <w:adjustRightInd w:val="0"/>
              <w:snapToGrid w:val="0"/>
              <w:jc w:val="center"/>
              <w:rPr>
                <w:rFonts w:ascii="宋体" w:hAnsi="宋体" w:eastAsia="宋体" w:cs="宋体"/>
                <w:kern w:val="0"/>
                <w:sz w:val="21"/>
                <w:szCs w:val="21"/>
              </w:rPr>
            </w:pPr>
          </w:p>
        </w:tc>
      </w:tr>
    </w:tbl>
    <w:p w14:paraId="61042EDC">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08" w:name="_Toc24558"/>
      <w:bookmarkStart w:id="209" w:name="_Toc10025"/>
      <w:r>
        <w:rPr>
          <w:rFonts w:hint="eastAsia" w:ascii="Times New Roman" w:hAnsi="Times New Roman" w:eastAsia="宋体" w:cs="Times New Roman"/>
          <w:color w:val="000000" w:themeColor="text1"/>
          <w:sz w:val="24"/>
          <w:szCs w:val="24"/>
          <w14:textFill>
            <w14:solidFill>
              <w14:schemeClr w14:val="tx1"/>
            </w14:solidFill>
          </w14:textFill>
        </w:rPr>
        <w:t>5.2环境风险防控与应急措施</w:t>
      </w:r>
      <w:bookmarkEnd w:id="204"/>
      <w:bookmarkEnd w:id="205"/>
      <w:bookmarkEnd w:id="206"/>
      <w:bookmarkEnd w:id="207"/>
      <w:bookmarkEnd w:id="208"/>
      <w:bookmarkEnd w:id="209"/>
    </w:p>
    <w:p w14:paraId="16564A5C">
      <w:pPr>
        <w:adjustRightInd w:val="0"/>
        <w:snapToGrid w:val="0"/>
        <w:spacing w:line="500" w:lineRule="exact"/>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企业环境风险防范与应急措施情况见表5-4。</w:t>
      </w:r>
    </w:p>
    <w:p w14:paraId="6B360771">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表5-4环境风险防控与应急措施差距分析对比表</w:t>
      </w:r>
    </w:p>
    <w:tbl>
      <w:tblPr>
        <w:tblStyle w:val="37"/>
        <w:tblW w:w="501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70"/>
        <w:gridCol w:w="4096"/>
        <w:gridCol w:w="2427"/>
        <w:gridCol w:w="2094"/>
      </w:tblGrid>
      <w:tr w14:paraId="54F40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4" w:hRule="atLeast"/>
          <w:tblHeader/>
        </w:trPr>
        <w:tc>
          <w:tcPr>
            <w:tcW w:w="259" w:type="pct"/>
            <w:tcBorders>
              <w:tl2br w:val="nil"/>
              <w:tr2bl w:val="nil"/>
            </w:tcBorders>
            <w:vAlign w:val="center"/>
          </w:tcPr>
          <w:p w14:paraId="61FB073B">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253" w:type="pct"/>
            <w:tcBorders>
              <w:tl2br w:val="nil"/>
              <w:tr2bl w:val="nil"/>
            </w:tcBorders>
            <w:vAlign w:val="center"/>
          </w:tcPr>
          <w:p w14:paraId="74F50127">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环境风险防控与应急措施要求</w:t>
            </w:r>
          </w:p>
        </w:tc>
        <w:tc>
          <w:tcPr>
            <w:tcW w:w="1335" w:type="pct"/>
            <w:tcBorders>
              <w:tl2br w:val="nil"/>
              <w:tr2bl w:val="nil"/>
            </w:tcBorders>
            <w:vAlign w:val="center"/>
          </w:tcPr>
          <w:p w14:paraId="20F6298C">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企业现状</w:t>
            </w:r>
          </w:p>
        </w:tc>
        <w:tc>
          <w:tcPr>
            <w:tcW w:w="1152" w:type="pct"/>
            <w:tcBorders>
              <w:tl2br w:val="nil"/>
              <w:tr2bl w:val="nil"/>
            </w:tcBorders>
            <w:vAlign w:val="center"/>
          </w:tcPr>
          <w:p w14:paraId="123A8848">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差距分析情况</w:t>
            </w:r>
          </w:p>
        </w:tc>
      </w:tr>
      <w:tr w14:paraId="643AA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39" w:hRule="atLeast"/>
        </w:trPr>
        <w:tc>
          <w:tcPr>
            <w:tcW w:w="259" w:type="pct"/>
            <w:tcBorders>
              <w:tl2br w:val="nil"/>
              <w:tr2bl w:val="nil"/>
            </w:tcBorders>
            <w:vAlign w:val="center"/>
          </w:tcPr>
          <w:p w14:paraId="1991EB0A">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3" w:type="pct"/>
            <w:tcBorders>
              <w:tl2br w:val="nil"/>
              <w:tr2bl w:val="nil"/>
            </w:tcBorders>
            <w:vAlign w:val="center"/>
          </w:tcPr>
          <w:p w14:paraId="18DC241E">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是否在废气排放口、废水、雨水和清洁下水排放口对可能排出的环境风险物质，按照物质特性、危害，设置监视、控制措施，分析每项措施的管理规定、岗位职责落实情况和措施的有效性。</w:t>
            </w:r>
          </w:p>
        </w:tc>
        <w:tc>
          <w:tcPr>
            <w:tcW w:w="1335" w:type="pct"/>
            <w:tcBorders>
              <w:tl2br w:val="nil"/>
              <w:tr2bl w:val="nil"/>
            </w:tcBorders>
            <w:vAlign w:val="center"/>
          </w:tcPr>
          <w:p w14:paraId="3C33E026">
            <w:pPr>
              <w:adjustRightInd w:val="0"/>
              <w:snapToGrid w:val="0"/>
              <w:spacing w:line="32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公司废气</w:t>
            </w:r>
            <w:r>
              <w:rPr>
                <w:rFonts w:hint="default" w:ascii="Times New Roman" w:hAnsi="Times New Roman" w:eastAsia="宋体" w:cs="Times New Roman"/>
                <w:sz w:val="21"/>
                <w:szCs w:val="21"/>
              </w:rPr>
              <w:t>排放口</w:t>
            </w:r>
            <w:r>
              <w:rPr>
                <w:rFonts w:hint="default" w:ascii="Times New Roman" w:hAnsi="Times New Roman" w:eastAsia="宋体" w:cs="Times New Roman"/>
                <w:sz w:val="21"/>
                <w:szCs w:val="21"/>
                <w:lang w:val="en-US" w:eastAsia="zh-CN"/>
              </w:rPr>
              <w:t>设置采样孔，虽已</w:t>
            </w:r>
            <w:r>
              <w:rPr>
                <w:rFonts w:hint="default" w:ascii="Times New Roman" w:hAnsi="Times New Roman" w:eastAsia="宋体" w:cs="Times New Roman"/>
                <w:sz w:val="21"/>
                <w:szCs w:val="21"/>
              </w:rPr>
              <w:t>配备专人负责巡回检查废气处理装置的运转情况，</w:t>
            </w:r>
            <w:r>
              <w:rPr>
                <w:rFonts w:hint="default" w:ascii="Times New Roman" w:hAnsi="Times New Roman" w:eastAsia="宋体" w:cs="Times New Roman"/>
                <w:sz w:val="21"/>
                <w:szCs w:val="21"/>
                <w:lang w:val="en-US" w:eastAsia="zh-CN"/>
              </w:rPr>
              <w:t>但无监督核查机制，无法确保责任人是否履职</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公司实行“雨污分流”制，雨水收集后经厂区雨水管网排入市政雨水管网。</w:t>
            </w:r>
          </w:p>
        </w:tc>
        <w:tc>
          <w:tcPr>
            <w:tcW w:w="1152" w:type="pct"/>
            <w:tcBorders>
              <w:tl2br w:val="nil"/>
              <w:tr2bl w:val="nil"/>
            </w:tcBorders>
            <w:vAlign w:val="center"/>
          </w:tcPr>
          <w:p w14:paraId="44C203B3">
            <w:pPr>
              <w:adjustRightInd w:val="0"/>
              <w:snapToGrid w:val="0"/>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配备专人巡查，并由</w:t>
            </w:r>
            <w:r>
              <w:rPr>
                <w:rFonts w:hint="eastAsia" w:eastAsia="宋体" w:cs="Times New Roman"/>
                <w:sz w:val="21"/>
                <w:szCs w:val="21"/>
                <w:lang w:val="en-US" w:eastAsia="zh-CN"/>
              </w:rPr>
              <w:t>安环</w:t>
            </w:r>
            <w:r>
              <w:rPr>
                <w:rFonts w:hint="default" w:ascii="Times New Roman" w:hAnsi="Times New Roman" w:eastAsia="宋体" w:cs="Times New Roman"/>
                <w:sz w:val="21"/>
                <w:szCs w:val="21"/>
                <w:lang w:val="en-US" w:eastAsia="zh-CN"/>
              </w:rPr>
              <w:t>部门进行监督检查。</w:t>
            </w:r>
          </w:p>
        </w:tc>
      </w:tr>
      <w:tr w14:paraId="793C1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60" w:hRule="atLeast"/>
        </w:trPr>
        <w:tc>
          <w:tcPr>
            <w:tcW w:w="259" w:type="pct"/>
            <w:tcBorders>
              <w:tl2br w:val="nil"/>
              <w:tr2bl w:val="nil"/>
            </w:tcBorders>
            <w:vAlign w:val="center"/>
          </w:tcPr>
          <w:p w14:paraId="329465FA">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253" w:type="pct"/>
            <w:tcBorders>
              <w:tl2br w:val="nil"/>
              <w:tr2bl w:val="nil"/>
            </w:tcBorders>
            <w:vAlign w:val="center"/>
          </w:tcPr>
          <w:p w14:paraId="23D660E1">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采取防止事故排水、污染物等扩散、排出厂界的措施，包括截流措施、事故排水收集措施、清净下水系统防控措施、雨水系统防控措施、生产废水处理系统防控措施等，分析每项措施的管理规定、岗位职责落实情况和措施的有效性。</w:t>
            </w:r>
          </w:p>
        </w:tc>
        <w:tc>
          <w:tcPr>
            <w:tcW w:w="1335" w:type="pct"/>
            <w:tcBorders>
              <w:tl2br w:val="nil"/>
              <w:tr2bl w:val="nil"/>
            </w:tcBorders>
            <w:vAlign w:val="center"/>
          </w:tcPr>
          <w:p w14:paraId="42632A04">
            <w:pPr>
              <w:adjustRightInd w:val="0"/>
              <w:snapToGrid w:val="0"/>
              <w:spacing w:line="240" w:lineRule="auto"/>
              <w:rPr>
                <w:rFonts w:hint="default" w:ascii="Times New Roman" w:hAnsi="Times New Roman" w:eastAsia="宋体" w:cs="Times New Roman"/>
                <w:sz w:val="21"/>
                <w:szCs w:val="21"/>
              </w:rPr>
            </w:pP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危废仓库设置导流沟</w:t>
            </w:r>
            <w:r>
              <w:rPr>
                <w:rFonts w:hint="default" w:ascii="Times New Roman" w:hAnsi="Times New Roman" w:eastAsia="宋体" w:cs="Times New Roman"/>
                <w:sz w:val="21"/>
                <w:szCs w:val="21"/>
                <w:lang w:val="en-US" w:eastAsia="zh-CN"/>
              </w:rPr>
              <w:t>和收集槽</w:t>
            </w:r>
            <w:r>
              <w:rPr>
                <w:rFonts w:hint="default" w:ascii="Times New Roman" w:hAnsi="Times New Roman" w:eastAsia="宋体" w:cs="Times New Roman"/>
                <w:sz w:val="21"/>
                <w:szCs w:val="21"/>
              </w:rPr>
              <w:t>；</w:t>
            </w:r>
          </w:p>
          <w:p w14:paraId="0583EFE5">
            <w:pPr>
              <w:adjustRightInd w:val="0"/>
              <w:snapToGrid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本公司消防尾水全部排入</w:t>
            </w:r>
            <w:r>
              <w:rPr>
                <w:rFonts w:hint="eastAsia" w:eastAsia="宋体" w:cs="Times New Roman"/>
                <w:sz w:val="21"/>
                <w:szCs w:val="21"/>
                <w:lang w:val="en-US" w:eastAsia="zh-CN"/>
              </w:rPr>
              <w:t>租赁厂区的</w:t>
            </w:r>
            <w:r>
              <w:rPr>
                <w:rFonts w:hint="default" w:ascii="Times New Roman" w:hAnsi="Times New Roman" w:eastAsia="宋体" w:cs="Times New Roman"/>
                <w:sz w:val="21"/>
                <w:szCs w:val="21"/>
              </w:rPr>
              <w:t>事故应急池</w:t>
            </w:r>
            <w:r>
              <w:rPr>
                <w:rFonts w:hint="default" w:ascii="Times New Roman" w:hAnsi="Times New Roman" w:eastAsia="宋体" w:cs="Times New Roman"/>
                <w:sz w:val="21"/>
                <w:szCs w:val="21"/>
                <w:highlight w:val="none"/>
                <w:lang w:eastAsia="zh-CN"/>
              </w:rPr>
              <w:t>（</w:t>
            </w:r>
            <w:r>
              <w:rPr>
                <w:rFonts w:hint="eastAsia" w:eastAsia="宋体" w:cs="Times New Roman"/>
                <w:sz w:val="21"/>
                <w:szCs w:val="21"/>
                <w:highlight w:val="none"/>
                <w:lang w:val="en-US" w:eastAsia="zh-CN"/>
              </w:rPr>
              <w:t>120m</w:t>
            </w:r>
            <w:r>
              <w:rPr>
                <w:rFonts w:hint="eastAsia" w:eastAsia="宋体" w:cs="Times New Roman"/>
                <w:sz w:val="21"/>
                <w:szCs w:val="21"/>
                <w:highlight w:val="none"/>
                <w:vertAlign w:val="superscript"/>
                <w:lang w:val="en-US" w:eastAsia="zh-CN"/>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rPr>
              <w:t>，</w:t>
            </w:r>
            <w:r>
              <w:rPr>
                <w:rFonts w:hint="eastAsia" w:eastAsia="宋体" w:cs="Times New Roman"/>
                <w:sz w:val="21"/>
                <w:szCs w:val="21"/>
                <w:lang w:val="en-US" w:eastAsia="zh-CN"/>
              </w:rPr>
              <w:t>应急事故</w:t>
            </w:r>
            <w:r>
              <w:rPr>
                <w:rFonts w:hint="default" w:ascii="Times New Roman" w:hAnsi="Times New Roman" w:eastAsia="宋体" w:cs="Times New Roman"/>
                <w:sz w:val="21"/>
                <w:szCs w:val="21"/>
              </w:rPr>
              <w:t>池位于</w:t>
            </w:r>
            <w:r>
              <w:rPr>
                <w:rFonts w:hint="eastAsia" w:eastAsia="宋体" w:cs="Times New Roman"/>
                <w:sz w:val="21"/>
                <w:szCs w:val="21"/>
                <w:lang w:val="en-US" w:eastAsia="zh-CN"/>
              </w:rPr>
              <w:t>雨</w:t>
            </w:r>
            <w:r>
              <w:rPr>
                <w:rFonts w:hint="default" w:ascii="Times New Roman" w:hAnsi="Times New Roman" w:eastAsia="宋体" w:cs="Times New Roman"/>
                <w:sz w:val="21"/>
                <w:szCs w:val="21"/>
              </w:rPr>
              <w:t>水收集管道的末端，能保证事故状态下顺利收集泄漏物，并已设置抽水设备</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可将泄漏物运送至污水处理厂处理</w:t>
            </w:r>
            <w:r>
              <w:rPr>
                <w:rFonts w:hint="default" w:ascii="Times New Roman" w:hAnsi="Times New Roman" w:eastAsia="宋体" w:cs="Times New Roman"/>
                <w:sz w:val="21"/>
                <w:szCs w:val="21"/>
              </w:rPr>
              <w:t>。</w:t>
            </w:r>
          </w:p>
        </w:tc>
        <w:tc>
          <w:tcPr>
            <w:tcW w:w="1152" w:type="pct"/>
            <w:tcBorders>
              <w:tl2br w:val="nil"/>
              <w:tr2bl w:val="nil"/>
            </w:tcBorders>
            <w:vAlign w:val="center"/>
          </w:tcPr>
          <w:p w14:paraId="2E8C0D17">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上述措施合理有效，但未能定岗定员，</w:t>
            </w:r>
            <w:r>
              <w:rPr>
                <w:rFonts w:hint="default" w:ascii="Times New Roman" w:hAnsi="Times New Roman" w:eastAsia="宋体" w:cs="Times New Roman"/>
                <w:sz w:val="21"/>
                <w:szCs w:val="21"/>
                <w:lang w:val="en-US" w:eastAsia="zh-CN"/>
              </w:rPr>
              <w:t>需</w:t>
            </w:r>
            <w:r>
              <w:rPr>
                <w:rFonts w:hint="default" w:ascii="Times New Roman" w:hAnsi="Times New Roman" w:eastAsia="宋体" w:cs="Times New Roman"/>
                <w:sz w:val="21"/>
                <w:szCs w:val="21"/>
              </w:rPr>
              <w:t>安排专门人员并严格执行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方可</w:t>
            </w:r>
            <w:r>
              <w:rPr>
                <w:rFonts w:hint="default" w:ascii="Times New Roman" w:hAnsi="Times New Roman" w:eastAsia="宋体" w:cs="Times New Roman"/>
                <w:sz w:val="21"/>
                <w:szCs w:val="21"/>
              </w:rPr>
              <w:t>有效控制事故排放。</w:t>
            </w:r>
          </w:p>
        </w:tc>
      </w:tr>
      <w:tr w14:paraId="749A5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39" w:hRule="atLeast"/>
        </w:trPr>
        <w:tc>
          <w:tcPr>
            <w:tcW w:w="259" w:type="pct"/>
            <w:tcBorders>
              <w:tl2br w:val="nil"/>
              <w:tr2bl w:val="nil"/>
            </w:tcBorders>
            <w:vAlign w:val="center"/>
          </w:tcPr>
          <w:p w14:paraId="71496AF4">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253" w:type="pct"/>
            <w:tcBorders>
              <w:tl2br w:val="nil"/>
              <w:tr2bl w:val="nil"/>
            </w:tcBorders>
            <w:vAlign w:val="center"/>
          </w:tcPr>
          <w:p w14:paraId="1169375E">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t>涉及毒性气体的，是否设置毒性气体泄漏紧急处置装置，是否已布置生产区域或厂界毒性气体泄漏监控预警系统，是否有提醒周边公众紧急疏散的措施和手段等，分析每项措施的管理规定、岗位责任落实情况和措施的有效性</w:t>
            </w:r>
          </w:p>
        </w:tc>
        <w:tc>
          <w:tcPr>
            <w:tcW w:w="1335" w:type="pct"/>
            <w:tcBorders>
              <w:tl2br w:val="nil"/>
              <w:tr2bl w:val="nil"/>
            </w:tcBorders>
            <w:vAlign w:val="center"/>
          </w:tcPr>
          <w:p w14:paraId="73E8621B">
            <w:pPr>
              <w:adjustRightInd w:val="0"/>
              <w:snapToGrid w:val="0"/>
              <w:spacing w:line="32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不涉及</w:t>
            </w:r>
          </w:p>
        </w:tc>
        <w:tc>
          <w:tcPr>
            <w:tcW w:w="1152" w:type="pct"/>
            <w:tcBorders>
              <w:tl2br w:val="nil"/>
              <w:tr2bl w:val="nil"/>
            </w:tcBorders>
            <w:vAlign w:val="center"/>
          </w:tcPr>
          <w:p w14:paraId="276BE2DC">
            <w:pPr>
              <w:adjustRightInd w:val="0"/>
              <w:snapToGrid w:val="0"/>
              <w:spacing w:line="32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不涉及</w:t>
            </w:r>
          </w:p>
        </w:tc>
      </w:tr>
    </w:tbl>
    <w:p w14:paraId="0ED65692">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10" w:name="_Toc16479"/>
      <w:bookmarkStart w:id="211" w:name="_Toc14196"/>
      <w:bookmarkStart w:id="212" w:name="_Toc24990"/>
      <w:r>
        <w:rPr>
          <w:rFonts w:hint="eastAsia" w:ascii="Times New Roman" w:hAnsi="Times New Roman" w:eastAsia="宋体" w:cs="Times New Roman"/>
          <w:color w:val="000000" w:themeColor="text1"/>
          <w:sz w:val="24"/>
          <w:szCs w:val="24"/>
          <w14:textFill>
            <w14:solidFill>
              <w14:schemeClr w14:val="tx1"/>
            </w14:solidFill>
          </w14:textFill>
        </w:rPr>
        <w:t>5.3环境应急资源</w:t>
      </w:r>
      <w:bookmarkEnd w:id="210"/>
      <w:bookmarkEnd w:id="211"/>
      <w:bookmarkEnd w:id="212"/>
    </w:p>
    <w:p w14:paraId="27CF859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Cs w:val="28"/>
          <w14:textFill>
            <w14:solidFill>
              <w14:schemeClr w14:val="tx1"/>
            </w14:solidFill>
          </w14:textFill>
        </w:rPr>
      </w:pPr>
      <w:r>
        <w:rPr>
          <w:rFonts w:hint="default" w:ascii="Times New Roman" w:hAnsi="Times New Roman" w:eastAsia="宋体" w:cs="Times New Roman"/>
          <w:color w:val="000000" w:themeColor="text1"/>
          <w:szCs w:val="28"/>
          <w14:textFill>
            <w14:solidFill>
              <w14:schemeClr w14:val="tx1"/>
            </w14:solidFill>
          </w14:textFill>
        </w:rPr>
        <w:t>公司环境应急资源见表5-5。</w:t>
      </w:r>
    </w:p>
    <w:p w14:paraId="3762FC39">
      <w:pPr>
        <w:adjustRightInd w:val="0"/>
        <w:snapToGrid w:val="0"/>
        <w:spacing w:line="480" w:lineRule="exact"/>
        <w:jc w:val="center"/>
        <w:rPr>
          <w:rFonts w:hint="default" w:ascii="Times New Roman" w:hAnsi="Times New Roman" w:eastAsia="宋体" w:cs="Times New Roman"/>
          <w:b/>
        </w:rPr>
      </w:pPr>
      <w:r>
        <w:rPr>
          <w:rFonts w:hint="default" w:ascii="Times New Roman" w:hAnsi="Times New Roman" w:eastAsia="宋体" w:cs="Times New Roman"/>
          <w:b/>
        </w:rPr>
        <w:t>表5-5公司环境应急资源情况</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5"/>
        <w:gridCol w:w="3416"/>
        <w:gridCol w:w="3697"/>
        <w:gridCol w:w="1518"/>
      </w:tblGrid>
      <w:tr w14:paraId="033AA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44A18A5E">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886" w:type="pct"/>
            <w:tcBorders>
              <w:tl2br w:val="nil"/>
              <w:tr2bl w:val="nil"/>
            </w:tcBorders>
            <w:vAlign w:val="center"/>
          </w:tcPr>
          <w:p w14:paraId="0411EA40">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环境应急资源</w:t>
            </w:r>
          </w:p>
        </w:tc>
        <w:tc>
          <w:tcPr>
            <w:tcW w:w="2041" w:type="pct"/>
            <w:tcBorders>
              <w:tl2br w:val="nil"/>
              <w:tr2bl w:val="nil"/>
            </w:tcBorders>
            <w:vAlign w:val="center"/>
          </w:tcPr>
          <w:p w14:paraId="3DB52120">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企业现状</w:t>
            </w:r>
          </w:p>
        </w:tc>
        <w:tc>
          <w:tcPr>
            <w:tcW w:w="838" w:type="pct"/>
            <w:tcBorders>
              <w:tl2br w:val="nil"/>
              <w:tr2bl w:val="nil"/>
            </w:tcBorders>
            <w:vAlign w:val="center"/>
          </w:tcPr>
          <w:p w14:paraId="7951352A">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差距分析情况</w:t>
            </w:r>
          </w:p>
        </w:tc>
      </w:tr>
      <w:tr w14:paraId="77E12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3953B2F8">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886" w:type="pct"/>
            <w:tcBorders>
              <w:tl2br w:val="nil"/>
              <w:tr2bl w:val="nil"/>
            </w:tcBorders>
            <w:vAlign w:val="center"/>
          </w:tcPr>
          <w:p w14:paraId="3538D503">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是否配备必要的应急物资和应急装备（包括应急监测）</w:t>
            </w:r>
          </w:p>
        </w:tc>
        <w:tc>
          <w:tcPr>
            <w:tcW w:w="2041" w:type="pct"/>
            <w:tcBorders>
              <w:tl2br w:val="nil"/>
              <w:tr2bl w:val="nil"/>
            </w:tcBorders>
            <w:vAlign w:val="center"/>
          </w:tcPr>
          <w:p w14:paraId="74E6097C">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已配备大部分的应急物资和应急装备</w:t>
            </w:r>
            <w:r>
              <w:rPr>
                <w:rFonts w:hint="eastAsia" w:eastAsia="宋体" w:cs="Times New Roman"/>
                <w:sz w:val="21"/>
                <w:szCs w:val="21"/>
                <w:lang w:eastAsia="zh-CN"/>
              </w:rPr>
              <w:t>，</w:t>
            </w:r>
            <w:r>
              <w:rPr>
                <w:rFonts w:hint="default" w:ascii="Times New Roman" w:hAnsi="Times New Roman" w:eastAsia="宋体" w:cs="Times New Roman"/>
                <w:sz w:val="21"/>
                <w:szCs w:val="21"/>
                <w:lang w:val="en-US" w:eastAsia="zh-CN"/>
              </w:rPr>
              <w:t>应急监测委托专业的监测队伍进行</w:t>
            </w:r>
          </w:p>
        </w:tc>
        <w:tc>
          <w:tcPr>
            <w:tcW w:w="838" w:type="pct"/>
            <w:tcBorders>
              <w:tl2br w:val="nil"/>
              <w:tr2bl w:val="nil"/>
            </w:tcBorders>
            <w:vAlign w:val="center"/>
          </w:tcPr>
          <w:p w14:paraId="643240B6">
            <w:pPr>
              <w:tabs>
                <w:tab w:val="left" w:pos="432"/>
              </w:tabs>
              <w:adjustRightInd w:val="0"/>
              <w:snapToGrid w:val="0"/>
              <w:jc w:val="center"/>
              <w:rPr>
                <w:rFonts w:hint="eastAsia" w:ascii="Times New Roman" w:hAnsi="Times New Roman" w:eastAsia="宋体" w:cs="Times New Roman"/>
                <w:sz w:val="21"/>
                <w:szCs w:val="21"/>
                <w:lang w:eastAsia="zh-CN"/>
              </w:rPr>
            </w:pPr>
            <w:r>
              <w:rPr>
                <w:rFonts w:hint="eastAsia" w:eastAsia="宋体" w:cs="Times New Roman"/>
                <w:sz w:val="21"/>
                <w:szCs w:val="21"/>
                <w:lang w:val="en-US" w:eastAsia="zh-CN"/>
              </w:rPr>
              <w:t>/</w:t>
            </w:r>
          </w:p>
        </w:tc>
      </w:tr>
      <w:tr w14:paraId="25CEE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085795A7">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886" w:type="pct"/>
            <w:tcBorders>
              <w:tl2br w:val="nil"/>
              <w:tr2bl w:val="nil"/>
            </w:tcBorders>
            <w:vAlign w:val="center"/>
          </w:tcPr>
          <w:p w14:paraId="7A78BBC7">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是否已设专职或兼职人员组成的应急救援队伍</w:t>
            </w:r>
          </w:p>
        </w:tc>
        <w:tc>
          <w:tcPr>
            <w:tcW w:w="2041" w:type="pct"/>
            <w:tcBorders>
              <w:tl2br w:val="nil"/>
              <w:tr2bl w:val="nil"/>
            </w:tcBorders>
            <w:vAlign w:val="center"/>
          </w:tcPr>
          <w:p w14:paraId="33135C7A">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已设置专门的应急救援队伍，由不同部门人员兼职。</w:t>
            </w:r>
          </w:p>
        </w:tc>
        <w:tc>
          <w:tcPr>
            <w:tcW w:w="838" w:type="pct"/>
            <w:tcBorders>
              <w:tl2br w:val="nil"/>
              <w:tr2bl w:val="nil"/>
            </w:tcBorders>
            <w:vAlign w:val="center"/>
          </w:tcPr>
          <w:p w14:paraId="5B9C20B1">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5A394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6801A4A6">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886" w:type="pct"/>
            <w:tcBorders>
              <w:tl2br w:val="nil"/>
              <w:tr2bl w:val="nil"/>
            </w:tcBorders>
            <w:vAlign w:val="center"/>
          </w:tcPr>
          <w:p w14:paraId="32517B94">
            <w:pPr>
              <w:tabs>
                <w:tab w:val="left" w:pos="432"/>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是否与其他组织或单位签订应急救援协议或互救协议（包括应急物资、应急装备和救援队伍等）</w:t>
            </w:r>
          </w:p>
        </w:tc>
        <w:tc>
          <w:tcPr>
            <w:tcW w:w="2041" w:type="pct"/>
            <w:tcBorders>
              <w:tl2br w:val="nil"/>
              <w:tr2bl w:val="nil"/>
            </w:tcBorders>
            <w:vAlign w:val="center"/>
          </w:tcPr>
          <w:p w14:paraId="4197B648">
            <w:pPr>
              <w:tabs>
                <w:tab w:val="left" w:pos="432"/>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与</w:t>
            </w:r>
            <w:r>
              <w:rPr>
                <w:rFonts w:hint="eastAsia" w:eastAsia="宋体" w:cs="Times New Roman"/>
                <w:color w:val="000000" w:themeColor="text1"/>
                <w:sz w:val="21"/>
                <w:szCs w:val="21"/>
                <w:highlight w:val="none"/>
                <w:lang w:val="en-US" w:eastAsia="zh-CN"/>
                <w14:textFill>
                  <w14:solidFill>
                    <w14:schemeClr w14:val="tx1"/>
                  </w14:solidFill>
                </w14:textFill>
              </w:rPr>
              <w:t>缘木居家具海安有限公司</w:t>
            </w:r>
            <w:r>
              <w:rPr>
                <w:rFonts w:hint="default" w:ascii="Times New Roman" w:hAnsi="Times New Roman" w:eastAsia="宋体" w:cs="Times New Roman"/>
                <w:color w:val="000000" w:themeColor="text1"/>
                <w:sz w:val="21"/>
                <w:szCs w:val="21"/>
                <w:highlight w:val="none"/>
                <w14:textFill>
                  <w14:solidFill>
                    <w14:schemeClr w14:val="tx1"/>
                  </w14:solidFill>
                </w14:textFill>
              </w:rPr>
              <w:t>签订互救协议。</w:t>
            </w:r>
          </w:p>
        </w:tc>
        <w:tc>
          <w:tcPr>
            <w:tcW w:w="838" w:type="pct"/>
            <w:tcBorders>
              <w:tl2br w:val="nil"/>
              <w:tr2bl w:val="nil"/>
            </w:tcBorders>
            <w:vAlign w:val="center"/>
          </w:tcPr>
          <w:p w14:paraId="24750685">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365443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40B41714">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886" w:type="pct"/>
            <w:tcBorders>
              <w:tl2br w:val="nil"/>
              <w:tr2bl w:val="nil"/>
            </w:tcBorders>
            <w:vAlign w:val="center"/>
          </w:tcPr>
          <w:p w14:paraId="4C6BA3E2">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是否签订突发环境事件应急监测协议</w:t>
            </w:r>
          </w:p>
        </w:tc>
        <w:tc>
          <w:tcPr>
            <w:tcW w:w="2041" w:type="pct"/>
            <w:tcBorders>
              <w:tl2br w:val="nil"/>
              <w:tr2bl w:val="nil"/>
            </w:tcBorders>
            <w:vAlign w:val="center"/>
          </w:tcPr>
          <w:p w14:paraId="562FC445">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w:t>
            </w:r>
            <w:r>
              <w:rPr>
                <w:rFonts w:hint="eastAsia" w:eastAsia="宋体" w:cs="Times New Roman"/>
                <w:sz w:val="21"/>
                <w:szCs w:val="21"/>
                <w:lang w:eastAsia="zh-CN"/>
              </w:rPr>
              <w:t>江苏裕和检测技术有限公司</w:t>
            </w:r>
            <w:r>
              <w:rPr>
                <w:rFonts w:hint="default" w:ascii="Times New Roman" w:hAnsi="Times New Roman" w:eastAsia="宋体" w:cs="Times New Roman"/>
                <w:sz w:val="21"/>
                <w:szCs w:val="21"/>
              </w:rPr>
              <w:t>签订应急监测协议。</w:t>
            </w:r>
          </w:p>
        </w:tc>
        <w:tc>
          <w:tcPr>
            <w:tcW w:w="838" w:type="pct"/>
            <w:tcBorders>
              <w:tl2br w:val="nil"/>
              <w:tr2bl w:val="nil"/>
            </w:tcBorders>
            <w:vAlign w:val="center"/>
          </w:tcPr>
          <w:p w14:paraId="6A6C0040">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bookmarkEnd w:id="202"/>
      <w:bookmarkEnd w:id="203"/>
    </w:tbl>
    <w:p w14:paraId="437E7143">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13" w:name="_Toc14351"/>
      <w:bookmarkStart w:id="214" w:name="_Toc496887138"/>
      <w:bookmarkStart w:id="215" w:name="_Toc7855"/>
      <w:bookmarkStart w:id="216" w:name="_Toc402776220"/>
      <w:bookmarkStart w:id="217" w:name="_Toc510092966"/>
      <w:bookmarkStart w:id="218" w:name="_Toc19935"/>
      <w:bookmarkStart w:id="219" w:name="_Toc402776225"/>
      <w:bookmarkStart w:id="220" w:name="_Toc353379551"/>
      <w:r>
        <w:rPr>
          <w:rFonts w:hint="eastAsia" w:ascii="Times New Roman" w:hAnsi="Times New Roman" w:eastAsia="宋体" w:cs="Times New Roman"/>
          <w:color w:val="000000" w:themeColor="text1"/>
          <w:sz w:val="24"/>
          <w:szCs w:val="24"/>
          <w14:textFill>
            <w14:solidFill>
              <w14:schemeClr w14:val="tx1"/>
            </w14:solidFill>
          </w14:textFill>
        </w:rPr>
        <w:t>5.4历史经验教训总结</w:t>
      </w:r>
      <w:bookmarkEnd w:id="213"/>
      <w:bookmarkEnd w:id="214"/>
      <w:bookmarkEnd w:id="215"/>
      <w:bookmarkEnd w:id="216"/>
      <w:bookmarkEnd w:id="217"/>
      <w:bookmarkEnd w:id="218"/>
    </w:p>
    <w:p w14:paraId="5D4E8B2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szCs w:val="28"/>
        </w:rPr>
      </w:pPr>
      <w:r>
        <w:rPr>
          <w:rFonts w:hint="eastAsia" w:ascii="宋体" w:hAnsi="宋体" w:eastAsia="宋体" w:cs="宋体"/>
          <w:color w:val="000000" w:themeColor="text1"/>
          <w:szCs w:val="28"/>
          <w14:textFill>
            <w14:solidFill>
              <w14:schemeClr w14:val="tx1"/>
            </w14:solidFill>
          </w14:textFill>
        </w:rPr>
        <w:t>公司应不断改进技术装</w:t>
      </w:r>
      <w:r>
        <w:rPr>
          <w:rFonts w:hint="eastAsia" w:ascii="宋体" w:hAnsi="宋体" w:eastAsia="宋体" w:cs="宋体"/>
          <w:szCs w:val="28"/>
        </w:rPr>
        <w:t>备，根据应急处置工作的需要，邀请行业专家和专业技术队伍对公司的各应急救援队伍进行培训，</w:t>
      </w:r>
      <w:r>
        <w:rPr>
          <w:rFonts w:hint="eastAsia" w:eastAsiaTheme="minorEastAsia"/>
          <w:color w:val="000000" w:themeColor="text1"/>
          <w:sz w:val="24"/>
          <w:szCs w:val="24"/>
          <w14:textFill>
            <w14:solidFill>
              <w14:schemeClr w14:val="tx1"/>
            </w14:solidFill>
          </w14:textFill>
        </w:rPr>
        <w:t>特别是生产一线操作人员的应急防护知识培训，大力提高从业人员的应急救援能力。在异常条件下能采取有效的应急救护措施，避免事故损失扩大。</w:t>
      </w:r>
      <w:r>
        <w:rPr>
          <w:rFonts w:hint="eastAsia" w:ascii="宋体" w:hAnsi="宋体" w:eastAsia="宋体" w:cs="宋体"/>
          <w:szCs w:val="28"/>
        </w:rPr>
        <w:t>加强与周边企业的应急联动，以便发生事故时可及时取得支持；收集同行业的各类突发环境事件案例，建立案例库，从中吸取经验教训。</w:t>
      </w:r>
    </w:p>
    <w:p w14:paraId="53B386A0">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21" w:name="_Toc496887139"/>
      <w:bookmarkStart w:id="222" w:name="_Toc510092967"/>
      <w:bookmarkStart w:id="223" w:name="_Toc402776221"/>
      <w:bookmarkStart w:id="224" w:name="_Toc23361"/>
      <w:bookmarkStart w:id="225" w:name="_Toc9941"/>
      <w:bookmarkStart w:id="226" w:name="_Toc29208"/>
      <w:r>
        <w:rPr>
          <w:rFonts w:hint="eastAsia" w:ascii="宋体" w:hAnsi="宋体" w:eastAsia="宋体" w:cs="宋体"/>
          <w:b w:val="0"/>
          <w:bCs w:val="0"/>
          <w:kern w:val="2"/>
          <w:sz w:val="24"/>
          <w:szCs w:val="28"/>
          <w:lang w:val="en-US" w:eastAsia="zh-CN" w:bidi="ar-SA"/>
        </w:rPr>
        <w:t>1、建立各项管理制度，责任制及操作规程。加强员工的思想、道德教育，提高员工的责任心和主观能动性：完善并严格遵守相关的操作规程，加强岗位培训，落实岗位责任制；加强现场监督、检查，杜绝“三违”现象，防止人为原因造成事故；加强设备管理，特别是对特种设备、压力管道加强检查。2、划定危险源监控区域，配备相关的监控设施，危险源区域设专人管理。对罐体、输送管道、管件、法兰等以及与之相关的设备进行重点安全监督，进行经常检查、定期检修，防止跑冒滴漏。3、所有特种设备均应定期进行检查、检测，对于老化、破损、超过使用寿命、强度达不到使用要求的设备、零件均应立即淘汰、更换。3、加强员工岗位操作技能及安全生产教育培训。4、锅炉区有监控设施，建立健全锅炉区管理制度及使用规章制度。5、在生产现场配备各种防尘11罩、防青面具、防护手套、护日镜、空气呼吸器、防护衣等个人防护用品，为作业人员提供符合国家规定的劳动防护用品，建立并完善劳保用品发放制度及台帐，并监督相关人员正确使用。6、在有环境危险因素的位置设有明显的警示标示牌，并列出危险特性及紧急情况时的处置办法，告知从业人员及相关人员在紧急情况下应采取的应急措施。</w:t>
      </w:r>
      <w:r>
        <w:rPr>
          <w:rFonts w:hint="eastAsia" w:ascii="Times New Roman" w:hAnsi="Times New Roman" w:eastAsia="宋体" w:cs="Times New Roman"/>
          <w:color w:val="000000" w:themeColor="text1"/>
          <w:sz w:val="24"/>
          <w:szCs w:val="24"/>
          <w14:textFill>
            <w14:solidFill>
              <w14:schemeClr w14:val="tx1"/>
            </w14:solidFill>
          </w14:textFill>
        </w:rPr>
        <w:t>5.5需要整改的短期、中期和长期项目内容</w:t>
      </w:r>
      <w:bookmarkEnd w:id="221"/>
      <w:bookmarkEnd w:id="222"/>
      <w:bookmarkEnd w:id="223"/>
      <w:bookmarkEnd w:id="224"/>
      <w:bookmarkEnd w:id="225"/>
      <w:bookmarkEnd w:id="226"/>
    </w:p>
    <w:p w14:paraId="5516DD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针对上述排查的每一项差距和隐患，根据其危害性、紧迫性和治理时间的长短，提出需要完成整改的期限，分别按短期（3个月以内）、中期（3-6个月）和长期（6个月以上）列表说明需要整改的项目内容，包括：整改涉及的环境风险单元、环境风险物质、目前存在的问题（环境风险管理制度、环境风险防控与应急措施、应急资源）、可能影响的环境风险受体等。</w:t>
      </w:r>
    </w:p>
    <w:p w14:paraId="72DB593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通过本次对公司的检查，发现公司存在的事故隐患及需要整改的内容见表5-6。</w:t>
      </w:r>
    </w:p>
    <w:p w14:paraId="4587F5E7">
      <w:pPr>
        <w:adjustRightInd w:val="0"/>
        <w:snapToGrid w:val="0"/>
        <w:spacing w:line="480" w:lineRule="exact"/>
        <w:jc w:val="center"/>
        <w:rPr>
          <w:rFonts w:hint="default" w:ascii="Times New Roman" w:hAnsi="Times New Roman" w:eastAsia="宋体" w:cs="Times New Roman"/>
          <w:b/>
        </w:rPr>
      </w:pPr>
      <w:r>
        <w:rPr>
          <w:rFonts w:hint="default" w:ascii="Times New Roman" w:hAnsi="Times New Roman" w:eastAsia="宋体" w:cs="Times New Roman"/>
          <w:b/>
        </w:rPr>
        <w:t>表5-6</w:t>
      </w:r>
      <w:r>
        <w:rPr>
          <w:rFonts w:hint="default" w:ascii="Times New Roman" w:hAnsi="Times New Roman" w:eastAsia="宋体" w:cs="Times New Roman"/>
          <w:b/>
          <w:highlight w:val="none"/>
        </w:rPr>
        <w:t>存在的事故隐患及需整改内容表</w:t>
      </w:r>
    </w:p>
    <w:tbl>
      <w:tblPr>
        <w:tblStyle w:val="37"/>
        <w:tblW w:w="51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autofit"/>
        <w:tblCellMar>
          <w:top w:w="0" w:type="dxa"/>
          <w:left w:w="0" w:type="dxa"/>
          <w:bottom w:w="0" w:type="dxa"/>
          <w:right w:w="0" w:type="dxa"/>
        </w:tblCellMar>
      </w:tblPr>
      <w:tblGrid>
        <w:gridCol w:w="679"/>
        <w:gridCol w:w="7695"/>
        <w:gridCol w:w="977"/>
      </w:tblGrid>
      <w:tr w14:paraId="2DDE49FF">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757" w:hRule="atLeast"/>
          <w:tblHeader/>
          <w:jc w:val="center"/>
        </w:trPr>
        <w:tc>
          <w:tcPr>
            <w:tcW w:w="363" w:type="pct"/>
            <w:tcBorders>
              <w:tl2br w:val="nil"/>
              <w:tr2bl w:val="nil"/>
            </w:tcBorders>
            <w:vAlign w:val="center"/>
          </w:tcPr>
          <w:p w14:paraId="01779DBE">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113" w:type="pct"/>
            <w:tcBorders>
              <w:tl2br w:val="nil"/>
              <w:tr2bl w:val="nil"/>
            </w:tcBorders>
            <w:vAlign w:val="center"/>
          </w:tcPr>
          <w:p w14:paraId="0BF7A9B7">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存在问题</w:t>
            </w:r>
          </w:p>
        </w:tc>
        <w:tc>
          <w:tcPr>
            <w:tcW w:w="522" w:type="pct"/>
            <w:tcBorders>
              <w:tl2br w:val="nil"/>
              <w:tr2bl w:val="nil"/>
            </w:tcBorders>
            <w:vAlign w:val="center"/>
          </w:tcPr>
          <w:p w14:paraId="1730A4F2">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整改期限</w:t>
            </w:r>
          </w:p>
        </w:tc>
      </w:tr>
      <w:tr w14:paraId="01086D8C">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6E0560DE">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w:t>
            </w:r>
          </w:p>
        </w:tc>
        <w:tc>
          <w:tcPr>
            <w:tcW w:w="4113" w:type="pct"/>
            <w:tcBorders>
              <w:tl2br w:val="nil"/>
              <w:tr2bl w:val="nil"/>
            </w:tcBorders>
            <w:vAlign w:val="center"/>
          </w:tcPr>
          <w:p w14:paraId="4A232242">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危废仓库无导流沟</w:t>
            </w:r>
          </w:p>
        </w:tc>
        <w:tc>
          <w:tcPr>
            <w:tcW w:w="522" w:type="pct"/>
            <w:tcBorders>
              <w:tl2br w:val="nil"/>
              <w:tr2bl w:val="nil"/>
            </w:tcBorders>
            <w:vAlign w:val="center"/>
          </w:tcPr>
          <w:p w14:paraId="156FEC78">
            <w:pPr>
              <w:tabs>
                <w:tab w:val="left" w:pos="432"/>
              </w:tabs>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短期</w:t>
            </w:r>
          </w:p>
        </w:tc>
      </w:tr>
      <w:tr w14:paraId="6227A6F0">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7BD69445">
            <w:pPr>
              <w:tabs>
                <w:tab w:val="left" w:pos="432"/>
              </w:tabs>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2</w:t>
            </w:r>
          </w:p>
        </w:tc>
        <w:tc>
          <w:tcPr>
            <w:tcW w:w="4113" w:type="pct"/>
            <w:tcBorders>
              <w:tl2br w:val="nil"/>
              <w:tr2bl w:val="nil"/>
            </w:tcBorders>
            <w:vAlign w:val="center"/>
          </w:tcPr>
          <w:p w14:paraId="774921B6">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风险单元巡查定岗定责，并确定监督检查机制</w:t>
            </w:r>
          </w:p>
        </w:tc>
        <w:tc>
          <w:tcPr>
            <w:tcW w:w="522" w:type="pct"/>
            <w:tcBorders>
              <w:tl2br w:val="nil"/>
              <w:tr2bl w:val="nil"/>
            </w:tcBorders>
            <w:vAlign w:val="center"/>
          </w:tcPr>
          <w:p w14:paraId="244AD1E2">
            <w:pPr>
              <w:tabs>
                <w:tab w:val="left" w:pos="432"/>
              </w:tabs>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短期</w:t>
            </w:r>
          </w:p>
        </w:tc>
      </w:tr>
      <w:tr w14:paraId="348CA0C9">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61D21570">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3</w:t>
            </w:r>
          </w:p>
        </w:tc>
        <w:tc>
          <w:tcPr>
            <w:tcW w:w="4113" w:type="pct"/>
            <w:tcBorders>
              <w:tl2br w:val="nil"/>
              <w:tr2bl w:val="nil"/>
            </w:tcBorders>
            <w:vAlign w:val="center"/>
          </w:tcPr>
          <w:p w14:paraId="05F817CB">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公司未开展应急法律法规的宣传工作，也</w:t>
            </w:r>
            <w:r>
              <w:rPr>
                <w:rFonts w:hint="default" w:ascii="Times New Roman" w:hAnsi="Times New Roman" w:eastAsia="宋体" w:cs="Times New Roman"/>
                <w:sz w:val="21"/>
                <w:szCs w:val="21"/>
                <w:lang w:val="en-US" w:eastAsia="zh-CN"/>
              </w:rPr>
              <w:t>未</w:t>
            </w:r>
            <w:r>
              <w:rPr>
                <w:rFonts w:hint="default" w:ascii="Times New Roman" w:hAnsi="Times New Roman" w:eastAsia="宋体" w:cs="Times New Roman"/>
                <w:sz w:val="21"/>
                <w:szCs w:val="21"/>
              </w:rPr>
              <w:t>对职工进行环境风险和环境应急管理方面“一案三制”的培训</w:t>
            </w:r>
          </w:p>
        </w:tc>
        <w:tc>
          <w:tcPr>
            <w:tcW w:w="522" w:type="pct"/>
            <w:tcBorders>
              <w:tl2br w:val="nil"/>
              <w:tr2bl w:val="nil"/>
            </w:tcBorders>
            <w:vAlign w:val="center"/>
          </w:tcPr>
          <w:p w14:paraId="7809C730">
            <w:pPr>
              <w:tabs>
                <w:tab w:val="left" w:pos="432"/>
              </w:tabs>
              <w:adjustRightInd w:val="0"/>
              <w:snapToGrid w:val="0"/>
              <w:jc w:val="center"/>
              <w:rPr>
                <w:rFonts w:hint="default" w:ascii="Times New Roman" w:hAnsi="Times New Roman" w:eastAsia="宋体" w:cs="Times New Roman"/>
                <w:sz w:val="21"/>
                <w:szCs w:val="21"/>
              </w:rPr>
            </w:pPr>
            <w:r>
              <w:rPr>
                <w:rFonts w:hint="eastAsia" w:eastAsia="宋体" w:cs="Times New Roman"/>
                <w:sz w:val="21"/>
                <w:szCs w:val="21"/>
                <w:lang w:val="en-US" w:eastAsia="zh-CN"/>
              </w:rPr>
              <w:t>中</w:t>
            </w:r>
            <w:r>
              <w:rPr>
                <w:rFonts w:hint="default" w:ascii="Times New Roman" w:hAnsi="Times New Roman" w:eastAsia="宋体" w:cs="Times New Roman"/>
                <w:sz w:val="21"/>
                <w:szCs w:val="21"/>
              </w:rPr>
              <w:t>期</w:t>
            </w:r>
          </w:p>
        </w:tc>
      </w:tr>
      <w:tr w14:paraId="71EF8E19">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411" w:hRule="atLeast"/>
          <w:jc w:val="center"/>
        </w:trPr>
        <w:tc>
          <w:tcPr>
            <w:tcW w:w="363" w:type="pct"/>
            <w:tcBorders>
              <w:tl2br w:val="nil"/>
              <w:tr2bl w:val="nil"/>
            </w:tcBorders>
            <w:vAlign w:val="center"/>
          </w:tcPr>
          <w:p w14:paraId="1CD1A7C9">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4</w:t>
            </w:r>
          </w:p>
        </w:tc>
        <w:tc>
          <w:tcPr>
            <w:tcW w:w="4113" w:type="pct"/>
            <w:tcBorders>
              <w:tl2br w:val="nil"/>
              <w:tr2bl w:val="nil"/>
            </w:tcBorders>
            <w:vAlign w:val="center"/>
          </w:tcPr>
          <w:p w14:paraId="419BEA98">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需要进行进一步的宣传工作，确保周边敏感目标对应急疏散的措施和手段有所了解</w:t>
            </w:r>
          </w:p>
        </w:tc>
        <w:tc>
          <w:tcPr>
            <w:tcW w:w="522" w:type="pct"/>
            <w:tcBorders>
              <w:tl2br w:val="nil"/>
              <w:tr2bl w:val="nil"/>
            </w:tcBorders>
            <w:vAlign w:val="center"/>
          </w:tcPr>
          <w:p w14:paraId="1BB2D4A2">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长期</w:t>
            </w:r>
          </w:p>
        </w:tc>
      </w:tr>
    </w:tbl>
    <w:p w14:paraId="16F4BFF9">
      <w:pPr>
        <w:tabs>
          <w:tab w:val="left" w:pos="296"/>
        </w:tabs>
        <w:adjustRightInd w:val="0"/>
        <w:spacing w:line="360" w:lineRule="auto"/>
        <w:outlineLvl w:val="0"/>
        <w:rPr>
          <w:rFonts w:ascii="宋体" w:hAnsi="宋体" w:eastAsia="宋体" w:cs="宋体"/>
          <w:b/>
        </w:rPr>
        <w:sectPr>
          <w:footerReference r:id="rId10"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bookmarkStart w:id="227" w:name="_Toc402776222"/>
    </w:p>
    <w:p w14:paraId="7CC3B6B8">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000000" w:themeColor="text1"/>
          <w:sz w:val="24"/>
          <w:szCs w:val="24"/>
          <w14:textFill>
            <w14:solidFill>
              <w14:schemeClr w14:val="tx1"/>
            </w14:solidFill>
          </w14:textFill>
        </w:rPr>
      </w:pPr>
      <w:bookmarkStart w:id="228" w:name="_Toc496887140"/>
      <w:bookmarkStart w:id="229" w:name="_Toc594"/>
      <w:bookmarkStart w:id="230" w:name="_Toc510092968"/>
      <w:bookmarkStart w:id="231" w:name="_Toc31696"/>
      <w:bookmarkStart w:id="232" w:name="_Toc21425"/>
      <w:r>
        <w:rPr>
          <w:rFonts w:hint="eastAsia" w:ascii="Times New Roman" w:hAnsi="Times New Roman" w:eastAsia="宋体" w:cs="Times New Roman"/>
          <w:color w:val="000000" w:themeColor="text1"/>
          <w:sz w:val="24"/>
          <w:szCs w:val="24"/>
          <w14:textFill>
            <w14:solidFill>
              <w14:schemeClr w14:val="tx1"/>
            </w14:solidFill>
          </w14:textFill>
        </w:rPr>
        <w:t>6完善环境风险防控和应急措施的实施计划</w:t>
      </w:r>
      <w:bookmarkEnd w:id="227"/>
      <w:bookmarkEnd w:id="228"/>
      <w:bookmarkEnd w:id="229"/>
      <w:bookmarkEnd w:id="230"/>
      <w:bookmarkEnd w:id="231"/>
      <w:bookmarkEnd w:id="232"/>
    </w:p>
    <w:p w14:paraId="26BE53EF">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33" w:name="_Toc17059"/>
      <w:bookmarkStart w:id="234" w:name="_Toc15485"/>
      <w:bookmarkStart w:id="235" w:name="_Toc510092969"/>
      <w:bookmarkStart w:id="236" w:name="_Toc30219"/>
      <w:r>
        <w:rPr>
          <w:rFonts w:hint="eastAsia" w:ascii="Times New Roman" w:hAnsi="Times New Roman" w:eastAsia="宋体" w:cs="Times New Roman"/>
          <w:color w:val="000000" w:themeColor="text1"/>
          <w:sz w:val="24"/>
          <w:szCs w:val="24"/>
          <w14:textFill>
            <w14:solidFill>
              <w14:schemeClr w14:val="tx1"/>
            </w14:solidFill>
          </w14:textFill>
        </w:rPr>
        <w:t>6.1短期整改内容及实施计划</w:t>
      </w:r>
      <w:bookmarkEnd w:id="233"/>
      <w:bookmarkEnd w:id="234"/>
      <w:bookmarkEnd w:id="235"/>
      <w:bookmarkEnd w:id="236"/>
    </w:p>
    <w:p w14:paraId="43E686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公司列入短期整改内容及实施计划见表6-1。</w:t>
      </w:r>
    </w:p>
    <w:p w14:paraId="4C8B1FDD">
      <w:pPr>
        <w:adjustRightInd w:val="0"/>
        <w:snapToGrid w:val="0"/>
        <w:spacing w:line="500" w:lineRule="exact"/>
        <w:ind w:firstLine="482" w:firstLineChars="200"/>
        <w:jc w:val="center"/>
        <w:rPr>
          <w:rFonts w:hint="default" w:ascii="Times New Roman" w:hAnsi="Times New Roman" w:eastAsia="宋体" w:cs="Times New Roman"/>
        </w:rPr>
      </w:pPr>
      <w:r>
        <w:rPr>
          <w:rFonts w:hint="default" w:ascii="Times New Roman" w:hAnsi="Times New Roman" w:eastAsia="宋体" w:cs="Times New Roman"/>
          <w:b/>
          <w:bCs/>
        </w:rPr>
        <w:t>表6-1短</w:t>
      </w:r>
      <w:r>
        <w:rPr>
          <w:rFonts w:hint="default" w:ascii="Times New Roman" w:hAnsi="Times New Roman" w:eastAsia="宋体" w:cs="Times New Roman"/>
          <w:b/>
          <w:bCs/>
          <w:highlight w:val="none"/>
        </w:rPr>
        <w:t>期整改内容</w:t>
      </w:r>
      <w:r>
        <w:rPr>
          <w:rFonts w:hint="default" w:ascii="Times New Roman" w:hAnsi="Times New Roman" w:eastAsia="宋体" w:cs="Times New Roman"/>
          <w:b/>
          <w:bCs/>
        </w:rPr>
        <w:t>及实施计划</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569"/>
        <w:gridCol w:w="2910"/>
        <w:gridCol w:w="3350"/>
        <w:gridCol w:w="1424"/>
        <w:gridCol w:w="803"/>
      </w:tblGrid>
      <w:tr w14:paraId="086C3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314" w:type="pct"/>
            <w:tcBorders>
              <w:tl2br w:val="nil"/>
              <w:tr2bl w:val="nil"/>
            </w:tcBorders>
            <w:vAlign w:val="center"/>
          </w:tcPr>
          <w:p w14:paraId="23B23D9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606" w:type="pct"/>
            <w:tcBorders>
              <w:tl2br w:val="nil"/>
              <w:tr2bl w:val="nil"/>
            </w:tcBorders>
            <w:vAlign w:val="center"/>
          </w:tcPr>
          <w:p w14:paraId="342213A2">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问题</w:t>
            </w:r>
          </w:p>
        </w:tc>
        <w:tc>
          <w:tcPr>
            <w:tcW w:w="1849" w:type="pct"/>
            <w:tcBorders>
              <w:tl2br w:val="nil"/>
              <w:tr2bl w:val="nil"/>
            </w:tcBorders>
            <w:vAlign w:val="center"/>
          </w:tcPr>
          <w:p w14:paraId="7393DBC9">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整改方案</w:t>
            </w:r>
          </w:p>
        </w:tc>
        <w:tc>
          <w:tcPr>
            <w:tcW w:w="786" w:type="pct"/>
            <w:tcBorders>
              <w:tl2br w:val="nil"/>
              <w:tr2bl w:val="nil"/>
            </w:tcBorders>
            <w:vAlign w:val="center"/>
          </w:tcPr>
          <w:p w14:paraId="2AD66043">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p>
        </w:tc>
        <w:tc>
          <w:tcPr>
            <w:tcW w:w="443" w:type="pct"/>
            <w:tcBorders>
              <w:tl2br w:val="nil"/>
              <w:tr2bl w:val="nil"/>
            </w:tcBorders>
            <w:vAlign w:val="center"/>
          </w:tcPr>
          <w:p w14:paraId="19FB53E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责任人</w:t>
            </w:r>
          </w:p>
        </w:tc>
      </w:tr>
      <w:tr w14:paraId="2678C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0278CBCD">
            <w:pPr>
              <w:adjustRightInd w:val="0"/>
              <w:snapToGrid w:val="0"/>
              <w:jc w:val="center"/>
              <w:rPr>
                <w:rFonts w:hint="default" w:eastAsia="宋体" w:cs="Times New Roman"/>
                <w:sz w:val="21"/>
                <w:szCs w:val="21"/>
                <w:lang w:val="en-US" w:eastAsia="zh-CN"/>
              </w:rPr>
            </w:pPr>
            <w:bookmarkStart w:id="237" w:name="_Toc402776224"/>
            <w:bookmarkStart w:id="238" w:name="_Toc24534"/>
            <w:bookmarkStart w:id="239" w:name="_Toc510092970"/>
            <w:r>
              <w:rPr>
                <w:rFonts w:hint="eastAsia" w:eastAsia="宋体" w:cs="Times New Roman"/>
                <w:sz w:val="21"/>
                <w:szCs w:val="21"/>
                <w:lang w:val="en-US" w:eastAsia="zh-CN"/>
              </w:rPr>
              <w:t>1</w:t>
            </w:r>
          </w:p>
        </w:tc>
        <w:tc>
          <w:tcPr>
            <w:tcW w:w="1606" w:type="pct"/>
            <w:tcBorders>
              <w:tl2br w:val="nil"/>
              <w:tr2bl w:val="nil"/>
            </w:tcBorders>
            <w:vAlign w:val="center"/>
          </w:tcPr>
          <w:p w14:paraId="6D05FFCE">
            <w:pPr>
              <w:tabs>
                <w:tab w:val="left" w:pos="432"/>
              </w:tabs>
              <w:adjustRightInd w:val="0"/>
              <w:snapToGrid w:val="0"/>
              <w:jc w:val="center"/>
              <w:rPr>
                <w:rFonts w:hint="eastAsia" w:eastAsia="宋体" w:cs="Times New Roman"/>
                <w:sz w:val="21"/>
                <w:szCs w:val="21"/>
                <w:lang w:val="en-US" w:eastAsia="zh-CN"/>
              </w:rPr>
            </w:pPr>
            <w:r>
              <w:rPr>
                <w:rFonts w:hint="eastAsia" w:eastAsia="宋体" w:cs="Times New Roman"/>
                <w:sz w:val="21"/>
                <w:szCs w:val="21"/>
                <w:lang w:val="en-US" w:eastAsia="zh-CN"/>
              </w:rPr>
              <w:t>危废仓库无导流沟</w:t>
            </w:r>
          </w:p>
        </w:tc>
        <w:tc>
          <w:tcPr>
            <w:tcW w:w="1849" w:type="pct"/>
            <w:tcBorders>
              <w:tl2br w:val="nil"/>
              <w:tr2bl w:val="nil"/>
            </w:tcBorders>
            <w:vAlign w:val="center"/>
          </w:tcPr>
          <w:p w14:paraId="50527E45">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危废仓库设置导流沟</w:t>
            </w:r>
          </w:p>
        </w:tc>
        <w:tc>
          <w:tcPr>
            <w:tcW w:w="786" w:type="pct"/>
            <w:tcBorders>
              <w:tl2br w:val="nil"/>
              <w:tr2bl w:val="nil"/>
            </w:tcBorders>
            <w:vAlign w:val="center"/>
          </w:tcPr>
          <w:p w14:paraId="6F90B8EF">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2025年7月</w:t>
            </w:r>
          </w:p>
        </w:tc>
        <w:tc>
          <w:tcPr>
            <w:tcW w:w="443" w:type="pct"/>
            <w:tcBorders>
              <w:tl2br w:val="nil"/>
              <w:tr2bl w:val="nil"/>
            </w:tcBorders>
            <w:vAlign w:val="center"/>
          </w:tcPr>
          <w:p w14:paraId="47A9E326">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b w:val="0"/>
                <w:bCs w:val="0"/>
                <w:color w:val="000000"/>
                <w:sz w:val="21"/>
                <w:szCs w:val="21"/>
                <w:highlight w:val="none"/>
                <w:lang w:val="en-US" w:eastAsia="zh-CN"/>
              </w:rPr>
              <w:t>田保昌</w:t>
            </w:r>
          </w:p>
        </w:tc>
      </w:tr>
      <w:tr w14:paraId="43184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79EFEFD2">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2</w:t>
            </w:r>
          </w:p>
        </w:tc>
        <w:tc>
          <w:tcPr>
            <w:tcW w:w="1606" w:type="pct"/>
            <w:tcBorders>
              <w:tl2br w:val="nil"/>
              <w:tr2bl w:val="nil"/>
            </w:tcBorders>
            <w:vAlign w:val="center"/>
          </w:tcPr>
          <w:p w14:paraId="0D08D1E1">
            <w:pPr>
              <w:tabs>
                <w:tab w:val="left" w:pos="432"/>
              </w:tabs>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风险单元巡查定岗定责，并确定监督检查机制</w:t>
            </w:r>
          </w:p>
        </w:tc>
        <w:tc>
          <w:tcPr>
            <w:tcW w:w="1849" w:type="pct"/>
            <w:tcBorders>
              <w:tl2br w:val="nil"/>
              <w:tr2bl w:val="nil"/>
            </w:tcBorders>
            <w:vAlign w:val="center"/>
          </w:tcPr>
          <w:p w14:paraId="768271A0">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编制监督检查制度并落实至责任人</w:t>
            </w:r>
          </w:p>
        </w:tc>
        <w:tc>
          <w:tcPr>
            <w:tcW w:w="786" w:type="pct"/>
            <w:tcBorders>
              <w:tl2br w:val="nil"/>
              <w:tr2bl w:val="nil"/>
            </w:tcBorders>
            <w:vAlign w:val="center"/>
          </w:tcPr>
          <w:p w14:paraId="1E266724">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2025年7月</w:t>
            </w:r>
          </w:p>
        </w:tc>
        <w:tc>
          <w:tcPr>
            <w:tcW w:w="443" w:type="pct"/>
            <w:tcBorders>
              <w:tl2br w:val="nil"/>
              <w:tr2bl w:val="nil"/>
            </w:tcBorders>
            <w:vAlign w:val="center"/>
          </w:tcPr>
          <w:p w14:paraId="299ADA8A">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b w:val="0"/>
                <w:bCs w:val="0"/>
                <w:color w:val="000000"/>
                <w:sz w:val="21"/>
                <w:szCs w:val="21"/>
                <w:highlight w:val="none"/>
                <w:lang w:val="en-US" w:eastAsia="zh-CN"/>
              </w:rPr>
              <w:t>田保昌</w:t>
            </w:r>
          </w:p>
        </w:tc>
      </w:tr>
    </w:tbl>
    <w:p w14:paraId="182A3876">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40" w:name="_Toc28359"/>
      <w:bookmarkStart w:id="241" w:name="_Toc25535"/>
      <w:r>
        <w:rPr>
          <w:rFonts w:hint="eastAsia" w:ascii="Times New Roman" w:hAnsi="Times New Roman" w:eastAsia="宋体" w:cs="Times New Roman"/>
          <w:color w:val="000000" w:themeColor="text1"/>
          <w:sz w:val="24"/>
          <w:szCs w:val="24"/>
          <w14:textFill>
            <w14:solidFill>
              <w14:schemeClr w14:val="tx1"/>
            </w14:solidFill>
          </w14:textFill>
        </w:rPr>
        <w:t>6.2中、长期整改内容及实施计划</w:t>
      </w:r>
      <w:bookmarkEnd w:id="237"/>
      <w:bookmarkEnd w:id="238"/>
      <w:bookmarkEnd w:id="239"/>
      <w:bookmarkEnd w:id="240"/>
      <w:bookmarkEnd w:id="241"/>
    </w:p>
    <w:p w14:paraId="455E7B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公司列入中、长期整改内容及实施计划见表6-2。</w:t>
      </w:r>
    </w:p>
    <w:p w14:paraId="578CF89B">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表6-2中、长期整改内容及实施计划</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756"/>
        <w:gridCol w:w="2479"/>
        <w:gridCol w:w="3247"/>
        <w:gridCol w:w="1540"/>
        <w:gridCol w:w="1034"/>
      </w:tblGrid>
      <w:tr w14:paraId="43030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417" w:type="pct"/>
            <w:tcBorders>
              <w:tl2br w:val="nil"/>
              <w:tr2bl w:val="nil"/>
            </w:tcBorders>
            <w:vAlign w:val="center"/>
          </w:tcPr>
          <w:p w14:paraId="7318FFE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368" w:type="pct"/>
            <w:tcBorders>
              <w:tl2br w:val="nil"/>
              <w:tr2bl w:val="nil"/>
            </w:tcBorders>
            <w:vAlign w:val="center"/>
          </w:tcPr>
          <w:p w14:paraId="701E07FC">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问题</w:t>
            </w:r>
          </w:p>
        </w:tc>
        <w:tc>
          <w:tcPr>
            <w:tcW w:w="1792" w:type="pct"/>
            <w:tcBorders>
              <w:tl2br w:val="nil"/>
              <w:tr2bl w:val="nil"/>
            </w:tcBorders>
            <w:vAlign w:val="center"/>
          </w:tcPr>
          <w:p w14:paraId="1782A3AF">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整改方案</w:t>
            </w:r>
          </w:p>
        </w:tc>
        <w:tc>
          <w:tcPr>
            <w:tcW w:w="850" w:type="pct"/>
            <w:tcBorders>
              <w:tl2br w:val="nil"/>
              <w:tr2bl w:val="nil"/>
            </w:tcBorders>
            <w:vAlign w:val="center"/>
          </w:tcPr>
          <w:p w14:paraId="09E18803">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p>
        </w:tc>
        <w:tc>
          <w:tcPr>
            <w:tcW w:w="570" w:type="pct"/>
            <w:tcBorders>
              <w:tl2br w:val="nil"/>
              <w:tr2bl w:val="nil"/>
            </w:tcBorders>
            <w:vAlign w:val="center"/>
          </w:tcPr>
          <w:p w14:paraId="4E57B847">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责任人</w:t>
            </w:r>
          </w:p>
        </w:tc>
      </w:tr>
      <w:tr w14:paraId="68FA1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4BFDA749">
            <w:pPr>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1</w:t>
            </w:r>
          </w:p>
        </w:tc>
        <w:tc>
          <w:tcPr>
            <w:tcW w:w="1368" w:type="pct"/>
            <w:tcBorders>
              <w:tl2br w:val="nil"/>
              <w:tr2bl w:val="nil"/>
            </w:tcBorders>
            <w:vAlign w:val="center"/>
          </w:tcPr>
          <w:p w14:paraId="4790677A">
            <w:pPr>
              <w:tabs>
                <w:tab w:val="left" w:pos="432"/>
              </w:tabs>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公司未开展应急法律法规的宣传工作，也</w:t>
            </w:r>
            <w:r>
              <w:rPr>
                <w:rFonts w:hint="default" w:ascii="Times New Roman" w:hAnsi="Times New Roman" w:eastAsia="宋体" w:cs="Times New Roman"/>
                <w:sz w:val="21"/>
                <w:szCs w:val="21"/>
                <w:highlight w:val="none"/>
                <w:lang w:val="en-US" w:eastAsia="zh-CN"/>
              </w:rPr>
              <w:t>未</w:t>
            </w:r>
            <w:r>
              <w:rPr>
                <w:rFonts w:hint="default" w:ascii="Times New Roman" w:hAnsi="Times New Roman" w:eastAsia="宋体" w:cs="Times New Roman"/>
                <w:sz w:val="21"/>
                <w:szCs w:val="21"/>
                <w:highlight w:val="none"/>
              </w:rPr>
              <w:t>对职工进行环境风险和环境应急管理方面“一案三制”的培训</w:t>
            </w:r>
          </w:p>
        </w:tc>
        <w:tc>
          <w:tcPr>
            <w:tcW w:w="1792" w:type="pct"/>
            <w:tcBorders>
              <w:tl2br w:val="nil"/>
              <w:tr2bl w:val="nil"/>
            </w:tcBorders>
            <w:vAlign w:val="center"/>
          </w:tcPr>
          <w:p w14:paraId="615DDAD4">
            <w:pPr>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对员工加强应急预案宣传和培训并组织演练</w:t>
            </w:r>
          </w:p>
        </w:tc>
        <w:tc>
          <w:tcPr>
            <w:tcW w:w="850" w:type="pct"/>
            <w:tcBorders>
              <w:tl2br w:val="nil"/>
              <w:tr2bl w:val="nil"/>
            </w:tcBorders>
            <w:vAlign w:val="center"/>
          </w:tcPr>
          <w:p w14:paraId="0DA38E8C">
            <w:pPr>
              <w:adjustRightInd w:val="0"/>
              <w:snapToGrid w:val="0"/>
              <w:jc w:val="center"/>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2025</w:t>
            </w:r>
            <w:r>
              <w:rPr>
                <w:rFonts w:hint="default" w:ascii="Times New Roman" w:hAnsi="Times New Roman" w:eastAsia="宋体" w:cs="Times New Roman"/>
                <w:sz w:val="21"/>
                <w:szCs w:val="21"/>
                <w:highlight w:val="none"/>
                <w:lang w:val="en-US" w:eastAsia="zh-CN"/>
              </w:rPr>
              <w:t>年</w:t>
            </w:r>
            <w:r>
              <w:rPr>
                <w:rFonts w:hint="eastAsia" w:eastAsia="宋体" w:cs="Times New Roman"/>
                <w:sz w:val="21"/>
                <w:szCs w:val="21"/>
                <w:highlight w:val="none"/>
                <w:lang w:val="en-US" w:eastAsia="zh-CN"/>
              </w:rPr>
              <w:t>7</w:t>
            </w:r>
            <w:r>
              <w:rPr>
                <w:rFonts w:hint="default" w:ascii="Times New Roman" w:hAnsi="Times New Roman" w:eastAsia="宋体" w:cs="Times New Roman"/>
                <w:sz w:val="21"/>
                <w:szCs w:val="21"/>
                <w:highlight w:val="none"/>
                <w:lang w:val="en-US" w:eastAsia="zh-CN"/>
              </w:rPr>
              <w:t>月</w:t>
            </w:r>
          </w:p>
        </w:tc>
        <w:tc>
          <w:tcPr>
            <w:tcW w:w="570" w:type="pct"/>
            <w:tcBorders>
              <w:tl2br w:val="nil"/>
              <w:tr2bl w:val="nil"/>
            </w:tcBorders>
            <w:vAlign w:val="center"/>
          </w:tcPr>
          <w:p w14:paraId="454FE38A">
            <w:pPr>
              <w:adjustRightInd w:val="0"/>
              <w:snapToGrid w:val="0"/>
              <w:jc w:val="center"/>
              <w:rPr>
                <w:rFonts w:hint="default" w:ascii="Times New Roman" w:hAnsi="Times New Roman" w:eastAsia="宋体" w:cs="Times New Roman"/>
                <w:sz w:val="21"/>
                <w:szCs w:val="21"/>
                <w:highlight w:val="none"/>
                <w:lang w:val="en-US" w:eastAsia="zh-CN"/>
              </w:rPr>
            </w:pPr>
            <w:r>
              <w:rPr>
                <w:rFonts w:hint="eastAsia" w:eastAsia="宋体" w:cs="Times New Roman"/>
                <w:b w:val="0"/>
                <w:bCs w:val="0"/>
                <w:color w:val="000000"/>
                <w:sz w:val="21"/>
                <w:szCs w:val="21"/>
                <w:highlight w:val="none"/>
                <w:lang w:val="en-US" w:eastAsia="zh-CN"/>
              </w:rPr>
              <w:t>田保昌</w:t>
            </w:r>
          </w:p>
        </w:tc>
      </w:tr>
      <w:tr w14:paraId="5224B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276F81E6">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2</w:t>
            </w:r>
          </w:p>
        </w:tc>
        <w:tc>
          <w:tcPr>
            <w:tcW w:w="1368" w:type="pct"/>
            <w:tcBorders>
              <w:tl2br w:val="nil"/>
              <w:tr2bl w:val="nil"/>
            </w:tcBorders>
            <w:vAlign w:val="center"/>
          </w:tcPr>
          <w:p w14:paraId="6866AB09">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需要进行进一步的宣传工作，确保周边敏感目标对应急疏散的措施和手段有所了解</w:t>
            </w:r>
          </w:p>
        </w:tc>
        <w:tc>
          <w:tcPr>
            <w:tcW w:w="1792" w:type="pct"/>
            <w:tcBorders>
              <w:tl2br w:val="nil"/>
              <w:tr2bl w:val="nil"/>
            </w:tcBorders>
            <w:vAlign w:val="center"/>
          </w:tcPr>
          <w:p w14:paraId="7F22DA35">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加强宣传工作，可印制宣传手册分发至周边敏感目标</w:t>
            </w:r>
          </w:p>
        </w:tc>
        <w:tc>
          <w:tcPr>
            <w:tcW w:w="850" w:type="pct"/>
            <w:tcBorders>
              <w:tl2br w:val="nil"/>
              <w:tr2bl w:val="nil"/>
            </w:tcBorders>
            <w:vAlign w:val="center"/>
          </w:tcPr>
          <w:p w14:paraId="5764BAA1">
            <w:pPr>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2025</w:t>
            </w:r>
            <w:r>
              <w:rPr>
                <w:rFonts w:hint="default" w:ascii="Times New Roman" w:hAnsi="Times New Roman" w:eastAsia="宋体" w:cs="Times New Roman"/>
                <w:sz w:val="21"/>
                <w:szCs w:val="21"/>
                <w:highlight w:val="none"/>
                <w:lang w:val="en-US" w:eastAsia="zh-CN"/>
              </w:rPr>
              <w:t>年</w:t>
            </w:r>
            <w:r>
              <w:rPr>
                <w:rFonts w:hint="eastAsia" w:eastAsia="宋体" w:cs="Times New Roman"/>
                <w:sz w:val="21"/>
                <w:szCs w:val="21"/>
                <w:highlight w:val="none"/>
                <w:lang w:val="en-US" w:eastAsia="zh-CN"/>
              </w:rPr>
              <w:t>7</w:t>
            </w:r>
            <w:r>
              <w:rPr>
                <w:rFonts w:hint="default" w:ascii="Times New Roman" w:hAnsi="Times New Roman" w:eastAsia="宋体" w:cs="Times New Roman"/>
                <w:sz w:val="21"/>
                <w:szCs w:val="21"/>
                <w:highlight w:val="none"/>
                <w:lang w:val="en-US" w:eastAsia="zh-CN"/>
              </w:rPr>
              <w:t>月</w:t>
            </w:r>
          </w:p>
        </w:tc>
        <w:tc>
          <w:tcPr>
            <w:tcW w:w="570" w:type="pct"/>
            <w:tcBorders>
              <w:tl2br w:val="nil"/>
              <w:tr2bl w:val="nil"/>
            </w:tcBorders>
            <w:vAlign w:val="center"/>
          </w:tcPr>
          <w:p w14:paraId="0AEA721C">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b w:val="0"/>
                <w:bCs w:val="0"/>
                <w:color w:val="000000"/>
                <w:sz w:val="21"/>
                <w:szCs w:val="21"/>
                <w:highlight w:val="none"/>
                <w:lang w:val="en-US" w:eastAsia="zh-CN"/>
              </w:rPr>
              <w:t>田保昌</w:t>
            </w:r>
          </w:p>
        </w:tc>
      </w:tr>
    </w:tbl>
    <w:p w14:paraId="7A1EB40E">
      <w:pPr>
        <w:adjustRightInd w:val="0"/>
        <w:snapToGrid w:val="0"/>
        <w:spacing w:line="500" w:lineRule="exact"/>
        <w:ind w:firstLine="480" w:firstLineChars="200"/>
        <w:jc w:val="left"/>
        <w:rPr>
          <w:rFonts w:ascii="宋体" w:hAnsi="宋体" w:eastAsia="宋体" w:cs="宋体"/>
        </w:rPr>
      </w:pPr>
    </w:p>
    <w:p w14:paraId="65EE9415">
      <w:pPr>
        <w:tabs>
          <w:tab w:val="left" w:pos="296"/>
        </w:tabs>
        <w:adjustRightInd w:val="0"/>
        <w:spacing w:line="360" w:lineRule="auto"/>
        <w:outlineLvl w:val="0"/>
        <w:rPr>
          <w:rFonts w:ascii="宋体" w:hAnsi="宋体" w:eastAsia="宋体" w:cs="宋体"/>
          <w:b/>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p>
    <w:bookmarkEnd w:id="219"/>
    <w:bookmarkEnd w:id="220"/>
    <w:p w14:paraId="77FBBD26">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242" w:name="_Toc24013"/>
      <w:bookmarkStart w:id="243" w:name="_Toc535516085"/>
      <w:bookmarkStart w:id="244" w:name="_Toc12711"/>
      <w:bookmarkStart w:id="245" w:name="_Toc8571"/>
      <w:bookmarkStart w:id="246" w:name="_Toc353379552"/>
      <w:r>
        <w:rPr>
          <w:rFonts w:hint="eastAsia" w:ascii="Times New Roman" w:hAnsi="Times New Roman" w:eastAsia="宋体" w:cs="Times New Roman"/>
          <w:sz w:val="24"/>
          <w:szCs w:val="24"/>
        </w:rPr>
        <w:t>7企业突发环境事件风险等级</w:t>
      </w:r>
      <w:bookmarkEnd w:id="242"/>
      <w:bookmarkEnd w:id="243"/>
      <w:bookmarkEnd w:id="244"/>
      <w:bookmarkEnd w:id="245"/>
    </w:p>
    <w:p w14:paraId="3E685DCB">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47" w:name="_Toc31961"/>
      <w:bookmarkStart w:id="248" w:name="_Toc534722043"/>
      <w:bookmarkStart w:id="249" w:name="_Toc510102127"/>
      <w:bookmarkStart w:id="250" w:name="_Toc1190"/>
      <w:bookmarkStart w:id="251" w:name="_Toc535516086"/>
      <w:bookmarkStart w:id="252" w:name="_Toc8659"/>
      <w:bookmarkStart w:id="253" w:name="_Toc10459"/>
      <w:r>
        <w:rPr>
          <w:rFonts w:hint="eastAsia" w:ascii="Times New Roman" w:hAnsi="Times New Roman" w:eastAsia="宋体" w:cs="Times New Roman"/>
          <w:color w:val="000000" w:themeColor="text1"/>
          <w:sz w:val="24"/>
          <w:szCs w:val="24"/>
          <w14:textFill>
            <w14:solidFill>
              <w14:schemeClr w14:val="tx1"/>
            </w14:solidFill>
          </w14:textFill>
        </w:rPr>
        <w:t>7.1</w:t>
      </w:r>
      <w:bookmarkEnd w:id="247"/>
      <w:bookmarkEnd w:id="248"/>
      <w:bookmarkEnd w:id="249"/>
      <w:bookmarkEnd w:id="250"/>
      <w:bookmarkEnd w:id="251"/>
      <w:r>
        <w:rPr>
          <w:rFonts w:hint="eastAsia" w:ascii="Times New Roman" w:hAnsi="Times New Roman" w:eastAsia="宋体" w:cs="Times New Roman"/>
          <w:color w:val="000000" w:themeColor="text1"/>
          <w:sz w:val="24"/>
          <w:szCs w:val="24"/>
          <w14:textFill>
            <w14:solidFill>
              <w14:schemeClr w14:val="tx1"/>
            </w14:solidFill>
          </w14:textFill>
        </w:rPr>
        <w:t>企业突发大气环境事件风险等级</w:t>
      </w:r>
      <w:bookmarkEnd w:id="252"/>
      <w:bookmarkEnd w:id="253"/>
    </w:p>
    <w:p w14:paraId="75D6AA42">
      <w:pPr>
        <w:pStyle w:val="5"/>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254" w:name="_Toc3108"/>
      <w:bookmarkStart w:id="255" w:name="_Toc32695"/>
      <w:r>
        <w:rPr>
          <w:rFonts w:hint="eastAsia" w:ascii="Times New Roman" w:hAnsi="Times New Roman" w:eastAsia="宋体" w:cs="Times New Roman"/>
          <w:color w:val="000000" w:themeColor="text1"/>
          <w14:textFill>
            <w14:solidFill>
              <w14:schemeClr w14:val="tx1"/>
            </w14:solidFill>
          </w14:textFill>
        </w:rPr>
        <w:t>7.1.1</w:t>
      </w:r>
      <w:r>
        <w:rPr>
          <w:rFonts w:hint="eastAsia" w:ascii="Times New Roman" w:hAnsi="Times New Roman" w:eastAsia="宋体" w:cs="Times New Roman"/>
          <w:color w:val="000000" w:themeColor="text1"/>
          <w:lang w:val="en-US" w:eastAsia="zh-CN"/>
          <w14:textFill>
            <w14:solidFill>
              <w14:schemeClr w14:val="tx1"/>
            </w14:solidFill>
          </w14:textFill>
        </w:rPr>
        <w:t>涉气风险物质数量与临界值比值（Q）</w:t>
      </w:r>
      <w:bookmarkEnd w:id="254"/>
      <w:bookmarkEnd w:id="255"/>
    </w:p>
    <w:p w14:paraId="65397741">
      <w:pPr>
        <w:pStyle w:val="13"/>
        <w:spacing w:before="0" w:after="0" w:line="500" w:lineRule="exact"/>
        <w:ind w:left="0" w:right="0" w:firstLine="480" w:firstLineChars="200"/>
        <w:rPr>
          <w:rFonts w:hint="default" w:eastAsia="宋体"/>
        </w:rPr>
      </w:pPr>
      <w:r>
        <w:rPr>
          <w:rFonts w:hint="default" w:eastAsia="宋体"/>
        </w:rPr>
        <w:t>企业生产原料、成品、辅助生产物料、燃料、</w:t>
      </w:r>
      <w:r>
        <w:rPr>
          <w:rFonts w:hint="default" w:ascii="Times New Roman" w:hAnsi="Times New Roman" w:eastAsia="宋体"/>
        </w:rPr>
        <w:t>“</w:t>
      </w:r>
      <w:r>
        <w:rPr>
          <w:rFonts w:hint="default" w:eastAsia="宋体"/>
        </w:rPr>
        <w:t>三废</w:t>
      </w:r>
      <w:r>
        <w:rPr>
          <w:rFonts w:hint="default" w:ascii="Times New Roman" w:hAnsi="Times New Roman" w:eastAsia="宋体"/>
        </w:rPr>
        <w:t>”</w:t>
      </w:r>
      <w:r>
        <w:rPr>
          <w:rFonts w:hint="default" w:eastAsia="宋体"/>
        </w:rPr>
        <w:t>污染物等是否涉及大气</w:t>
      </w:r>
      <w:r>
        <w:rPr>
          <w:rFonts w:hint="default" w:eastAsia="宋体"/>
          <w:spacing w:val="-5"/>
        </w:rPr>
        <w:t>环境风险物质</w:t>
      </w:r>
      <w:r>
        <w:rPr>
          <w:rFonts w:hint="default" w:eastAsia="宋体"/>
        </w:rPr>
        <w:t>（</w:t>
      </w:r>
      <w:r>
        <w:rPr>
          <w:rFonts w:hint="default" w:eastAsia="宋体"/>
          <w:spacing w:val="-1"/>
        </w:rPr>
        <w:t>混合或稀释的风险物质按其组分比例折算成纯物质</w:t>
      </w:r>
      <w:r>
        <w:rPr>
          <w:rFonts w:hint="default" w:eastAsia="宋体"/>
          <w:spacing w:val="-31"/>
        </w:rPr>
        <w:t>）</w:t>
      </w:r>
      <w:r>
        <w:rPr>
          <w:rFonts w:hint="default" w:eastAsia="宋体"/>
          <w:spacing w:val="-8"/>
        </w:rPr>
        <w:t>，计算涉气</w:t>
      </w:r>
      <w:r>
        <w:rPr>
          <w:rFonts w:hint="default" w:eastAsia="宋体"/>
          <w:spacing w:val="-17"/>
        </w:rPr>
        <w:t>风险物质在厂界内的存在量</w:t>
      </w:r>
      <w:r>
        <w:rPr>
          <w:rFonts w:hint="default" w:eastAsia="宋体"/>
        </w:rPr>
        <w:t>（</w:t>
      </w:r>
      <w:r>
        <w:rPr>
          <w:rFonts w:hint="default" w:eastAsia="宋体"/>
          <w:spacing w:val="-10"/>
        </w:rPr>
        <w:t>如存在量呈动态变化，则按年度内最大存在量计算</w:t>
      </w:r>
      <w:r>
        <w:rPr>
          <w:rFonts w:hint="default" w:eastAsia="宋体"/>
          <w:spacing w:val="-16"/>
        </w:rPr>
        <w:t>）</w:t>
      </w:r>
      <w:r>
        <w:rPr>
          <w:rFonts w:hint="default" w:eastAsia="宋体"/>
          <w:spacing w:val="-3"/>
        </w:rPr>
        <w:t>与其在附录</w:t>
      </w:r>
      <w:r>
        <w:rPr>
          <w:rFonts w:hint="default" w:ascii="Times New Roman" w:hAnsi="Times New Roman" w:eastAsia="宋体"/>
        </w:rPr>
        <w:t>A</w:t>
      </w:r>
      <w:r>
        <w:rPr>
          <w:rFonts w:hint="default" w:eastAsia="宋体"/>
        </w:rPr>
        <w:t>中临界量的比值</w:t>
      </w:r>
      <w:r>
        <w:rPr>
          <w:rFonts w:hint="default" w:ascii="Times New Roman" w:hAnsi="Times New Roman" w:eastAsia="宋体"/>
        </w:rPr>
        <w:t>Q</w:t>
      </w:r>
      <w:r>
        <w:rPr>
          <w:rFonts w:hint="default" w:eastAsia="宋体"/>
        </w:rPr>
        <w:t>：</w:t>
      </w:r>
    </w:p>
    <w:p w14:paraId="5D69675D">
      <w:pPr>
        <w:pStyle w:val="13"/>
        <w:spacing w:before="0" w:after="0" w:line="500" w:lineRule="exact"/>
        <w:ind w:left="0" w:firstLine="480" w:firstLineChars="200"/>
        <w:rPr>
          <w:rFonts w:hint="default" w:eastAsia="宋体"/>
        </w:rPr>
      </w:pPr>
      <w:r>
        <w:rPr>
          <w:rFonts w:hint="default" w:ascii="Times New Roman" w:eastAsia="宋体"/>
        </w:rPr>
        <w:t>1</w:t>
      </w:r>
      <w:r>
        <w:rPr>
          <w:rFonts w:hint="default" w:eastAsia="宋体"/>
        </w:rPr>
        <w:t>、当企业只涉及一种化学物质时，该物质的总数量与其临界量比值，即为</w:t>
      </w:r>
      <w:r>
        <w:rPr>
          <w:rFonts w:hint="default" w:ascii="Times New Roman" w:eastAsia="宋体"/>
        </w:rPr>
        <w:t>Q</w:t>
      </w:r>
      <w:r>
        <w:rPr>
          <w:rFonts w:hint="default" w:eastAsia="宋体"/>
        </w:rPr>
        <w:t>。</w:t>
      </w:r>
    </w:p>
    <w:p w14:paraId="0E0587A8">
      <w:pPr>
        <w:pStyle w:val="13"/>
        <w:spacing w:before="0" w:after="0" w:line="500" w:lineRule="exact"/>
        <w:ind w:left="0" w:firstLine="480" w:firstLineChars="200"/>
        <w:rPr>
          <w:rFonts w:hint="default" w:eastAsia="宋体"/>
        </w:rPr>
      </w:pPr>
      <w:r>
        <w:rPr>
          <w:rFonts w:hint="default" w:ascii="Times New Roman" w:eastAsia="宋体"/>
        </w:rPr>
        <w:t>2</w:t>
      </w:r>
      <w:r>
        <w:rPr>
          <w:rFonts w:hint="default" w:eastAsia="宋体"/>
        </w:rPr>
        <w:t>、当企业存在多种化学物质时，则按式（</w:t>
      </w:r>
      <w:r>
        <w:rPr>
          <w:rFonts w:hint="default" w:ascii="Times New Roman" w:eastAsia="宋体"/>
        </w:rPr>
        <w:t>1</w:t>
      </w:r>
      <w:r>
        <w:rPr>
          <w:rFonts w:hint="default" w:eastAsia="宋体"/>
        </w:rPr>
        <w:t>）计算物质数量与其临界量比值（</w:t>
      </w:r>
      <w:r>
        <w:rPr>
          <w:rFonts w:hint="default" w:ascii="Times New Roman" w:eastAsia="宋体"/>
        </w:rPr>
        <w:t>Q</w:t>
      </w:r>
      <w:r>
        <w:rPr>
          <w:rFonts w:hint="default" w:eastAsia="宋体"/>
        </w:rPr>
        <w:t>）：</w:t>
      </w:r>
    </w:p>
    <w:p w14:paraId="321F61DA">
      <w:pPr>
        <w:pStyle w:val="13"/>
        <w:spacing w:before="0" w:after="0" w:line="500" w:lineRule="exact"/>
        <w:ind w:left="0" w:firstLine="480" w:firstLineChars="200"/>
        <w:rPr>
          <w:rFonts w:hint="default" w:eastAsia="宋体"/>
        </w:rPr>
      </w:pPr>
      <w:r>
        <w:rPr>
          <w:rFonts w:hint="eastAsia" w:ascii="宋体" w:hAnsi="宋体" w:eastAsia="宋体" w:cs="宋体"/>
        </w:rPr>
        <w:drawing>
          <wp:anchor distT="0" distB="0" distL="0" distR="0" simplePos="0" relativeHeight="251661312" behindDoc="0" locked="0" layoutInCell="1" allowOverlap="1">
            <wp:simplePos x="0" y="0"/>
            <wp:positionH relativeFrom="column">
              <wp:posOffset>1818640</wp:posOffset>
            </wp:positionH>
            <wp:positionV relativeFrom="paragraph">
              <wp:posOffset>165735</wp:posOffset>
            </wp:positionV>
            <wp:extent cx="2181225" cy="523875"/>
            <wp:effectExtent l="0" t="0" r="9525" b="9525"/>
            <wp:wrapTopAndBottom/>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noChangeArrowheads="1"/>
                    </pic:cNvPicPr>
                  </pic:nvPicPr>
                  <pic:blipFill>
                    <a:blip r:embed="rId22" cstate="print"/>
                    <a:srcRect/>
                    <a:stretch>
                      <a:fillRect/>
                    </a:stretch>
                  </pic:blipFill>
                  <pic:spPr>
                    <a:xfrm>
                      <a:off x="0" y="0"/>
                      <a:ext cx="2181225" cy="523875"/>
                    </a:xfrm>
                    <a:prstGeom prst="rect">
                      <a:avLst/>
                    </a:prstGeom>
                    <a:noFill/>
                    <a:ln w="9525">
                      <a:noFill/>
                      <a:miter lim="800000"/>
                      <a:headEnd/>
                      <a:tailEnd/>
                    </a:ln>
                  </pic:spPr>
                </pic:pic>
              </a:graphicData>
            </a:graphic>
          </wp:anchor>
        </w:drawing>
      </w:r>
      <w:r>
        <w:rPr>
          <w:rFonts w:hint="default" w:eastAsia="宋体"/>
        </w:rPr>
        <w:t>式中：</w:t>
      </w:r>
      <w:r>
        <w:rPr>
          <w:rFonts w:hint="default" w:ascii="Times New Roman" w:hAnsi="Times New Roman" w:eastAsia="宋体"/>
        </w:rPr>
        <w:t>w1</w:t>
      </w:r>
      <w:r>
        <w:rPr>
          <w:rFonts w:hint="default" w:eastAsia="宋体"/>
        </w:rPr>
        <w:t>，</w:t>
      </w:r>
      <w:r>
        <w:rPr>
          <w:rFonts w:hint="default" w:ascii="Times New Roman" w:hAnsi="Times New Roman" w:eastAsia="宋体"/>
        </w:rPr>
        <w:t>w2</w:t>
      </w:r>
      <w:r>
        <w:rPr>
          <w:rFonts w:hint="default" w:eastAsia="宋体"/>
        </w:rPr>
        <w:t>，</w:t>
      </w:r>
      <w:r>
        <w:rPr>
          <w:rFonts w:hint="default" w:ascii="Times New Roman" w:hAnsi="Times New Roman" w:eastAsia="宋体"/>
        </w:rPr>
        <w:t>……</w:t>
      </w:r>
      <w:r>
        <w:rPr>
          <w:rFonts w:hint="default" w:eastAsia="宋体"/>
        </w:rPr>
        <w:t>，</w:t>
      </w:r>
      <w:r>
        <w:rPr>
          <w:rFonts w:hint="default" w:ascii="Times New Roman" w:hAnsi="Times New Roman" w:eastAsia="宋体"/>
        </w:rPr>
        <w:t>wn—</w:t>
      </w:r>
      <w:r>
        <w:rPr>
          <w:rFonts w:hint="default" w:eastAsia="宋体"/>
        </w:rPr>
        <w:t>每种危险物质实际存在量（</w:t>
      </w:r>
      <w:r>
        <w:rPr>
          <w:rFonts w:hint="eastAsia" w:ascii="Times New Roman" w:hAnsi="Times New Roman" w:eastAsia="宋体" w:cs="Times New Roman"/>
          <w:lang w:val="en-US" w:eastAsia="zh-CN"/>
        </w:rPr>
        <w:t>t</w:t>
      </w:r>
      <w:r>
        <w:rPr>
          <w:rFonts w:hint="default" w:eastAsia="宋体"/>
        </w:rPr>
        <w:t>）；</w:t>
      </w:r>
    </w:p>
    <w:p w14:paraId="47BFF50E">
      <w:pPr>
        <w:pStyle w:val="13"/>
        <w:spacing w:before="0" w:after="0" w:line="500" w:lineRule="exact"/>
        <w:ind w:left="0" w:right="0" w:firstLine="480" w:firstLineChars="200"/>
        <w:rPr>
          <w:rFonts w:hint="default" w:eastAsia="宋体"/>
        </w:rPr>
      </w:pPr>
      <w:r>
        <w:rPr>
          <w:rFonts w:hint="default" w:ascii="Times New Roman" w:hAnsi="Times New Roman" w:eastAsia="宋体"/>
        </w:rPr>
        <w:t>W1</w:t>
      </w:r>
      <w:r>
        <w:rPr>
          <w:rFonts w:hint="default" w:eastAsia="宋体"/>
        </w:rPr>
        <w:t>，</w:t>
      </w:r>
      <w:r>
        <w:rPr>
          <w:rFonts w:hint="default" w:ascii="Times New Roman" w:hAnsi="Times New Roman" w:eastAsia="宋体"/>
        </w:rPr>
        <w:t>W</w:t>
      </w:r>
      <w:r>
        <w:rPr>
          <w:rFonts w:hint="eastAsia" w:eastAsia="宋体"/>
          <w:lang w:val="en-US" w:eastAsia="zh-CN"/>
        </w:rPr>
        <w:t>2</w:t>
      </w:r>
      <w:r>
        <w:rPr>
          <w:rFonts w:hint="default" w:eastAsia="宋体"/>
        </w:rPr>
        <w:t>，</w:t>
      </w:r>
      <w:r>
        <w:rPr>
          <w:rFonts w:hint="default" w:ascii="Times New Roman" w:hAnsi="Times New Roman" w:eastAsia="宋体"/>
        </w:rPr>
        <w:t>……</w:t>
      </w:r>
      <w:r>
        <w:rPr>
          <w:rFonts w:hint="default" w:eastAsia="宋体"/>
        </w:rPr>
        <w:t>，</w:t>
      </w:r>
      <w:r>
        <w:rPr>
          <w:rFonts w:hint="default" w:ascii="Times New Roman" w:hAnsi="Times New Roman" w:eastAsia="宋体"/>
        </w:rPr>
        <w:t>Wn—</w:t>
      </w:r>
      <w:r>
        <w:rPr>
          <w:rFonts w:hint="default" w:eastAsia="宋体"/>
        </w:rPr>
        <w:t>与各危险物质相对应的临界量（</w:t>
      </w:r>
      <w:r>
        <w:rPr>
          <w:rFonts w:hint="eastAsia" w:ascii="Times New Roman" w:hAnsi="Times New Roman" w:eastAsia="宋体" w:cs="Times New Roman"/>
          <w:lang w:eastAsia="zh-CN"/>
        </w:rPr>
        <w:t>t</w:t>
      </w:r>
      <w:r>
        <w:rPr>
          <w:rFonts w:hint="default" w:eastAsia="宋体"/>
        </w:rPr>
        <w:t>）</w:t>
      </w:r>
      <w:r>
        <w:rPr>
          <w:rFonts w:hint="default" w:eastAsia="宋体"/>
          <w:spacing w:val="-16"/>
        </w:rPr>
        <w:t>。</w:t>
      </w:r>
      <w:r>
        <w:rPr>
          <w:rFonts w:hint="default" w:eastAsia="宋体"/>
        </w:rPr>
        <w:t>按照数值大小，将</w:t>
      </w:r>
      <w:r>
        <w:rPr>
          <w:rFonts w:hint="default" w:ascii="Times New Roman" w:hAnsi="Times New Roman" w:eastAsia="宋体"/>
        </w:rPr>
        <w:t>Q</w:t>
      </w:r>
      <w:r>
        <w:rPr>
          <w:rFonts w:hint="default" w:eastAsia="宋体"/>
        </w:rPr>
        <w:t>划分为</w:t>
      </w:r>
      <w:r>
        <w:rPr>
          <w:rFonts w:hint="default" w:ascii="Times New Roman" w:hAnsi="Times New Roman" w:eastAsia="宋体"/>
        </w:rPr>
        <w:t>4</w:t>
      </w:r>
      <w:r>
        <w:rPr>
          <w:rFonts w:hint="default" w:eastAsia="宋体"/>
        </w:rPr>
        <w:t>个水平：</w:t>
      </w:r>
    </w:p>
    <w:p w14:paraId="3DA729C9">
      <w:pPr>
        <w:pStyle w:val="13"/>
        <w:spacing w:after="0" w:line="500" w:lineRule="exact"/>
        <w:ind w:left="0" w:firstLine="480" w:firstLineChars="200"/>
        <w:rPr>
          <w:rFonts w:hint="default" w:eastAsia="宋体"/>
        </w:rPr>
      </w:pPr>
      <w:r>
        <w:rPr>
          <w:rFonts w:hint="default" w:eastAsia="宋体"/>
        </w:rPr>
        <w:t>（</w:t>
      </w:r>
      <w:r>
        <w:rPr>
          <w:rFonts w:hint="default" w:ascii="Times New Roman" w:eastAsia="宋体"/>
        </w:rPr>
        <w:t>1</w:t>
      </w:r>
      <w:r>
        <w:rPr>
          <w:rFonts w:hint="default" w:eastAsia="宋体"/>
        </w:rPr>
        <w:t>）</w:t>
      </w:r>
      <w:r>
        <w:rPr>
          <w:rFonts w:hint="default" w:ascii="Times New Roman" w:eastAsia="宋体"/>
        </w:rPr>
        <w:t>Q</w:t>
      </w:r>
      <w:r>
        <w:rPr>
          <w:rFonts w:hint="default" w:eastAsia="宋体"/>
        </w:rPr>
        <w:t>＜</w:t>
      </w:r>
      <w:r>
        <w:rPr>
          <w:rFonts w:hint="default" w:ascii="Times New Roman" w:eastAsia="宋体"/>
        </w:rPr>
        <w:t>1</w:t>
      </w:r>
      <w:r>
        <w:rPr>
          <w:rFonts w:hint="default" w:eastAsia="宋体"/>
          <w:spacing w:val="-1"/>
        </w:rPr>
        <w:t>，以</w:t>
      </w:r>
      <w:r>
        <w:rPr>
          <w:rFonts w:hint="default" w:ascii="Times New Roman" w:eastAsia="宋体"/>
        </w:rPr>
        <w:t>Q0</w:t>
      </w:r>
      <w:r>
        <w:rPr>
          <w:rFonts w:hint="default" w:eastAsia="宋体"/>
        </w:rPr>
        <w:t>表示，企业直接评为一般环境风险等级；</w:t>
      </w:r>
    </w:p>
    <w:p w14:paraId="05BE79C8">
      <w:pPr>
        <w:pStyle w:val="13"/>
        <w:spacing w:before="0" w:after="0" w:line="500" w:lineRule="exact"/>
        <w:ind w:left="0" w:firstLine="480" w:firstLineChars="200"/>
        <w:rPr>
          <w:rFonts w:hint="default" w:eastAsia="宋体"/>
        </w:rPr>
      </w:pPr>
      <w:r>
        <w:rPr>
          <w:rFonts w:hint="default" w:eastAsia="宋体"/>
        </w:rPr>
        <w:t>（</w:t>
      </w:r>
      <w:r>
        <w:rPr>
          <w:rFonts w:hint="default" w:ascii="Times New Roman" w:hAnsi="Times New Roman" w:eastAsia="宋体"/>
        </w:rPr>
        <w:t>2</w:t>
      </w:r>
      <w:r>
        <w:rPr>
          <w:rFonts w:hint="default" w:eastAsia="宋体"/>
        </w:rPr>
        <w:t>）</w:t>
      </w:r>
      <w:r>
        <w:rPr>
          <w:rFonts w:hint="default" w:ascii="Times New Roman" w:hAnsi="Times New Roman" w:eastAsia="宋体"/>
        </w:rPr>
        <w:t>1≤Q</w:t>
      </w:r>
      <w:r>
        <w:rPr>
          <w:rFonts w:hint="default" w:eastAsia="宋体"/>
        </w:rPr>
        <w:t>＜</w:t>
      </w:r>
      <w:r>
        <w:rPr>
          <w:rFonts w:hint="default" w:ascii="Times New Roman" w:hAnsi="Times New Roman" w:eastAsia="宋体"/>
        </w:rPr>
        <w:t>10</w:t>
      </w:r>
      <w:r>
        <w:rPr>
          <w:rFonts w:hint="default" w:eastAsia="宋体"/>
          <w:spacing w:val="-1"/>
        </w:rPr>
        <w:t>，以</w:t>
      </w:r>
      <w:r>
        <w:rPr>
          <w:rFonts w:hint="default" w:ascii="Times New Roman" w:hAnsi="Times New Roman" w:eastAsia="宋体"/>
        </w:rPr>
        <w:t>Q1</w:t>
      </w:r>
      <w:r>
        <w:rPr>
          <w:rFonts w:hint="default" w:eastAsia="宋体"/>
        </w:rPr>
        <w:t>表示；</w:t>
      </w:r>
    </w:p>
    <w:p w14:paraId="2527802D">
      <w:pPr>
        <w:pStyle w:val="13"/>
        <w:spacing w:before="0" w:after="0" w:line="500" w:lineRule="exact"/>
        <w:ind w:left="0" w:firstLine="480" w:firstLineChars="200"/>
        <w:rPr>
          <w:rFonts w:hint="default" w:eastAsia="宋体"/>
        </w:rPr>
      </w:pPr>
      <w:r>
        <w:rPr>
          <w:rFonts w:hint="default" w:eastAsia="宋体"/>
        </w:rPr>
        <w:t>（</w:t>
      </w:r>
      <w:r>
        <w:rPr>
          <w:rFonts w:hint="default" w:ascii="Times New Roman" w:hAnsi="Times New Roman" w:eastAsia="宋体"/>
        </w:rPr>
        <w:t>3</w:t>
      </w:r>
      <w:r>
        <w:rPr>
          <w:rFonts w:hint="default" w:eastAsia="宋体"/>
        </w:rPr>
        <w:t>）</w:t>
      </w:r>
      <w:r>
        <w:rPr>
          <w:rFonts w:hint="default" w:ascii="Times New Roman" w:hAnsi="Times New Roman" w:eastAsia="宋体"/>
        </w:rPr>
        <w:t>10≤Q</w:t>
      </w:r>
      <w:r>
        <w:rPr>
          <w:rFonts w:hint="default" w:eastAsia="宋体"/>
        </w:rPr>
        <w:t>＜</w:t>
      </w:r>
      <w:r>
        <w:rPr>
          <w:rFonts w:hint="default" w:ascii="Times New Roman" w:hAnsi="Times New Roman" w:eastAsia="宋体"/>
        </w:rPr>
        <w:t>100</w:t>
      </w:r>
      <w:r>
        <w:rPr>
          <w:rFonts w:hint="default" w:eastAsia="宋体"/>
          <w:spacing w:val="-1"/>
        </w:rPr>
        <w:t>，以</w:t>
      </w:r>
      <w:r>
        <w:rPr>
          <w:rFonts w:hint="default" w:ascii="Times New Roman" w:hAnsi="Times New Roman" w:eastAsia="宋体"/>
        </w:rPr>
        <w:t>Q2</w:t>
      </w:r>
      <w:r>
        <w:rPr>
          <w:rFonts w:hint="default" w:eastAsia="宋体"/>
        </w:rPr>
        <w:t>表示；</w:t>
      </w:r>
    </w:p>
    <w:p w14:paraId="678FAF28">
      <w:pPr>
        <w:pStyle w:val="13"/>
        <w:spacing w:before="0" w:after="0" w:line="500" w:lineRule="exact"/>
        <w:ind w:left="0" w:firstLine="480" w:firstLineChars="200"/>
        <w:rPr>
          <w:rFonts w:hint="default" w:eastAsia="宋体"/>
        </w:rPr>
      </w:pPr>
      <w:r>
        <w:rPr>
          <w:rFonts w:hint="default" w:eastAsia="宋体"/>
        </w:rPr>
        <w:t>（</w:t>
      </w:r>
      <w:r>
        <w:rPr>
          <w:rFonts w:hint="default" w:ascii="Times New Roman" w:hAnsi="Times New Roman" w:eastAsia="宋体"/>
        </w:rPr>
        <w:t>4</w:t>
      </w:r>
      <w:r>
        <w:rPr>
          <w:rFonts w:hint="default" w:eastAsia="宋体"/>
        </w:rPr>
        <w:t>）</w:t>
      </w:r>
      <w:r>
        <w:rPr>
          <w:rFonts w:hint="default" w:ascii="Times New Roman" w:hAnsi="Times New Roman" w:eastAsia="宋体"/>
        </w:rPr>
        <w:t>Q≥100</w:t>
      </w:r>
      <w:r>
        <w:rPr>
          <w:rFonts w:hint="default" w:eastAsia="宋体"/>
          <w:spacing w:val="-1"/>
        </w:rPr>
        <w:t>，以</w:t>
      </w:r>
      <w:r>
        <w:rPr>
          <w:rFonts w:hint="default" w:ascii="Times New Roman" w:hAnsi="Times New Roman" w:eastAsia="宋体"/>
        </w:rPr>
        <w:t>Q3</w:t>
      </w:r>
      <w:r>
        <w:rPr>
          <w:rFonts w:hint="default" w:eastAsia="宋体"/>
        </w:rPr>
        <w:t>表示。</w:t>
      </w:r>
    </w:p>
    <w:p w14:paraId="174B38B5">
      <w:pPr>
        <w:pStyle w:val="4"/>
        <w:spacing w:line="500" w:lineRule="exact"/>
        <w:ind w:firstLine="480"/>
        <w:rPr>
          <w:rFonts w:hint="eastAsia"/>
        </w:rPr>
      </w:pPr>
      <w:r>
        <w:rPr>
          <w:rFonts w:hint="default" w:eastAsia="宋体"/>
          <w:sz w:val="24"/>
        </w:rPr>
        <w:t>公司涉气环境风险物质有</w:t>
      </w:r>
      <w:r>
        <w:rPr>
          <w:rFonts w:hint="eastAsia" w:eastAsia="宋体" w:cs="Times New Roman"/>
          <w:sz w:val="24"/>
          <w:lang w:val="en-US" w:eastAsia="zh-CN"/>
        </w:rPr>
        <w:t>润滑油、危废等</w:t>
      </w:r>
      <w:r>
        <w:rPr>
          <w:rFonts w:hint="default" w:eastAsia="宋体"/>
          <w:sz w:val="24"/>
        </w:rPr>
        <w:t>，计算情况见表</w:t>
      </w:r>
      <w:r>
        <w:rPr>
          <w:rFonts w:hint="default" w:ascii="Times New Roman" w:eastAsia="宋体"/>
          <w:sz w:val="24"/>
        </w:rPr>
        <w:t>7-1</w:t>
      </w:r>
      <w:r>
        <w:rPr>
          <w:rFonts w:hint="default" w:eastAsia="宋体"/>
          <w:sz w:val="24"/>
        </w:rPr>
        <w:t>。</w:t>
      </w:r>
    </w:p>
    <w:p w14:paraId="435F9E1D">
      <w:pPr>
        <w:adjustRightInd w:val="0"/>
        <w:snapToGrid w:val="0"/>
        <w:spacing w:line="500" w:lineRule="exact"/>
        <w:jc w:val="center"/>
        <w:rPr>
          <w:rFonts w:hint="default" w:ascii="Times New Roman" w:hAnsi="Times New Roman" w:eastAsia="宋体" w:cs="Times New Roman"/>
          <w:b/>
          <w:bCs/>
          <w:color w:val="FF0000"/>
        </w:rPr>
      </w:pPr>
      <w:r>
        <w:rPr>
          <w:rFonts w:hint="default" w:ascii="Times New Roman" w:hAnsi="Times New Roman" w:eastAsia="宋体" w:cs="Times New Roman"/>
          <w:b/>
          <w:bCs/>
          <w:color w:val="auto"/>
        </w:rPr>
        <w:t>表</w:t>
      </w:r>
      <w:r>
        <w:rPr>
          <w:rFonts w:hint="eastAsia" w:ascii="Times New Roman" w:hAnsi="Times New Roman" w:eastAsia="宋体" w:cs="Times New Roman"/>
          <w:b/>
          <w:bCs/>
          <w:color w:val="auto"/>
          <w:highlight w:val="none"/>
          <w:lang w:val="en-US" w:eastAsia="zh-CN"/>
        </w:rPr>
        <w:t>7-1</w:t>
      </w:r>
      <w:r>
        <w:rPr>
          <w:rFonts w:hint="default" w:ascii="Times New Roman" w:hAnsi="Times New Roman" w:eastAsia="宋体" w:cs="Times New Roman"/>
          <w:b/>
          <w:bCs/>
          <w:color w:val="auto"/>
          <w:highlight w:val="none"/>
        </w:rPr>
        <w:t>涉气环境风险物质Q值计</w:t>
      </w:r>
      <w:r>
        <w:rPr>
          <w:rFonts w:hint="default" w:ascii="Times New Roman" w:hAnsi="Times New Roman" w:eastAsia="宋体" w:cs="Times New Roman"/>
          <w:b/>
          <w:bCs/>
          <w:color w:val="auto"/>
        </w:rPr>
        <w:t>算表</w:t>
      </w:r>
    </w:p>
    <w:tbl>
      <w:tblPr>
        <w:tblStyle w:val="37"/>
        <w:tblW w:w="0" w:type="auto"/>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984"/>
        <w:gridCol w:w="1437"/>
        <w:gridCol w:w="1300"/>
        <w:gridCol w:w="1232"/>
        <w:gridCol w:w="1570"/>
      </w:tblGrid>
      <w:tr w14:paraId="001FFB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197" w:type="dxa"/>
            <w:tcBorders>
              <w:tl2br w:val="nil"/>
              <w:tr2bl w:val="nil"/>
            </w:tcBorders>
            <w:vAlign w:val="center"/>
          </w:tcPr>
          <w:p w14:paraId="65EE4869">
            <w:pPr>
              <w:pStyle w:val="140"/>
              <w:spacing w:before="0"/>
              <w:ind w:left="0" w:right="0"/>
              <w:rPr>
                <w:b/>
                <w:sz w:val="21"/>
              </w:rPr>
            </w:pPr>
            <w:r>
              <w:rPr>
                <w:b/>
                <w:sz w:val="21"/>
              </w:rPr>
              <w:t>环境风险</w:t>
            </w:r>
          </w:p>
          <w:p w14:paraId="00E34C1E">
            <w:pPr>
              <w:pStyle w:val="140"/>
              <w:spacing w:before="0" w:line="240" w:lineRule="auto"/>
              <w:ind w:left="0" w:right="0"/>
              <w:rPr>
                <w:b/>
                <w:sz w:val="21"/>
              </w:rPr>
            </w:pPr>
            <w:r>
              <w:rPr>
                <w:b/>
                <w:sz w:val="21"/>
              </w:rPr>
              <w:t>单元</w:t>
            </w:r>
          </w:p>
        </w:tc>
        <w:tc>
          <w:tcPr>
            <w:tcW w:w="1984" w:type="dxa"/>
            <w:tcBorders>
              <w:tl2br w:val="nil"/>
              <w:tr2bl w:val="nil"/>
            </w:tcBorders>
            <w:vAlign w:val="center"/>
          </w:tcPr>
          <w:p w14:paraId="38081D70">
            <w:pPr>
              <w:pStyle w:val="140"/>
              <w:spacing w:before="0"/>
              <w:ind w:left="0" w:right="0"/>
              <w:rPr>
                <w:b/>
                <w:sz w:val="21"/>
              </w:rPr>
            </w:pPr>
            <w:r>
              <w:rPr>
                <w:b/>
                <w:sz w:val="21"/>
              </w:rPr>
              <w:t>风险物质名称</w:t>
            </w:r>
          </w:p>
        </w:tc>
        <w:tc>
          <w:tcPr>
            <w:tcW w:w="1437" w:type="dxa"/>
            <w:tcBorders>
              <w:tl2br w:val="nil"/>
              <w:tr2bl w:val="nil"/>
            </w:tcBorders>
            <w:vAlign w:val="center"/>
          </w:tcPr>
          <w:p w14:paraId="2D3C2F9B">
            <w:pPr>
              <w:pStyle w:val="140"/>
              <w:spacing w:before="0"/>
              <w:ind w:left="0"/>
              <w:jc w:val="center"/>
              <w:rPr>
                <w:b/>
                <w:sz w:val="21"/>
              </w:rPr>
            </w:pPr>
            <w:r>
              <w:rPr>
                <w:b/>
                <w:sz w:val="21"/>
              </w:rPr>
              <w:t>最大存在总</w:t>
            </w:r>
          </w:p>
          <w:p w14:paraId="5E371452">
            <w:pPr>
              <w:pStyle w:val="140"/>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1300" w:type="dxa"/>
            <w:tcBorders>
              <w:tl2br w:val="nil"/>
              <w:tr2bl w:val="nil"/>
            </w:tcBorders>
            <w:vAlign w:val="center"/>
          </w:tcPr>
          <w:p w14:paraId="023CCF16">
            <w:pPr>
              <w:pStyle w:val="140"/>
              <w:spacing w:before="0"/>
              <w:ind w:left="0" w:right="0"/>
              <w:rPr>
                <w:rFonts w:ascii="Times New Roman" w:eastAsia="Times New Roman"/>
                <w:b/>
                <w:sz w:val="21"/>
              </w:rPr>
            </w:pPr>
            <w:r>
              <w:rPr>
                <w:b/>
                <w:sz w:val="21"/>
              </w:rPr>
              <w:t>临界量</w:t>
            </w:r>
            <w:r>
              <w:rPr>
                <w:rFonts w:ascii="Times New Roman" w:eastAsia="Times New Roman"/>
                <w:b/>
                <w:sz w:val="21"/>
              </w:rPr>
              <w:t>Qi</w:t>
            </w:r>
          </w:p>
          <w:p w14:paraId="13D57B50">
            <w:pPr>
              <w:pStyle w:val="140"/>
              <w:spacing w:before="0" w:line="240" w:lineRule="auto"/>
              <w:ind w:left="0" w:right="0"/>
              <w:rPr>
                <w:b/>
                <w:sz w:val="21"/>
              </w:rPr>
            </w:pPr>
            <w:r>
              <w:rPr>
                <w:b/>
                <w:sz w:val="21"/>
              </w:rPr>
              <w:t>（</w:t>
            </w:r>
            <w:r>
              <w:rPr>
                <w:rFonts w:ascii="Times New Roman" w:eastAsia="Times New Roman"/>
                <w:b/>
                <w:sz w:val="21"/>
              </w:rPr>
              <w:t>t</w:t>
            </w:r>
            <w:r>
              <w:rPr>
                <w:b/>
                <w:sz w:val="21"/>
              </w:rPr>
              <w:t>）</w:t>
            </w:r>
          </w:p>
        </w:tc>
        <w:tc>
          <w:tcPr>
            <w:tcW w:w="1232" w:type="dxa"/>
            <w:tcBorders>
              <w:tl2br w:val="nil"/>
              <w:tr2bl w:val="nil"/>
            </w:tcBorders>
            <w:vAlign w:val="center"/>
          </w:tcPr>
          <w:p w14:paraId="430BC33A">
            <w:pPr>
              <w:pStyle w:val="140"/>
              <w:spacing w:before="0"/>
              <w:ind w:left="0"/>
              <w:jc w:val="center"/>
              <w:rPr>
                <w:rFonts w:ascii="Times New Roman"/>
                <w:b/>
                <w:sz w:val="21"/>
              </w:rPr>
            </w:pPr>
            <w:r>
              <w:rPr>
                <w:rFonts w:ascii="Times New Roman"/>
                <w:b/>
                <w:sz w:val="21"/>
              </w:rPr>
              <w:t>qi/Qi</w:t>
            </w:r>
          </w:p>
        </w:tc>
        <w:tc>
          <w:tcPr>
            <w:tcW w:w="1570" w:type="dxa"/>
            <w:tcBorders>
              <w:tl2br w:val="nil"/>
              <w:tr2bl w:val="nil"/>
            </w:tcBorders>
            <w:vAlign w:val="center"/>
          </w:tcPr>
          <w:p w14:paraId="34ED994A">
            <w:pPr>
              <w:pStyle w:val="140"/>
              <w:spacing w:before="0"/>
              <w:ind w:left="0" w:right="0"/>
              <w:rPr>
                <w:b/>
                <w:sz w:val="21"/>
              </w:rPr>
            </w:pPr>
            <w:r>
              <w:rPr>
                <w:b/>
                <w:sz w:val="21"/>
              </w:rPr>
              <w:t>是否重要环境</w:t>
            </w:r>
          </w:p>
          <w:p w14:paraId="74ADA127">
            <w:pPr>
              <w:pStyle w:val="140"/>
              <w:spacing w:before="0" w:line="240" w:lineRule="auto"/>
              <w:ind w:left="0" w:right="0"/>
              <w:rPr>
                <w:b/>
                <w:sz w:val="21"/>
              </w:rPr>
            </w:pPr>
            <w:r>
              <w:rPr>
                <w:b/>
                <w:sz w:val="21"/>
              </w:rPr>
              <w:t>风险单元</w:t>
            </w:r>
          </w:p>
        </w:tc>
      </w:tr>
      <w:tr w14:paraId="7ACEAD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tcBorders>
              <w:tl2br w:val="nil"/>
              <w:tr2bl w:val="nil"/>
            </w:tcBorders>
            <w:vAlign w:val="center"/>
          </w:tcPr>
          <w:p w14:paraId="3894D41C">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1984" w:type="dxa"/>
            <w:tcBorders>
              <w:tl2br w:val="nil"/>
              <w:tr2bl w:val="nil"/>
            </w:tcBorders>
            <w:vAlign w:val="center"/>
          </w:tcPr>
          <w:p w14:paraId="63EECB03">
            <w:pPr>
              <w:keepNext w:val="0"/>
              <w:keepLines w:val="0"/>
              <w:widowControl/>
              <w:suppressLineNumbers w:val="0"/>
              <w:jc w:val="center"/>
              <w:rPr>
                <w:rFonts w:hint="eastAsia" w:ascii="宋体" w:hAnsi="宋体" w:eastAsia="宋体" w:cs="宋体"/>
                <w:kern w:val="2"/>
                <w:sz w:val="21"/>
                <w:szCs w:val="24"/>
                <w:lang w:val="en-US" w:eastAsia="zh-CN" w:bidi="ar-SA"/>
              </w:rPr>
            </w:pPr>
            <w:r>
              <w:rPr>
                <w:rFonts w:hint="eastAsia" w:eastAsia="宋体" w:cs="Times New Roman"/>
                <w:sz w:val="21"/>
                <w:szCs w:val="21"/>
                <w:lang w:val="en-US" w:eastAsia="zh-CN"/>
              </w:rPr>
              <w:t>润滑油</w:t>
            </w:r>
          </w:p>
        </w:tc>
        <w:tc>
          <w:tcPr>
            <w:tcW w:w="1437" w:type="dxa"/>
            <w:tcBorders>
              <w:tl2br w:val="nil"/>
              <w:tr2bl w:val="nil"/>
            </w:tcBorders>
            <w:vAlign w:val="center"/>
          </w:tcPr>
          <w:p w14:paraId="4262D792">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2.16</w:t>
            </w:r>
          </w:p>
        </w:tc>
        <w:tc>
          <w:tcPr>
            <w:tcW w:w="1300" w:type="dxa"/>
            <w:tcBorders>
              <w:tl2br w:val="nil"/>
              <w:tr2bl w:val="nil"/>
            </w:tcBorders>
            <w:vAlign w:val="center"/>
          </w:tcPr>
          <w:p w14:paraId="2592F4C8">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0197909D">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0.0432</w:t>
            </w:r>
          </w:p>
        </w:tc>
        <w:tc>
          <w:tcPr>
            <w:tcW w:w="1570" w:type="dxa"/>
            <w:vMerge w:val="restart"/>
            <w:tcBorders>
              <w:tl2br w:val="nil"/>
              <w:tr2bl w:val="nil"/>
            </w:tcBorders>
            <w:vAlign w:val="center"/>
          </w:tcPr>
          <w:p w14:paraId="36AFAD9A">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572114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2D5AB682">
            <w:pPr>
              <w:pStyle w:val="140"/>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1232" w:type="dxa"/>
            <w:tcBorders>
              <w:tl2br w:val="nil"/>
              <w:tr2bl w:val="nil"/>
            </w:tcBorders>
            <w:vAlign w:val="center"/>
          </w:tcPr>
          <w:p w14:paraId="5A9FC776">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0.0432</w:t>
            </w:r>
          </w:p>
        </w:tc>
        <w:tc>
          <w:tcPr>
            <w:tcW w:w="1570" w:type="dxa"/>
            <w:vMerge w:val="continue"/>
            <w:tcBorders>
              <w:tl2br w:val="nil"/>
              <w:tr2bl w:val="nil"/>
            </w:tcBorders>
            <w:vAlign w:val="center"/>
          </w:tcPr>
          <w:p w14:paraId="2E7D6FAB">
            <w:pPr>
              <w:jc w:val="center"/>
              <w:rPr>
                <w:rFonts w:hint="eastAsia" w:ascii="宋体" w:hAnsi="宋体" w:eastAsia="宋体" w:cs="宋体"/>
                <w:sz w:val="21"/>
                <w:szCs w:val="24"/>
                <w:lang w:val="en-US" w:eastAsia="zh-CN"/>
              </w:rPr>
            </w:pPr>
          </w:p>
        </w:tc>
      </w:tr>
      <w:tr w14:paraId="114670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4654DF2C">
            <w:pPr>
              <w:jc w:val="center"/>
              <w:rPr>
                <w:sz w:val="2"/>
                <w:szCs w:val="2"/>
              </w:rPr>
            </w:pPr>
            <w:r>
              <w:rPr>
                <w:rFonts w:hint="eastAsia" w:ascii="Times New Roman" w:eastAsia="宋体"/>
                <w:sz w:val="21"/>
                <w:lang w:val="en-US" w:eastAsia="zh-CN"/>
              </w:rPr>
              <w:t>危废仓库</w:t>
            </w:r>
          </w:p>
        </w:tc>
        <w:tc>
          <w:tcPr>
            <w:tcW w:w="1984" w:type="dxa"/>
            <w:tcBorders>
              <w:tl2br w:val="nil"/>
              <w:tr2bl w:val="nil"/>
            </w:tcBorders>
            <w:vAlign w:val="center"/>
          </w:tcPr>
          <w:p w14:paraId="67D61130">
            <w:pPr>
              <w:pStyle w:val="14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kern w:val="0"/>
                <w:sz w:val="21"/>
                <w:szCs w:val="21"/>
                <w:lang w:val="en-US" w:eastAsia="zh-CN" w:bidi="zh-CN"/>
              </w:rPr>
            </w:pPr>
            <w:r>
              <w:rPr>
                <w:rFonts w:hint="eastAsia" w:ascii="Times New Roman" w:hAnsi="Times New Roman" w:cs="Times New Roman"/>
                <w:kern w:val="2"/>
                <w:sz w:val="21"/>
                <w:szCs w:val="21"/>
                <w:lang w:val="en-US" w:eastAsia="zh-CN" w:bidi="ar-SA"/>
              </w:rPr>
              <w:t>废电瓶</w:t>
            </w:r>
          </w:p>
        </w:tc>
        <w:tc>
          <w:tcPr>
            <w:tcW w:w="1437" w:type="dxa"/>
            <w:tcBorders>
              <w:tl2br w:val="nil"/>
              <w:tr2bl w:val="nil"/>
            </w:tcBorders>
            <w:vAlign w:val="center"/>
          </w:tcPr>
          <w:p w14:paraId="5D9C123E">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0.08</w:t>
            </w:r>
          </w:p>
        </w:tc>
        <w:tc>
          <w:tcPr>
            <w:tcW w:w="1300" w:type="dxa"/>
            <w:tcBorders>
              <w:tl2br w:val="nil"/>
              <w:tr2bl w:val="nil"/>
            </w:tcBorders>
            <w:vAlign w:val="center"/>
          </w:tcPr>
          <w:p w14:paraId="773BBA0E">
            <w:pPr>
              <w:pStyle w:val="140"/>
              <w:spacing w:before="0"/>
              <w:ind w:left="0" w:right="0"/>
              <w:rPr>
                <w:rFonts w:hint="default" w:ascii="Times New Roman" w:eastAsia="宋体"/>
                <w:sz w:val="21"/>
                <w:lang w:val="en-US" w:eastAsia="zh-CN"/>
              </w:rPr>
            </w:pPr>
            <w:r>
              <w:rPr>
                <w:rFonts w:hint="eastAsia" w:ascii="Times New Roman"/>
                <w:sz w:val="21"/>
                <w:lang w:val="en-US" w:eastAsia="zh-CN"/>
              </w:rPr>
              <w:t>0.5</w:t>
            </w:r>
          </w:p>
        </w:tc>
        <w:tc>
          <w:tcPr>
            <w:tcW w:w="1232" w:type="dxa"/>
            <w:tcBorders>
              <w:tl2br w:val="nil"/>
              <w:tr2bl w:val="nil"/>
            </w:tcBorders>
            <w:vAlign w:val="center"/>
          </w:tcPr>
          <w:p w14:paraId="5AE71926">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0.16</w:t>
            </w:r>
          </w:p>
        </w:tc>
        <w:tc>
          <w:tcPr>
            <w:tcW w:w="1570" w:type="dxa"/>
            <w:vMerge w:val="continue"/>
            <w:tcBorders>
              <w:tl2br w:val="nil"/>
              <w:tr2bl w:val="nil"/>
            </w:tcBorders>
            <w:vAlign w:val="center"/>
          </w:tcPr>
          <w:p w14:paraId="530DEBC5">
            <w:pPr>
              <w:jc w:val="center"/>
              <w:rPr>
                <w:sz w:val="2"/>
                <w:szCs w:val="2"/>
              </w:rPr>
            </w:pPr>
          </w:p>
        </w:tc>
      </w:tr>
      <w:tr w14:paraId="36D9F6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15060B35">
            <w:pPr>
              <w:jc w:val="center"/>
              <w:rPr>
                <w:sz w:val="2"/>
                <w:szCs w:val="2"/>
              </w:rPr>
            </w:pPr>
          </w:p>
        </w:tc>
        <w:tc>
          <w:tcPr>
            <w:tcW w:w="1984" w:type="dxa"/>
            <w:tcBorders>
              <w:tl2br w:val="nil"/>
              <w:tr2bl w:val="nil"/>
            </w:tcBorders>
            <w:vAlign w:val="center"/>
          </w:tcPr>
          <w:p w14:paraId="4AD635E4">
            <w:pPr>
              <w:widowControl/>
              <w:jc w:val="center"/>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kern w:val="2"/>
                <w:sz w:val="21"/>
                <w:szCs w:val="21"/>
                <w:lang w:val="en-US" w:eastAsia="zh-CN" w:bidi="ar-SA"/>
              </w:rPr>
              <w:t>废</w:t>
            </w:r>
            <w:r>
              <w:rPr>
                <w:rFonts w:hint="eastAsia" w:eastAsia="宋体" w:cs="Times New Roman"/>
                <w:kern w:val="2"/>
                <w:sz w:val="21"/>
                <w:szCs w:val="21"/>
                <w:lang w:val="en-US" w:eastAsia="zh-CN" w:bidi="ar-SA"/>
              </w:rPr>
              <w:t>劳保用品</w:t>
            </w:r>
          </w:p>
        </w:tc>
        <w:tc>
          <w:tcPr>
            <w:tcW w:w="1437" w:type="dxa"/>
            <w:tcBorders>
              <w:tl2br w:val="nil"/>
              <w:tr2bl w:val="nil"/>
            </w:tcBorders>
            <w:vAlign w:val="center"/>
          </w:tcPr>
          <w:p w14:paraId="0768F2CC">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0.05</w:t>
            </w:r>
          </w:p>
        </w:tc>
        <w:tc>
          <w:tcPr>
            <w:tcW w:w="1300" w:type="dxa"/>
            <w:tcBorders>
              <w:tl2br w:val="nil"/>
              <w:tr2bl w:val="nil"/>
            </w:tcBorders>
            <w:vAlign w:val="center"/>
          </w:tcPr>
          <w:p w14:paraId="2C00B4A3">
            <w:pPr>
              <w:spacing w:before="0"/>
              <w:ind w:left="0" w:right="0"/>
              <w:jc w:val="center"/>
              <w:rPr>
                <w:rFonts w:hint="default" w:ascii="Times New Roman"/>
                <w:sz w:val="21"/>
                <w:lang w:val="en-US" w:eastAsia="zh-CN"/>
              </w:rPr>
            </w:pPr>
            <w:r>
              <w:rPr>
                <w:rFonts w:hint="eastAsia"/>
                <w:sz w:val="21"/>
                <w:lang w:val="en-US" w:eastAsia="zh-CN"/>
              </w:rPr>
              <w:t>50</w:t>
            </w:r>
          </w:p>
        </w:tc>
        <w:tc>
          <w:tcPr>
            <w:tcW w:w="1232" w:type="dxa"/>
            <w:tcBorders>
              <w:tl2br w:val="nil"/>
              <w:tr2bl w:val="nil"/>
            </w:tcBorders>
            <w:vAlign w:val="center"/>
          </w:tcPr>
          <w:p w14:paraId="421911AD">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3128B8EE">
            <w:pPr>
              <w:jc w:val="center"/>
              <w:rPr>
                <w:sz w:val="2"/>
                <w:szCs w:val="2"/>
              </w:rPr>
            </w:pPr>
          </w:p>
        </w:tc>
      </w:tr>
      <w:tr w14:paraId="2AC2E2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39344D9D">
            <w:pPr>
              <w:jc w:val="center"/>
              <w:rPr>
                <w:sz w:val="2"/>
                <w:szCs w:val="2"/>
              </w:rPr>
            </w:pPr>
          </w:p>
        </w:tc>
        <w:tc>
          <w:tcPr>
            <w:tcW w:w="1984" w:type="dxa"/>
            <w:tcBorders>
              <w:tl2br w:val="nil"/>
              <w:tr2bl w:val="nil"/>
            </w:tcBorders>
            <w:vAlign w:val="center"/>
          </w:tcPr>
          <w:p w14:paraId="4A91C972">
            <w:pPr>
              <w:widowControl w:val="0"/>
              <w:spacing w:line="240" w:lineRule="auto"/>
              <w:ind w:left="0" w:leftChars="0" w:firstLine="0" w:firstLineChars="0"/>
              <w:jc w:val="center"/>
              <w:rPr>
                <w:rFonts w:hint="default"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废润滑油</w:t>
            </w:r>
          </w:p>
        </w:tc>
        <w:tc>
          <w:tcPr>
            <w:tcW w:w="1437" w:type="dxa"/>
            <w:tcBorders>
              <w:tl2br w:val="nil"/>
              <w:tr2bl w:val="nil"/>
            </w:tcBorders>
            <w:vAlign w:val="center"/>
          </w:tcPr>
          <w:p w14:paraId="4C85E5B1">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0.1</w:t>
            </w:r>
          </w:p>
        </w:tc>
        <w:tc>
          <w:tcPr>
            <w:tcW w:w="1300" w:type="dxa"/>
            <w:tcBorders>
              <w:tl2br w:val="nil"/>
              <w:tr2bl w:val="nil"/>
            </w:tcBorders>
            <w:vAlign w:val="center"/>
          </w:tcPr>
          <w:p w14:paraId="5C3840F4">
            <w:pPr>
              <w:spacing w:before="0"/>
              <w:ind w:left="0" w:right="0"/>
              <w:jc w:val="center"/>
              <w:rPr>
                <w:rFonts w:hint="default" w:ascii="Times New Roman"/>
                <w:sz w:val="21"/>
                <w:lang w:val="en-US" w:eastAsia="zh-CN"/>
              </w:rPr>
            </w:pPr>
            <w:r>
              <w:rPr>
                <w:rFonts w:hint="eastAsia"/>
                <w:sz w:val="21"/>
                <w:lang w:val="en-US" w:eastAsia="zh-CN"/>
              </w:rPr>
              <w:t>10</w:t>
            </w:r>
          </w:p>
        </w:tc>
        <w:tc>
          <w:tcPr>
            <w:tcW w:w="1232" w:type="dxa"/>
            <w:tcBorders>
              <w:tl2br w:val="nil"/>
              <w:tr2bl w:val="nil"/>
            </w:tcBorders>
            <w:vAlign w:val="center"/>
          </w:tcPr>
          <w:p w14:paraId="018DD388">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15677230">
            <w:pPr>
              <w:jc w:val="center"/>
              <w:rPr>
                <w:sz w:val="2"/>
                <w:szCs w:val="2"/>
              </w:rPr>
            </w:pPr>
          </w:p>
        </w:tc>
      </w:tr>
      <w:tr w14:paraId="664870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20C69FE8">
            <w:pPr>
              <w:jc w:val="center"/>
              <w:rPr>
                <w:sz w:val="2"/>
                <w:szCs w:val="2"/>
              </w:rPr>
            </w:pPr>
          </w:p>
        </w:tc>
        <w:tc>
          <w:tcPr>
            <w:tcW w:w="1984" w:type="dxa"/>
            <w:tcBorders>
              <w:tl2br w:val="nil"/>
              <w:tr2bl w:val="nil"/>
            </w:tcBorders>
            <w:vAlign w:val="center"/>
          </w:tcPr>
          <w:p w14:paraId="2268249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废润滑油桶</w:t>
            </w:r>
          </w:p>
        </w:tc>
        <w:tc>
          <w:tcPr>
            <w:tcW w:w="1437" w:type="dxa"/>
            <w:tcBorders>
              <w:tl2br w:val="nil"/>
              <w:tr2bl w:val="nil"/>
            </w:tcBorders>
            <w:vAlign w:val="center"/>
          </w:tcPr>
          <w:p w14:paraId="500D661D">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0.24</w:t>
            </w:r>
          </w:p>
        </w:tc>
        <w:tc>
          <w:tcPr>
            <w:tcW w:w="1300" w:type="dxa"/>
            <w:tcBorders>
              <w:tl2br w:val="nil"/>
              <w:tr2bl w:val="nil"/>
            </w:tcBorders>
            <w:vAlign w:val="center"/>
          </w:tcPr>
          <w:p w14:paraId="351E8A38">
            <w:pPr>
              <w:spacing w:before="0"/>
              <w:ind w:left="0" w:right="0"/>
              <w:jc w:val="center"/>
              <w:rPr>
                <w:rFonts w:hint="default" w:ascii="Times New Roman"/>
                <w:sz w:val="21"/>
                <w:lang w:val="en-US" w:eastAsia="zh-CN"/>
              </w:rPr>
            </w:pPr>
            <w:r>
              <w:rPr>
                <w:rFonts w:hint="eastAsia"/>
                <w:sz w:val="21"/>
                <w:lang w:val="en-US" w:eastAsia="zh-CN"/>
              </w:rPr>
              <w:t>10</w:t>
            </w:r>
          </w:p>
        </w:tc>
        <w:tc>
          <w:tcPr>
            <w:tcW w:w="1232" w:type="dxa"/>
            <w:tcBorders>
              <w:tl2br w:val="nil"/>
              <w:tr2bl w:val="nil"/>
            </w:tcBorders>
            <w:vAlign w:val="center"/>
          </w:tcPr>
          <w:p w14:paraId="4001D1E7">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0.024</w:t>
            </w:r>
          </w:p>
        </w:tc>
        <w:tc>
          <w:tcPr>
            <w:tcW w:w="1570" w:type="dxa"/>
            <w:vMerge w:val="continue"/>
            <w:tcBorders>
              <w:tl2br w:val="nil"/>
              <w:tr2bl w:val="nil"/>
            </w:tcBorders>
            <w:vAlign w:val="center"/>
          </w:tcPr>
          <w:p w14:paraId="3D0EE2B5">
            <w:pPr>
              <w:jc w:val="center"/>
              <w:rPr>
                <w:sz w:val="2"/>
                <w:szCs w:val="2"/>
              </w:rPr>
            </w:pPr>
          </w:p>
        </w:tc>
      </w:tr>
      <w:tr w14:paraId="3261E7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18" w:type="dxa"/>
            <w:gridSpan w:val="4"/>
            <w:tcBorders>
              <w:tl2br w:val="nil"/>
              <w:tr2bl w:val="nil"/>
            </w:tcBorders>
            <w:vAlign w:val="center"/>
          </w:tcPr>
          <w:p w14:paraId="3AF05265">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41E2C15B">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0.2382</w:t>
            </w:r>
          </w:p>
        </w:tc>
        <w:tc>
          <w:tcPr>
            <w:tcW w:w="1570" w:type="dxa"/>
            <w:vMerge w:val="continue"/>
            <w:tcBorders>
              <w:tl2br w:val="nil"/>
              <w:tr2bl w:val="nil"/>
            </w:tcBorders>
            <w:vAlign w:val="center"/>
          </w:tcPr>
          <w:p w14:paraId="50103243">
            <w:pPr>
              <w:jc w:val="center"/>
              <w:rPr>
                <w:sz w:val="2"/>
                <w:szCs w:val="2"/>
              </w:rPr>
            </w:pPr>
          </w:p>
        </w:tc>
      </w:tr>
    </w:tbl>
    <w:p w14:paraId="15C488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根据上述计算，公司涉气风险物质数量与临界量比值为</w:t>
      </w:r>
      <w:r>
        <w:rPr>
          <w:rFonts w:hint="eastAsia" w:eastAsia="宋体" w:cs="Times New Roman"/>
          <w:lang w:val="en-US" w:eastAsia="zh-CN"/>
        </w:rPr>
        <w:t>Q</w:t>
      </w:r>
      <w:r>
        <w:rPr>
          <w:rFonts w:hint="eastAsia" w:eastAsia="宋体" w:cs="Times New Roman"/>
          <w:highlight w:val="none"/>
          <w:lang w:val="en-US" w:eastAsia="zh-CN"/>
        </w:rPr>
        <w:t>=0.2382</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Q＜1，</w:t>
      </w:r>
      <w:r>
        <w:rPr>
          <w:rFonts w:eastAsia="宋体"/>
          <w:spacing w:val="0"/>
        </w:rPr>
        <w:t>企业存在环境风险的</w:t>
      </w:r>
      <w:r>
        <w:rPr>
          <w:rFonts w:hint="eastAsia" w:eastAsia="宋体" w:cs="Times New Roman"/>
          <w:spacing w:val="0"/>
          <w:lang w:val="en-US" w:eastAsia="zh-CN"/>
        </w:rPr>
        <w:t>生产车间</w:t>
      </w:r>
      <w:r>
        <w:rPr>
          <w:rFonts w:eastAsia="宋体"/>
          <w:spacing w:val="0"/>
        </w:rPr>
        <w:t>、</w:t>
      </w:r>
      <w:r>
        <w:rPr>
          <w:rFonts w:hint="eastAsia" w:eastAsia="宋体"/>
          <w:spacing w:val="0"/>
          <w:lang w:val="en-US" w:eastAsia="zh-CN"/>
        </w:rPr>
        <w:t>污水处理站、</w:t>
      </w:r>
      <w:r>
        <w:rPr>
          <w:rFonts w:eastAsia="宋体"/>
          <w:spacing w:val="0"/>
        </w:rPr>
        <w:t>危废仓库</w:t>
      </w:r>
      <w:r>
        <w:rPr>
          <w:rFonts w:ascii="Times New Roman" w:eastAsia="宋体"/>
        </w:rPr>
        <w:t>Q</w:t>
      </w:r>
      <w:r>
        <w:rPr>
          <w:rFonts w:eastAsia="宋体"/>
          <w:spacing w:val="0"/>
        </w:rPr>
        <w:t>值均小于</w:t>
      </w:r>
      <w:r>
        <w:rPr>
          <w:rFonts w:ascii="Times New Roman" w:eastAsia="宋体"/>
        </w:rPr>
        <w:t>1</w:t>
      </w:r>
      <w:r>
        <w:rPr>
          <w:rFonts w:eastAsia="宋体"/>
        </w:rPr>
        <w:t>，企业不存在重要环境风险单元</w:t>
      </w:r>
      <w:r>
        <w:rPr>
          <w:rFonts w:hint="eastAsia" w:eastAsia="宋体"/>
          <w:lang w:eastAsia="zh-CN"/>
        </w:rPr>
        <w:t>，</w:t>
      </w:r>
      <w:r>
        <w:rPr>
          <w:rFonts w:hint="default" w:ascii="Times New Roman" w:hAnsi="Times New Roman" w:eastAsia="宋体" w:cs="Times New Roman"/>
        </w:rPr>
        <w:t>直接评为一般环境风险等级Q0。</w:t>
      </w:r>
    </w:p>
    <w:p w14:paraId="063CD210">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56" w:name="_Toc818"/>
      <w:bookmarkStart w:id="257" w:name="_Toc4575"/>
      <w:bookmarkStart w:id="258" w:name="_TOC_250020"/>
      <w:r>
        <w:rPr>
          <w:rFonts w:hint="eastAsia" w:ascii="Times New Roman" w:hAnsi="Times New Roman" w:eastAsia="宋体" w:cs="Times New Roman"/>
          <w:color w:val="000000" w:themeColor="text1"/>
          <w14:textFill>
            <w14:solidFill>
              <w14:schemeClr w14:val="tx1"/>
            </w14:solidFill>
          </w14:textFill>
        </w:rPr>
        <w:t>7.1.</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生产工艺过程与大气环境风险控制水平（M）评估</w:t>
      </w:r>
      <w:bookmarkEnd w:id="256"/>
      <w:bookmarkEnd w:id="257"/>
    </w:p>
    <w:bookmarkEnd w:id="258"/>
    <w:p w14:paraId="71B96014">
      <w:pPr>
        <w:pStyle w:val="13"/>
        <w:spacing w:before="0" w:after="0" w:line="500" w:lineRule="exact"/>
        <w:ind w:left="0" w:right="0" w:firstLine="480" w:firstLineChars="200"/>
        <w:rPr>
          <w:rFonts w:hint="default" w:eastAsia="宋体"/>
        </w:rPr>
      </w:pPr>
      <w:r>
        <w:rPr>
          <w:rFonts w:hint="default" w:eastAsia="宋体"/>
        </w:rPr>
        <w:t>采用评分法对企业生产工艺过程、大气环境风险防控措施及突发大气环境事</w:t>
      </w:r>
      <w:r>
        <w:rPr>
          <w:rFonts w:hint="default" w:eastAsia="宋体"/>
          <w:spacing w:val="-8"/>
        </w:rPr>
        <w:t>件发生情况进行评估，将各项指标分值累加，确定企业生产工艺过程与大气环境</w:t>
      </w:r>
      <w:r>
        <w:rPr>
          <w:rFonts w:hint="default" w:eastAsia="宋体"/>
        </w:rPr>
        <w:t>风险控制水平（</w:t>
      </w:r>
      <w:r>
        <w:rPr>
          <w:rFonts w:hint="default" w:ascii="Times New Roman" w:eastAsia="宋体"/>
        </w:rPr>
        <w:t>M</w:t>
      </w:r>
      <w:r>
        <w:rPr>
          <w:rFonts w:hint="default" w:eastAsia="宋体"/>
        </w:rPr>
        <w:t>）。</w:t>
      </w:r>
    </w:p>
    <w:p w14:paraId="447A1778">
      <w:pPr>
        <w:pStyle w:val="153"/>
        <w:numPr>
          <w:ilvl w:val="-1"/>
          <w:numId w:val="0"/>
        </w:numPr>
        <w:tabs>
          <w:tab w:val="left" w:pos="1379"/>
        </w:tabs>
        <w:spacing w:before="0" w:after="0" w:line="500" w:lineRule="exact"/>
        <w:ind w:left="480" w:leftChars="200" w:right="0" w:firstLine="0" w:firstLineChars="0"/>
        <w:jc w:val="both"/>
        <w:rPr>
          <w:rFonts w:hint="default" w:eastAsia="宋体"/>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w:t>
      </w:r>
      <w:r>
        <w:rPr>
          <w:rFonts w:hint="default" w:eastAsia="宋体"/>
          <w:sz w:val="24"/>
        </w:rPr>
        <w:t>生产工艺过程含有风险工艺和设备情况</w:t>
      </w:r>
    </w:p>
    <w:p w14:paraId="5D9B082C">
      <w:pPr>
        <w:pStyle w:val="13"/>
        <w:spacing w:before="0" w:after="0" w:line="500" w:lineRule="exact"/>
        <w:ind w:left="0" w:firstLine="480" w:firstLineChars="200"/>
        <w:rPr>
          <w:rFonts w:hint="default" w:eastAsia="宋体"/>
        </w:rPr>
      </w:pPr>
      <w:r>
        <w:rPr>
          <w:rFonts w:hint="default" w:eastAsia="宋体"/>
        </w:rPr>
        <w:t>从上文章节</w:t>
      </w:r>
      <w:r>
        <w:rPr>
          <w:rFonts w:hint="default" w:ascii="Times New Roman" w:eastAsia="宋体"/>
        </w:rPr>
        <w:t>3.5.</w:t>
      </w:r>
      <w:r>
        <w:rPr>
          <w:rFonts w:hint="eastAsia" w:ascii="Times New Roman" w:hAnsi="Times New Roman" w:eastAsia="宋体" w:cs="Times New Roman"/>
          <w:lang w:eastAsia="zh-CN"/>
        </w:rPr>
        <w:t>3</w:t>
      </w:r>
      <w:r>
        <w:rPr>
          <w:rFonts w:hint="default" w:eastAsia="宋体"/>
        </w:rPr>
        <w:t>可知，企业生产工艺过程评分为</w:t>
      </w:r>
      <w:r>
        <w:rPr>
          <w:rFonts w:hint="eastAsia" w:eastAsia="宋体" w:cs="Times New Roman"/>
          <w:lang w:val="en-US" w:eastAsia="zh-CN"/>
        </w:rPr>
        <w:t>5</w:t>
      </w:r>
      <w:r>
        <w:rPr>
          <w:rFonts w:hint="default" w:eastAsia="宋体"/>
        </w:rPr>
        <w:t>分。</w:t>
      </w:r>
    </w:p>
    <w:p w14:paraId="0CCFAC84">
      <w:pPr>
        <w:pStyle w:val="153"/>
        <w:numPr>
          <w:ilvl w:val="-1"/>
          <w:numId w:val="0"/>
        </w:numPr>
        <w:tabs>
          <w:tab w:val="left" w:pos="1379"/>
        </w:tabs>
        <w:spacing w:before="0" w:after="0" w:line="500" w:lineRule="exact"/>
        <w:ind w:left="480" w:leftChars="200" w:right="0" w:firstLine="0" w:firstLineChars="0"/>
        <w:jc w:val="both"/>
        <w:rPr>
          <w:rFonts w:hint="default" w:eastAsia="宋体"/>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w:t>
      </w:r>
      <w:r>
        <w:rPr>
          <w:rFonts w:hint="default" w:eastAsia="宋体"/>
          <w:sz w:val="24"/>
        </w:rPr>
        <w:t>大气环境风险防控措施及突发大气环境事件发生情况</w:t>
      </w:r>
    </w:p>
    <w:p w14:paraId="4C7E38EC">
      <w:pPr>
        <w:snapToGrid w:val="0"/>
        <w:spacing w:line="500" w:lineRule="exact"/>
        <w:jc w:val="both"/>
        <w:rPr>
          <w:rFonts w:hint="default" w:ascii="Times New Roman" w:hAnsi="Times New Roman" w:eastAsia="宋体" w:cs="Times New Roman"/>
        </w:rPr>
      </w:pPr>
      <w:r>
        <w:rPr>
          <w:rFonts w:hint="default" w:eastAsia="宋体"/>
        </w:rPr>
        <w:t>公司大气环境风险防控措施与突发大气环境事件发生情况评估评估指标见</w:t>
      </w:r>
      <w:r>
        <w:rPr>
          <w:rFonts w:hint="default" w:ascii="Times New Roman" w:eastAsia="宋体"/>
        </w:rPr>
        <w:t>7-2</w:t>
      </w:r>
      <w:r>
        <w:rPr>
          <w:rFonts w:hint="default" w:eastAsia="宋体"/>
        </w:rPr>
        <w:t>。对各项评估指标分别评分、计算总和，各项指标分值合计最高为</w:t>
      </w:r>
      <w:r>
        <w:rPr>
          <w:rFonts w:hint="default" w:ascii="Times New Roman" w:eastAsia="宋体"/>
        </w:rPr>
        <w:t>70</w:t>
      </w:r>
      <w:r>
        <w:rPr>
          <w:rFonts w:hint="default" w:eastAsia="宋体"/>
        </w:rPr>
        <w:t>分。</w:t>
      </w:r>
    </w:p>
    <w:p w14:paraId="1E652818">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7-2大气</w:t>
      </w:r>
      <w:r>
        <w:rPr>
          <w:rFonts w:eastAsiaTheme="minorEastAsia"/>
          <w:b/>
          <w:color w:val="000000" w:themeColor="text1"/>
          <w:sz w:val="24"/>
          <w:szCs w:val="24"/>
          <w14:textFill>
            <w14:solidFill>
              <w14:schemeClr w14:val="tx1"/>
            </w14:solidFill>
          </w14:textFill>
        </w:rPr>
        <w:t>环境风险防控措施与突发环境事件发生情况评估</w:t>
      </w:r>
    </w:p>
    <w:tbl>
      <w:tblPr>
        <w:tblStyle w:val="37"/>
        <w:tblW w:w="505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33"/>
        <w:gridCol w:w="5337"/>
        <w:gridCol w:w="509"/>
        <w:gridCol w:w="1865"/>
        <w:gridCol w:w="569"/>
      </w:tblGrid>
      <w:tr w14:paraId="699AB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3" w:hRule="atLeast"/>
          <w:tblHeader/>
        </w:trPr>
        <w:tc>
          <w:tcPr>
            <w:tcW w:w="3678" w:type="pct"/>
            <w:gridSpan w:val="3"/>
            <w:vAlign w:val="center"/>
          </w:tcPr>
          <w:p w14:paraId="7732D3A3">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企业突发环境事件风险分级方法</w:t>
            </w:r>
          </w:p>
        </w:tc>
        <w:tc>
          <w:tcPr>
            <w:tcW w:w="1321" w:type="pct"/>
            <w:gridSpan w:val="2"/>
            <w:vAlign w:val="center"/>
          </w:tcPr>
          <w:p w14:paraId="1559B2FE">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企业现状</w:t>
            </w:r>
          </w:p>
        </w:tc>
      </w:tr>
      <w:tr w14:paraId="08679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blHeader/>
        </w:trPr>
        <w:tc>
          <w:tcPr>
            <w:tcW w:w="506" w:type="pct"/>
            <w:vAlign w:val="center"/>
          </w:tcPr>
          <w:p w14:paraId="0F9E5EE7">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评估指标</w:t>
            </w:r>
          </w:p>
        </w:tc>
        <w:tc>
          <w:tcPr>
            <w:tcW w:w="2896" w:type="pct"/>
            <w:vAlign w:val="center"/>
          </w:tcPr>
          <w:p w14:paraId="54E2656E">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评估依据</w:t>
            </w:r>
          </w:p>
        </w:tc>
        <w:tc>
          <w:tcPr>
            <w:tcW w:w="275" w:type="pct"/>
            <w:vAlign w:val="center"/>
          </w:tcPr>
          <w:p w14:paraId="291B26BC">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c>
          <w:tcPr>
            <w:tcW w:w="1012" w:type="pct"/>
            <w:vAlign w:val="center"/>
          </w:tcPr>
          <w:p w14:paraId="6DD89263">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企业目前情况</w:t>
            </w:r>
          </w:p>
        </w:tc>
        <w:tc>
          <w:tcPr>
            <w:tcW w:w="309" w:type="pct"/>
            <w:vAlign w:val="center"/>
          </w:tcPr>
          <w:p w14:paraId="26A1327E">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得分</w:t>
            </w:r>
          </w:p>
        </w:tc>
      </w:tr>
      <w:tr w14:paraId="06497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506" w:type="pct"/>
            <w:vMerge w:val="restart"/>
            <w:vAlign w:val="center"/>
          </w:tcPr>
          <w:p w14:paraId="796C53BA">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毒性气体泄漏监控预警措施</w:t>
            </w:r>
          </w:p>
        </w:tc>
        <w:tc>
          <w:tcPr>
            <w:tcW w:w="2896" w:type="pct"/>
            <w:vAlign w:val="center"/>
          </w:tcPr>
          <w:p w14:paraId="38692CDC">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（1）不涉及附录A中有毒有害气体的；或</w:t>
            </w:r>
          </w:p>
          <w:p w14:paraId="09DEC618">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（2）根据实际情况，具备有毒有害气体（如硫化氢、氰化氢、氯化氢、光气、氯气、氨气、苯等）厂界泄漏监控预警系统的</w:t>
            </w:r>
          </w:p>
        </w:tc>
        <w:tc>
          <w:tcPr>
            <w:tcW w:w="275" w:type="pct"/>
            <w:vAlign w:val="center"/>
          </w:tcPr>
          <w:p w14:paraId="2A6F57D0">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restart"/>
            <w:vAlign w:val="center"/>
          </w:tcPr>
          <w:p w14:paraId="7715B813">
            <w:pP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公司不涉及附录A中有毒有害气体的</w:t>
            </w:r>
          </w:p>
        </w:tc>
        <w:tc>
          <w:tcPr>
            <w:tcW w:w="309" w:type="pct"/>
            <w:vMerge w:val="restart"/>
            <w:vAlign w:val="center"/>
          </w:tcPr>
          <w:p w14:paraId="6F2EB024">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046EF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1E69C562">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4B562E41">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不具备厂界泄漏监控预警系统的</w:t>
            </w:r>
          </w:p>
        </w:tc>
        <w:tc>
          <w:tcPr>
            <w:tcW w:w="275" w:type="pct"/>
            <w:vAlign w:val="center"/>
          </w:tcPr>
          <w:p w14:paraId="1FD27334">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25</w:t>
            </w:r>
          </w:p>
        </w:tc>
        <w:tc>
          <w:tcPr>
            <w:tcW w:w="1012" w:type="pct"/>
            <w:vMerge w:val="continue"/>
            <w:vAlign w:val="center"/>
          </w:tcPr>
          <w:p w14:paraId="066A9FD0">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1BE9B1E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694B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4462B468">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符合防护距离情况</w:t>
            </w:r>
          </w:p>
        </w:tc>
        <w:tc>
          <w:tcPr>
            <w:tcW w:w="2896" w:type="pct"/>
            <w:vAlign w:val="center"/>
          </w:tcPr>
          <w:p w14:paraId="771910B4">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符合环评及批复文件防护距离要求的</w:t>
            </w:r>
          </w:p>
        </w:tc>
        <w:tc>
          <w:tcPr>
            <w:tcW w:w="275" w:type="pct"/>
            <w:vAlign w:val="center"/>
          </w:tcPr>
          <w:p w14:paraId="065A805B">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restart"/>
            <w:vAlign w:val="center"/>
          </w:tcPr>
          <w:p w14:paraId="38185F48">
            <w:pPr>
              <w:widowControl/>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eastAsia="宋体"/>
                <w:kern w:val="0"/>
                <w:sz w:val="21"/>
                <w:szCs w:val="21"/>
                <w:lang w:val="en-US" w:eastAsia="zh-CN"/>
              </w:rPr>
              <w:t>防护距离内无敏感目标</w:t>
            </w:r>
          </w:p>
        </w:tc>
        <w:tc>
          <w:tcPr>
            <w:tcW w:w="309" w:type="pct"/>
            <w:vMerge w:val="restart"/>
            <w:vAlign w:val="center"/>
          </w:tcPr>
          <w:p w14:paraId="6A7E91BB">
            <w:pPr>
              <w:autoSpaceDE w:val="0"/>
              <w:autoSpaceDN w:val="0"/>
              <w:adjustRightInd w:val="0"/>
              <w:snapToGri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7B5AB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5A08AB62">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3D3AC77C">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不符合环评及批复文件防护距离要求的</w:t>
            </w:r>
          </w:p>
        </w:tc>
        <w:tc>
          <w:tcPr>
            <w:tcW w:w="275" w:type="pct"/>
            <w:vAlign w:val="center"/>
          </w:tcPr>
          <w:p w14:paraId="408E4BAD">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25</w:t>
            </w:r>
          </w:p>
        </w:tc>
        <w:tc>
          <w:tcPr>
            <w:tcW w:w="1012" w:type="pct"/>
            <w:vMerge w:val="continue"/>
            <w:vAlign w:val="center"/>
          </w:tcPr>
          <w:p w14:paraId="608021AB">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26E31E71">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7DCEC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0844C8C1">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近3年内突发大气环境事件发生情况</w:t>
            </w:r>
          </w:p>
        </w:tc>
        <w:tc>
          <w:tcPr>
            <w:tcW w:w="2896" w:type="pct"/>
            <w:vAlign w:val="center"/>
          </w:tcPr>
          <w:p w14:paraId="13A4F23C">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发生过特别重大或重大等级突发大气环境事件的</w:t>
            </w:r>
          </w:p>
        </w:tc>
        <w:tc>
          <w:tcPr>
            <w:tcW w:w="275" w:type="pct"/>
            <w:vAlign w:val="center"/>
          </w:tcPr>
          <w:p w14:paraId="0ECC1695">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20</w:t>
            </w:r>
          </w:p>
        </w:tc>
        <w:tc>
          <w:tcPr>
            <w:tcW w:w="1012" w:type="pct"/>
            <w:vMerge w:val="restart"/>
            <w:vAlign w:val="center"/>
          </w:tcPr>
          <w:p w14:paraId="210EFB24">
            <w:pPr>
              <w:widowControl/>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未发生过突发大气环境事件。</w:t>
            </w:r>
          </w:p>
        </w:tc>
        <w:tc>
          <w:tcPr>
            <w:tcW w:w="309" w:type="pct"/>
            <w:vMerge w:val="restart"/>
            <w:vAlign w:val="center"/>
          </w:tcPr>
          <w:p w14:paraId="3824A67C">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5C83E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289D4AD6">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0750E1C6">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发生过较大等级突发大气环境事件的</w:t>
            </w:r>
          </w:p>
        </w:tc>
        <w:tc>
          <w:tcPr>
            <w:tcW w:w="275" w:type="pct"/>
            <w:vAlign w:val="center"/>
          </w:tcPr>
          <w:p w14:paraId="6B23158D">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15</w:t>
            </w:r>
          </w:p>
        </w:tc>
        <w:tc>
          <w:tcPr>
            <w:tcW w:w="1012" w:type="pct"/>
            <w:vMerge w:val="continue"/>
            <w:vAlign w:val="center"/>
          </w:tcPr>
          <w:p w14:paraId="5344660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1E3E338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07544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0CEBB73E">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5D0B6B66">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发生过一般等级突发大气环境事件的</w:t>
            </w:r>
          </w:p>
        </w:tc>
        <w:tc>
          <w:tcPr>
            <w:tcW w:w="275" w:type="pct"/>
            <w:vAlign w:val="center"/>
          </w:tcPr>
          <w:p w14:paraId="6927273F">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10</w:t>
            </w:r>
          </w:p>
        </w:tc>
        <w:tc>
          <w:tcPr>
            <w:tcW w:w="1012" w:type="pct"/>
            <w:vMerge w:val="continue"/>
            <w:vAlign w:val="center"/>
          </w:tcPr>
          <w:p w14:paraId="37DA92C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068BB811">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04811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506" w:type="pct"/>
            <w:vMerge w:val="continue"/>
            <w:vAlign w:val="center"/>
          </w:tcPr>
          <w:p w14:paraId="38CC4E89">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0F90B6D9">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未发生突发大气环境事件的</w:t>
            </w:r>
          </w:p>
        </w:tc>
        <w:tc>
          <w:tcPr>
            <w:tcW w:w="275" w:type="pct"/>
            <w:vAlign w:val="center"/>
          </w:tcPr>
          <w:p w14:paraId="4EBD8A6B">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continue"/>
            <w:vAlign w:val="center"/>
          </w:tcPr>
          <w:p w14:paraId="48DE596F">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0F4A92AA">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bl>
    <w:p w14:paraId="112F17BF">
      <w:pPr>
        <w:pStyle w:val="13"/>
        <w:spacing w:after="0" w:line="500" w:lineRule="exact"/>
        <w:ind w:left="0" w:firstLine="480" w:firstLineChars="200"/>
        <w:rPr>
          <w:rFonts w:hint="default" w:eastAsia="宋体"/>
        </w:rPr>
      </w:pPr>
      <w:r>
        <w:rPr>
          <w:rFonts w:hint="default" w:eastAsia="宋体"/>
        </w:rPr>
        <w:t>从上表可知，得分为</w:t>
      </w:r>
      <w:r>
        <w:rPr>
          <w:rFonts w:hint="default" w:ascii="Times New Roman" w:eastAsia="宋体"/>
          <w:sz w:val="24"/>
        </w:rPr>
        <w:t>0</w:t>
      </w:r>
      <w:r>
        <w:rPr>
          <w:rFonts w:hint="default" w:eastAsia="宋体"/>
        </w:rPr>
        <w:t>分。</w:t>
      </w:r>
    </w:p>
    <w:p w14:paraId="1C564144">
      <w:pPr>
        <w:pStyle w:val="153"/>
        <w:numPr>
          <w:ilvl w:val="-1"/>
          <w:numId w:val="0"/>
        </w:numPr>
        <w:tabs>
          <w:tab w:val="left" w:pos="1379"/>
        </w:tabs>
        <w:spacing w:before="0" w:after="0" w:line="500" w:lineRule="exact"/>
        <w:ind w:left="0" w:leftChars="0" w:right="0" w:firstLine="480"/>
        <w:jc w:val="both"/>
        <w:rPr>
          <w:rFonts w:hint="default" w:eastAsia="宋体"/>
          <w:sz w:val="24"/>
        </w:rPr>
      </w:pPr>
      <w:r>
        <w:rPr>
          <w:rFonts w:hint="default" w:eastAsia="宋体"/>
          <w:sz w:val="24"/>
          <w:lang w:eastAsia="zh-CN"/>
        </w:rPr>
        <w:t>（</w:t>
      </w:r>
      <w:r>
        <w:rPr>
          <w:rFonts w:hint="default" w:eastAsia="宋体"/>
          <w:sz w:val="24"/>
          <w:lang w:val="en-US" w:eastAsia="zh-CN"/>
        </w:rPr>
        <w:t>3</w:t>
      </w:r>
      <w:r>
        <w:rPr>
          <w:rFonts w:hint="default" w:eastAsia="宋体"/>
          <w:sz w:val="24"/>
          <w:lang w:eastAsia="zh-CN"/>
        </w:rPr>
        <w:t>）</w:t>
      </w:r>
      <w:r>
        <w:rPr>
          <w:rFonts w:hint="default" w:eastAsia="宋体"/>
          <w:sz w:val="24"/>
        </w:rPr>
        <w:t>企业生产工艺过程与大气环境风险控制水平</w:t>
      </w:r>
    </w:p>
    <w:p w14:paraId="38680A71">
      <w:pPr>
        <w:spacing w:before="0" w:line="500" w:lineRule="exact"/>
        <w:ind w:left="0" w:right="0" w:firstLine="440" w:firstLineChars="200"/>
        <w:jc w:val="both"/>
        <w:outlineLvl w:val="9"/>
        <w:rPr>
          <w:rFonts w:hint="default" w:ascii="Times New Roman" w:hAnsi="Times New Roman" w:eastAsia="宋体" w:cs="Times New Roman"/>
        </w:rPr>
      </w:pPr>
      <w:r>
        <w:rPr>
          <w:rFonts w:hint="default" w:ascii="Times New Roman" w:hAnsi="Times New Roman" w:eastAsia="宋体" w:cs="Times New Roman"/>
          <w:spacing w:val="-10"/>
        </w:rPr>
        <w:t>将企业生产工艺过程、大气环境风险防控措施及突发大气环境事件发生情况</w:t>
      </w:r>
      <w:r>
        <w:rPr>
          <w:rFonts w:hint="default" w:ascii="Times New Roman" w:hAnsi="Times New Roman" w:eastAsia="宋体" w:cs="Times New Roman"/>
          <w:spacing w:val="-8"/>
        </w:rPr>
        <w:t>各项指标评估分值累加，得出生产工艺过程与大气环境风险控制水平值，按照表</w:t>
      </w:r>
      <w:r>
        <w:rPr>
          <w:rFonts w:hint="default" w:ascii="Times New Roman" w:hAnsi="Times New Roman" w:eastAsia="宋体" w:cs="Times New Roman"/>
        </w:rPr>
        <w:t>7-3</w:t>
      </w:r>
      <w:r>
        <w:rPr>
          <w:rFonts w:hint="default" w:ascii="Times New Roman" w:hAnsi="Times New Roman" w:eastAsia="宋体" w:cs="Times New Roman"/>
          <w:spacing w:val="-16"/>
        </w:rPr>
        <w:t>划分为</w:t>
      </w:r>
      <w:r>
        <w:rPr>
          <w:rFonts w:hint="default" w:ascii="Times New Roman" w:hAnsi="Times New Roman" w:eastAsia="宋体" w:cs="Times New Roman"/>
        </w:rPr>
        <w:t>4个类型。</w:t>
      </w:r>
    </w:p>
    <w:p w14:paraId="25D0BC45">
      <w:pPr>
        <w:adjustRightInd w:val="0"/>
        <w:snapToGrid w:val="0"/>
        <w:spacing w:line="500" w:lineRule="exact"/>
        <w:jc w:val="center"/>
        <w:rPr>
          <w:rFonts w:hint="default" w:ascii="Times New Roman" w:hAnsi="Times New Roman" w:eastAsia="宋体" w:cs="Times New Roman"/>
          <w:snapToGrid w:val="0"/>
          <w:kern w:val="0"/>
          <w:sz w:val="24"/>
          <w:szCs w:val="24"/>
        </w:rPr>
      </w:pPr>
      <w:r>
        <w:rPr>
          <w:rFonts w:hint="default" w:ascii="Times New Roman" w:hAnsi="Times New Roman" w:eastAsia="宋体" w:cs="Times New Roman"/>
          <w:b/>
          <w:bCs/>
          <w:snapToGrid w:val="0"/>
          <w:kern w:val="0"/>
          <w:sz w:val="24"/>
          <w:szCs w:val="24"/>
        </w:rPr>
        <w:t>表</w:t>
      </w:r>
      <w:r>
        <w:rPr>
          <w:rFonts w:hint="eastAsia" w:ascii="Times New Roman" w:hAnsi="Times New Roman" w:eastAsia="宋体" w:cs="Times New Roman"/>
          <w:b/>
          <w:bCs/>
          <w:snapToGrid w:val="0"/>
          <w:kern w:val="0"/>
          <w:sz w:val="24"/>
          <w:szCs w:val="24"/>
          <w:lang w:val="en-US" w:eastAsia="zh-CN"/>
        </w:rPr>
        <w:t>7-3</w:t>
      </w:r>
      <w:r>
        <w:rPr>
          <w:rFonts w:hint="default" w:ascii="Times New Roman" w:hAnsi="Times New Roman" w:eastAsia="宋体" w:cs="Times New Roman"/>
          <w:b/>
          <w:bCs/>
          <w:snapToGrid w:val="0"/>
          <w:kern w:val="0"/>
          <w:sz w:val="24"/>
          <w:szCs w:val="24"/>
        </w:rPr>
        <w:t>企业生产工艺过程与环境风险控制水平对照表</w:t>
      </w:r>
    </w:p>
    <w:tbl>
      <w:tblPr>
        <w:tblStyle w:val="37"/>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51"/>
        <w:gridCol w:w="4502"/>
      </w:tblGrid>
      <w:tr w14:paraId="7A171D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67815770">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生产工艺过程与环境风险控制水平值(M)</w:t>
            </w:r>
          </w:p>
        </w:tc>
        <w:tc>
          <w:tcPr>
            <w:tcW w:w="2459" w:type="pct"/>
            <w:tcBorders>
              <w:tl2br w:val="nil"/>
              <w:tr2bl w:val="nil"/>
            </w:tcBorders>
            <w:vAlign w:val="center"/>
          </w:tcPr>
          <w:p w14:paraId="3128CA0F">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生产工艺过程与环境风险及其控制水平</w:t>
            </w:r>
          </w:p>
        </w:tc>
      </w:tr>
      <w:tr w14:paraId="10C59C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356B3FE5">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M＜25</w:t>
            </w:r>
          </w:p>
        </w:tc>
        <w:tc>
          <w:tcPr>
            <w:tcW w:w="2459" w:type="pct"/>
            <w:tcBorders>
              <w:tl2br w:val="nil"/>
              <w:tr2bl w:val="nil"/>
            </w:tcBorders>
            <w:shd w:val="clear" w:color="auto" w:fill="FFFFFF" w:themeFill="background1"/>
            <w:vAlign w:val="center"/>
          </w:tcPr>
          <w:p w14:paraId="16850ECE">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M1</w:t>
            </w:r>
          </w:p>
        </w:tc>
      </w:tr>
      <w:tr w14:paraId="1107A8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1FBA7694">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25≤M＜45</w:t>
            </w:r>
          </w:p>
        </w:tc>
        <w:tc>
          <w:tcPr>
            <w:tcW w:w="2459" w:type="pct"/>
            <w:tcBorders>
              <w:tl2br w:val="nil"/>
              <w:tr2bl w:val="nil"/>
            </w:tcBorders>
            <w:shd w:val="clear" w:color="auto" w:fill="auto"/>
            <w:vAlign w:val="center"/>
          </w:tcPr>
          <w:p w14:paraId="0526FC10">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w:t>
            </w:r>
          </w:p>
        </w:tc>
      </w:tr>
      <w:tr w14:paraId="685A4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1ABDB8A9">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45≤M＜60</w:t>
            </w:r>
          </w:p>
        </w:tc>
        <w:tc>
          <w:tcPr>
            <w:tcW w:w="2459" w:type="pct"/>
            <w:tcBorders>
              <w:tl2br w:val="nil"/>
              <w:tr2bl w:val="nil"/>
            </w:tcBorders>
            <w:vAlign w:val="center"/>
          </w:tcPr>
          <w:p w14:paraId="39D3B03F">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M3</w:t>
            </w:r>
          </w:p>
        </w:tc>
      </w:tr>
      <w:tr w14:paraId="129B2E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1FA59A61">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M≥60</w:t>
            </w:r>
          </w:p>
        </w:tc>
        <w:tc>
          <w:tcPr>
            <w:tcW w:w="2459" w:type="pct"/>
            <w:tcBorders>
              <w:tl2br w:val="nil"/>
              <w:tr2bl w:val="nil"/>
            </w:tcBorders>
            <w:vAlign w:val="center"/>
          </w:tcPr>
          <w:p w14:paraId="719D8D3D">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M4</w:t>
            </w:r>
          </w:p>
        </w:tc>
      </w:tr>
    </w:tbl>
    <w:p w14:paraId="578C3697">
      <w:pPr>
        <w:pStyle w:val="13"/>
        <w:spacing w:after="0" w:line="365" w:lineRule="auto"/>
        <w:ind w:left="0" w:right="0" w:firstLine="440" w:firstLineChars="200"/>
        <w:jc w:val="both"/>
        <w:rPr>
          <w:rFonts w:eastAsia="宋体"/>
          <w:spacing w:val="-10"/>
        </w:rPr>
      </w:pPr>
      <w:r>
        <w:rPr>
          <w:rFonts w:eastAsia="宋体"/>
          <w:spacing w:val="-10"/>
        </w:rPr>
        <w:t>由上文可知，公司环境风险及其控制水平（</w:t>
      </w:r>
      <w:r>
        <w:rPr>
          <w:rFonts w:ascii="Times New Roman" w:eastAsia="宋体"/>
          <w:spacing w:val="-10"/>
        </w:rPr>
        <w:t>M</w:t>
      </w:r>
      <w:r>
        <w:rPr>
          <w:rFonts w:eastAsia="宋体"/>
          <w:spacing w:val="-10"/>
        </w:rPr>
        <w:t>）现状得分为</w:t>
      </w:r>
      <w:r>
        <w:rPr>
          <w:rFonts w:hint="eastAsia" w:eastAsia="宋体"/>
          <w:spacing w:val="-10"/>
          <w:lang w:val="en-US" w:eastAsia="zh-CN"/>
        </w:rPr>
        <w:t>5</w:t>
      </w:r>
      <w:r>
        <w:rPr>
          <w:rFonts w:eastAsia="宋体"/>
          <w:spacing w:val="-10"/>
        </w:rPr>
        <w:t>分，企业大气环境风险及其控制水平为</w:t>
      </w:r>
      <w:r>
        <w:rPr>
          <w:rFonts w:ascii="Times New Roman" w:eastAsia="宋体"/>
          <w:spacing w:val="-10"/>
        </w:rPr>
        <w:t>M</w:t>
      </w:r>
      <w:r>
        <w:rPr>
          <w:rFonts w:ascii="Times New Roman" w:eastAsia="宋体"/>
          <w:spacing w:val="-10"/>
          <w:sz w:val="24"/>
        </w:rPr>
        <w:t>1</w:t>
      </w:r>
      <w:r>
        <w:rPr>
          <w:rFonts w:eastAsia="宋体"/>
          <w:spacing w:val="-10"/>
        </w:rPr>
        <w:t>类水平。</w:t>
      </w:r>
    </w:p>
    <w:p w14:paraId="25640A0D">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59" w:name="7.1.3大气环境风险受体敏感程度（E）评估"/>
      <w:bookmarkEnd w:id="259"/>
      <w:bookmarkStart w:id="260" w:name="_Toc12402"/>
      <w:bookmarkStart w:id="261" w:name="_Toc15903"/>
      <w:bookmarkStart w:id="262" w:name="_TOC_250019"/>
      <w:r>
        <w:rPr>
          <w:rFonts w:hint="eastAsia" w:ascii="Times New Roman" w:hAnsi="Times New Roman" w:eastAsia="宋体" w:cs="Times New Roman"/>
          <w:color w:val="000000" w:themeColor="text1"/>
          <w14:textFill>
            <w14:solidFill>
              <w14:schemeClr w14:val="tx1"/>
            </w14:solidFill>
          </w14:textFill>
        </w:rPr>
        <w:t>7.1.</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大气环境风险受体敏感程度（E）评估</w:t>
      </w:r>
      <w:bookmarkEnd w:id="260"/>
      <w:bookmarkEnd w:id="261"/>
    </w:p>
    <w:bookmarkEnd w:id="262"/>
    <w:p w14:paraId="3DEB1376">
      <w:pPr>
        <w:pStyle w:val="13"/>
        <w:spacing w:before="0" w:after="0" w:line="500" w:lineRule="exact"/>
        <w:ind w:left="0" w:right="0" w:firstLine="440" w:firstLineChars="200"/>
        <w:jc w:val="both"/>
        <w:rPr>
          <w:rFonts w:eastAsia="宋体"/>
          <w:spacing w:val="-10"/>
        </w:rPr>
      </w:pPr>
      <w:r>
        <w:rPr>
          <w:rFonts w:eastAsia="宋体"/>
          <w:spacing w:val="-10"/>
        </w:rPr>
        <w:t>大气环境风险受体敏感程度类型按照企业周边人口数进行划分。按照企业周边</w:t>
      </w:r>
      <w:r>
        <w:rPr>
          <w:rFonts w:ascii="Times New Roman" w:eastAsia="宋体"/>
          <w:spacing w:val="-10"/>
        </w:rPr>
        <w:t>5</w:t>
      </w:r>
      <w:r>
        <w:rPr>
          <w:rFonts w:eastAsia="宋体"/>
          <w:spacing w:val="-10"/>
        </w:rPr>
        <w:t>公里或</w:t>
      </w:r>
      <w:r>
        <w:rPr>
          <w:rFonts w:ascii="Times New Roman" w:eastAsia="宋体"/>
          <w:spacing w:val="-10"/>
        </w:rPr>
        <w:t>500</w:t>
      </w:r>
      <w:r>
        <w:rPr>
          <w:rFonts w:eastAsia="宋体"/>
          <w:spacing w:val="-10"/>
        </w:rPr>
        <w:t>米范围内人口数将大气环境风险受体敏感程度划分为类型</w:t>
      </w:r>
      <w:r>
        <w:rPr>
          <w:rFonts w:ascii="Times New Roman" w:eastAsia="宋体"/>
          <w:spacing w:val="-10"/>
        </w:rPr>
        <w:t>1</w:t>
      </w:r>
      <w:r>
        <w:rPr>
          <w:rFonts w:eastAsia="宋体"/>
          <w:spacing w:val="-10"/>
        </w:rPr>
        <w:t>、类型</w:t>
      </w:r>
      <w:r>
        <w:rPr>
          <w:rFonts w:ascii="Times New Roman" w:eastAsia="宋体"/>
          <w:spacing w:val="-10"/>
        </w:rPr>
        <w:t>2</w:t>
      </w:r>
      <w:r>
        <w:rPr>
          <w:rFonts w:eastAsia="宋体"/>
          <w:spacing w:val="-10"/>
        </w:rPr>
        <w:t>和类型</w:t>
      </w:r>
      <w:r>
        <w:rPr>
          <w:rFonts w:ascii="Times New Roman" w:eastAsia="宋体"/>
          <w:spacing w:val="-10"/>
        </w:rPr>
        <w:t>3</w:t>
      </w:r>
      <w:r>
        <w:rPr>
          <w:rFonts w:eastAsia="宋体"/>
          <w:spacing w:val="-10"/>
        </w:rPr>
        <w:t>三种类型，分别以</w:t>
      </w:r>
      <w:r>
        <w:rPr>
          <w:rFonts w:ascii="Times New Roman" w:eastAsia="宋体"/>
          <w:spacing w:val="-10"/>
        </w:rPr>
        <w:t>E1</w:t>
      </w:r>
      <w:r>
        <w:rPr>
          <w:rFonts w:eastAsia="宋体"/>
          <w:spacing w:val="-10"/>
        </w:rPr>
        <w:t>、</w:t>
      </w:r>
      <w:r>
        <w:rPr>
          <w:rFonts w:ascii="Times New Roman" w:eastAsia="宋体"/>
          <w:spacing w:val="-10"/>
        </w:rPr>
        <w:t>E2</w:t>
      </w:r>
      <w:r>
        <w:rPr>
          <w:rFonts w:eastAsia="宋体"/>
          <w:spacing w:val="-10"/>
        </w:rPr>
        <w:t>和</w:t>
      </w:r>
      <w:r>
        <w:rPr>
          <w:rFonts w:ascii="Times New Roman" w:eastAsia="宋体"/>
          <w:spacing w:val="-10"/>
        </w:rPr>
        <w:t>E3</w:t>
      </w:r>
      <w:r>
        <w:rPr>
          <w:rFonts w:eastAsia="宋体"/>
          <w:spacing w:val="-10"/>
        </w:rPr>
        <w:t>表示，见表</w:t>
      </w:r>
      <w:r>
        <w:rPr>
          <w:rFonts w:ascii="Times New Roman" w:eastAsia="宋体"/>
          <w:spacing w:val="-10"/>
        </w:rPr>
        <w:t>7-4</w:t>
      </w:r>
      <w:r>
        <w:rPr>
          <w:rFonts w:eastAsia="宋体"/>
          <w:spacing w:val="-10"/>
        </w:rPr>
        <w:t>。</w:t>
      </w:r>
    </w:p>
    <w:p w14:paraId="587E1B5C">
      <w:pPr>
        <w:pStyle w:val="13"/>
        <w:spacing w:after="0" w:line="500" w:lineRule="exact"/>
        <w:ind w:left="0" w:right="0" w:firstLine="440" w:firstLineChars="200"/>
        <w:jc w:val="both"/>
        <w:rPr>
          <w:rFonts w:ascii="Times New Roman" w:hAnsi="Times New Roman" w:eastAsia="宋体" w:cs="Times New Roman"/>
          <w:spacing w:val="-10"/>
        </w:rPr>
      </w:pPr>
      <w:r>
        <w:rPr>
          <w:rFonts w:eastAsia="宋体"/>
          <w:spacing w:val="-10"/>
        </w:rPr>
        <w:t>大气环境风险受体敏感程度按类型</w:t>
      </w:r>
      <w:r>
        <w:rPr>
          <w:rFonts w:ascii="Times New Roman" w:eastAsia="宋体"/>
          <w:spacing w:val="-10"/>
        </w:rPr>
        <w:t>1</w:t>
      </w:r>
      <w:r>
        <w:rPr>
          <w:rFonts w:eastAsia="宋体"/>
          <w:spacing w:val="-10"/>
        </w:rPr>
        <w:t>、类型</w:t>
      </w:r>
      <w:r>
        <w:rPr>
          <w:rFonts w:ascii="Times New Roman" w:eastAsia="宋体"/>
          <w:spacing w:val="-10"/>
        </w:rPr>
        <w:t>2</w:t>
      </w:r>
      <w:r>
        <w:rPr>
          <w:rFonts w:eastAsia="宋体"/>
          <w:spacing w:val="-10"/>
        </w:rPr>
        <w:t>和类型</w:t>
      </w:r>
      <w:r>
        <w:rPr>
          <w:rFonts w:ascii="Times New Roman" w:eastAsia="宋体"/>
          <w:spacing w:val="-10"/>
        </w:rPr>
        <w:t>3</w:t>
      </w:r>
      <w:r>
        <w:rPr>
          <w:rFonts w:eastAsia="宋体"/>
          <w:spacing w:val="-10"/>
        </w:rPr>
        <w:t>顺序依次降低。若企业周边存在多种敏感程度类型的大气环境风险受体，则按敏感程度高者确定企业大气环境风险受体敏感程度类型。</w:t>
      </w:r>
    </w:p>
    <w:p w14:paraId="10F2AA37">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7-4</w:t>
      </w:r>
      <w:r>
        <w:rPr>
          <w:rFonts w:eastAsiaTheme="minorEastAsia"/>
          <w:b/>
          <w:color w:val="000000" w:themeColor="text1"/>
          <w:sz w:val="24"/>
          <w:szCs w:val="24"/>
          <w14:textFill>
            <w14:solidFill>
              <w14:schemeClr w14:val="tx1"/>
            </w14:solidFill>
          </w14:textFill>
        </w:rPr>
        <w:t>大气环境风险受体敏感程度划分</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7639"/>
      </w:tblGrid>
      <w:tr w14:paraId="06D4A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8" w:hRule="atLeast"/>
        </w:trPr>
        <w:tc>
          <w:tcPr>
            <w:tcW w:w="894" w:type="pct"/>
            <w:shd w:val="clear" w:color="auto" w:fill="auto"/>
            <w:vAlign w:val="center"/>
          </w:tcPr>
          <w:p w14:paraId="2FDB4C38">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105" w:type="pct"/>
            <w:shd w:val="clear" w:color="auto" w:fill="auto"/>
            <w:vAlign w:val="center"/>
          </w:tcPr>
          <w:p w14:paraId="6DE006AA">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大气环境风险受体</w:t>
            </w:r>
          </w:p>
        </w:tc>
      </w:tr>
      <w:tr w14:paraId="31DAE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4C19B1FC">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w:t>
            </w:r>
          </w:p>
          <w:p w14:paraId="05E1EB56">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（E1）</w:t>
            </w:r>
          </w:p>
        </w:tc>
        <w:tc>
          <w:tcPr>
            <w:tcW w:w="4105" w:type="pct"/>
            <w:shd w:val="clear" w:color="auto" w:fill="auto"/>
            <w:vAlign w:val="center"/>
          </w:tcPr>
          <w:p w14:paraId="7278CF3D">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5万人以上，或企业周边500米范围内人口总数1000人以上，或企业周边5公里涉及军事管理区、国家相关保密区域</w:t>
            </w:r>
          </w:p>
        </w:tc>
      </w:tr>
      <w:tr w14:paraId="43EDB3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7BF2688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w:t>
            </w:r>
          </w:p>
          <w:p w14:paraId="49755B1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（E2）</w:t>
            </w:r>
          </w:p>
        </w:tc>
        <w:tc>
          <w:tcPr>
            <w:tcW w:w="4105" w:type="pct"/>
            <w:shd w:val="clear" w:color="auto" w:fill="auto"/>
            <w:vAlign w:val="center"/>
          </w:tcPr>
          <w:p w14:paraId="2CFF60DA">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企业周边5公里范围内居民、医疗卫生机构、文化教育机构、科研单位、行政机关、企业事业单位、商场、公园等人口总数1万人以上、5万人以下，或企业周边500米范围内人口总数500人以上、1000人以下</w:t>
            </w:r>
          </w:p>
        </w:tc>
      </w:tr>
      <w:tr w14:paraId="1B06D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94" w:type="pct"/>
            <w:shd w:val="clear" w:color="auto" w:fill="auto"/>
            <w:vAlign w:val="center"/>
          </w:tcPr>
          <w:p w14:paraId="18BE57F5">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w:t>
            </w:r>
          </w:p>
          <w:p w14:paraId="719C89E2">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（E3）</w:t>
            </w:r>
          </w:p>
        </w:tc>
        <w:tc>
          <w:tcPr>
            <w:tcW w:w="4105" w:type="pct"/>
            <w:shd w:val="clear" w:color="auto" w:fill="auto"/>
            <w:vAlign w:val="center"/>
          </w:tcPr>
          <w:p w14:paraId="2B29A44E">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企业周边5公里范围内居民、医疗卫生机构、文化教育机构、科研单位、行政机关、企业事业单位、商场、公园等人口总数1万人以下，且企业周边500米范围内人口总数500人以下</w:t>
            </w:r>
          </w:p>
        </w:tc>
      </w:tr>
    </w:tbl>
    <w:p w14:paraId="29BE3807">
      <w:pPr>
        <w:pStyle w:val="13"/>
        <w:spacing w:after="0" w:line="500" w:lineRule="exact"/>
        <w:ind w:left="0" w:right="0" w:firstLine="440" w:firstLineChars="200"/>
        <w:rPr>
          <w:rFonts w:eastAsia="宋体"/>
          <w:spacing w:val="-10"/>
          <w:highlight w:val="none"/>
        </w:rPr>
      </w:pPr>
      <w:r>
        <w:rPr>
          <w:rFonts w:eastAsia="宋体"/>
          <w:spacing w:val="-10"/>
          <w:highlight w:val="none"/>
        </w:rPr>
        <w:t>由章节</w:t>
      </w:r>
      <w:r>
        <w:rPr>
          <w:rFonts w:ascii="Times New Roman" w:eastAsia="宋体"/>
          <w:spacing w:val="-10"/>
          <w:highlight w:val="none"/>
        </w:rPr>
        <w:t>3.2.1</w:t>
      </w:r>
      <w:r>
        <w:rPr>
          <w:rFonts w:eastAsia="宋体"/>
          <w:spacing w:val="-10"/>
          <w:highlight w:val="none"/>
        </w:rPr>
        <w:t>可知，</w:t>
      </w:r>
      <w:r>
        <w:rPr>
          <w:rFonts w:hint="eastAsia" w:eastAsia="宋体"/>
          <w:spacing w:val="-10"/>
          <w:highlight w:val="none"/>
          <w:lang w:val="en-US" w:eastAsia="zh-CN"/>
        </w:rPr>
        <w:t>企业周边5公里内人口总数</w:t>
      </w:r>
      <w:r>
        <w:rPr>
          <w:rFonts w:eastAsia="宋体"/>
          <w:spacing w:val="-10"/>
          <w:highlight w:val="none"/>
        </w:rPr>
        <w:t>公司1万人以上、5万人以下</w:t>
      </w:r>
      <w:r>
        <w:rPr>
          <w:rFonts w:hint="eastAsia" w:eastAsia="宋体"/>
          <w:spacing w:val="-10"/>
          <w:highlight w:val="none"/>
          <w:lang w:eastAsia="zh-CN"/>
        </w:rPr>
        <w:t>，</w:t>
      </w:r>
      <w:r>
        <w:rPr>
          <w:rFonts w:hint="eastAsia" w:eastAsia="宋体"/>
          <w:spacing w:val="-10"/>
          <w:highlight w:val="none"/>
          <w:lang w:val="en-US" w:eastAsia="zh-CN"/>
        </w:rPr>
        <w:t>且企业周边</w:t>
      </w:r>
      <w:r>
        <w:rPr>
          <w:rFonts w:ascii="Times New Roman" w:eastAsia="宋体"/>
          <w:spacing w:val="-10"/>
          <w:highlight w:val="none"/>
        </w:rPr>
        <w:t>500m</w:t>
      </w:r>
      <w:r>
        <w:rPr>
          <w:rFonts w:eastAsia="宋体"/>
          <w:spacing w:val="-10"/>
          <w:highlight w:val="none"/>
        </w:rPr>
        <w:t>范围内</w:t>
      </w:r>
      <w:r>
        <w:rPr>
          <w:rFonts w:hint="eastAsia" w:eastAsia="宋体"/>
          <w:spacing w:val="-10"/>
          <w:highlight w:val="none"/>
          <w:lang w:val="en-US" w:eastAsia="zh-CN"/>
        </w:rPr>
        <w:t>总人数500人以上、1000人以下</w:t>
      </w:r>
      <w:r>
        <w:rPr>
          <w:rFonts w:eastAsia="宋体"/>
          <w:spacing w:val="-10"/>
          <w:highlight w:val="none"/>
        </w:rPr>
        <w:t>，因此公司大气环境风险受体为类型</w:t>
      </w:r>
      <w:r>
        <w:rPr>
          <w:rFonts w:hint="eastAsia" w:eastAsia="宋体"/>
          <w:spacing w:val="-10"/>
          <w:highlight w:val="none"/>
          <w:lang w:val="en-US" w:eastAsia="zh-CN"/>
        </w:rPr>
        <w:t>2</w:t>
      </w:r>
      <w:r>
        <w:rPr>
          <w:rFonts w:eastAsia="宋体"/>
          <w:spacing w:val="-10"/>
          <w:highlight w:val="none"/>
        </w:rPr>
        <w:t>（</w:t>
      </w:r>
      <w:r>
        <w:rPr>
          <w:rFonts w:ascii="Times New Roman" w:eastAsia="宋体"/>
          <w:spacing w:val="-10"/>
          <w:highlight w:val="none"/>
        </w:rPr>
        <w:t>E</w:t>
      </w:r>
      <w:r>
        <w:rPr>
          <w:rFonts w:hint="eastAsia" w:eastAsia="宋体"/>
          <w:spacing w:val="-10"/>
          <w:highlight w:val="none"/>
          <w:lang w:val="en-US" w:eastAsia="zh-CN"/>
        </w:rPr>
        <w:t>2</w:t>
      </w:r>
      <w:r>
        <w:rPr>
          <w:rFonts w:eastAsia="宋体"/>
          <w:spacing w:val="-10"/>
          <w:highlight w:val="none"/>
        </w:rPr>
        <w:t>）。</w:t>
      </w:r>
    </w:p>
    <w:p w14:paraId="76044FED">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63" w:name="7.1.4突发大气环境事件风险等级确定"/>
      <w:bookmarkEnd w:id="263"/>
      <w:bookmarkStart w:id="264" w:name="_TOC_250018"/>
      <w:bookmarkEnd w:id="264"/>
      <w:bookmarkStart w:id="265" w:name="_Toc23652"/>
      <w:bookmarkStart w:id="266" w:name="_Toc5160"/>
      <w:r>
        <w:rPr>
          <w:rFonts w:hint="eastAsia" w:ascii="Times New Roman" w:hAnsi="Times New Roman" w:eastAsia="宋体" w:cs="Times New Roman"/>
          <w:color w:val="000000" w:themeColor="text1"/>
          <w14:textFill>
            <w14:solidFill>
              <w14:schemeClr w14:val="tx1"/>
            </w14:solidFill>
          </w14:textFill>
        </w:rPr>
        <w:t>7.1.</w:t>
      </w:r>
      <w:r>
        <w:rPr>
          <w:rFonts w:hint="eastAsia"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突发大气环境事件风险等级确定</w:t>
      </w:r>
      <w:bookmarkEnd w:id="265"/>
      <w:bookmarkEnd w:id="266"/>
    </w:p>
    <w:p w14:paraId="10E2BB16">
      <w:pPr>
        <w:pStyle w:val="13"/>
        <w:spacing w:before="0" w:after="0" w:line="500" w:lineRule="exact"/>
        <w:ind w:left="0" w:firstLine="440" w:firstLineChars="200"/>
        <w:rPr>
          <w:rFonts w:ascii="Times New Roman" w:hAnsi="Times New Roman" w:eastAsia="宋体" w:cs="Times New Roman"/>
          <w:spacing w:val="-10"/>
        </w:rPr>
      </w:pPr>
      <w:r>
        <w:rPr>
          <w:rFonts w:eastAsia="宋体"/>
          <w:spacing w:val="-10"/>
        </w:rPr>
        <w:t>根据企业周边大气环境风险受体敏感程度（</w:t>
      </w:r>
      <w:r>
        <w:rPr>
          <w:rFonts w:ascii="Times New Roman" w:eastAsia="宋体"/>
          <w:spacing w:val="-10"/>
        </w:rPr>
        <w:t>E</w:t>
      </w:r>
      <w:r>
        <w:rPr>
          <w:rFonts w:eastAsia="宋体"/>
          <w:spacing w:val="-10"/>
        </w:rPr>
        <w:t>）、涉气风险物质数量与临界量比值（</w:t>
      </w:r>
      <w:r>
        <w:rPr>
          <w:rFonts w:ascii="Times New Roman" w:eastAsia="宋体"/>
          <w:spacing w:val="-10"/>
        </w:rPr>
        <w:t>Q</w:t>
      </w:r>
      <w:r>
        <w:rPr>
          <w:rFonts w:eastAsia="宋体"/>
          <w:spacing w:val="-10"/>
        </w:rPr>
        <w:t>）和生产工艺过程与大气环境风险控制水平（</w:t>
      </w:r>
      <w:r>
        <w:rPr>
          <w:rFonts w:ascii="Times New Roman" w:eastAsia="宋体"/>
          <w:spacing w:val="-10"/>
        </w:rPr>
        <w:t>M</w:t>
      </w:r>
      <w:r>
        <w:rPr>
          <w:rFonts w:eastAsia="宋体"/>
          <w:spacing w:val="-10"/>
        </w:rPr>
        <w:t>），按照表</w:t>
      </w:r>
      <w:r>
        <w:rPr>
          <w:rFonts w:ascii="Times New Roman" w:eastAsia="宋体"/>
          <w:spacing w:val="-10"/>
        </w:rPr>
        <w:t>7-5</w:t>
      </w:r>
      <w:r>
        <w:rPr>
          <w:rFonts w:eastAsia="宋体"/>
          <w:spacing w:val="-10"/>
        </w:rPr>
        <w:t>确定企业突发大气环境事件风险等级。</w:t>
      </w:r>
    </w:p>
    <w:p w14:paraId="34592455">
      <w:pPr>
        <w:pStyle w:val="13"/>
        <w:spacing w:before="0" w:after="0" w:line="500" w:lineRule="exact"/>
        <w:ind w:left="0" w:firstLine="0" w:firstLineChars="0"/>
        <w:jc w:val="center"/>
        <w:rPr>
          <w:rFonts w:hint="default" w:eastAsiaTheme="minorEastAsia"/>
          <w:spacing w:val="-10"/>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7-5企业突发环境事件风险分级矩阵表</w:t>
      </w:r>
    </w:p>
    <w:tbl>
      <w:tblPr>
        <w:tblStyle w:val="37"/>
        <w:tblW w:w="0" w:type="auto"/>
        <w:tblInd w:w="5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843"/>
        <w:gridCol w:w="1259"/>
        <w:gridCol w:w="1260"/>
        <w:gridCol w:w="1259"/>
        <w:gridCol w:w="1260"/>
      </w:tblGrid>
      <w:tr w14:paraId="717A9F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190E0A27">
            <w:pPr>
              <w:pStyle w:val="140"/>
              <w:spacing w:before="0" w:line="240" w:lineRule="auto"/>
              <w:ind w:left="0" w:right="0" w:firstLine="0"/>
              <w:jc w:val="center"/>
              <w:rPr>
                <w:b/>
                <w:sz w:val="21"/>
              </w:rPr>
            </w:pPr>
            <w:r>
              <w:rPr>
                <w:b/>
                <w:sz w:val="21"/>
              </w:rPr>
              <w:t>环境风险受体敏感程度</w:t>
            </w:r>
            <w:r>
              <w:rPr>
                <w:b/>
                <w:spacing w:val="-4"/>
                <w:sz w:val="21"/>
              </w:rPr>
              <w:t>（</w:t>
            </w:r>
            <w:r>
              <w:rPr>
                <w:rFonts w:ascii="Times New Roman" w:eastAsia="Times New Roman"/>
                <w:b/>
                <w:spacing w:val="-4"/>
                <w:sz w:val="21"/>
              </w:rPr>
              <w:t>E</w:t>
            </w:r>
            <w:r>
              <w:rPr>
                <w:b/>
                <w:spacing w:val="-4"/>
                <w:sz w:val="21"/>
              </w:rPr>
              <w:t>）</w:t>
            </w:r>
          </w:p>
        </w:tc>
        <w:tc>
          <w:tcPr>
            <w:tcW w:w="1843" w:type="dxa"/>
            <w:vMerge w:val="restart"/>
            <w:tcBorders>
              <w:tl2br w:val="nil"/>
              <w:tr2bl w:val="nil"/>
            </w:tcBorders>
            <w:vAlign w:val="center"/>
          </w:tcPr>
          <w:p w14:paraId="5BEE3922">
            <w:pPr>
              <w:pStyle w:val="140"/>
              <w:spacing w:before="0" w:line="240" w:lineRule="auto"/>
              <w:ind w:left="0" w:right="0" w:firstLine="0"/>
              <w:jc w:val="center"/>
              <w:rPr>
                <w:b/>
                <w:sz w:val="21"/>
              </w:rPr>
            </w:pPr>
            <w:r>
              <w:rPr>
                <w:b/>
                <w:sz w:val="21"/>
              </w:rPr>
              <w:t>风险物质数量与临界量比值（</w:t>
            </w:r>
            <w:r>
              <w:rPr>
                <w:rFonts w:ascii="Times New Roman" w:eastAsia="Times New Roman"/>
                <w:b/>
                <w:sz w:val="21"/>
              </w:rPr>
              <w:t>Q</w:t>
            </w:r>
            <w:r>
              <w:rPr>
                <w:b/>
                <w:sz w:val="21"/>
              </w:rPr>
              <w:t>）</w:t>
            </w:r>
          </w:p>
        </w:tc>
        <w:tc>
          <w:tcPr>
            <w:tcW w:w="5038" w:type="dxa"/>
            <w:gridSpan w:val="4"/>
            <w:tcBorders>
              <w:tl2br w:val="nil"/>
              <w:tr2bl w:val="nil"/>
            </w:tcBorders>
            <w:vAlign w:val="center"/>
          </w:tcPr>
          <w:p w14:paraId="0381961D">
            <w:pPr>
              <w:pStyle w:val="140"/>
              <w:spacing w:before="0"/>
              <w:ind w:left="0"/>
              <w:jc w:val="center"/>
              <w:rPr>
                <w:b/>
                <w:sz w:val="21"/>
              </w:rPr>
            </w:pPr>
            <w:r>
              <w:rPr>
                <w:b/>
                <w:sz w:val="21"/>
              </w:rPr>
              <w:t>生产工艺过程与环境风险控制水平（</w:t>
            </w:r>
            <w:r>
              <w:rPr>
                <w:rFonts w:ascii="Times New Roman" w:eastAsia="Times New Roman"/>
                <w:b/>
                <w:sz w:val="21"/>
              </w:rPr>
              <w:t>M</w:t>
            </w:r>
            <w:r>
              <w:rPr>
                <w:b/>
                <w:sz w:val="21"/>
              </w:rPr>
              <w:t>）</w:t>
            </w:r>
          </w:p>
        </w:tc>
      </w:tr>
      <w:tr w14:paraId="635D8E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65522CBB">
            <w:pPr>
              <w:jc w:val="center"/>
              <w:rPr>
                <w:sz w:val="2"/>
                <w:szCs w:val="2"/>
              </w:rPr>
            </w:pPr>
          </w:p>
        </w:tc>
        <w:tc>
          <w:tcPr>
            <w:tcW w:w="1843" w:type="dxa"/>
            <w:vMerge w:val="continue"/>
            <w:tcBorders>
              <w:tl2br w:val="nil"/>
              <w:tr2bl w:val="nil"/>
            </w:tcBorders>
            <w:vAlign w:val="center"/>
          </w:tcPr>
          <w:p w14:paraId="3E1848A1">
            <w:pPr>
              <w:jc w:val="center"/>
              <w:rPr>
                <w:sz w:val="2"/>
                <w:szCs w:val="2"/>
              </w:rPr>
            </w:pPr>
          </w:p>
        </w:tc>
        <w:tc>
          <w:tcPr>
            <w:tcW w:w="1259" w:type="dxa"/>
            <w:tcBorders>
              <w:tl2br w:val="nil"/>
              <w:tr2bl w:val="nil"/>
            </w:tcBorders>
            <w:vAlign w:val="center"/>
          </w:tcPr>
          <w:p w14:paraId="0E7244A0">
            <w:pPr>
              <w:pStyle w:val="140"/>
              <w:spacing w:before="0"/>
              <w:ind w:left="0" w:right="0"/>
              <w:rPr>
                <w:b/>
                <w:sz w:val="21"/>
              </w:rPr>
            </w:pPr>
            <w:r>
              <w:rPr>
                <w:rFonts w:ascii="Times New Roman" w:eastAsia="Times New Roman"/>
                <w:b/>
                <w:sz w:val="21"/>
              </w:rPr>
              <w:t>M1</w:t>
            </w:r>
            <w:r>
              <w:rPr>
                <w:b/>
                <w:sz w:val="21"/>
              </w:rPr>
              <w:t>类水平</w:t>
            </w:r>
          </w:p>
        </w:tc>
        <w:tc>
          <w:tcPr>
            <w:tcW w:w="1260" w:type="dxa"/>
            <w:tcBorders>
              <w:tl2br w:val="nil"/>
              <w:tr2bl w:val="nil"/>
            </w:tcBorders>
            <w:vAlign w:val="center"/>
          </w:tcPr>
          <w:p w14:paraId="2A7987EC">
            <w:pPr>
              <w:pStyle w:val="140"/>
              <w:spacing w:before="0"/>
              <w:ind w:left="0" w:right="0"/>
              <w:rPr>
                <w:b/>
                <w:sz w:val="21"/>
              </w:rPr>
            </w:pPr>
            <w:r>
              <w:rPr>
                <w:rFonts w:ascii="Times New Roman" w:eastAsia="Times New Roman"/>
                <w:b/>
                <w:sz w:val="21"/>
              </w:rPr>
              <w:t>M2</w:t>
            </w:r>
            <w:r>
              <w:rPr>
                <w:b/>
                <w:sz w:val="21"/>
              </w:rPr>
              <w:t>类水平</w:t>
            </w:r>
          </w:p>
        </w:tc>
        <w:tc>
          <w:tcPr>
            <w:tcW w:w="1259" w:type="dxa"/>
            <w:tcBorders>
              <w:tl2br w:val="nil"/>
              <w:tr2bl w:val="nil"/>
            </w:tcBorders>
            <w:vAlign w:val="center"/>
          </w:tcPr>
          <w:p w14:paraId="6B154495">
            <w:pPr>
              <w:pStyle w:val="140"/>
              <w:spacing w:before="0"/>
              <w:ind w:left="0" w:right="0"/>
              <w:rPr>
                <w:b/>
                <w:sz w:val="21"/>
              </w:rPr>
            </w:pPr>
            <w:r>
              <w:rPr>
                <w:rFonts w:ascii="Times New Roman" w:eastAsia="Times New Roman"/>
                <w:b/>
                <w:sz w:val="21"/>
              </w:rPr>
              <w:t>M3</w:t>
            </w:r>
            <w:r>
              <w:rPr>
                <w:b/>
                <w:sz w:val="21"/>
              </w:rPr>
              <w:t>类水平</w:t>
            </w:r>
          </w:p>
        </w:tc>
        <w:tc>
          <w:tcPr>
            <w:tcW w:w="1260" w:type="dxa"/>
            <w:tcBorders>
              <w:tl2br w:val="nil"/>
              <w:tr2bl w:val="nil"/>
            </w:tcBorders>
            <w:vAlign w:val="center"/>
          </w:tcPr>
          <w:p w14:paraId="6EA50657">
            <w:pPr>
              <w:pStyle w:val="140"/>
              <w:spacing w:before="0"/>
              <w:ind w:left="0" w:right="0"/>
              <w:rPr>
                <w:b/>
                <w:sz w:val="21"/>
              </w:rPr>
            </w:pPr>
            <w:r>
              <w:rPr>
                <w:rFonts w:ascii="Times New Roman" w:eastAsia="Times New Roman"/>
                <w:b/>
                <w:sz w:val="21"/>
              </w:rPr>
              <w:t>M4</w:t>
            </w:r>
            <w:r>
              <w:rPr>
                <w:b/>
                <w:sz w:val="21"/>
              </w:rPr>
              <w:t>类水平</w:t>
            </w:r>
          </w:p>
        </w:tc>
      </w:tr>
      <w:tr w14:paraId="42079A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restart"/>
            <w:tcBorders>
              <w:tl2br w:val="nil"/>
              <w:tr2bl w:val="nil"/>
            </w:tcBorders>
            <w:vAlign w:val="center"/>
          </w:tcPr>
          <w:p w14:paraId="29016D5D">
            <w:pPr>
              <w:pStyle w:val="140"/>
              <w:spacing w:before="0"/>
              <w:ind w:left="0"/>
              <w:jc w:val="center"/>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843" w:type="dxa"/>
            <w:tcBorders>
              <w:tl2br w:val="nil"/>
              <w:tr2bl w:val="nil"/>
            </w:tcBorders>
            <w:vAlign w:val="center"/>
          </w:tcPr>
          <w:p w14:paraId="4F81FFED">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64B6764E">
            <w:pPr>
              <w:pStyle w:val="140"/>
              <w:spacing w:before="0"/>
              <w:ind w:left="0" w:right="0"/>
              <w:rPr>
                <w:sz w:val="21"/>
              </w:rPr>
            </w:pPr>
            <w:r>
              <w:rPr>
                <w:sz w:val="21"/>
              </w:rPr>
              <w:t>较大</w:t>
            </w:r>
          </w:p>
        </w:tc>
        <w:tc>
          <w:tcPr>
            <w:tcW w:w="1260" w:type="dxa"/>
            <w:tcBorders>
              <w:tl2br w:val="nil"/>
              <w:tr2bl w:val="nil"/>
            </w:tcBorders>
            <w:vAlign w:val="center"/>
          </w:tcPr>
          <w:p w14:paraId="44B595C0">
            <w:pPr>
              <w:pStyle w:val="140"/>
              <w:spacing w:before="0"/>
              <w:ind w:left="0" w:right="0"/>
              <w:rPr>
                <w:sz w:val="21"/>
              </w:rPr>
            </w:pPr>
            <w:r>
              <w:rPr>
                <w:sz w:val="21"/>
              </w:rPr>
              <w:t>较大</w:t>
            </w:r>
          </w:p>
        </w:tc>
        <w:tc>
          <w:tcPr>
            <w:tcW w:w="1259" w:type="dxa"/>
            <w:tcBorders>
              <w:tl2br w:val="nil"/>
              <w:tr2bl w:val="nil"/>
            </w:tcBorders>
            <w:vAlign w:val="center"/>
          </w:tcPr>
          <w:p w14:paraId="556CF4BB">
            <w:pPr>
              <w:pStyle w:val="140"/>
              <w:spacing w:before="0"/>
              <w:ind w:left="0" w:right="0"/>
              <w:rPr>
                <w:sz w:val="21"/>
              </w:rPr>
            </w:pPr>
            <w:r>
              <w:rPr>
                <w:sz w:val="21"/>
              </w:rPr>
              <w:t>重大</w:t>
            </w:r>
          </w:p>
        </w:tc>
        <w:tc>
          <w:tcPr>
            <w:tcW w:w="1260" w:type="dxa"/>
            <w:tcBorders>
              <w:tl2br w:val="nil"/>
              <w:tr2bl w:val="nil"/>
            </w:tcBorders>
            <w:vAlign w:val="center"/>
          </w:tcPr>
          <w:p w14:paraId="0AE273FC">
            <w:pPr>
              <w:pStyle w:val="140"/>
              <w:spacing w:before="0"/>
              <w:ind w:left="0" w:right="0"/>
              <w:rPr>
                <w:sz w:val="21"/>
              </w:rPr>
            </w:pPr>
            <w:r>
              <w:rPr>
                <w:sz w:val="21"/>
              </w:rPr>
              <w:t>重大</w:t>
            </w:r>
          </w:p>
        </w:tc>
      </w:tr>
      <w:tr w14:paraId="102801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137FD465">
            <w:pPr>
              <w:jc w:val="center"/>
              <w:rPr>
                <w:sz w:val="2"/>
                <w:szCs w:val="2"/>
              </w:rPr>
            </w:pPr>
          </w:p>
        </w:tc>
        <w:tc>
          <w:tcPr>
            <w:tcW w:w="1843" w:type="dxa"/>
            <w:tcBorders>
              <w:tl2br w:val="nil"/>
              <w:tr2bl w:val="nil"/>
            </w:tcBorders>
            <w:vAlign w:val="center"/>
          </w:tcPr>
          <w:p w14:paraId="5D358792">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3771B1A1">
            <w:pPr>
              <w:pStyle w:val="140"/>
              <w:spacing w:before="0"/>
              <w:ind w:left="0" w:right="0"/>
              <w:rPr>
                <w:sz w:val="21"/>
              </w:rPr>
            </w:pPr>
            <w:r>
              <w:rPr>
                <w:sz w:val="21"/>
              </w:rPr>
              <w:t>较大</w:t>
            </w:r>
          </w:p>
        </w:tc>
        <w:tc>
          <w:tcPr>
            <w:tcW w:w="1260" w:type="dxa"/>
            <w:tcBorders>
              <w:tl2br w:val="nil"/>
              <w:tr2bl w:val="nil"/>
            </w:tcBorders>
            <w:vAlign w:val="center"/>
          </w:tcPr>
          <w:p w14:paraId="31A1100A">
            <w:pPr>
              <w:pStyle w:val="140"/>
              <w:spacing w:before="0"/>
              <w:ind w:left="0" w:right="0"/>
              <w:rPr>
                <w:sz w:val="21"/>
              </w:rPr>
            </w:pPr>
            <w:r>
              <w:rPr>
                <w:sz w:val="21"/>
              </w:rPr>
              <w:t>重大</w:t>
            </w:r>
          </w:p>
        </w:tc>
        <w:tc>
          <w:tcPr>
            <w:tcW w:w="1259" w:type="dxa"/>
            <w:tcBorders>
              <w:tl2br w:val="nil"/>
              <w:tr2bl w:val="nil"/>
            </w:tcBorders>
            <w:vAlign w:val="center"/>
          </w:tcPr>
          <w:p w14:paraId="624CC09A">
            <w:pPr>
              <w:pStyle w:val="140"/>
              <w:spacing w:before="0"/>
              <w:ind w:left="0" w:right="0"/>
              <w:rPr>
                <w:sz w:val="21"/>
              </w:rPr>
            </w:pPr>
            <w:r>
              <w:rPr>
                <w:sz w:val="21"/>
              </w:rPr>
              <w:t>重大</w:t>
            </w:r>
          </w:p>
        </w:tc>
        <w:tc>
          <w:tcPr>
            <w:tcW w:w="1260" w:type="dxa"/>
            <w:tcBorders>
              <w:tl2br w:val="nil"/>
              <w:tr2bl w:val="nil"/>
            </w:tcBorders>
            <w:vAlign w:val="center"/>
          </w:tcPr>
          <w:p w14:paraId="54BBFA74">
            <w:pPr>
              <w:pStyle w:val="140"/>
              <w:spacing w:before="0"/>
              <w:ind w:left="0" w:right="0"/>
              <w:rPr>
                <w:sz w:val="21"/>
              </w:rPr>
            </w:pPr>
            <w:r>
              <w:rPr>
                <w:sz w:val="21"/>
              </w:rPr>
              <w:t>重大</w:t>
            </w:r>
          </w:p>
        </w:tc>
      </w:tr>
      <w:tr w14:paraId="250AAF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013952F4">
            <w:pPr>
              <w:jc w:val="center"/>
              <w:rPr>
                <w:sz w:val="2"/>
                <w:szCs w:val="2"/>
              </w:rPr>
            </w:pPr>
          </w:p>
        </w:tc>
        <w:tc>
          <w:tcPr>
            <w:tcW w:w="1843" w:type="dxa"/>
            <w:tcBorders>
              <w:tl2br w:val="nil"/>
              <w:tr2bl w:val="nil"/>
            </w:tcBorders>
            <w:vAlign w:val="center"/>
          </w:tcPr>
          <w:p w14:paraId="43C94935">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72E2F066">
            <w:pPr>
              <w:pStyle w:val="140"/>
              <w:spacing w:before="0"/>
              <w:ind w:left="0" w:right="0"/>
              <w:rPr>
                <w:sz w:val="21"/>
              </w:rPr>
            </w:pPr>
            <w:r>
              <w:rPr>
                <w:sz w:val="21"/>
              </w:rPr>
              <w:t>重大</w:t>
            </w:r>
          </w:p>
        </w:tc>
        <w:tc>
          <w:tcPr>
            <w:tcW w:w="1260" w:type="dxa"/>
            <w:tcBorders>
              <w:tl2br w:val="nil"/>
              <w:tr2bl w:val="nil"/>
            </w:tcBorders>
            <w:vAlign w:val="center"/>
          </w:tcPr>
          <w:p w14:paraId="79ED168C">
            <w:pPr>
              <w:pStyle w:val="140"/>
              <w:spacing w:before="0"/>
              <w:ind w:left="0" w:right="0"/>
              <w:rPr>
                <w:sz w:val="21"/>
              </w:rPr>
            </w:pPr>
            <w:r>
              <w:rPr>
                <w:sz w:val="21"/>
              </w:rPr>
              <w:t>重大</w:t>
            </w:r>
          </w:p>
        </w:tc>
        <w:tc>
          <w:tcPr>
            <w:tcW w:w="1259" w:type="dxa"/>
            <w:tcBorders>
              <w:tl2br w:val="nil"/>
              <w:tr2bl w:val="nil"/>
            </w:tcBorders>
            <w:vAlign w:val="center"/>
          </w:tcPr>
          <w:p w14:paraId="5462CC81">
            <w:pPr>
              <w:pStyle w:val="140"/>
              <w:spacing w:before="0"/>
              <w:ind w:left="0" w:right="0"/>
              <w:rPr>
                <w:sz w:val="21"/>
              </w:rPr>
            </w:pPr>
            <w:r>
              <w:rPr>
                <w:sz w:val="21"/>
              </w:rPr>
              <w:t>重大</w:t>
            </w:r>
          </w:p>
        </w:tc>
        <w:tc>
          <w:tcPr>
            <w:tcW w:w="1260" w:type="dxa"/>
            <w:tcBorders>
              <w:tl2br w:val="nil"/>
              <w:tr2bl w:val="nil"/>
            </w:tcBorders>
            <w:vAlign w:val="center"/>
          </w:tcPr>
          <w:p w14:paraId="30F1D36D">
            <w:pPr>
              <w:pStyle w:val="140"/>
              <w:spacing w:before="0"/>
              <w:ind w:left="0" w:right="0"/>
              <w:rPr>
                <w:sz w:val="21"/>
              </w:rPr>
            </w:pPr>
            <w:r>
              <w:rPr>
                <w:sz w:val="21"/>
              </w:rPr>
              <w:t>重大</w:t>
            </w:r>
          </w:p>
        </w:tc>
      </w:tr>
      <w:tr w14:paraId="2D7BAA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4BA65DF7">
            <w:pPr>
              <w:pStyle w:val="140"/>
              <w:spacing w:before="0"/>
              <w:ind w:left="0"/>
              <w:jc w:val="center"/>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843" w:type="dxa"/>
            <w:tcBorders>
              <w:tl2br w:val="nil"/>
              <w:tr2bl w:val="nil"/>
            </w:tcBorders>
            <w:vAlign w:val="center"/>
          </w:tcPr>
          <w:p w14:paraId="4A264C58">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07C4C322">
            <w:pPr>
              <w:pStyle w:val="140"/>
              <w:spacing w:before="0"/>
              <w:ind w:left="0" w:right="0"/>
              <w:rPr>
                <w:sz w:val="21"/>
              </w:rPr>
            </w:pPr>
            <w:r>
              <w:rPr>
                <w:sz w:val="21"/>
              </w:rPr>
              <w:t>一般</w:t>
            </w:r>
          </w:p>
        </w:tc>
        <w:tc>
          <w:tcPr>
            <w:tcW w:w="1260" w:type="dxa"/>
            <w:tcBorders>
              <w:tl2br w:val="nil"/>
              <w:tr2bl w:val="nil"/>
            </w:tcBorders>
            <w:vAlign w:val="center"/>
          </w:tcPr>
          <w:p w14:paraId="6C31E18B">
            <w:pPr>
              <w:pStyle w:val="140"/>
              <w:spacing w:before="0"/>
              <w:ind w:left="0" w:right="0"/>
              <w:rPr>
                <w:sz w:val="21"/>
              </w:rPr>
            </w:pPr>
            <w:r>
              <w:rPr>
                <w:sz w:val="21"/>
              </w:rPr>
              <w:t>较大</w:t>
            </w:r>
          </w:p>
        </w:tc>
        <w:tc>
          <w:tcPr>
            <w:tcW w:w="1259" w:type="dxa"/>
            <w:tcBorders>
              <w:tl2br w:val="nil"/>
              <w:tr2bl w:val="nil"/>
            </w:tcBorders>
            <w:vAlign w:val="center"/>
          </w:tcPr>
          <w:p w14:paraId="6C3BBE55">
            <w:pPr>
              <w:pStyle w:val="140"/>
              <w:spacing w:before="0"/>
              <w:ind w:left="0" w:right="0"/>
              <w:rPr>
                <w:sz w:val="21"/>
              </w:rPr>
            </w:pPr>
            <w:r>
              <w:rPr>
                <w:sz w:val="21"/>
              </w:rPr>
              <w:t>较大</w:t>
            </w:r>
          </w:p>
        </w:tc>
        <w:tc>
          <w:tcPr>
            <w:tcW w:w="1260" w:type="dxa"/>
            <w:tcBorders>
              <w:tl2br w:val="nil"/>
              <w:tr2bl w:val="nil"/>
            </w:tcBorders>
            <w:vAlign w:val="center"/>
          </w:tcPr>
          <w:p w14:paraId="60172EF9">
            <w:pPr>
              <w:pStyle w:val="140"/>
              <w:spacing w:before="0"/>
              <w:ind w:left="0" w:right="0"/>
              <w:rPr>
                <w:sz w:val="21"/>
              </w:rPr>
            </w:pPr>
            <w:r>
              <w:rPr>
                <w:sz w:val="21"/>
              </w:rPr>
              <w:t>重大</w:t>
            </w:r>
          </w:p>
        </w:tc>
      </w:tr>
      <w:tr w14:paraId="081DC2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2F26FCE9">
            <w:pPr>
              <w:jc w:val="center"/>
              <w:rPr>
                <w:sz w:val="2"/>
                <w:szCs w:val="2"/>
              </w:rPr>
            </w:pPr>
          </w:p>
        </w:tc>
        <w:tc>
          <w:tcPr>
            <w:tcW w:w="1843" w:type="dxa"/>
            <w:tcBorders>
              <w:tl2br w:val="nil"/>
              <w:tr2bl w:val="nil"/>
            </w:tcBorders>
            <w:vAlign w:val="center"/>
          </w:tcPr>
          <w:p w14:paraId="72BA6E3B">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05463EB8">
            <w:pPr>
              <w:pStyle w:val="140"/>
              <w:spacing w:before="0"/>
              <w:ind w:left="0" w:right="0"/>
              <w:rPr>
                <w:sz w:val="21"/>
              </w:rPr>
            </w:pPr>
            <w:r>
              <w:rPr>
                <w:sz w:val="21"/>
              </w:rPr>
              <w:t>较大</w:t>
            </w:r>
          </w:p>
        </w:tc>
        <w:tc>
          <w:tcPr>
            <w:tcW w:w="1260" w:type="dxa"/>
            <w:tcBorders>
              <w:tl2br w:val="nil"/>
              <w:tr2bl w:val="nil"/>
            </w:tcBorders>
            <w:vAlign w:val="center"/>
          </w:tcPr>
          <w:p w14:paraId="18D8BC9F">
            <w:pPr>
              <w:pStyle w:val="140"/>
              <w:spacing w:before="0"/>
              <w:ind w:left="0" w:right="0"/>
              <w:rPr>
                <w:sz w:val="21"/>
              </w:rPr>
            </w:pPr>
            <w:r>
              <w:rPr>
                <w:sz w:val="21"/>
              </w:rPr>
              <w:t>较大</w:t>
            </w:r>
          </w:p>
        </w:tc>
        <w:tc>
          <w:tcPr>
            <w:tcW w:w="1259" w:type="dxa"/>
            <w:tcBorders>
              <w:tl2br w:val="nil"/>
              <w:tr2bl w:val="nil"/>
            </w:tcBorders>
            <w:vAlign w:val="center"/>
          </w:tcPr>
          <w:p w14:paraId="48A539D2">
            <w:pPr>
              <w:pStyle w:val="140"/>
              <w:spacing w:before="0"/>
              <w:ind w:left="0" w:right="0"/>
              <w:rPr>
                <w:sz w:val="21"/>
              </w:rPr>
            </w:pPr>
            <w:r>
              <w:rPr>
                <w:sz w:val="21"/>
              </w:rPr>
              <w:t>重大</w:t>
            </w:r>
          </w:p>
        </w:tc>
        <w:tc>
          <w:tcPr>
            <w:tcW w:w="1260" w:type="dxa"/>
            <w:tcBorders>
              <w:tl2br w:val="nil"/>
              <w:tr2bl w:val="nil"/>
            </w:tcBorders>
            <w:vAlign w:val="center"/>
          </w:tcPr>
          <w:p w14:paraId="6AD6EB92">
            <w:pPr>
              <w:pStyle w:val="140"/>
              <w:spacing w:before="0"/>
              <w:ind w:left="0" w:right="0"/>
              <w:rPr>
                <w:sz w:val="21"/>
              </w:rPr>
            </w:pPr>
            <w:r>
              <w:rPr>
                <w:sz w:val="21"/>
              </w:rPr>
              <w:t>重大</w:t>
            </w:r>
          </w:p>
        </w:tc>
      </w:tr>
      <w:tr w14:paraId="4A750B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481737D8">
            <w:pPr>
              <w:jc w:val="center"/>
              <w:rPr>
                <w:sz w:val="2"/>
                <w:szCs w:val="2"/>
              </w:rPr>
            </w:pPr>
          </w:p>
        </w:tc>
        <w:tc>
          <w:tcPr>
            <w:tcW w:w="1843" w:type="dxa"/>
            <w:tcBorders>
              <w:tl2br w:val="nil"/>
              <w:tr2bl w:val="nil"/>
            </w:tcBorders>
            <w:vAlign w:val="center"/>
          </w:tcPr>
          <w:p w14:paraId="73343A02">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45F37FC8">
            <w:pPr>
              <w:pStyle w:val="140"/>
              <w:spacing w:before="0"/>
              <w:ind w:left="0" w:right="0"/>
              <w:rPr>
                <w:sz w:val="21"/>
              </w:rPr>
            </w:pPr>
            <w:r>
              <w:rPr>
                <w:sz w:val="21"/>
              </w:rPr>
              <w:t>较大</w:t>
            </w:r>
          </w:p>
        </w:tc>
        <w:tc>
          <w:tcPr>
            <w:tcW w:w="1260" w:type="dxa"/>
            <w:tcBorders>
              <w:tl2br w:val="nil"/>
              <w:tr2bl w:val="nil"/>
            </w:tcBorders>
            <w:vAlign w:val="center"/>
          </w:tcPr>
          <w:p w14:paraId="55393E5A">
            <w:pPr>
              <w:pStyle w:val="140"/>
              <w:spacing w:before="0"/>
              <w:ind w:left="0" w:right="0"/>
              <w:rPr>
                <w:sz w:val="21"/>
              </w:rPr>
            </w:pPr>
            <w:r>
              <w:rPr>
                <w:sz w:val="21"/>
              </w:rPr>
              <w:t>重大</w:t>
            </w:r>
          </w:p>
        </w:tc>
        <w:tc>
          <w:tcPr>
            <w:tcW w:w="1259" w:type="dxa"/>
            <w:tcBorders>
              <w:tl2br w:val="nil"/>
              <w:tr2bl w:val="nil"/>
            </w:tcBorders>
            <w:vAlign w:val="center"/>
          </w:tcPr>
          <w:p w14:paraId="679596ED">
            <w:pPr>
              <w:pStyle w:val="140"/>
              <w:spacing w:before="0"/>
              <w:ind w:left="0" w:right="0"/>
              <w:rPr>
                <w:sz w:val="21"/>
              </w:rPr>
            </w:pPr>
            <w:r>
              <w:rPr>
                <w:sz w:val="21"/>
              </w:rPr>
              <w:t>重大</w:t>
            </w:r>
          </w:p>
        </w:tc>
        <w:tc>
          <w:tcPr>
            <w:tcW w:w="1260" w:type="dxa"/>
            <w:tcBorders>
              <w:tl2br w:val="nil"/>
              <w:tr2bl w:val="nil"/>
            </w:tcBorders>
            <w:vAlign w:val="center"/>
          </w:tcPr>
          <w:p w14:paraId="2CCEED6B">
            <w:pPr>
              <w:pStyle w:val="140"/>
              <w:spacing w:before="0"/>
              <w:ind w:left="0" w:right="0"/>
              <w:rPr>
                <w:sz w:val="21"/>
              </w:rPr>
            </w:pPr>
            <w:r>
              <w:rPr>
                <w:sz w:val="21"/>
              </w:rPr>
              <w:t>重大</w:t>
            </w:r>
          </w:p>
        </w:tc>
      </w:tr>
      <w:tr w14:paraId="6BF83D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restart"/>
            <w:tcBorders>
              <w:tl2br w:val="nil"/>
              <w:tr2bl w:val="nil"/>
            </w:tcBorders>
            <w:vAlign w:val="center"/>
          </w:tcPr>
          <w:p w14:paraId="7306CD67">
            <w:pPr>
              <w:pStyle w:val="140"/>
              <w:spacing w:before="0"/>
              <w:ind w:left="0"/>
              <w:jc w:val="center"/>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843" w:type="dxa"/>
            <w:tcBorders>
              <w:tl2br w:val="nil"/>
              <w:tr2bl w:val="nil"/>
            </w:tcBorders>
            <w:vAlign w:val="center"/>
          </w:tcPr>
          <w:p w14:paraId="217E7CC9">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193BA33B">
            <w:pPr>
              <w:pStyle w:val="140"/>
              <w:spacing w:before="0"/>
              <w:ind w:left="0" w:right="0"/>
              <w:rPr>
                <w:sz w:val="21"/>
              </w:rPr>
            </w:pPr>
            <w:r>
              <w:rPr>
                <w:sz w:val="21"/>
              </w:rPr>
              <w:t>一般</w:t>
            </w:r>
          </w:p>
        </w:tc>
        <w:tc>
          <w:tcPr>
            <w:tcW w:w="1260" w:type="dxa"/>
            <w:tcBorders>
              <w:tl2br w:val="nil"/>
              <w:tr2bl w:val="nil"/>
            </w:tcBorders>
            <w:vAlign w:val="center"/>
          </w:tcPr>
          <w:p w14:paraId="23155EB0">
            <w:pPr>
              <w:pStyle w:val="140"/>
              <w:spacing w:before="0"/>
              <w:ind w:left="0" w:right="0"/>
              <w:rPr>
                <w:sz w:val="21"/>
              </w:rPr>
            </w:pPr>
            <w:r>
              <w:rPr>
                <w:sz w:val="21"/>
              </w:rPr>
              <w:t>一般</w:t>
            </w:r>
          </w:p>
        </w:tc>
        <w:tc>
          <w:tcPr>
            <w:tcW w:w="1259" w:type="dxa"/>
            <w:tcBorders>
              <w:tl2br w:val="nil"/>
              <w:tr2bl w:val="nil"/>
            </w:tcBorders>
            <w:vAlign w:val="center"/>
          </w:tcPr>
          <w:p w14:paraId="603E3524">
            <w:pPr>
              <w:pStyle w:val="140"/>
              <w:spacing w:before="0"/>
              <w:ind w:left="0" w:right="0"/>
              <w:rPr>
                <w:sz w:val="21"/>
              </w:rPr>
            </w:pPr>
            <w:r>
              <w:rPr>
                <w:sz w:val="21"/>
              </w:rPr>
              <w:t>较大</w:t>
            </w:r>
          </w:p>
        </w:tc>
        <w:tc>
          <w:tcPr>
            <w:tcW w:w="1260" w:type="dxa"/>
            <w:tcBorders>
              <w:tl2br w:val="nil"/>
              <w:tr2bl w:val="nil"/>
            </w:tcBorders>
            <w:vAlign w:val="center"/>
          </w:tcPr>
          <w:p w14:paraId="2DCDB008">
            <w:pPr>
              <w:pStyle w:val="140"/>
              <w:spacing w:before="0"/>
              <w:ind w:left="0" w:right="0"/>
              <w:rPr>
                <w:sz w:val="21"/>
              </w:rPr>
            </w:pPr>
            <w:r>
              <w:rPr>
                <w:sz w:val="21"/>
              </w:rPr>
              <w:t>较大</w:t>
            </w:r>
          </w:p>
        </w:tc>
      </w:tr>
      <w:tr w14:paraId="73CA10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continue"/>
            <w:tcBorders>
              <w:tl2br w:val="nil"/>
              <w:tr2bl w:val="nil"/>
            </w:tcBorders>
            <w:vAlign w:val="center"/>
          </w:tcPr>
          <w:p w14:paraId="20DB7B72">
            <w:pPr>
              <w:jc w:val="center"/>
              <w:rPr>
                <w:sz w:val="2"/>
                <w:szCs w:val="2"/>
              </w:rPr>
            </w:pPr>
          </w:p>
        </w:tc>
        <w:tc>
          <w:tcPr>
            <w:tcW w:w="1843" w:type="dxa"/>
            <w:tcBorders>
              <w:tl2br w:val="nil"/>
              <w:tr2bl w:val="nil"/>
            </w:tcBorders>
            <w:vAlign w:val="center"/>
          </w:tcPr>
          <w:p w14:paraId="5B47E6BB">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6EE47974">
            <w:pPr>
              <w:pStyle w:val="140"/>
              <w:spacing w:before="0"/>
              <w:ind w:left="0" w:right="0"/>
              <w:rPr>
                <w:sz w:val="21"/>
              </w:rPr>
            </w:pPr>
            <w:r>
              <w:rPr>
                <w:sz w:val="21"/>
              </w:rPr>
              <w:t>一般</w:t>
            </w:r>
          </w:p>
        </w:tc>
        <w:tc>
          <w:tcPr>
            <w:tcW w:w="1260" w:type="dxa"/>
            <w:tcBorders>
              <w:tl2br w:val="nil"/>
              <w:tr2bl w:val="nil"/>
            </w:tcBorders>
            <w:vAlign w:val="center"/>
          </w:tcPr>
          <w:p w14:paraId="5028DAFF">
            <w:pPr>
              <w:pStyle w:val="140"/>
              <w:spacing w:before="0"/>
              <w:ind w:left="0" w:right="0"/>
              <w:rPr>
                <w:sz w:val="21"/>
              </w:rPr>
            </w:pPr>
            <w:r>
              <w:rPr>
                <w:sz w:val="21"/>
              </w:rPr>
              <w:t>较大</w:t>
            </w:r>
          </w:p>
        </w:tc>
        <w:tc>
          <w:tcPr>
            <w:tcW w:w="1259" w:type="dxa"/>
            <w:tcBorders>
              <w:tl2br w:val="nil"/>
              <w:tr2bl w:val="nil"/>
            </w:tcBorders>
            <w:vAlign w:val="center"/>
          </w:tcPr>
          <w:p w14:paraId="7A2F8312">
            <w:pPr>
              <w:pStyle w:val="140"/>
              <w:spacing w:before="0"/>
              <w:ind w:left="0" w:right="0"/>
              <w:rPr>
                <w:sz w:val="21"/>
              </w:rPr>
            </w:pPr>
            <w:r>
              <w:rPr>
                <w:sz w:val="21"/>
              </w:rPr>
              <w:t>较大</w:t>
            </w:r>
          </w:p>
        </w:tc>
        <w:tc>
          <w:tcPr>
            <w:tcW w:w="1260" w:type="dxa"/>
            <w:tcBorders>
              <w:tl2br w:val="nil"/>
              <w:tr2bl w:val="nil"/>
            </w:tcBorders>
            <w:vAlign w:val="center"/>
          </w:tcPr>
          <w:p w14:paraId="5E4A5D2A">
            <w:pPr>
              <w:pStyle w:val="140"/>
              <w:spacing w:before="0"/>
              <w:ind w:left="0" w:right="0"/>
              <w:rPr>
                <w:sz w:val="21"/>
              </w:rPr>
            </w:pPr>
            <w:r>
              <w:rPr>
                <w:sz w:val="21"/>
              </w:rPr>
              <w:t>重大</w:t>
            </w:r>
          </w:p>
        </w:tc>
      </w:tr>
      <w:tr w14:paraId="0D597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4E7290DD">
            <w:pPr>
              <w:jc w:val="center"/>
              <w:rPr>
                <w:sz w:val="2"/>
                <w:szCs w:val="2"/>
              </w:rPr>
            </w:pPr>
          </w:p>
        </w:tc>
        <w:tc>
          <w:tcPr>
            <w:tcW w:w="1843" w:type="dxa"/>
            <w:tcBorders>
              <w:tl2br w:val="nil"/>
              <w:tr2bl w:val="nil"/>
            </w:tcBorders>
            <w:vAlign w:val="center"/>
          </w:tcPr>
          <w:p w14:paraId="6D0CADD5">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38C541C2">
            <w:pPr>
              <w:pStyle w:val="140"/>
              <w:spacing w:before="0"/>
              <w:ind w:left="0" w:right="0"/>
              <w:rPr>
                <w:sz w:val="21"/>
              </w:rPr>
            </w:pPr>
            <w:r>
              <w:rPr>
                <w:sz w:val="21"/>
              </w:rPr>
              <w:t>较大</w:t>
            </w:r>
          </w:p>
        </w:tc>
        <w:tc>
          <w:tcPr>
            <w:tcW w:w="1260" w:type="dxa"/>
            <w:tcBorders>
              <w:tl2br w:val="nil"/>
              <w:tr2bl w:val="nil"/>
            </w:tcBorders>
            <w:vAlign w:val="center"/>
          </w:tcPr>
          <w:p w14:paraId="3691C8C7">
            <w:pPr>
              <w:pStyle w:val="140"/>
              <w:spacing w:before="0"/>
              <w:ind w:left="0" w:right="0"/>
              <w:rPr>
                <w:sz w:val="21"/>
              </w:rPr>
            </w:pPr>
            <w:r>
              <w:rPr>
                <w:sz w:val="21"/>
              </w:rPr>
              <w:t>较大</w:t>
            </w:r>
          </w:p>
        </w:tc>
        <w:tc>
          <w:tcPr>
            <w:tcW w:w="1259" w:type="dxa"/>
            <w:tcBorders>
              <w:tl2br w:val="nil"/>
              <w:tr2bl w:val="nil"/>
            </w:tcBorders>
            <w:vAlign w:val="center"/>
          </w:tcPr>
          <w:p w14:paraId="4593ED3A">
            <w:pPr>
              <w:pStyle w:val="140"/>
              <w:spacing w:before="0"/>
              <w:ind w:left="0" w:right="0"/>
              <w:rPr>
                <w:sz w:val="21"/>
              </w:rPr>
            </w:pPr>
            <w:r>
              <w:rPr>
                <w:sz w:val="21"/>
              </w:rPr>
              <w:t>重大</w:t>
            </w:r>
          </w:p>
        </w:tc>
        <w:tc>
          <w:tcPr>
            <w:tcW w:w="1260" w:type="dxa"/>
            <w:tcBorders>
              <w:tl2br w:val="nil"/>
              <w:tr2bl w:val="nil"/>
            </w:tcBorders>
            <w:vAlign w:val="center"/>
          </w:tcPr>
          <w:p w14:paraId="6A74B61E">
            <w:pPr>
              <w:pStyle w:val="140"/>
              <w:spacing w:before="0"/>
              <w:ind w:left="0" w:right="0"/>
              <w:rPr>
                <w:sz w:val="21"/>
              </w:rPr>
            </w:pPr>
            <w:r>
              <w:rPr>
                <w:sz w:val="21"/>
              </w:rPr>
              <w:t>重大</w:t>
            </w:r>
          </w:p>
        </w:tc>
      </w:tr>
    </w:tbl>
    <w:p w14:paraId="44EA3B85">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67" w:name="_TOC_250017"/>
      <w:bookmarkEnd w:id="267"/>
      <w:bookmarkStart w:id="268" w:name="7.1.5突发大气环境事件风险等级表征"/>
      <w:bookmarkEnd w:id="268"/>
      <w:bookmarkStart w:id="269" w:name="_Toc30454"/>
      <w:bookmarkStart w:id="270" w:name="_Toc32405"/>
      <w:r>
        <w:rPr>
          <w:rFonts w:hint="eastAsia" w:ascii="Times New Roman" w:hAnsi="Times New Roman" w:eastAsia="宋体" w:cs="Times New Roman"/>
          <w:color w:val="000000" w:themeColor="text1"/>
          <w14:textFill>
            <w14:solidFill>
              <w14:schemeClr w14:val="tx1"/>
            </w14:solidFill>
          </w14:textFill>
        </w:rPr>
        <w:t>7.1.</w:t>
      </w:r>
      <w:r>
        <w:rPr>
          <w:rFonts w:hint="eastAsia" w:eastAsia="宋体" w:cs="Times New Roman"/>
          <w:color w:val="000000" w:themeColor="text1"/>
          <w:lang w:val="en-US" w:eastAsia="zh-CN"/>
          <w14:textFill>
            <w14:solidFill>
              <w14:schemeClr w14:val="tx1"/>
            </w14:solidFill>
          </w14:textFill>
        </w:rPr>
        <w:t>5</w:t>
      </w:r>
      <w:r>
        <w:rPr>
          <w:rFonts w:hint="eastAsia" w:ascii="Times New Roman" w:hAnsi="Times New Roman" w:eastAsia="宋体" w:cs="Times New Roman"/>
          <w:color w:val="000000" w:themeColor="text1"/>
          <w14:textFill>
            <w14:solidFill>
              <w14:schemeClr w14:val="tx1"/>
            </w14:solidFill>
          </w14:textFill>
        </w:rPr>
        <w:t>突发大气环境事件风险等级表征</w:t>
      </w:r>
      <w:bookmarkEnd w:id="269"/>
      <w:bookmarkEnd w:id="270"/>
    </w:p>
    <w:p w14:paraId="6A8AB25A">
      <w:pPr>
        <w:pStyle w:val="13"/>
        <w:spacing w:before="0" w:after="0" w:line="500" w:lineRule="exact"/>
        <w:ind w:left="0" w:firstLine="440" w:firstLineChars="200"/>
        <w:rPr>
          <w:rFonts w:eastAsia="宋体"/>
          <w:spacing w:val="-10"/>
        </w:rPr>
      </w:pPr>
      <w:r>
        <w:rPr>
          <w:rFonts w:eastAsia="宋体"/>
          <w:spacing w:val="-10"/>
        </w:rPr>
        <w:t>企业突发大气环境事件风险等级表征分为两种情况：</w:t>
      </w:r>
    </w:p>
    <w:p w14:paraId="782C55BB">
      <w:pPr>
        <w:pStyle w:val="13"/>
        <w:numPr>
          <w:ilvl w:val="0"/>
          <w:numId w:val="4"/>
        </w:numPr>
        <w:spacing w:before="0" w:after="0" w:line="500" w:lineRule="exact"/>
        <w:ind w:left="0" w:right="0" w:firstLine="440" w:firstLineChars="200"/>
        <w:jc w:val="left"/>
        <w:rPr>
          <w:rFonts w:eastAsia="宋体"/>
          <w:spacing w:val="-10"/>
          <w:sz w:val="24"/>
        </w:rPr>
      </w:pPr>
      <w:r>
        <w:rPr>
          <w:rFonts w:hint="eastAsia" w:eastAsia="宋体"/>
          <w:spacing w:val="-10"/>
          <w:sz w:val="24"/>
          <w:lang w:eastAsia="zh-CN"/>
        </w:rPr>
        <w:t>（</w:t>
      </w:r>
      <w:r>
        <w:rPr>
          <w:rFonts w:hint="eastAsia" w:eastAsia="宋体"/>
          <w:spacing w:val="-10"/>
          <w:sz w:val="24"/>
          <w:lang w:val="en-US" w:eastAsia="zh-CN"/>
        </w:rPr>
        <w:t>1</w:t>
      </w:r>
      <w:r>
        <w:rPr>
          <w:rFonts w:hint="eastAsia" w:eastAsia="宋体"/>
          <w:spacing w:val="-10"/>
          <w:sz w:val="24"/>
          <w:lang w:eastAsia="zh-CN"/>
        </w:rPr>
        <w:t>）</w:t>
      </w:r>
      <w:r>
        <w:rPr>
          <w:rFonts w:ascii="Times New Roman" w:hAnsi="Times New Roman" w:eastAsia="宋体"/>
          <w:spacing w:val="-10"/>
          <w:sz w:val="24"/>
        </w:rPr>
        <w:t>Q</w:t>
      </w:r>
      <w:r>
        <w:rPr>
          <w:rFonts w:eastAsia="宋体"/>
          <w:spacing w:val="-10"/>
          <w:sz w:val="24"/>
        </w:rPr>
        <w:t>＜</w:t>
      </w:r>
      <w:r>
        <w:rPr>
          <w:rFonts w:ascii="Times New Roman" w:hAnsi="Times New Roman" w:eastAsia="宋体"/>
          <w:spacing w:val="-10"/>
          <w:sz w:val="24"/>
        </w:rPr>
        <w:t>1</w:t>
      </w:r>
      <w:r>
        <w:rPr>
          <w:rFonts w:eastAsia="宋体"/>
          <w:spacing w:val="-10"/>
          <w:sz w:val="24"/>
        </w:rPr>
        <w:t>时，企业突发大气环境事件风险等级表示为</w:t>
      </w:r>
      <w:r>
        <w:rPr>
          <w:rFonts w:ascii="Times New Roman" w:hAnsi="Times New Roman" w:eastAsia="宋体"/>
          <w:spacing w:val="-10"/>
          <w:sz w:val="24"/>
        </w:rPr>
        <w:t>“</w:t>
      </w:r>
      <w:r>
        <w:rPr>
          <w:rFonts w:eastAsia="宋体"/>
          <w:spacing w:val="-10"/>
          <w:sz w:val="24"/>
        </w:rPr>
        <w:t>一般</w:t>
      </w:r>
      <w:r>
        <w:rPr>
          <w:rFonts w:ascii="Times New Roman" w:hAnsi="Times New Roman" w:eastAsia="宋体"/>
          <w:spacing w:val="-10"/>
          <w:sz w:val="24"/>
        </w:rPr>
        <w:t>-</w:t>
      </w:r>
      <w:r>
        <w:rPr>
          <w:rFonts w:eastAsia="宋体"/>
          <w:spacing w:val="-10"/>
          <w:sz w:val="24"/>
        </w:rPr>
        <w:t>大气（</w:t>
      </w:r>
      <w:r>
        <w:rPr>
          <w:rFonts w:ascii="Times New Roman" w:hAnsi="Times New Roman" w:eastAsia="宋体"/>
          <w:spacing w:val="-10"/>
          <w:sz w:val="24"/>
        </w:rPr>
        <w:t>Q0</w:t>
      </w:r>
      <w:r>
        <w:rPr>
          <w:rFonts w:eastAsia="宋体"/>
          <w:spacing w:val="-10"/>
          <w:sz w:val="24"/>
        </w:rPr>
        <w:t>）</w:t>
      </w:r>
      <w:r>
        <w:rPr>
          <w:rFonts w:ascii="Times New Roman" w:hAnsi="Times New Roman" w:eastAsia="宋体"/>
          <w:spacing w:val="-10"/>
          <w:sz w:val="24"/>
        </w:rPr>
        <w:t>”</w:t>
      </w:r>
      <w:r>
        <w:rPr>
          <w:rFonts w:eastAsia="宋体"/>
          <w:spacing w:val="-10"/>
          <w:sz w:val="24"/>
        </w:rPr>
        <w:t>。</w:t>
      </w:r>
    </w:p>
    <w:p w14:paraId="787D7330">
      <w:pPr>
        <w:pStyle w:val="13"/>
        <w:spacing w:before="0" w:after="0" w:line="500" w:lineRule="exact"/>
        <w:ind w:left="0" w:firstLine="440" w:firstLineChars="200"/>
        <w:rPr>
          <w:rFonts w:eastAsia="宋体"/>
          <w:spacing w:val="-10"/>
        </w:rPr>
      </w:pPr>
      <w:r>
        <w:rPr>
          <w:rFonts w:hint="eastAsia" w:eastAsia="宋体"/>
          <w:spacing w:val="-10"/>
          <w:sz w:val="24"/>
          <w:lang w:eastAsia="zh-CN"/>
        </w:rPr>
        <w:t>（</w:t>
      </w:r>
      <w:r>
        <w:rPr>
          <w:rFonts w:hint="eastAsia" w:eastAsia="宋体"/>
          <w:spacing w:val="-10"/>
          <w:sz w:val="24"/>
          <w:lang w:val="en-US" w:eastAsia="zh-CN"/>
        </w:rPr>
        <w:t>2</w:t>
      </w:r>
      <w:r>
        <w:rPr>
          <w:rFonts w:hint="eastAsia" w:eastAsia="宋体"/>
          <w:spacing w:val="-10"/>
          <w:sz w:val="24"/>
          <w:lang w:eastAsia="zh-CN"/>
        </w:rPr>
        <w:t>）</w:t>
      </w:r>
      <w:r>
        <w:rPr>
          <w:rFonts w:ascii="Times New Roman" w:hAnsi="Times New Roman" w:eastAsia="宋体"/>
          <w:spacing w:val="-10"/>
          <w:sz w:val="24"/>
        </w:rPr>
        <w:t>Q≥1</w:t>
      </w:r>
      <w:r>
        <w:rPr>
          <w:rFonts w:eastAsia="宋体"/>
          <w:spacing w:val="-10"/>
          <w:sz w:val="24"/>
        </w:rPr>
        <w:t>时，企业突发大气环境事件风险等级表示为</w:t>
      </w:r>
      <w:r>
        <w:rPr>
          <w:rFonts w:ascii="Times New Roman" w:hAnsi="Times New Roman" w:eastAsia="宋体"/>
          <w:spacing w:val="-10"/>
          <w:sz w:val="24"/>
        </w:rPr>
        <w:t>“</w:t>
      </w:r>
      <w:r>
        <w:rPr>
          <w:rFonts w:eastAsia="宋体"/>
          <w:spacing w:val="-10"/>
          <w:sz w:val="24"/>
        </w:rPr>
        <w:t>环境风险等级</w:t>
      </w:r>
      <w:r>
        <w:rPr>
          <w:rFonts w:ascii="Times New Roman" w:hAnsi="Times New Roman" w:eastAsia="宋体"/>
          <w:spacing w:val="-10"/>
          <w:sz w:val="24"/>
        </w:rPr>
        <w:t>-</w:t>
      </w:r>
      <w:r>
        <w:rPr>
          <w:rFonts w:eastAsia="宋体"/>
          <w:spacing w:val="-10"/>
          <w:sz w:val="24"/>
        </w:rPr>
        <w:t>大气</w:t>
      </w:r>
      <w:r>
        <w:rPr>
          <w:rFonts w:eastAsia="宋体"/>
          <w:spacing w:val="-10"/>
        </w:rPr>
        <w:t>（</w:t>
      </w:r>
      <w:r>
        <w:rPr>
          <w:rFonts w:ascii="Times New Roman" w:hAnsi="Times New Roman" w:eastAsia="宋体"/>
          <w:spacing w:val="-10"/>
        </w:rPr>
        <w:t>Q</w:t>
      </w:r>
      <w:r>
        <w:rPr>
          <w:rFonts w:eastAsia="宋体"/>
          <w:spacing w:val="-10"/>
        </w:rPr>
        <w:t>水平</w:t>
      </w:r>
      <w:r>
        <w:rPr>
          <w:rFonts w:ascii="Times New Roman" w:hAnsi="Times New Roman" w:eastAsia="宋体"/>
          <w:spacing w:val="-10"/>
        </w:rPr>
        <w:t>-M</w:t>
      </w:r>
      <w:r>
        <w:rPr>
          <w:rFonts w:eastAsia="宋体"/>
          <w:spacing w:val="-10"/>
        </w:rPr>
        <w:t>类型</w:t>
      </w:r>
      <w:r>
        <w:rPr>
          <w:rFonts w:ascii="Times New Roman" w:hAnsi="Times New Roman" w:eastAsia="宋体"/>
          <w:spacing w:val="-10"/>
        </w:rPr>
        <w:t>-E</w:t>
      </w:r>
      <w:r>
        <w:rPr>
          <w:rFonts w:eastAsia="宋体"/>
          <w:spacing w:val="-10"/>
        </w:rPr>
        <w:t>类型）</w:t>
      </w:r>
      <w:r>
        <w:rPr>
          <w:rFonts w:ascii="Times New Roman" w:hAnsi="Times New Roman" w:eastAsia="宋体"/>
          <w:spacing w:val="-10"/>
        </w:rPr>
        <w:t>”</w:t>
      </w:r>
      <w:r>
        <w:rPr>
          <w:rFonts w:eastAsia="宋体"/>
          <w:spacing w:val="-10"/>
        </w:rPr>
        <w:t>。</w:t>
      </w:r>
    </w:p>
    <w:p w14:paraId="7F116C5B">
      <w:pPr>
        <w:pStyle w:val="13"/>
        <w:spacing w:before="0" w:line="500" w:lineRule="exact"/>
        <w:ind w:left="0" w:right="0" w:firstLine="440" w:firstLineChars="200"/>
        <w:jc w:val="left"/>
        <w:rPr>
          <w:rFonts w:eastAsia="宋体"/>
          <w:b w:val="0"/>
          <w:spacing w:val="-10"/>
          <w:sz w:val="24"/>
        </w:rPr>
      </w:pPr>
      <w:r>
        <w:rPr>
          <w:rFonts w:hint="eastAsia" w:eastAsia="宋体"/>
          <w:spacing w:val="-10"/>
          <w:lang w:val="en-US" w:eastAsia="zh-CN"/>
        </w:rPr>
        <w:t>南通孟泉环保新能源有限公司</w:t>
      </w:r>
      <w:r>
        <w:rPr>
          <w:rFonts w:hint="eastAsia" w:eastAsia="宋体"/>
          <w:spacing w:val="-10"/>
          <w:lang w:val="en-US" w:eastAsia="zh-CN"/>
        </w:rPr>
        <w:tab/>
      </w:r>
      <w:r>
        <w:rPr>
          <w:rFonts w:ascii="Times New Roman" w:hAnsi="Times New Roman" w:eastAsia="宋体"/>
          <w:b w:val="0"/>
          <w:spacing w:val="-10"/>
        </w:rPr>
        <w:t>Q</w:t>
      </w:r>
      <w:r>
        <w:rPr>
          <w:rFonts w:eastAsia="宋体"/>
          <w:b w:val="0"/>
          <w:spacing w:val="-10"/>
        </w:rPr>
        <w:t>＜</w:t>
      </w:r>
      <w:r>
        <w:rPr>
          <w:rFonts w:ascii="Times New Roman" w:hAnsi="Times New Roman" w:eastAsia="宋体"/>
          <w:b w:val="0"/>
          <w:spacing w:val="-10"/>
        </w:rPr>
        <w:t>1</w:t>
      </w:r>
      <w:r>
        <w:rPr>
          <w:rFonts w:eastAsia="宋体"/>
          <w:spacing w:val="-10"/>
        </w:rPr>
        <w:t>（</w:t>
      </w:r>
      <w:r>
        <w:rPr>
          <w:rFonts w:ascii="Times New Roman" w:hAnsi="Times New Roman" w:eastAsia="宋体"/>
          <w:spacing w:val="-10"/>
        </w:rPr>
        <w:t>Q0</w:t>
      </w:r>
      <w:r>
        <w:rPr>
          <w:rFonts w:eastAsia="宋体"/>
          <w:spacing w:val="-10"/>
        </w:rPr>
        <w:t>），因此大气风险等级表示为</w:t>
      </w:r>
      <w:r>
        <w:rPr>
          <w:rFonts w:ascii="Times New Roman" w:hAnsi="Times New Roman" w:eastAsia="宋体"/>
          <w:spacing w:val="-10"/>
        </w:rPr>
        <w:t>“</w:t>
      </w:r>
      <w:r>
        <w:rPr>
          <w:rFonts w:eastAsia="宋体"/>
          <w:b w:val="0"/>
          <w:spacing w:val="-10"/>
        </w:rPr>
        <w:t>一般</w:t>
      </w:r>
      <w:r>
        <w:rPr>
          <w:rFonts w:ascii="Times New Roman" w:hAnsi="Times New Roman" w:eastAsia="宋体"/>
          <w:b w:val="0"/>
          <w:spacing w:val="-10"/>
        </w:rPr>
        <w:t>-</w:t>
      </w:r>
      <w:r>
        <w:rPr>
          <w:rFonts w:eastAsia="宋体"/>
          <w:spacing w:val="-10"/>
          <w:sz w:val="24"/>
        </w:rPr>
        <w:t>大气（</w:t>
      </w:r>
      <w:r>
        <w:rPr>
          <w:rFonts w:ascii="Times New Roman" w:hAnsi="Times New Roman" w:eastAsia="宋体"/>
          <w:spacing w:val="-10"/>
          <w:sz w:val="24"/>
        </w:rPr>
        <w:t>Q0</w:t>
      </w:r>
      <w:r>
        <w:rPr>
          <w:rFonts w:eastAsia="宋体"/>
          <w:spacing w:val="-10"/>
          <w:sz w:val="24"/>
        </w:rPr>
        <w:t>）</w:t>
      </w:r>
      <w:r>
        <w:rPr>
          <w:rFonts w:ascii="Times New Roman" w:hAnsi="Times New Roman" w:eastAsia="宋体"/>
          <w:b w:val="0"/>
          <w:spacing w:val="-10"/>
          <w:sz w:val="24"/>
        </w:rPr>
        <w:t>”</w:t>
      </w:r>
      <w:r>
        <w:rPr>
          <w:rFonts w:eastAsia="宋体"/>
          <w:b w:val="0"/>
          <w:spacing w:val="-10"/>
          <w:sz w:val="24"/>
        </w:rPr>
        <w:t>。</w:t>
      </w:r>
    </w:p>
    <w:p w14:paraId="67EC3EAE">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71" w:name="7.2企业突发水环境事件风险等级"/>
      <w:bookmarkEnd w:id="271"/>
      <w:bookmarkStart w:id="272" w:name="_TOC_250016"/>
      <w:bookmarkEnd w:id="272"/>
      <w:bookmarkStart w:id="273" w:name="_Toc27596"/>
      <w:bookmarkStart w:id="274" w:name="_Toc14031"/>
      <w:r>
        <w:rPr>
          <w:rFonts w:hint="eastAsia" w:ascii="Times New Roman" w:hAnsi="Times New Roman" w:eastAsia="宋体" w:cs="Times New Roman"/>
          <w:color w:val="000000" w:themeColor="text1"/>
          <w:sz w:val="24"/>
          <w:szCs w:val="24"/>
          <w14:textFill>
            <w14:solidFill>
              <w14:schemeClr w14:val="tx1"/>
            </w14:solidFill>
          </w14:textFill>
        </w:rPr>
        <w:t>7.</w:t>
      </w:r>
      <w:r>
        <w:rPr>
          <w:rFonts w:hint="eastAsia"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企业突发</w:t>
      </w:r>
      <w:r>
        <w:rPr>
          <w:rFonts w:hint="eastAsia" w:eastAsia="宋体" w:cs="Times New Roman"/>
          <w:color w:val="000000" w:themeColor="text1"/>
          <w:sz w:val="24"/>
          <w:szCs w:val="24"/>
          <w:lang w:val="en-US" w:eastAsia="zh-CN"/>
          <w14:textFill>
            <w14:solidFill>
              <w14:schemeClr w14:val="tx1"/>
            </w14:solidFill>
          </w14:textFill>
        </w:rPr>
        <w:t>水</w:t>
      </w:r>
      <w:r>
        <w:rPr>
          <w:rFonts w:hint="eastAsia" w:ascii="Times New Roman" w:hAnsi="Times New Roman" w:eastAsia="宋体" w:cs="Times New Roman"/>
          <w:color w:val="000000" w:themeColor="text1"/>
          <w:sz w:val="24"/>
          <w:szCs w:val="24"/>
          <w14:textFill>
            <w14:solidFill>
              <w14:schemeClr w14:val="tx1"/>
            </w14:solidFill>
          </w14:textFill>
        </w:rPr>
        <w:t>环境事件风险等级</w:t>
      </w:r>
      <w:bookmarkEnd w:id="273"/>
      <w:bookmarkEnd w:id="274"/>
    </w:p>
    <w:p w14:paraId="76A4B866">
      <w:pPr>
        <w:pStyle w:val="5"/>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275" w:name="7.2.1涉水风险物质数量与临界量比值（Q）"/>
      <w:bookmarkEnd w:id="275"/>
      <w:bookmarkStart w:id="276" w:name="_Toc16147"/>
      <w:bookmarkStart w:id="277" w:name="_Toc4502"/>
      <w:bookmarkStart w:id="278" w:name="_TOC_250015"/>
      <w:r>
        <w:rPr>
          <w:rFonts w:hint="eastAsia" w:ascii="Times New Roman" w:hAnsi="Times New Roman" w:eastAsia="宋体" w:cs="Times New Roman"/>
          <w:color w:val="000000" w:themeColor="text1"/>
          <w14:textFill>
            <w14:solidFill>
              <w14:schemeClr w14:val="tx1"/>
            </w14:solidFill>
          </w14:textFill>
        </w:rPr>
        <w:t>7.</w:t>
      </w:r>
      <w:r>
        <w:rPr>
          <w:rFonts w:hint="eastAsia"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lang w:val="en-US" w:eastAsia="zh-CN"/>
          <w14:textFill>
            <w14:solidFill>
              <w14:schemeClr w14:val="tx1"/>
            </w14:solidFill>
          </w14:textFill>
        </w:rPr>
        <w:t>涉</w:t>
      </w:r>
      <w:r>
        <w:rPr>
          <w:rFonts w:hint="eastAsia"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lang w:val="en-US" w:eastAsia="zh-CN"/>
          <w14:textFill>
            <w14:solidFill>
              <w14:schemeClr w14:val="tx1"/>
            </w14:solidFill>
          </w14:textFill>
        </w:rPr>
        <w:t>风险物质数量与临界值比值（Q）</w:t>
      </w:r>
      <w:bookmarkEnd w:id="276"/>
      <w:bookmarkEnd w:id="277"/>
    </w:p>
    <w:bookmarkEnd w:id="278"/>
    <w:p w14:paraId="762B7E1C">
      <w:pPr>
        <w:pStyle w:val="13"/>
        <w:spacing w:before="0" w:after="0" w:line="500" w:lineRule="exact"/>
        <w:ind w:left="0" w:right="0" w:firstLine="440" w:firstLineChars="200"/>
        <w:jc w:val="left"/>
        <w:rPr>
          <w:rFonts w:eastAsia="宋体"/>
          <w:spacing w:val="-10"/>
        </w:rPr>
      </w:pPr>
      <w:r>
        <w:rPr>
          <w:rFonts w:eastAsia="宋体"/>
          <w:spacing w:val="-10"/>
        </w:rPr>
        <w:t>企业生产原料、成品、中间成品、副成品、催化剂、辅助生产物料、</w:t>
      </w:r>
      <w:r>
        <w:rPr>
          <w:rFonts w:ascii="Times New Roman" w:hAnsi="Times New Roman" w:eastAsia="宋体"/>
          <w:spacing w:val="-10"/>
        </w:rPr>
        <w:t>“</w:t>
      </w:r>
      <w:r>
        <w:rPr>
          <w:rFonts w:eastAsia="宋体"/>
          <w:spacing w:val="-10"/>
        </w:rPr>
        <w:t>三废</w:t>
      </w:r>
      <w:r>
        <w:rPr>
          <w:rFonts w:ascii="Times New Roman" w:hAnsi="Times New Roman" w:eastAsia="宋体"/>
          <w:spacing w:val="-10"/>
        </w:rPr>
        <w:t>”</w:t>
      </w:r>
      <w:r>
        <w:rPr>
          <w:rFonts w:eastAsia="宋体"/>
          <w:spacing w:val="-10"/>
        </w:rPr>
        <w:t>污染物等是否涉及水环境风险物质，计算涉水风险物质（混合或稀释的风险物质按其组分比例折算成纯物质）与其临界量的比值</w:t>
      </w:r>
      <w:r>
        <w:rPr>
          <w:rFonts w:ascii="Times New Roman" w:hAnsi="Times New Roman" w:eastAsia="宋体"/>
          <w:spacing w:val="-10"/>
        </w:rPr>
        <w:t>Q</w:t>
      </w:r>
      <w:r>
        <w:rPr>
          <w:rFonts w:eastAsia="宋体"/>
          <w:spacing w:val="-10"/>
        </w:rPr>
        <w:t>，计算方法同</w:t>
      </w:r>
      <w:r>
        <w:rPr>
          <w:rFonts w:ascii="Times New Roman" w:hAnsi="Times New Roman" w:eastAsia="宋体"/>
          <w:spacing w:val="-10"/>
        </w:rPr>
        <w:t>7.1.1</w:t>
      </w:r>
      <w:r>
        <w:rPr>
          <w:rFonts w:eastAsia="宋体"/>
          <w:spacing w:val="-10"/>
        </w:rPr>
        <w:t>部分。</w:t>
      </w:r>
    </w:p>
    <w:p w14:paraId="61EFD95A">
      <w:pPr>
        <w:pStyle w:val="13"/>
        <w:spacing w:after="0" w:line="500" w:lineRule="exact"/>
        <w:ind w:left="0" w:right="0" w:firstLine="440" w:firstLineChars="200"/>
        <w:jc w:val="left"/>
      </w:pPr>
      <w:r>
        <w:rPr>
          <w:rFonts w:eastAsia="宋体"/>
          <w:spacing w:val="-10"/>
        </w:rPr>
        <w:t>涉水环境风险物质有</w:t>
      </w:r>
      <w:r>
        <w:rPr>
          <w:rFonts w:hint="eastAsia" w:eastAsia="宋体"/>
          <w:spacing w:val="-10"/>
          <w:lang w:val="en-US" w:eastAsia="zh-CN"/>
        </w:rPr>
        <w:t>润滑油、污泥等</w:t>
      </w:r>
      <w:r>
        <w:rPr>
          <w:rFonts w:eastAsia="宋体"/>
          <w:spacing w:val="-10"/>
        </w:rPr>
        <w:t>，计算结果见表</w:t>
      </w:r>
      <w:r>
        <w:rPr>
          <w:rFonts w:ascii="Times New Roman" w:eastAsia="宋体"/>
          <w:spacing w:val="-10"/>
        </w:rPr>
        <w:t>7-6</w:t>
      </w:r>
      <w:r>
        <w:rPr>
          <w:rFonts w:eastAsia="宋体"/>
          <w:spacing w:val="-10"/>
        </w:rPr>
        <w:t>。</w:t>
      </w:r>
    </w:p>
    <w:p w14:paraId="5CC5CF2C">
      <w:pPr>
        <w:pStyle w:val="13"/>
        <w:spacing w:before="0" w:after="0" w:line="500" w:lineRule="exact"/>
        <w:ind w:left="0" w:firstLine="0" w:firstLineChars="0"/>
        <w:jc w:val="center"/>
        <w:rPr>
          <w:rFonts w:hint="default" w:eastAsiaTheme="minorEastAsia"/>
          <w:spacing w:val="-10"/>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7-6</w:t>
      </w:r>
      <w:r>
        <w:rPr>
          <w:rFonts w:eastAsiaTheme="minorEastAsia"/>
          <w:b/>
          <w:color w:val="000000" w:themeColor="text1"/>
          <w:sz w:val="24"/>
          <w:szCs w:val="24"/>
          <w14:textFill>
            <w14:solidFill>
              <w14:schemeClr w14:val="tx1"/>
            </w14:solidFill>
          </w14:textFill>
        </w:rPr>
        <w:t>企业主要涉水风险物质Q值计算一览表</w:t>
      </w:r>
    </w:p>
    <w:tbl>
      <w:tblPr>
        <w:tblStyle w:val="37"/>
        <w:tblW w:w="0" w:type="auto"/>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984"/>
        <w:gridCol w:w="1437"/>
        <w:gridCol w:w="1300"/>
        <w:gridCol w:w="1232"/>
        <w:gridCol w:w="1570"/>
      </w:tblGrid>
      <w:tr w14:paraId="1A727D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197" w:type="dxa"/>
            <w:tcBorders>
              <w:tl2br w:val="nil"/>
              <w:tr2bl w:val="nil"/>
            </w:tcBorders>
            <w:vAlign w:val="center"/>
          </w:tcPr>
          <w:p w14:paraId="0B74ABAB">
            <w:pPr>
              <w:pStyle w:val="140"/>
              <w:spacing w:before="0"/>
              <w:ind w:left="0" w:right="0"/>
              <w:rPr>
                <w:b/>
                <w:sz w:val="21"/>
              </w:rPr>
            </w:pPr>
            <w:r>
              <w:rPr>
                <w:b/>
                <w:sz w:val="21"/>
              </w:rPr>
              <w:t>环境风险</w:t>
            </w:r>
          </w:p>
          <w:p w14:paraId="06E73772">
            <w:pPr>
              <w:pStyle w:val="140"/>
              <w:spacing w:before="0" w:line="240" w:lineRule="auto"/>
              <w:ind w:left="0" w:right="0"/>
              <w:rPr>
                <w:b/>
                <w:sz w:val="21"/>
              </w:rPr>
            </w:pPr>
            <w:r>
              <w:rPr>
                <w:b/>
                <w:sz w:val="21"/>
              </w:rPr>
              <w:t>单元</w:t>
            </w:r>
          </w:p>
        </w:tc>
        <w:tc>
          <w:tcPr>
            <w:tcW w:w="1984" w:type="dxa"/>
            <w:tcBorders>
              <w:tl2br w:val="nil"/>
              <w:tr2bl w:val="nil"/>
            </w:tcBorders>
            <w:vAlign w:val="center"/>
          </w:tcPr>
          <w:p w14:paraId="1330F5F4">
            <w:pPr>
              <w:pStyle w:val="140"/>
              <w:spacing w:before="0"/>
              <w:ind w:left="0" w:right="0"/>
              <w:rPr>
                <w:b/>
                <w:sz w:val="21"/>
              </w:rPr>
            </w:pPr>
            <w:r>
              <w:rPr>
                <w:b/>
                <w:sz w:val="21"/>
              </w:rPr>
              <w:t>风险物质名称</w:t>
            </w:r>
          </w:p>
        </w:tc>
        <w:tc>
          <w:tcPr>
            <w:tcW w:w="1437" w:type="dxa"/>
            <w:tcBorders>
              <w:tl2br w:val="nil"/>
              <w:tr2bl w:val="nil"/>
            </w:tcBorders>
            <w:vAlign w:val="center"/>
          </w:tcPr>
          <w:p w14:paraId="3FD8D03E">
            <w:pPr>
              <w:pStyle w:val="140"/>
              <w:spacing w:before="0"/>
              <w:ind w:left="0"/>
              <w:jc w:val="center"/>
              <w:rPr>
                <w:b/>
                <w:sz w:val="21"/>
              </w:rPr>
            </w:pPr>
            <w:r>
              <w:rPr>
                <w:b/>
                <w:sz w:val="21"/>
              </w:rPr>
              <w:t>最大存在总</w:t>
            </w:r>
          </w:p>
          <w:p w14:paraId="3561E502">
            <w:pPr>
              <w:pStyle w:val="140"/>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1300" w:type="dxa"/>
            <w:tcBorders>
              <w:tl2br w:val="nil"/>
              <w:tr2bl w:val="nil"/>
            </w:tcBorders>
            <w:vAlign w:val="center"/>
          </w:tcPr>
          <w:p w14:paraId="5EAB8D45">
            <w:pPr>
              <w:pStyle w:val="140"/>
              <w:spacing w:before="0"/>
              <w:ind w:left="0" w:right="0"/>
              <w:rPr>
                <w:rFonts w:ascii="Times New Roman" w:eastAsia="Times New Roman"/>
                <w:b/>
                <w:sz w:val="21"/>
              </w:rPr>
            </w:pPr>
            <w:r>
              <w:rPr>
                <w:b/>
                <w:sz w:val="21"/>
              </w:rPr>
              <w:t>临界量</w:t>
            </w:r>
            <w:r>
              <w:rPr>
                <w:rFonts w:ascii="Times New Roman" w:eastAsia="Times New Roman"/>
                <w:b/>
                <w:sz w:val="21"/>
              </w:rPr>
              <w:t>Qi</w:t>
            </w:r>
          </w:p>
          <w:p w14:paraId="1F9288F6">
            <w:pPr>
              <w:pStyle w:val="140"/>
              <w:spacing w:before="0" w:line="240" w:lineRule="auto"/>
              <w:ind w:left="0" w:right="0"/>
              <w:rPr>
                <w:b/>
                <w:sz w:val="21"/>
              </w:rPr>
            </w:pPr>
            <w:r>
              <w:rPr>
                <w:b/>
                <w:sz w:val="21"/>
              </w:rPr>
              <w:t>（</w:t>
            </w:r>
            <w:r>
              <w:rPr>
                <w:rFonts w:ascii="Times New Roman" w:eastAsia="Times New Roman"/>
                <w:b/>
                <w:sz w:val="21"/>
              </w:rPr>
              <w:t>t</w:t>
            </w:r>
            <w:r>
              <w:rPr>
                <w:b/>
                <w:sz w:val="21"/>
              </w:rPr>
              <w:t>）</w:t>
            </w:r>
          </w:p>
        </w:tc>
        <w:tc>
          <w:tcPr>
            <w:tcW w:w="1232" w:type="dxa"/>
            <w:tcBorders>
              <w:tl2br w:val="nil"/>
              <w:tr2bl w:val="nil"/>
            </w:tcBorders>
            <w:vAlign w:val="center"/>
          </w:tcPr>
          <w:p w14:paraId="73C3CA47">
            <w:pPr>
              <w:pStyle w:val="140"/>
              <w:spacing w:before="0"/>
              <w:ind w:left="0"/>
              <w:jc w:val="center"/>
              <w:rPr>
                <w:rFonts w:ascii="Times New Roman"/>
                <w:b/>
                <w:sz w:val="21"/>
              </w:rPr>
            </w:pPr>
            <w:r>
              <w:rPr>
                <w:rFonts w:ascii="Times New Roman"/>
                <w:b/>
                <w:sz w:val="21"/>
              </w:rPr>
              <w:t>qi/Qi</w:t>
            </w:r>
          </w:p>
        </w:tc>
        <w:tc>
          <w:tcPr>
            <w:tcW w:w="1570" w:type="dxa"/>
            <w:tcBorders>
              <w:tl2br w:val="nil"/>
              <w:tr2bl w:val="nil"/>
            </w:tcBorders>
            <w:vAlign w:val="center"/>
          </w:tcPr>
          <w:p w14:paraId="0EC930D6">
            <w:pPr>
              <w:pStyle w:val="140"/>
              <w:spacing w:before="0"/>
              <w:ind w:left="0" w:right="0"/>
              <w:rPr>
                <w:b/>
                <w:sz w:val="21"/>
              </w:rPr>
            </w:pPr>
            <w:r>
              <w:rPr>
                <w:b/>
                <w:sz w:val="21"/>
              </w:rPr>
              <w:t>是否重要环境</w:t>
            </w:r>
          </w:p>
          <w:p w14:paraId="2BFE613B">
            <w:pPr>
              <w:pStyle w:val="140"/>
              <w:spacing w:before="0" w:line="240" w:lineRule="auto"/>
              <w:ind w:left="0" w:right="0"/>
              <w:rPr>
                <w:b/>
                <w:sz w:val="21"/>
              </w:rPr>
            </w:pPr>
            <w:r>
              <w:rPr>
                <w:b/>
                <w:sz w:val="21"/>
              </w:rPr>
              <w:t>风险单元</w:t>
            </w:r>
          </w:p>
        </w:tc>
      </w:tr>
      <w:tr w14:paraId="22FBEC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tcBorders>
              <w:tl2br w:val="nil"/>
              <w:tr2bl w:val="nil"/>
            </w:tcBorders>
            <w:vAlign w:val="center"/>
          </w:tcPr>
          <w:p w14:paraId="73B2B2B4">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1984" w:type="dxa"/>
            <w:tcBorders>
              <w:tl2br w:val="nil"/>
              <w:tr2bl w:val="nil"/>
            </w:tcBorders>
            <w:vAlign w:val="center"/>
          </w:tcPr>
          <w:p w14:paraId="22E7F7FE">
            <w:pPr>
              <w:keepNext w:val="0"/>
              <w:keepLines w:val="0"/>
              <w:widowControl/>
              <w:suppressLineNumbers w:val="0"/>
              <w:jc w:val="center"/>
              <w:rPr>
                <w:rFonts w:hint="eastAsia" w:ascii="宋体" w:hAnsi="宋体" w:eastAsia="宋体" w:cs="宋体"/>
                <w:kern w:val="2"/>
                <w:sz w:val="21"/>
                <w:szCs w:val="24"/>
                <w:lang w:val="en-US" w:eastAsia="zh-CN" w:bidi="ar-SA"/>
              </w:rPr>
            </w:pPr>
            <w:r>
              <w:rPr>
                <w:rFonts w:hint="eastAsia" w:eastAsia="宋体" w:cs="Times New Roman"/>
                <w:sz w:val="21"/>
                <w:szCs w:val="21"/>
                <w:lang w:val="en-US" w:eastAsia="zh-CN"/>
              </w:rPr>
              <w:t>润滑油</w:t>
            </w:r>
          </w:p>
        </w:tc>
        <w:tc>
          <w:tcPr>
            <w:tcW w:w="1437" w:type="dxa"/>
            <w:tcBorders>
              <w:tl2br w:val="nil"/>
              <w:tr2bl w:val="nil"/>
            </w:tcBorders>
            <w:vAlign w:val="center"/>
          </w:tcPr>
          <w:p w14:paraId="2B9ADE1B">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2.16</w:t>
            </w:r>
          </w:p>
        </w:tc>
        <w:tc>
          <w:tcPr>
            <w:tcW w:w="1300" w:type="dxa"/>
            <w:tcBorders>
              <w:tl2br w:val="nil"/>
              <w:tr2bl w:val="nil"/>
            </w:tcBorders>
            <w:vAlign w:val="center"/>
          </w:tcPr>
          <w:p w14:paraId="3B25EE79">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35C0188C">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0.0432</w:t>
            </w:r>
          </w:p>
        </w:tc>
        <w:tc>
          <w:tcPr>
            <w:tcW w:w="1570" w:type="dxa"/>
            <w:vMerge w:val="restart"/>
            <w:tcBorders>
              <w:tl2br w:val="nil"/>
              <w:tr2bl w:val="nil"/>
            </w:tcBorders>
            <w:vAlign w:val="center"/>
          </w:tcPr>
          <w:p w14:paraId="39053667">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06431B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1D0A7A86">
            <w:pPr>
              <w:pStyle w:val="140"/>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1232" w:type="dxa"/>
            <w:tcBorders>
              <w:tl2br w:val="nil"/>
              <w:tr2bl w:val="nil"/>
            </w:tcBorders>
            <w:vAlign w:val="center"/>
          </w:tcPr>
          <w:p w14:paraId="2366922B">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0.0432</w:t>
            </w:r>
          </w:p>
        </w:tc>
        <w:tc>
          <w:tcPr>
            <w:tcW w:w="1570" w:type="dxa"/>
            <w:vMerge w:val="continue"/>
            <w:tcBorders>
              <w:tl2br w:val="nil"/>
              <w:tr2bl w:val="nil"/>
            </w:tcBorders>
            <w:vAlign w:val="center"/>
          </w:tcPr>
          <w:p w14:paraId="1EDBF9BB">
            <w:pPr>
              <w:jc w:val="center"/>
              <w:rPr>
                <w:rFonts w:hint="eastAsia" w:ascii="宋体" w:hAnsi="宋体" w:eastAsia="宋体" w:cs="宋体"/>
                <w:sz w:val="21"/>
                <w:szCs w:val="24"/>
                <w:lang w:val="en-US" w:eastAsia="zh-CN"/>
              </w:rPr>
            </w:pPr>
          </w:p>
        </w:tc>
      </w:tr>
      <w:tr w14:paraId="1D5390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687276B9">
            <w:pPr>
              <w:jc w:val="center"/>
              <w:rPr>
                <w:sz w:val="2"/>
                <w:szCs w:val="2"/>
              </w:rPr>
            </w:pPr>
            <w:r>
              <w:rPr>
                <w:rFonts w:hint="eastAsia" w:ascii="Times New Roman" w:eastAsia="宋体"/>
                <w:sz w:val="21"/>
                <w:lang w:val="en-US" w:eastAsia="zh-CN"/>
              </w:rPr>
              <w:t>危废仓库</w:t>
            </w:r>
          </w:p>
        </w:tc>
        <w:tc>
          <w:tcPr>
            <w:tcW w:w="1984" w:type="dxa"/>
            <w:tcBorders>
              <w:tl2br w:val="nil"/>
              <w:tr2bl w:val="nil"/>
            </w:tcBorders>
            <w:vAlign w:val="center"/>
          </w:tcPr>
          <w:p w14:paraId="68282578">
            <w:pPr>
              <w:pStyle w:val="14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kern w:val="0"/>
                <w:sz w:val="21"/>
                <w:szCs w:val="21"/>
                <w:lang w:val="en-US" w:eastAsia="zh-CN" w:bidi="zh-CN"/>
              </w:rPr>
            </w:pPr>
            <w:r>
              <w:rPr>
                <w:rFonts w:hint="eastAsia" w:ascii="Times New Roman" w:hAnsi="Times New Roman" w:cs="Times New Roman"/>
                <w:kern w:val="2"/>
                <w:sz w:val="21"/>
                <w:szCs w:val="21"/>
                <w:lang w:val="en-US" w:eastAsia="zh-CN" w:bidi="ar-SA"/>
              </w:rPr>
              <w:t>废电瓶</w:t>
            </w:r>
          </w:p>
        </w:tc>
        <w:tc>
          <w:tcPr>
            <w:tcW w:w="1437" w:type="dxa"/>
            <w:tcBorders>
              <w:tl2br w:val="nil"/>
              <w:tr2bl w:val="nil"/>
            </w:tcBorders>
            <w:vAlign w:val="center"/>
          </w:tcPr>
          <w:p w14:paraId="2022D713">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0.08</w:t>
            </w:r>
          </w:p>
        </w:tc>
        <w:tc>
          <w:tcPr>
            <w:tcW w:w="1300" w:type="dxa"/>
            <w:tcBorders>
              <w:tl2br w:val="nil"/>
              <w:tr2bl w:val="nil"/>
            </w:tcBorders>
            <w:vAlign w:val="center"/>
          </w:tcPr>
          <w:p w14:paraId="6C172C00">
            <w:pPr>
              <w:pStyle w:val="140"/>
              <w:spacing w:before="0"/>
              <w:ind w:left="0" w:right="0"/>
              <w:rPr>
                <w:rFonts w:hint="default" w:ascii="Times New Roman" w:eastAsia="宋体"/>
                <w:sz w:val="21"/>
                <w:lang w:val="en-US" w:eastAsia="zh-CN"/>
              </w:rPr>
            </w:pPr>
            <w:r>
              <w:rPr>
                <w:rFonts w:hint="eastAsia" w:ascii="Times New Roman"/>
                <w:sz w:val="21"/>
                <w:lang w:val="en-US" w:eastAsia="zh-CN"/>
              </w:rPr>
              <w:t>0.5</w:t>
            </w:r>
          </w:p>
        </w:tc>
        <w:tc>
          <w:tcPr>
            <w:tcW w:w="1232" w:type="dxa"/>
            <w:tcBorders>
              <w:tl2br w:val="nil"/>
              <w:tr2bl w:val="nil"/>
            </w:tcBorders>
            <w:vAlign w:val="center"/>
          </w:tcPr>
          <w:p w14:paraId="5D4646BE">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0.16</w:t>
            </w:r>
          </w:p>
        </w:tc>
        <w:tc>
          <w:tcPr>
            <w:tcW w:w="1570" w:type="dxa"/>
            <w:vMerge w:val="continue"/>
            <w:tcBorders>
              <w:tl2br w:val="nil"/>
              <w:tr2bl w:val="nil"/>
            </w:tcBorders>
            <w:vAlign w:val="center"/>
          </w:tcPr>
          <w:p w14:paraId="236C527F">
            <w:pPr>
              <w:jc w:val="center"/>
              <w:rPr>
                <w:sz w:val="2"/>
                <w:szCs w:val="2"/>
              </w:rPr>
            </w:pPr>
          </w:p>
        </w:tc>
      </w:tr>
      <w:tr w14:paraId="378B4D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39AA703B">
            <w:pPr>
              <w:jc w:val="center"/>
              <w:rPr>
                <w:sz w:val="2"/>
                <w:szCs w:val="2"/>
              </w:rPr>
            </w:pPr>
          </w:p>
        </w:tc>
        <w:tc>
          <w:tcPr>
            <w:tcW w:w="1984" w:type="dxa"/>
            <w:tcBorders>
              <w:tl2br w:val="nil"/>
              <w:tr2bl w:val="nil"/>
            </w:tcBorders>
            <w:vAlign w:val="center"/>
          </w:tcPr>
          <w:p w14:paraId="64658198">
            <w:pPr>
              <w:widowControl/>
              <w:jc w:val="center"/>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kern w:val="2"/>
                <w:sz w:val="21"/>
                <w:szCs w:val="21"/>
                <w:lang w:val="en-US" w:eastAsia="zh-CN" w:bidi="ar-SA"/>
              </w:rPr>
              <w:t>废</w:t>
            </w:r>
            <w:r>
              <w:rPr>
                <w:rFonts w:hint="eastAsia" w:eastAsia="宋体" w:cs="Times New Roman"/>
                <w:kern w:val="2"/>
                <w:sz w:val="21"/>
                <w:szCs w:val="21"/>
                <w:lang w:val="en-US" w:eastAsia="zh-CN" w:bidi="ar-SA"/>
              </w:rPr>
              <w:t>劳保用品</w:t>
            </w:r>
          </w:p>
        </w:tc>
        <w:tc>
          <w:tcPr>
            <w:tcW w:w="1437" w:type="dxa"/>
            <w:tcBorders>
              <w:tl2br w:val="nil"/>
              <w:tr2bl w:val="nil"/>
            </w:tcBorders>
            <w:vAlign w:val="center"/>
          </w:tcPr>
          <w:p w14:paraId="314D2F03">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0.05</w:t>
            </w:r>
          </w:p>
        </w:tc>
        <w:tc>
          <w:tcPr>
            <w:tcW w:w="1300" w:type="dxa"/>
            <w:tcBorders>
              <w:tl2br w:val="nil"/>
              <w:tr2bl w:val="nil"/>
            </w:tcBorders>
            <w:vAlign w:val="center"/>
          </w:tcPr>
          <w:p w14:paraId="0F5CFFED">
            <w:pPr>
              <w:spacing w:before="0"/>
              <w:ind w:left="0" w:right="0"/>
              <w:jc w:val="center"/>
              <w:rPr>
                <w:rFonts w:hint="default" w:ascii="Times New Roman"/>
                <w:sz w:val="21"/>
                <w:lang w:val="en-US" w:eastAsia="zh-CN"/>
              </w:rPr>
            </w:pPr>
            <w:r>
              <w:rPr>
                <w:rFonts w:hint="eastAsia"/>
                <w:sz w:val="21"/>
                <w:lang w:val="en-US" w:eastAsia="zh-CN"/>
              </w:rPr>
              <w:t>50</w:t>
            </w:r>
          </w:p>
        </w:tc>
        <w:tc>
          <w:tcPr>
            <w:tcW w:w="1232" w:type="dxa"/>
            <w:tcBorders>
              <w:tl2br w:val="nil"/>
              <w:tr2bl w:val="nil"/>
            </w:tcBorders>
            <w:vAlign w:val="center"/>
          </w:tcPr>
          <w:p w14:paraId="51EA9255">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5C56548B">
            <w:pPr>
              <w:jc w:val="center"/>
              <w:rPr>
                <w:sz w:val="2"/>
                <w:szCs w:val="2"/>
              </w:rPr>
            </w:pPr>
          </w:p>
        </w:tc>
      </w:tr>
      <w:tr w14:paraId="6280C1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56F5932A">
            <w:pPr>
              <w:jc w:val="center"/>
              <w:rPr>
                <w:sz w:val="2"/>
                <w:szCs w:val="2"/>
              </w:rPr>
            </w:pPr>
          </w:p>
        </w:tc>
        <w:tc>
          <w:tcPr>
            <w:tcW w:w="1984" w:type="dxa"/>
            <w:tcBorders>
              <w:tl2br w:val="nil"/>
              <w:tr2bl w:val="nil"/>
            </w:tcBorders>
            <w:vAlign w:val="center"/>
          </w:tcPr>
          <w:p w14:paraId="6DA0D232">
            <w:pPr>
              <w:widowControl w:val="0"/>
              <w:spacing w:line="240" w:lineRule="auto"/>
              <w:ind w:left="0" w:leftChars="0" w:firstLine="0" w:firstLineChars="0"/>
              <w:jc w:val="center"/>
              <w:rPr>
                <w:rFonts w:hint="default"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废润滑油</w:t>
            </w:r>
          </w:p>
        </w:tc>
        <w:tc>
          <w:tcPr>
            <w:tcW w:w="1437" w:type="dxa"/>
            <w:tcBorders>
              <w:tl2br w:val="nil"/>
              <w:tr2bl w:val="nil"/>
            </w:tcBorders>
            <w:vAlign w:val="center"/>
          </w:tcPr>
          <w:p w14:paraId="4C86B332">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0.1</w:t>
            </w:r>
          </w:p>
        </w:tc>
        <w:tc>
          <w:tcPr>
            <w:tcW w:w="1300" w:type="dxa"/>
            <w:tcBorders>
              <w:tl2br w:val="nil"/>
              <w:tr2bl w:val="nil"/>
            </w:tcBorders>
            <w:vAlign w:val="center"/>
          </w:tcPr>
          <w:p w14:paraId="28C1790D">
            <w:pPr>
              <w:spacing w:before="0"/>
              <w:ind w:left="0" w:right="0"/>
              <w:jc w:val="center"/>
              <w:rPr>
                <w:rFonts w:hint="default" w:ascii="Times New Roman"/>
                <w:sz w:val="21"/>
                <w:lang w:val="en-US" w:eastAsia="zh-CN"/>
              </w:rPr>
            </w:pPr>
            <w:r>
              <w:rPr>
                <w:rFonts w:hint="eastAsia"/>
                <w:sz w:val="21"/>
                <w:lang w:val="en-US" w:eastAsia="zh-CN"/>
              </w:rPr>
              <w:t>10</w:t>
            </w:r>
          </w:p>
        </w:tc>
        <w:tc>
          <w:tcPr>
            <w:tcW w:w="1232" w:type="dxa"/>
            <w:tcBorders>
              <w:tl2br w:val="nil"/>
              <w:tr2bl w:val="nil"/>
            </w:tcBorders>
            <w:vAlign w:val="center"/>
          </w:tcPr>
          <w:p w14:paraId="6DBBD27A">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17380323">
            <w:pPr>
              <w:jc w:val="center"/>
              <w:rPr>
                <w:sz w:val="2"/>
                <w:szCs w:val="2"/>
              </w:rPr>
            </w:pPr>
          </w:p>
        </w:tc>
      </w:tr>
      <w:tr w14:paraId="3700A2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1608B78B">
            <w:pPr>
              <w:jc w:val="center"/>
              <w:rPr>
                <w:sz w:val="2"/>
                <w:szCs w:val="2"/>
              </w:rPr>
            </w:pPr>
          </w:p>
        </w:tc>
        <w:tc>
          <w:tcPr>
            <w:tcW w:w="1984" w:type="dxa"/>
            <w:tcBorders>
              <w:tl2br w:val="nil"/>
              <w:tr2bl w:val="nil"/>
            </w:tcBorders>
            <w:vAlign w:val="center"/>
          </w:tcPr>
          <w:p w14:paraId="7DAE68A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废润滑油桶</w:t>
            </w:r>
          </w:p>
        </w:tc>
        <w:tc>
          <w:tcPr>
            <w:tcW w:w="1437" w:type="dxa"/>
            <w:tcBorders>
              <w:tl2br w:val="nil"/>
              <w:tr2bl w:val="nil"/>
            </w:tcBorders>
            <w:vAlign w:val="center"/>
          </w:tcPr>
          <w:p w14:paraId="63E6C193">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0.24</w:t>
            </w:r>
          </w:p>
        </w:tc>
        <w:tc>
          <w:tcPr>
            <w:tcW w:w="1300" w:type="dxa"/>
            <w:tcBorders>
              <w:tl2br w:val="nil"/>
              <w:tr2bl w:val="nil"/>
            </w:tcBorders>
            <w:vAlign w:val="center"/>
          </w:tcPr>
          <w:p w14:paraId="37710417">
            <w:pPr>
              <w:spacing w:before="0"/>
              <w:ind w:left="0" w:right="0"/>
              <w:jc w:val="center"/>
              <w:rPr>
                <w:rFonts w:hint="default" w:ascii="Times New Roman"/>
                <w:sz w:val="21"/>
                <w:lang w:val="en-US" w:eastAsia="zh-CN"/>
              </w:rPr>
            </w:pPr>
            <w:r>
              <w:rPr>
                <w:rFonts w:hint="eastAsia"/>
                <w:sz w:val="21"/>
                <w:lang w:val="en-US" w:eastAsia="zh-CN"/>
              </w:rPr>
              <w:t>10</w:t>
            </w:r>
          </w:p>
        </w:tc>
        <w:tc>
          <w:tcPr>
            <w:tcW w:w="1232" w:type="dxa"/>
            <w:tcBorders>
              <w:tl2br w:val="nil"/>
              <w:tr2bl w:val="nil"/>
            </w:tcBorders>
            <w:vAlign w:val="center"/>
          </w:tcPr>
          <w:p w14:paraId="5D6E2B41">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0.024</w:t>
            </w:r>
          </w:p>
        </w:tc>
        <w:tc>
          <w:tcPr>
            <w:tcW w:w="1570" w:type="dxa"/>
            <w:vMerge w:val="continue"/>
            <w:tcBorders>
              <w:tl2br w:val="nil"/>
              <w:tr2bl w:val="nil"/>
            </w:tcBorders>
            <w:vAlign w:val="center"/>
          </w:tcPr>
          <w:p w14:paraId="6ED83C8B">
            <w:pPr>
              <w:jc w:val="center"/>
              <w:rPr>
                <w:sz w:val="2"/>
                <w:szCs w:val="2"/>
              </w:rPr>
            </w:pPr>
          </w:p>
        </w:tc>
      </w:tr>
      <w:tr w14:paraId="62E6E3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18" w:type="dxa"/>
            <w:gridSpan w:val="4"/>
            <w:tcBorders>
              <w:tl2br w:val="nil"/>
              <w:tr2bl w:val="nil"/>
            </w:tcBorders>
            <w:vAlign w:val="center"/>
          </w:tcPr>
          <w:p w14:paraId="467D6EB9">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2810A1F2">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0.2382</w:t>
            </w:r>
          </w:p>
        </w:tc>
        <w:tc>
          <w:tcPr>
            <w:tcW w:w="1570" w:type="dxa"/>
            <w:vMerge w:val="continue"/>
            <w:tcBorders>
              <w:tl2br w:val="nil"/>
              <w:tr2bl w:val="nil"/>
            </w:tcBorders>
            <w:vAlign w:val="center"/>
          </w:tcPr>
          <w:p w14:paraId="5FA95133">
            <w:pPr>
              <w:jc w:val="center"/>
              <w:rPr>
                <w:sz w:val="2"/>
                <w:szCs w:val="2"/>
              </w:rPr>
            </w:pPr>
          </w:p>
        </w:tc>
      </w:tr>
    </w:tbl>
    <w:p w14:paraId="40BB8E45">
      <w:pPr>
        <w:pStyle w:val="13"/>
        <w:spacing w:before="0" w:after="0" w:line="500" w:lineRule="exact"/>
        <w:ind w:left="0" w:right="0" w:firstLine="480" w:firstLineChars="200"/>
        <w:jc w:val="left"/>
        <w:rPr>
          <w:rFonts w:eastAsia="宋体"/>
          <w:spacing w:val="-10"/>
        </w:rPr>
      </w:pPr>
      <w:r>
        <w:rPr>
          <w:rFonts w:hint="default" w:ascii="Times New Roman" w:hAnsi="Times New Roman" w:eastAsia="宋体" w:cs="Times New Roman"/>
        </w:rPr>
        <w:t>根据上述计算，公司涉</w:t>
      </w:r>
      <w:r>
        <w:rPr>
          <w:rFonts w:hint="eastAsia" w:eastAsia="宋体" w:cs="Times New Roman"/>
          <w:lang w:val="en-US" w:eastAsia="zh-CN"/>
        </w:rPr>
        <w:t>水</w:t>
      </w:r>
      <w:r>
        <w:rPr>
          <w:rFonts w:hint="default" w:ascii="Times New Roman" w:hAnsi="Times New Roman" w:eastAsia="宋体" w:cs="Times New Roman"/>
        </w:rPr>
        <w:t>风险物质数量与临界量比值为</w:t>
      </w:r>
      <w:r>
        <w:rPr>
          <w:rFonts w:hint="eastAsia" w:eastAsia="宋体" w:cs="Times New Roman"/>
          <w:lang w:val="en-US" w:eastAsia="zh-CN"/>
        </w:rPr>
        <w:t>Q</w:t>
      </w:r>
      <w:r>
        <w:rPr>
          <w:rFonts w:hint="eastAsia" w:eastAsia="宋体" w:cs="Times New Roman"/>
          <w:highlight w:val="none"/>
          <w:lang w:val="en-US" w:eastAsia="zh-CN"/>
        </w:rPr>
        <w:t>=0.2382</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Q＜1，</w:t>
      </w:r>
      <w:r>
        <w:rPr>
          <w:rFonts w:hint="default" w:ascii="Times New Roman" w:hAnsi="Times New Roman" w:eastAsia="宋体" w:cs="Times New Roman"/>
        </w:rPr>
        <w:t>直接评为一般环境风险等级Q0。</w:t>
      </w:r>
    </w:p>
    <w:p w14:paraId="27EB2EF1">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79" w:name="7.2.2生产工艺过程与水环境风险控制水平（M）评估"/>
      <w:bookmarkEnd w:id="279"/>
      <w:bookmarkStart w:id="280" w:name="_Toc23938"/>
      <w:bookmarkStart w:id="281" w:name="_Toc3360"/>
      <w:bookmarkStart w:id="282" w:name="_TOC_250014"/>
      <w:r>
        <w:rPr>
          <w:rFonts w:hint="eastAsia" w:ascii="Times New Roman" w:hAnsi="Times New Roman" w:eastAsia="宋体" w:cs="Times New Roman"/>
          <w:color w:val="000000" w:themeColor="text1"/>
          <w14:textFill>
            <w14:solidFill>
              <w14:schemeClr w14:val="tx1"/>
            </w14:solidFill>
          </w14:textFill>
        </w:rPr>
        <w:t>7.</w:t>
      </w:r>
      <w:r>
        <w:rPr>
          <w:rFonts w:hint="eastAsia"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生产工艺过程与</w:t>
      </w:r>
      <w:r>
        <w:rPr>
          <w:rFonts w:hint="eastAsia"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14:textFill>
            <w14:solidFill>
              <w14:schemeClr w14:val="tx1"/>
            </w14:solidFill>
          </w14:textFill>
        </w:rPr>
        <w:t>环境风险控制水平（M）评估</w:t>
      </w:r>
      <w:bookmarkEnd w:id="280"/>
      <w:bookmarkEnd w:id="281"/>
    </w:p>
    <w:bookmarkEnd w:id="282"/>
    <w:p w14:paraId="4D5F2A5D">
      <w:pPr>
        <w:pStyle w:val="13"/>
        <w:spacing w:before="0" w:after="0" w:line="500" w:lineRule="exact"/>
        <w:ind w:left="0" w:right="0" w:firstLine="440" w:firstLineChars="200"/>
        <w:jc w:val="left"/>
        <w:rPr>
          <w:rFonts w:eastAsia="宋体"/>
          <w:spacing w:val="-10"/>
        </w:rPr>
      </w:pPr>
      <w:r>
        <w:rPr>
          <w:rFonts w:eastAsia="宋体"/>
          <w:spacing w:val="-10"/>
        </w:rPr>
        <w:t>采用评分法对企业生产工艺过程、水环境风险防控措施及突发水环境事件发生情况进行评估，将各项分值累加，确定企业生产工艺过程与水环境风险控制水平（</w:t>
      </w:r>
      <w:r>
        <w:rPr>
          <w:rFonts w:ascii="Times New Roman" w:eastAsia="宋体"/>
          <w:spacing w:val="-10"/>
        </w:rPr>
        <w:t>M</w:t>
      </w:r>
      <w:r>
        <w:rPr>
          <w:rFonts w:eastAsia="宋体"/>
          <w:spacing w:val="-10"/>
        </w:rPr>
        <w:t>）。</w:t>
      </w:r>
    </w:p>
    <w:p w14:paraId="3CC8D261">
      <w:pPr>
        <w:pStyle w:val="13"/>
        <w:numPr>
          <w:ilvl w:val="-1"/>
          <w:numId w:val="0"/>
        </w:numPr>
        <w:spacing w:before="0" w:after="0" w:line="500" w:lineRule="exact"/>
        <w:ind w:left="480" w:leftChars="200" w:right="0" w:firstLine="0" w:firstLineChars="0"/>
        <w:jc w:val="left"/>
        <w:rPr>
          <w:rFonts w:eastAsia="宋体"/>
          <w:spacing w:val="-10"/>
          <w:sz w:val="24"/>
        </w:rPr>
      </w:pPr>
      <w:r>
        <w:rPr>
          <w:rFonts w:hint="eastAsia" w:eastAsia="宋体"/>
          <w:spacing w:val="-10"/>
          <w:sz w:val="24"/>
          <w:lang w:eastAsia="zh-CN"/>
        </w:rPr>
        <w:t>（</w:t>
      </w:r>
      <w:r>
        <w:rPr>
          <w:rFonts w:hint="eastAsia" w:eastAsia="宋体"/>
          <w:spacing w:val="-10"/>
          <w:sz w:val="24"/>
          <w:lang w:val="en-US" w:eastAsia="zh-CN"/>
        </w:rPr>
        <w:t>1</w:t>
      </w:r>
      <w:r>
        <w:rPr>
          <w:rFonts w:hint="eastAsia" w:eastAsia="宋体"/>
          <w:spacing w:val="-10"/>
          <w:sz w:val="24"/>
          <w:lang w:eastAsia="zh-CN"/>
        </w:rPr>
        <w:t>）</w:t>
      </w:r>
      <w:r>
        <w:rPr>
          <w:rFonts w:eastAsia="宋体"/>
          <w:spacing w:val="-10"/>
          <w:sz w:val="24"/>
        </w:rPr>
        <w:t>生产工艺过程含有风险工艺和设备情况</w:t>
      </w:r>
    </w:p>
    <w:p w14:paraId="44F87F16">
      <w:pPr>
        <w:pStyle w:val="13"/>
        <w:spacing w:before="0" w:after="0" w:line="500" w:lineRule="exact"/>
        <w:ind w:left="0" w:firstLine="440" w:firstLineChars="200"/>
        <w:jc w:val="left"/>
        <w:rPr>
          <w:rFonts w:eastAsia="宋体"/>
          <w:spacing w:val="-10"/>
        </w:rPr>
      </w:pPr>
      <w:r>
        <w:rPr>
          <w:rFonts w:eastAsia="宋体"/>
          <w:spacing w:val="-10"/>
        </w:rPr>
        <w:t>从上文章节</w:t>
      </w:r>
      <w:r>
        <w:rPr>
          <w:rFonts w:ascii="Times New Roman" w:eastAsia="宋体"/>
          <w:spacing w:val="-10"/>
        </w:rPr>
        <w:t>3.5.</w:t>
      </w:r>
      <w:r>
        <w:rPr>
          <w:rFonts w:hint="eastAsia" w:eastAsia="宋体"/>
          <w:spacing w:val="-10"/>
          <w:lang w:eastAsia="zh-CN"/>
        </w:rPr>
        <w:t>3</w:t>
      </w:r>
      <w:r>
        <w:rPr>
          <w:rFonts w:eastAsia="宋体"/>
          <w:spacing w:val="-10"/>
        </w:rPr>
        <w:t>可知，企业生产工艺过程评分为</w:t>
      </w:r>
      <w:r>
        <w:rPr>
          <w:rFonts w:hint="eastAsia" w:eastAsia="宋体"/>
          <w:spacing w:val="-10"/>
          <w:lang w:val="en-US" w:eastAsia="zh-CN"/>
        </w:rPr>
        <w:t>5</w:t>
      </w:r>
      <w:r>
        <w:rPr>
          <w:rFonts w:eastAsia="宋体"/>
          <w:spacing w:val="-10"/>
        </w:rPr>
        <w:t>分。</w:t>
      </w:r>
    </w:p>
    <w:p w14:paraId="3C0749D5">
      <w:pPr>
        <w:pStyle w:val="13"/>
        <w:numPr>
          <w:ilvl w:val="-1"/>
          <w:numId w:val="0"/>
        </w:numPr>
        <w:spacing w:before="0" w:after="0" w:line="500" w:lineRule="exact"/>
        <w:ind w:left="480" w:leftChars="200" w:right="0" w:firstLine="0" w:firstLineChars="0"/>
        <w:jc w:val="left"/>
        <w:rPr>
          <w:rFonts w:eastAsia="宋体"/>
          <w:spacing w:val="-10"/>
          <w:sz w:val="24"/>
        </w:rPr>
      </w:pPr>
      <w:r>
        <w:rPr>
          <w:rFonts w:hint="eastAsia" w:eastAsia="宋体"/>
          <w:spacing w:val="-10"/>
          <w:sz w:val="24"/>
          <w:lang w:eastAsia="zh-CN"/>
        </w:rPr>
        <w:t>（</w:t>
      </w:r>
      <w:r>
        <w:rPr>
          <w:rFonts w:hint="eastAsia" w:eastAsia="宋体"/>
          <w:spacing w:val="-10"/>
          <w:sz w:val="24"/>
          <w:lang w:val="en-US" w:eastAsia="zh-CN"/>
        </w:rPr>
        <w:t>2</w:t>
      </w:r>
      <w:r>
        <w:rPr>
          <w:rFonts w:hint="eastAsia" w:eastAsia="宋体"/>
          <w:spacing w:val="-10"/>
          <w:sz w:val="24"/>
          <w:lang w:eastAsia="zh-CN"/>
        </w:rPr>
        <w:t>）</w:t>
      </w:r>
      <w:r>
        <w:rPr>
          <w:rFonts w:eastAsia="宋体"/>
          <w:spacing w:val="-10"/>
          <w:sz w:val="24"/>
        </w:rPr>
        <w:t>水环境风险防控措施及突发水环境事件发生情况</w:t>
      </w:r>
    </w:p>
    <w:p w14:paraId="78A42C45">
      <w:pPr>
        <w:pStyle w:val="13"/>
        <w:spacing w:before="0" w:after="0" w:line="500" w:lineRule="exact"/>
        <w:ind w:left="0" w:right="0" w:firstLine="440" w:firstLineChars="200"/>
        <w:jc w:val="left"/>
      </w:pPr>
      <w:r>
        <w:rPr>
          <w:rFonts w:eastAsia="宋体"/>
          <w:spacing w:val="-10"/>
        </w:rPr>
        <w:t>公司水环境风险防控措施与突发水环境事件发生情况评估评估指标见</w:t>
      </w:r>
      <w:r>
        <w:rPr>
          <w:rFonts w:ascii="Times New Roman" w:eastAsia="宋体"/>
          <w:spacing w:val="-10"/>
        </w:rPr>
        <w:t>7-7</w:t>
      </w:r>
      <w:r>
        <w:rPr>
          <w:rFonts w:eastAsia="宋体"/>
          <w:spacing w:val="-10"/>
        </w:rPr>
        <w:t>。对各项评估指标分别评分、计算总和，各项指标分值合计最高为</w:t>
      </w:r>
      <w:r>
        <w:rPr>
          <w:rFonts w:ascii="Times New Roman" w:eastAsia="宋体"/>
          <w:spacing w:val="-10"/>
        </w:rPr>
        <w:t>70</w:t>
      </w:r>
      <w:r>
        <w:rPr>
          <w:rFonts w:eastAsia="宋体"/>
          <w:spacing w:val="-10"/>
        </w:rPr>
        <w:t>分。</w:t>
      </w:r>
    </w:p>
    <w:p w14:paraId="3E260EB3">
      <w:pPr>
        <w:spacing w:after="0" w:line="362" w:lineRule="auto"/>
        <w:sectPr>
          <w:pgSz w:w="11910" w:h="16840"/>
          <w:pgMar w:top="1360" w:right="1320" w:bottom="1200" w:left="1500" w:header="882" w:footer="1017" w:gutter="0"/>
          <w:pgBorders>
            <w:top w:val="none" w:sz="0" w:space="0"/>
            <w:left w:val="none" w:sz="0" w:space="0"/>
            <w:bottom w:val="none" w:sz="0" w:space="0"/>
            <w:right w:val="none" w:sz="0" w:space="0"/>
          </w:pgBorders>
          <w:cols w:space="720" w:num="1"/>
        </w:sectPr>
      </w:pPr>
    </w:p>
    <w:p w14:paraId="156A6C75">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7-7</w:t>
      </w:r>
      <w:r>
        <w:rPr>
          <w:rFonts w:eastAsiaTheme="minorEastAsia"/>
          <w:b/>
          <w:color w:val="000000" w:themeColor="text1"/>
          <w:sz w:val="24"/>
          <w:szCs w:val="24"/>
          <w14:textFill>
            <w14:solidFill>
              <w14:schemeClr w14:val="tx1"/>
            </w14:solidFill>
          </w14:textFill>
        </w:rPr>
        <w:t>企业水环境风险防控措施及突发水环境事件发生情况评估</w:t>
      </w:r>
    </w:p>
    <w:tbl>
      <w:tblPr>
        <w:tblStyle w:val="37"/>
        <w:tblW w:w="138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01"/>
        <w:gridCol w:w="7376"/>
        <w:gridCol w:w="540"/>
        <w:gridCol w:w="4188"/>
        <w:gridCol w:w="612"/>
      </w:tblGrid>
      <w:tr w14:paraId="52E36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tblHeader/>
        </w:trPr>
        <w:tc>
          <w:tcPr>
            <w:tcW w:w="9017" w:type="dxa"/>
            <w:gridSpan w:val="3"/>
            <w:vAlign w:val="center"/>
          </w:tcPr>
          <w:p w14:paraId="79D3FEAD">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企业突发环境事件风险分级方法</w:t>
            </w:r>
          </w:p>
        </w:tc>
        <w:tc>
          <w:tcPr>
            <w:tcW w:w="4800" w:type="dxa"/>
            <w:gridSpan w:val="2"/>
            <w:vAlign w:val="center"/>
          </w:tcPr>
          <w:p w14:paraId="6806F9CC">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企业现状</w:t>
            </w:r>
          </w:p>
        </w:tc>
      </w:tr>
      <w:tr w14:paraId="1985A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tblHeader/>
        </w:trPr>
        <w:tc>
          <w:tcPr>
            <w:tcW w:w="1101" w:type="dxa"/>
            <w:vAlign w:val="center"/>
          </w:tcPr>
          <w:p w14:paraId="33A34556">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评估指标</w:t>
            </w:r>
          </w:p>
        </w:tc>
        <w:tc>
          <w:tcPr>
            <w:tcW w:w="7376" w:type="dxa"/>
            <w:vAlign w:val="center"/>
          </w:tcPr>
          <w:p w14:paraId="125332F3">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评估依据</w:t>
            </w:r>
          </w:p>
        </w:tc>
        <w:tc>
          <w:tcPr>
            <w:tcW w:w="540" w:type="dxa"/>
            <w:vAlign w:val="center"/>
          </w:tcPr>
          <w:p w14:paraId="1B4876B2">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c>
          <w:tcPr>
            <w:tcW w:w="4188" w:type="dxa"/>
            <w:vAlign w:val="center"/>
          </w:tcPr>
          <w:p w14:paraId="34D8E7A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企业目前情况</w:t>
            </w:r>
          </w:p>
        </w:tc>
        <w:tc>
          <w:tcPr>
            <w:tcW w:w="612" w:type="dxa"/>
            <w:vAlign w:val="center"/>
          </w:tcPr>
          <w:p w14:paraId="51CDB0EE">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r>
      <w:tr w14:paraId="05B8F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62" w:hRule="atLeast"/>
        </w:trPr>
        <w:tc>
          <w:tcPr>
            <w:tcW w:w="1101" w:type="dxa"/>
            <w:vMerge w:val="restart"/>
            <w:vAlign w:val="center"/>
          </w:tcPr>
          <w:p w14:paraId="4C330F5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截流措施</w:t>
            </w:r>
          </w:p>
        </w:tc>
        <w:tc>
          <w:tcPr>
            <w:tcW w:w="7376" w:type="dxa"/>
            <w:vAlign w:val="center"/>
          </w:tcPr>
          <w:p w14:paraId="0C9AFF82">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（1）环境风险单元设防渗漏、防腐蚀、防截流措施；且</w:t>
            </w:r>
          </w:p>
          <w:p w14:paraId="30011F96">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（2）装置围堰与罐区防火堤（围堰）外设排水切换阀，正常情况下通向雨水系统的阀门关闭，通向事故存液池、应急事故水池、清净</w:t>
            </w:r>
            <w:r>
              <w:rPr>
                <w:rFonts w:hint="eastAsia" w:cs="Times New Roman" w:eastAsiaTheme="minorEastAsia"/>
                <w:color w:val="000000" w:themeColor="text1"/>
                <w:sz w:val="21"/>
                <w:szCs w:val="21"/>
                <w:lang w:val="en-US" w:eastAsia="zh-CN"/>
                <w14:textFill>
                  <w14:solidFill>
                    <w14:schemeClr w14:val="tx1"/>
                  </w14:solidFill>
                </w14:textFill>
              </w:rPr>
              <w:t>废</w:t>
            </w:r>
            <w:r>
              <w:rPr>
                <w:rFonts w:hint="default" w:ascii="Times New Roman" w:hAnsi="Times New Roman" w:cs="Times New Roman" w:eastAsiaTheme="minorEastAsia"/>
                <w:color w:val="000000" w:themeColor="text1"/>
                <w:sz w:val="21"/>
                <w:szCs w:val="21"/>
                <w14:textFill>
                  <w14:solidFill>
                    <w14:schemeClr w14:val="tx1"/>
                  </w14:solidFill>
                </w14:textFill>
              </w:rPr>
              <w:t>水排放缓冲池或污</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系统的阀门打开；且</w:t>
            </w:r>
          </w:p>
          <w:p w14:paraId="35180138">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（3）前述措施日常管理及维护良好，有专人负责阀门切换或设置自动切换措施，保证初期雨水、泄漏物和受污染的消防水排入污水系统。</w:t>
            </w:r>
          </w:p>
        </w:tc>
        <w:tc>
          <w:tcPr>
            <w:tcW w:w="540" w:type="dxa"/>
            <w:vAlign w:val="center"/>
          </w:tcPr>
          <w:p w14:paraId="1F57FAF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3C32CA50">
            <w:pPr>
              <w:autoSpaceDE w:val="0"/>
              <w:autoSpaceDN w:val="0"/>
              <w:adjustRightInd w:val="0"/>
              <w:snapToGrid w:val="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①各个环境风险单元设防渗漏、防腐蚀、防淋溶、防流失措施；</w:t>
            </w:r>
          </w:p>
          <w:p w14:paraId="2D133DE1">
            <w:pPr>
              <w:autoSpaceDE w:val="0"/>
              <w:autoSpaceDN w:val="0"/>
              <w:adjustRightInd w:val="0"/>
              <w:snapToGrid w:val="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②雨水排口均设置切断阀，企业设有专人对厂区进行巡视，负责排水装置阀门切换。</w:t>
            </w:r>
          </w:p>
        </w:tc>
        <w:tc>
          <w:tcPr>
            <w:tcW w:w="612" w:type="dxa"/>
            <w:vMerge w:val="restart"/>
            <w:vAlign w:val="center"/>
          </w:tcPr>
          <w:p w14:paraId="5C8725D9">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3604D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101" w:type="dxa"/>
            <w:vMerge w:val="continue"/>
            <w:vAlign w:val="center"/>
          </w:tcPr>
          <w:p w14:paraId="3535316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4F92584">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有任意一个环境风险单元（包括可能发生液体泄漏或产生液体泄漏的危险废物贮存场所）的截流措施不符合上述任意一条要求的。</w:t>
            </w:r>
          </w:p>
        </w:tc>
        <w:tc>
          <w:tcPr>
            <w:tcW w:w="540" w:type="dxa"/>
            <w:vAlign w:val="center"/>
          </w:tcPr>
          <w:p w14:paraId="09DCFF34">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7834162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7656E5E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2CD0F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502E1C3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事故废水收集措施</w:t>
            </w:r>
          </w:p>
        </w:tc>
        <w:tc>
          <w:tcPr>
            <w:tcW w:w="7376" w:type="dxa"/>
            <w:vAlign w:val="center"/>
          </w:tcPr>
          <w:p w14:paraId="361D11CF">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（1）按相关设计规范设置应急事故水池、事故存液池或清净废水排放缓冲池等事故排水收集设施，并根据相关设计规范、下游环境风险受体敏感程度和易发生极端天气情况，设计事故排水收集设施的容量；且</w:t>
            </w:r>
          </w:p>
          <w:p w14:paraId="2543F3EB">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（2）确保事故排水收集设施在事故状态下能顺利收集泄漏物和消防水，日常保持足够的事故排水缓冲容量，且</w:t>
            </w:r>
          </w:p>
          <w:p w14:paraId="2BA78FB9">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（3）通过协议单位或自建管线，能将所收集废水送至厂区内污</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设施处理</w:t>
            </w:r>
          </w:p>
        </w:tc>
        <w:tc>
          <w:tcPr>
            <w:tcW w:w="540" w:type="dxa"/>
            <w:vAlign w:val="center"/>
          </w:tcPr>
          <w:p w14:paraId="07DA030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3F0A3EF7">
            <w:pPr>
              <w:snapToGrid w:val="0"/>
              <w:rPr>
                <w:rFonts w:hint="default" w:ascii="Times New Roman" w:hAnsi="Times New Roman" w:cs="Times New Roman" w:eastAsiaTheme="minorEastAsia"/>
                <w:color w:val="000000" w:themeColor="text1"/>
                <w:kern w:val="0"/>
                <w:sz w:val="21"/>
                <w:szCs w:val="21"/>
                <w:vertAlign w:val="superscript"/>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w:t>
            </w:r>
            <w:r>
              <w:rPr>
                <w:rFonts w:hint="default" w:ascii="Times New Roman" w:hAnsi="Times New Roman" w:cs="Times New Roman" w:eastAsiaTheme="minorEastAsia"/>
                <w:color w:val="000000" w:themeColor="text1"/>
                <w:kern w:val="0"/>
                <w:sz w:val="21"/>
                <w:szCs w:val="21"/>
                <w14:textFill>
                  <w14:solidFill>
                    <w14:schemeClr w14:val="tx1"/>
                  </w14:solidFill>
                </w14:textFill>
              </w:rPr>
              <w:t>公司</w:t>
            </w:r>
            <w:r>
              <w:rPr>
                <w:rFonts w:hint="eastAsia" w:cs="Times New Roman" w:eastAsiaTheme="minorEastAsia"/>
                <w:color w:val="000000" w:themeColor="text1"/>
                <w:kern w:val="0"/>
                <w:sz w:val="21"/>
                <w:szCs w:val="21"/>
                <w:lang w:val="en-US" w:eastAsia="zh-CN"/>
                <w14:textFill>
                  <w14:solidFill>
                    <w14:schemeClr w14:val="tx1"/>
                  </w14:solidFill>
                </w14:textFill>
              </w:rPr>
              <w:t>依托租赁厂区设置120</w:t>
            </w:r>
            <w:r>
              <w:rPr>
                <w:rFonts w:hint="eastAsia" w:cs="Times New Roman" w:eastAsiaTheme="minorEastAsia"/>
                <w:color w:val="000000" w:themeColor="text1"/>
                <w:kern w:val="0"/>
                <w:sz w:val="21"/>
                <w:szCs w:val="21"/>
                <w:highlight w:val="none"/>
                <w:lang w:eastAsia="zh-CN"/>
                <w14:textFill>
                  <w14:solidFill>
                    <w14:schemeClr w14:val="tx1"/>
                  </w14:solidFill>
                </w14:textFill>
              </w:rPr>
              <w:t>m</w:t>
            </w:r>
            <w:r>
              <w:rPr>
                <w:rFonts w:hint="eastAsia" w:cs="Times New Roman" w:eastAsiaTheme="minorEastAsia"/>
                <w:color w:val="000000" w:themeColor="text1"/>
                <w:kern w:val="0"/>
                <w:sz w:val="21"/>
                <w:szCs w:val="21"/>
                <w:highlight w:val="none"/>
                <w:vertAlign w:val="superscript"/>
                <w:lang w:eastAsia="zh-CN"/>
                <w14:textFill>
                  <w14:solidFill>
                    <w14:schemeClr w14:val="tx1"/>
                  </w14:solidFill>
                </w14:textFill>
              </w:rPr>
              <w:t>3</w:t>
            </w:r>
            <w:r>
              <w:rPr>
                <w:rFonts w:hint="default" w:ascii="Times New Roman" w:hAnsi="Times New Roman" w:cs="Times New Roman" w:eastAsiaTheme="minorEastAsia"/>
                <w:color w:val="000000" w:themeColor="text1"/>
                <w:kern w:val="0"/>
                <w:sz w:val="21"/>
                <w:szCs w:val="21"/>
                <w14:textFill>
                  <w14:solidFill>
                    <w14:schemeClr w14:val="tx1"/>
                  </w14:solidFill>
                </w14:textFill>
              </w:rPr>
              <w:t>事故应急池</w:t>
            </w: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w:t>
            </w:r>
          </w:p>
          <w:p w14:paraId="474F764D">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（2）事故应急事池位置合理，各区域废水</w:t>
            </w:r>
            <w:r>
              <w:rPr>
                <w:rFonts w:hint="eastAsia" w:cs="Times New Roman" w:eastAsiaTheme="minorEastAsia"/>
                <w:color w:val="000000" w:themeColor="text1"/>
                <w:sz w:val="21"/>
                <w:szCs w:val="21"/>
                <w:lang w:val="en-US" w:eastAsia="zh-CN"/>
                <w14:textFill>
                  <w14:solidFill>
                    <w14:schemeClr w14:val="tx1"/>
                  </w14:solidFill>
                </w14:textFill>
              </w:rPr>
              <w:t>可自流</w:t>
            </w:r>
            <w:r>
              <w:rPr>
                <w:rFonts w:hint="default" w:ascii="Times New Roman" w:hAnsi="Times New Roman" w:cs="Times New Roman" w:eastAsiaTheme="minorEastAsia"/>
                <w:color w:val="000000" w:themeColor="text1"/>
                <w:sz w:val="21"/>
                <w:szCs w:val="21"/>
                <w14:textFill>
                  <w14:solidFill>
                    <w14:schemeClr w14:val="tx1"/>
                  </w14:solidFill>
                </w14:textFill>
              </w:rPr>
              <w:t>进事故池内</w:t>
            </w:r>
          </w:p>
          <w:p w14:paraId="7996E980">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restart"/>
            <w:vAlign w:val="center"/>
          </w:tcPr>
          <w:p w14:paraId="75D90AA4">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66155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287EA08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9DE2AFC">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有任意一个环境风险单元（包括可能发生液体泄漏或产生液体泄漏物的危险废物贮存场所）的事故排水收集措施不符合上述任意一条要求的</w:t>
            </w:r>
          </w:p>
        </w:tc>
        <w:tc>
          <w:tcPr>
            <w:tcW w:w="540" w:type="dxa"/>
            <w:vAlign w:val="center"/>
          </w:tcPr>
          <w:p w14:paraId="566F1D5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54037C0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B6B2D8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5AA9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72A77AE1">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清净废水系统风险防控措施</w:t>
            </w:r>
          </w:p>
        </w:tc>
        <w:tc>
          <w:tcPr>
            <w:tcW w:w="7376" w:type="dxa"/>
            <w:vAlign w:val="center"/>
          </w:tcPr>
          <w:p w14:paraId="201AAF3E">
            <w:pPr>
              <w:autoSpaceDE w:val="0"/>
              <w:autoSpaceDN w:val="0"/>
              <w:adjustRightInd w:val="0"/>
              <w:snapToGrid w:val="0"/>
              <w:ind w:right="38" w:rightChars="16"/>
              <w:jc w:val="left"/>
              <w:rPr>
                <w:rFonts w:hint="default" w:ascii="Times New Roman" w:hAnsi="Times New Roman" w:cs="Times New Roman" w:eastAsiaTheme="minorEastAsia"/>
                <w:color w:val="000000" w:themeColor="text1"/>
                <w:sz w:val="21"/>
                <w:szCs w:val="21"/>
                <w:highlight w:val="yellow"/>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清净废水</w:t>
            </w:r>
            <w:r>
              <w:rPr>
                <w:rFonts w:hint="eastAsia" w:cs="Times New Roman" w:eastAsiaTheme="minorEastAsia"/>
                <w:color w:val="000000" w:themeColor="text1"/>
                <w:sz w:val="21"/>
                <w:szCs w:val="21"/>
                <w:highlight w:val="none"/>
                <w:lang w:eastAsia="zh-CN"/>
                <w14:textFill>
                  <w14:solidFill>
                    <w14:schemeClr w14:val="tx1"/>
                  </w14:solidFill>
                </w14:textFill>
              </w:rPr>
              <w:t>；</w:t>
            </w:r>
            <w:r>
              <w:rPr>
                <w:rFonts w:hint="eastAsia" w:cs="Times New Roman" w:eastAsiaTheme="minorEastAsia"/>
                <w:color w:val="000000" w:themeColor="text1"/>
                <w:sz w:val="21"/>
                <w:szCs w:val="21"/>
                <w:highlight w:val="none"/>
                <w:lang w:val="en-US" w:eastAsia="zh-CN"/>
                <w14:textFill>
                  <w14:solidFill>
                    <w14:schemeClr w14:val="tx1"/>
                  </w14:solidFill>
                </w14:textFill>
              </w:rPr>
              <w:t>或</w:t>
            </w:r>
          </w:p>
          <w:p w14:paraId="3E6C5BF1">
            <w:pPr>
              <w:autoSpaceDE w:val="0"/>
              <w:autoSpaceDN w:val="0"/>
              <w:adjustRightInd w:val="0"/>
              <w:snapToGrid w:val="0"/>
              <w:ind w:right="38" w:rightChars="16"/>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（2）厂区内清净废水均可排入废</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系统；或清污分流，且清净废水系统具有下述所有措施：</w:t>
            </w:r>
          </w:p>
          <w:p w14:paraId="0AB843F9">
            <w:pPr>
              <w:autoSpaceDE w:val="0"/>
              <w:autoSpaceDN w:val="0"/>
              <w:adjustRightInd w:val="0"/>
              <w:snapToGrid w:val="0"/>
              <w:ind w:firstLine="105" w:firstLineChars="5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具有收集受污染的清净废水</w:t>
            </w:r>
            <w:r>
              <w:rPr>
                <w:rFonts w:hint="eastAsia" w:cs="Times New Roman" w:eastAsiaTheme="minorEastAsia"/>
                <w:color w:val="000000" w:themeColor="text1"/>
                <w:spacing w:val="-4"/>
                <w:sz w:val="21"/>
                <w:szCs w:val="21"/>
                <w:lang w:val="en-US" w:eastAsia="zh-CN"/>
                <w14:textFill>
                  <w14:solidFill>
                    <w14:schemeClr w14:val="tx1"/>
                  </w14:solidFill>
                </w14:textFill>
              </w:rPr>
              <w:t>的缓冲池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（或收集池），池内日常保持足够的事故排水缓冲容量；池内设有提升设施或通过自流，能将所</w:t>
            </w:r>
            <w:r>
              <w:rPr>
                <w:rFonts w:hint="eastAsia" w:cs="Times New Roman" w:eastAsiaTheme="minorEastAsia"/>
                <w:color w:val="000000" w:themeColor="text1"/>
                <w:spacing w:val="-4"/>
                <w:sz w:val="21"/>
                <w:szCs w:val="21"/>
                <w:lang w:val="en-US" w:eastAsia="zh-CN"/>
                <w14:textFill>
                  <w14:solidFill>
                    <w14:schemeClr w14:val="tx1"/>
                  </w14:solidFill>
                </w14:textFill>
              </w:rPr>
              <w:t>收</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集物送至厂区内污</w:t>
            </w:r>
            <w:r>
              <w:rPr>
                <w:rFonts w:hint="eastAsia" w:cs="Times New Roman" w:eastAsiaTheme="minorEastAsia"/>
                <w:color w:val="000000" w:themeColor="text1"/>
                <w:spacing w:val="-4"/>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设施处理；</w:t>
            </w:r>
          </w:p>
          <w:p w14:paraId="359601E5">
            <w:pPr>
              <w:autoSpaceDE w:val="0"/>
              <w:autoSpaceDN w:val="0"/>
              <w:adjustRightInd w:val="0"/>
              <w:snapToGrid w:val="0"/>
              <w:ind w:firstLine="105" w:firstLineChars="5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具有清净废水系统的总排口监视及关闭设施，有专人负责在紧急情况下关闭清净废水总排口，防止受污染的清净废水和泄漏物进入外环境。</w:t>
            </w:r>
          </w:p>
        </w:tc>
        <w:tc>
          <w:tcPr>
            <w:tcW w:w="540" w:type="dxa"/>
            <w:vAlign w:val="center"/>
          </w:tcPr>
          <w:p w14:paraId="6BD6B256">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524B69C3">
            <w:pPr>
              <w:autoSpaceDE w:val="0"/>
              <w:autoSpaceDN w:val="0"/>
              <w:adjustRightInd w:val="0"/>
              <w:snapToGrid w:val="0"/>
              <w:rPr>
                <w:rFonts w:hint="default" w:ascii="Times New Roman" w:hAnsi="Times New Roman" w:cs="Times New Roman" w:eastAsiaTheme="minorEastAsia"/>
                <w:color w:val="000000" w:themeColor="text1"/>
                <w:sz w:val="21"/>
                <w:szCs w:val="21"/>
                <w:lang w:val="en-US"/>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不涉及清净废水。</w:t>
            </w:r>
          </w:p>
        </w:tc>
        <w:tc>
          <w:tcPr>
            <w:tcW w:w="612" w:type="dxa"/>
            <w:vMerge w:val="restart"/>
            <w:vAlign w:val="center"/>
          </w:tcPr>
          <w:p w14:paraId="438B93DF">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43B94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13E63F1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30C40C85">
            <w:pPr>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涉及清净废水，有任意一个环境风险单元的清净废水系统风险防控措施不符合上述（2）要求的</w:t>
            </w:r>
          </w:p>
        </w:tc>
        <w:tc>
          <w:tcPr>
            <w:tcW w:w="540" w:type="dxa"/>
            <w:vAlign w:val="center"/>
          </w:tcPr>
          <w:p w14:paraId="18DEE93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4740C62B">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490B91D0">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28F5D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5D8E6FB9">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雨排水系统风险防控措施</w:t>
            </w:r>
          </w:p>
        </w:tc>
        <w:tc>
          <w:tcPr>
            <w:tcW w:w="7376" w:type="dxa"/>
            <w:vAlign w:val="center"/>
          </w:tcPr>
          <w:p w14:paraId="2E5644B5">
            <w:pPr>
              <w:autoSpaceDE w:val="0"/>
              <w:autoSpaceDN w:val="0"/>
              <w:adjustRightInd w:val="0"/>
              <w:snapToGrid w:val="0"/>
              <w:jc w:val="left"/>
              <w:rPr>
                <w:rFonts w:hint="default" w:ascii="Times New Roman" w:hAnsi="Times New Roman" w:cs="Times New Roman" w:eastAsiaTheme="minorEastAsia"/>
                <w:color w:val="000000" w:themeColor="text1"/>
                <w:sz w:val="21"/>
                <w:szCs w:val="21"/>
                <w:highlight w:val="yellow"/>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（1）厂区内雨水均进入废</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系统；或雨污分流，且雨</w:t>
            </w:r>
            <w:r>
              <w:rPr>
                <w:rFonts w:hint="eastAsia" w:cs="Times New Roman" w:eastAsiaTheme="minorEastAsia"/>
                <w:color w:val="000000" w:themeColor="text1"/>
                <w:sz w:val="21"/>
                <w:szCs w:val="21"/>
                <w:lang w:val="en-US" w:eastAsia="zh-CN"/>
                <w14:textFill>
                  <w14:solidFill>
                    <w14:schemeClr w14:val="tx1"/>
                  </w14:solidFill>
                </w14:textFill>
              </w:rPr>
              <w:t>水</w:t>
            </w:r>
            <w:r>
              <w:rPr>
                <w:rFonts w:hint="default" w:ascii="Times New Roman" w:hAnsi="Times New Roman" w:cs="Times New Roman" w:eastAsiaTheme="minorEastAsia"/>
                <w:color w:val="000000" w:themeColor="text1"/>
                <w:sz w:val="21"/>
                <w:szCs w:val="21"/>
                <w14:textFill>
                  <w14:solidFill>
                    <w14:schemeClr w14:val="tx1"/>
                  </w14:solidFill>
                </w14:textFill>
              </w:rPr>
              <w:t>排水系统具有下述所有措施：</w:t>
            </w:r>
          </w:p>
          <w:p w14:paraId="0D19C653">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highlight w:val="none"/>
                <w14:textFill>
                  <w14:solidFill>
                    <w14:schemeClr w14:val="tx1"/>
                  </w14:solidFill>
                </w14:textFill>
              </w:rPr>
              <w:t>具有收集初期雨水的收集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池或雨水监控池；池出水管上设置切断阀，正常情况下阀门关闭，防止受污染的雨水外排；池内设有提升设施或通过自流，能将所</w:t>
            </w:r>
            <w:r>
              <w:rPr>
                <w:rFonts w:hint="eastAsia" w:cs="Times New Roman" w:eastAsiaTheme="minorEastAsia"/>
                <w:color w:val="000000" w:themeColor="text1"/>
                <w:spacing w:val="-4"/>
                <w:sz w:val="21"/>
                <w:szCs w:val="21"/>
                <w:lang w:val="en-US" w:eastAsia="zh-CN"/>
                <w14:textFill>
                  <w14:solidFill>
                    <w14:schemeClr w14:val="tx1"/>
                  </w14:solidFill>
                </w14:textFill>
              </w:rPr>
              <w:t>收</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集物送至厂区内污</w:t>
            </w:r>
            <w:r>
              <w:rPr>
                <w:rFonts w:hint="eastAsia" w:cs="Times New Roman" w:eastAsiaTheme="minorEastAsia"/>
                <w:color w:val="000000" w:themeColor="text1"/>
                <w:spacing w:val="-4"/>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设施处理；</w:t>
            </w:r>
          </w:p>
          <w:p w14:paraId="44FA1AD8">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具有雨水系统外排总排口（含泄洪渠）监视及关闭设施，在紧急情况下有专人负责关闭雨水系统总排口（含与清净废水共用一套排水系统情况），防止雨水、消防水和泄漏物进入外环境；</w:t>
            </w:r>
          </w:p>
          <w:p w14:paraId="44D06E45">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（2）如果有排洪沟，排洪沟不通过生产区和罐区，或具有防止泄漏物和受污染的消防水等流入区域排洪沟的措施。</w:t>
            </w:r>
          </w:p>
        </w:tc>
        <w:tc>
          <w:tcPr>
            <w:tcW w:w="540" w:type="dxa"/>
            <w:vAlign w:val="center"/>
          </w:tcPr>
          <w:p w14:paraId="6BC49A30">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198CDD10">
            <w:pPr>
              <w:keepNext/>
              <w:keepLines/>
              <w:outlineLvl w:val="9"/>
              <w:rPr>
                <w:rFonts w:hint="default"/>
                <w:lang w:val="en-US" w:eastAsia="zh-CN"/>
              </w:rPr>
            </w:pPr>
            <w:bookmarkStart w:id="283" w:name="_Toc16736"/>
            <w:r>
              <w:rPr>
                <w:rFonts w:hint="default" w:ascii="Times New Roman" w:hAnsi="Times New Roman" w:cs="Times New Roman" w:eastAsiaTheme="minorEastAsia"/>
                <w:b w:val="0"/>
                <w:bCs w:val="0"/>
                <w:color w:val="000000" w:themeColor="text1"/>
                <w:spacing w:val="-4"/>
                <w:sz w:val="21"/>
                <w:szCs w:val="21"/>
                <w14:textFill>
                  <w14:solidFill>
                    <w14:schemeClr w14:val="tx1"/>
                  </w14:solidFill>
                </w14:textFill>
              </w:rPr>
              <w:t>厂区内雨污分流，</w:t>
            </w:r>
            <w:r>
              <w:rPr>
                <w:rFonts w:hint="eastAsia" w:cs="Times New Roman" w:eastAsiaTheme="minorEastAsia"/>
                <w:b w:val="0"/>
                <w:bCs w:val="0"/>
                <w:color w:val="000000" w:themeColor="text1"/>
                <w:spacing w:val="-4"/>
                <w:sz w:val="21"/>
                <w:szCs w:val="21"/>
                <w:lang w:val="en-US" w:eastAsia="zh-CN"/>
                <w14:textFill>
                  <w14:solidFill>
                    <w14:schemeClr w14:val="tx1"/>
                  </w14:solidFill>
                </w14:textFill>
              </w:rPr>
              <w:t>但无雨水收集池</w:t>
            </w:r>
            <w:bookmarkEnd w:id="283"/>
          </w:p>
        </w:tc>
        <w:tc>
          <w:tcPr>
            <w:tcW w:w="612" w:type="dxa"/>
            <w:vMerge w:val="restart"/>
            <w:vAlign w:val="center"/>
          </w:tcPr>
          <w:p w14:paraId="0FE8E741">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8</w:t>
            </w:r>
          </w:p>
        </w:tc>
      </w:tr>
      <w:tr w14:paraId="00869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163BA6E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561B087">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不符合上述要求的。</w:t>
            </w:r>
          </w:p>
        </w:tc>
        <w:tc>
          <w:tcPr>
            <w:tcW w:w="540" w:type="dxa"/>
            <w:vAlign w:val="center"/>
          </w:tcPr>
          <w:p w14:paraId="61906213">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0E6210A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8994E1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52F6C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72B46860">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生产废</w:t>
            </w:r>
            <w:r>
              <w:rPr>
                <w:rFonts w:hint="eastAsia" w:cs="Times New Roman" w:eastAsiaTheme="minorEastAsia"/>
                <w:color w:val="000000" w:themeColor="text1"/>
                <w:sz w:val="21"/>
                <w:szCs w:val="21"/>
                <w:lang w:val="en-US" w:eastAsia="zh-CN"/>
                <w14:textFill>
                  <w14:solidFill>
                    <w14:schemeClr w14:val="tx1"/>
                  </w14:solidFill>
                </w14:textFill>
              </w:rPr>
              <w:t>水</w:t>
            </w:r>
            <w:r>
              <w:rPr>
                <w:rFonts w:hint="default" w:ascii="Times New Roman" w:hAnsi="Times New Roman" w:cs="Times New Roman" w:eastAsiaTheme="minorEastAsia"/>
                <w:color w:val="000000" w:themeColor="text1"/>
                <w:sz w:val="21"/>
                <w:szCs w:val="21"/>
                <w14:textFill>
                  <w14:solidFill>
                    <w14:schemeClr w14:val="tx1"/>
                  </w14:solidFill>
                </w14:textFill>
              </w:rPr>
              <w:t>公司系统风险防控措施</w:t>
            </w:r>
          </w:p>
        </w:tc>
        <w:tc>
          <w:tcPr>
            <w:tcW w:w="7376" w:type="dxa"/>
            <w:vAlign w:val="center"/>
          </w:tcPr>
          <w:p w14:paraId="688A9FE3">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（1）无生产废水产生或外排；或</w:t>
            </w:r>
          </w:p>
          <w:p w14:paraId="277B8822">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（2）有废水外排时：</w:t>
            </w:r>
          </w:p>
          <w:p w14:paraId="38E4D6FF">
            <w:pPr>
              <w:autoSpaceDE w:val="0"/>
              <w:autoSpaceDN w:val="0"/>
              <w:adjustRightInd w:val="0"/>
              <w:snapToGrid w:val="0"/>
              <w:ind w:right="38" w:rightChars="16"/>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受污染的循环冷却水、雨水、消防水等排入生产污水系统或独立处理系统；</w:t>
            </w:r>
          </w:p>
          <w:p w14:paraId="50760BE8">
            <w:pPr>
              <w:autoSpaceDE w:val="0"/>
              <w:autoSpaceDN w:val="0"/>
              <w:adjustRightInd w:val="0"/>
              <w:snapToGrid w:val="0"/>
              <w:ind w:right="38" w:rightChars="16"/>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生产废水排放前设监控池，能够将不合格废水送废公司设施处理；</w:t>
            </w:r>
          </w:p>
          <w:p w14:paraId="0A9FBBE6">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③</w:t>
            </w:r>
            <w:r>
              <w:rPr>
                <w:rFonts w:hint="default" w:ascii="Times New Roman" w:hAnsi="Times New Roman" w:cs="Times New Roman" w:eastAsiaTheme="minorEastAsia"/>
                <w:color w:val="000000" w:themeColor="text1"/>
                <w:sz w:val="21"/>
                <w:szCs w:val="21"/>
                <w14:textFill>
                  <w14:solidFill>
                    <w14:schemeClr w14:val="tx1"/>
                  </w14:solidFill>
                </w14:textFill>
              </w:rPr>
              <w:t>如企业受污染的清净废水或雨水进入废公司系统处理，则废公司系统应设置事故水缓冲设施；</w:t>
            </w:r>
          </w:p>
          <w:p w14:paraId="0F4CFE4F">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④</w:t>
            </w:r>
            <w:r>
              <w:rPr>
                <w:rFonts w:hint="default" w:ascii="Times New Roman" w:hAnsi="Times New Roman" w:cs="Times New Roman" w:eastAsiaTheme="minorEastAsia"/>
                <w:color w:val="000000" w:themeColor="text1"/>
                <w:sz w:val="21"/>
                <w:szCs w:val="21"/>
                <w14:textFill>
                  <w14:solidFill>
                    <w14:schemeClr w14:val="tx1"/>
                  </w14:solidFill>
                </w14:textFill>
              </w:rPr>
              <w:t>具有生产废水总排口监视及关闭设施，有专人负责启闭，确保泄漏物、受污染的消防水、不合格废水不排出厂外。</w:t>
            </w:r>
          </w:p>
        </w:tc>
        <w:tc>
          <w:tcPr>
            <w:tcW w:w="540" w:type="dxa"/>
            <w:vAlign w:val="center"/>
          </w:tcPr>
          <w:p w14:paraId="4C243488">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38301591">
            <w:pPr>
              <w:autoSpaceDE w:val="0"/>
              <w:autoSpaceDN w:val="0"/>
              <w:adjustRightInd w:val="0"/>
              <w:snapToGrid w:val="0"/>
              <w:ind w:firstLine="0" w:firstLineChars="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企业无生产废水外排</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w:t>
            </w:r>
          </w:p>
        </w:tc>
        <w:tc>
          <w:tcPr>
            <w:tcW w:w="612" w:type="dxa"/>
            <w:vMerge w:val="restart"/>
            <w:vAlign w:val="center"/>
          </w:tcPr>
          <w:p w14:paraId="2640ED8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055EC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09C65CF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35AF9D87">
            <w:pPr>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涉及废水排放，且不符合上述（2）中任意一条要求的。</w:t>
            </w:r>
          </w:p>
        </w:tc>
        <w:tc>
          <w:tcPr>
            <w:tcW w:w="540" w:type="dxa"/>
            <w:vAlign w:val="center"/>
          </w:tcPr>
          <w:p w14:paraId="262E9DD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5B083464">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57123E46">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7F343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1FCDA750">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废水排放去向</w:t>
            </w:r>
          </w:p>
        </w:tc>
        <w:tc>
          <w:tcPr>
            <w:tcW w:w="7376" w:type="dxa"/>
            <w:vAlign w:val="center"/>
          </w:tcPr>
          <w:p w14:paraId="4A3F7BDC">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无生产废水产生或外排</w:t>
            </w:r>
          </w:p>
        </w:tc>
        <w:tc>
          <w:tcPr>
            <w:tcW w:w="540" w:type="dxa"/>
            <w:vAlign w:val="center"/>
          </w:tcPr>
          <w:p w14:paraId="26BCAFD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6F28615A">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企业无生产废水外排</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w:t>
            </w:r>
          </w:p>
        </w:tc>
        <w:tc>
          <w:tcPr>
            <w:tcW w:w="612" w:type="dxa"/>
            <w:vMerge w:val="restart"/>
            <w:vAlign w:val="center"/>
          </w:tcPr>
          <w:p w14:paraId="4CCD20E6">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742D4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73B8A88B">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932C31D">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（1）依法获取污水排入排水管网许可，进入城镇污公司厂；或</w:t>
            </w:r>
          </w:p>
          <w:p w14:paraId="758C2207">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（2）进去工业废水集中处理厂，或</w:t>
            </w:r>
          </w:p>
          <w:p w14:paraId="2F14B532">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（3）进入其他单位</w:t>
            </w:r>
          </w:p>
        </w:tc>
        <w:tc>
          <w:tcPr>
            <w:tcW w:w="540" w:type="dxa"/>
            <w:vAlign w:val="center"/>
          </w:tcPr>
          <w:p w14:paraId="193BC8E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6</w:t>
            </w:r>
          </w:p>
        </w:tc>
        <w:tc>
          <w:tcPr>
            <w:tcW w:w="4188" w:type="dxa"/>
            <w:vMerge w:val="continue"/>
            <w:vAlign w:val="center"/>
          </w:tcPr>
          <w:p w14:paraId="3CFDC66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7086B1D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66A90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7C39184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41E348DC">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（1）直接进入海域或进入江、河、湖、库等水环境；或</w:t>
            </w:r>
          </w:p>
          <w:p w14:paraId="72F1A526">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（2）进入城市下水道再进入江、河、湖、库或再进入海域；或</w:t>
            </w:r>
          </w:p>
          <w:p w14:paraId="4BBF1811">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（3）未依法取得污水排入排水管网许可，进入城镇污公司厂；或</w:t>
            </w:r>
          </w:p>
          <w:p w14:paraId="71DC98BF">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（4）直接进入污灌农田或蒸发地</w:t>
            </w:r>
          </w:p>
        </w:tc>
        <w:tc>
          <w:tcPr>
            <w:tcW w:w="540" w:type="dxa"/>
            <w:vAlign w:val="center"/>
          </w:tcPr>
          <w:p w14:paraId="5D4DEB2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12</w:t>
            </w:r>
          </w:p>
        </w:tc>
        <w:tc>
          <w:tcPr>
            <w:tcW w:w="4188" w:type="dxa"/>
            <w:vMerge w:val="continue"/>
            <w:vAlign w:val="center"/>
          </w:tcPr>
          <w:p w14:paraId="147F096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4E329EA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4ADEB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6716E76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厂区危险废物环境管理</w:t>
            </w:r>
          </w:p>
        </w:tc>
        <w:tc>
          <w:tcPr>
            <w:tcW w:w="7376" w:type="dxa"/>
            <w:vAlign w:val="center"/>
          </w:tcPr>
          <w:p w14:paraId="1680CF39">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（1）不涉及危险废物的；或</w:t>
            </w:r>
          </w:p>
          <w:p w14:paraId="26D73892">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（2）针对危险废物分区贮存、运输、利用、处置具有完善的专业设施和风险防控措施</w:t>
            </w:r>
          </w:p>
        </w:tc>
        <w:tc>
          <w:tcPr>
            <w:tcW w:w="540" w:type="dxa"/>
            <w:vAlign w:val="center"/>
          </w:tcPr>
          <w:p w14:paraId="44A77EE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628E8204">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根据现场调查，企业危险废物具体防控措施如下：</w:t>
            </w:r>
          </w:p>
          <w:p w14:paraId="65170DCB">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（1）危险废物采用封闭厂房堆放，做到防风、防雨、防晒的要求。</w:t>
            </w:r>
          </w:p>
          <w:p w14:paraId="2810DCC9">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（2）各类危险废物按照性质进行分类堆放，并预留了搬运通道。</w:t>
            </w:r>
          </w:p>
          <w:p w14:paraId="5931348C">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（3）企业对危险废物均作了危险废物情况的记录，并在记录上注明了危险废物的名称、来源、数量、入库日期、存放库位、出库日期及接收单位名称等情况。</w:t>
            </w:r>
          </w:p>
          <w:p w14:paraId="0A3F6ACC">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（4）企业设置专门人员，定期对所贮存的危险废物包装容器及贮存设施进行检查，并对破损容器采取措施清理更换。</w:t>
            </w:r>
          </w:p>
        </w:tc>
        <w:tc>
          <w:tcPr>
            <w:tcW w:w="612" w:type="dxa"/>
            <w:vMerge w:val="restart"/>
            <w:vAlign w:val="center"/>
          </w:tcPr>
          <w:p w14:paraId="7BA4721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37EDA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740DA2C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49507B1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不具备完善的危险废物贮存、运输、利用、处置设施和风险防控措施</w:t>
            </w:r>
          </w:p>
        </w:tc>
        <w:tc>
          <w:tcPr>
            <w:tcW w:w="540" w:type="dxa"/>
            <w:vAlign w:val="center"/>
          </w:tcPr>
          <w:p w14:paraId="2E1ED3A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10</w:t>
            </w:r>
          </w:p>
        </w:tc>
        <w:tc>
          <w:tcPr>
            <w:tcW w:w="4188" w:type="dxa"/>
            <w:vMerge w:val="continue"/>
            <w:vAlign w:val="center"/>
          </w:tcPr>
          <w:p w14:paraId="5978428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5FD3670">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1328A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3E5966B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近3年突发水环境事件发生情况</w:t>
            </w:r>
          </w:p>
        </w:tc>
        <w:tc>
          <w:tcPr>
            <w:tcW w:w="7376" w:type="dxa"/>
            <w:vAlign w:val="center"/>
          </w:tcPr>
          <w:p w14:paraId="34CC902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发生过特别重大及重大等级突发水环境事件的</w:t>
            </w:r>
          </w:p>
        </w:tc>
        <w:tc>
          <w:tcPr>
            <w:tcW w:w="540" w:type="dxa"/>
            <w:vAlign w:val="center"/>
          </w:tcPr>
          <w:p w14:paraId="76E9D6B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restart"/>
            <w:vAlign w:val="center"/>
          </w:tcPr>
          <w:p w14:paraId="4F538CE3">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未发生突发水环境事件</w:t>
            </w:r>
          </w:p>
        </w:tc>
        <w:tc>
          <w:tcPr>
            <w:tcW w:w="612" w:type="dxa"/>
            <w:vMerge w:val="restart"/>
            <w:vAlign w:val="center"/>
          </w:tcPr>
          <w:p w14:paraId="7E44501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40CD5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3432E84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359161C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发生过较大等级突发水环境事件的</w:t>
            </w:r>
          </w:p>
        </w:tc>
        <w:tc>
          <w:tcPr>
            <w:tcW w:w="540" w:type="dxa"/>
            <w:vAlign w:val="center"/>
          </w:tcPr>
          <w:p w14:paraId="5DD0890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6</w:t>
            </w:r>
          </w:p>
        </w:tc>
        <w:tc>
          <w:tcPr>
            <w:tcW w:w="4188" w:type="dxa"/>
            <w:vMerge w:val="continue"/>
            <w:vAlign w:val="center"/>
          </w:tcPr>
          <w:p w14:paraId="56E0A72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5779148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9A29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0C41B99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71C9F47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发生过一般等级突发水环境事件的</w:t>
            </w:r>
          </w:p>
        </w:tc>
        <w:tc>
          <w:tcPr>
            <w:tcW w:w="540" w:type="dxa"/>
            <w:vAlign w:val="center"/>
          </w:tcPr>
          <w:p w14:paraId="4348DBE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w:t>
            </w:r>
          </w:p>
        </w:tc>
        <w:tc>
          <w:tcPr>
            <w:tcW w:w="4188" w:type="dxa"/>
            <w:vMerge w:val="continue"/>
            <w:vAlign w:val="center"/>
          </w:tcPr>
          <w:p w14:paraId="0FB275E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0DCEAF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F18C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07AD5FC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5F3C739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未发生突发水环境事件的</w:t>
            </w:r>
          </w:p>
        </w:tc>
        <w:tc>
          <w:tcPr>
            <w:tcW w:w="540" w:type="dxa"/>
            <w:vAlign w:val="center"/>
          </w:tcPr>
          <w:p w14:paraId="190B61B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continue"/>
            <w:vAlign w:val="center"/>
          </w:tcPr>
          <w:p w14:paraId="2E40A676">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0F29531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70464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017" w:type="dxa"/>
            <w:gridSpan w:val="3"/>
            <w:vAlign w:val="center"/>
          </w:tcPr>
          <w:p w14:paraId="1964E24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合计</w:t>
            </w:r>
          </w:p>
        </w:tc>
        <w:tc>
          <w:tcPr>
            <w:tcW w:w="4188" w:type="dxa"/>
            <w:vAlign w:val="center"/>
          </w:tcPr>
          <w:p w14:paraId="0793243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612" w:type="dxa"/>
            <w:vAlign w:val="center"/>
          </w:tcPr>
          <w:p w14:paraId="2CA0AB68">
            <w:pPr>
              <w:adjustRightInd w:val="0"/>
              <w:snapToGri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8</w:t>
            </w:r>
          </w:p>
        </w:tc>
      </w:tr>
    </w:tbl>
    <w:p w14:paraId="7700D2FC">
      <w:pPr>
        <w:pStyle w:val="13"/>
        <w:spacing w:before="8"/>
        <w:rPr>
          <w:sz w:val="12"/>
        </w:rPr>
      </w:pPr>
    </w:p>
    <w:p w14:paraId="79B772DE">
      <w:pPr>
        <w:spacing w:after="0"/>
        <w:rPr>
          <w:sz w:val="21"/>
        </w:rPr>
        <w:sectPr>
          <w:footerReference r:id="rId11" w:type="default"/>
          <w:pgSz w:w="16840" w:h="11910" w:orient="landscape"/>
          <w:pgMar w:top="1180" w:right="1800" w:bottom="1200" w:left="1520" w:header="794" w:footer="1017" w:gutter="0"/>
          <w:pgBorders>
            <w:top w:val="none" w:sz="0" w:space="0"/>
            <w:left w:val="none" w:sz="0" w:space="0"/>
            <w:bottom w:val="none" w:sz="0" w:space="0"/>
            <w:right w:val="none" w:sz="0" w:space="0"/>
          </w:pgBorders>
          <w:cols w:space="720" w:num="1"/>
        </w:sectPr>
      </w:pPr>
    </w:p>
    <w:p w14:paraId="59684F62">
      <w:pPr>
        <w:pStyle w:val="13"/>
        <w:spacing w:line="20" w:lineRule="exact"/>
        <w:ind w:left="129"/>
        <w:rPr>
          <w:rFonts w:ascii="Times New Roman"/>
          <w:sz w:val="2"/>
        </w:rPr>
      </w:pPr>
    </w:p>
    <w:p w14:paraId="049F4D99">
      <w:pPr>
        <w:pStyle w:val="13"/>
        <w:numPr>
          <w:ilvl w:val="-1"/>
          <w:numId w:val="0"/>
        </w:numPr>
        <w:spacing w:before="0" w:after="0" w:line="500" w:lineRule="exact"/>
        <w:ind w:left="480" w:leftChars="200" w:right="0" w:firstLine="0" w:firstLineChars="0"/>
        <w:jc w:val="left"/>
        <w:rPr>
          <w:rFonts w:hint="eastAsia" w:ascii="Times New Roman" w:hAnsi="Times New Roman" w:eastAsia="宋体" w:cs="Times New Roman"/>
          <w:spacing w:val="-10"/>
          <w:sz w:val="24"/>
        </w:rPr>
      </w:pPr>
      <w:r>
        <w:rPr>
          <w:rFonts w:hint="eastAsia" w:ascii="Times New Roman" w:hAnsi="Times New Roman" w:eastAsia="宋体" w:cs="Times New Roman"/>
          <w:spacing w:val="-10"/>
          <w:sz w:val="24"/>
          <w:lang w:eastAsia="zh-CN"/>
        </w:rPr>
        <w:t>（</w:t>
      </w:r>
      <w:r>
        <w:rPr>
          <w:rFonts w:hint="eastAsia" w:ascii="Times New Roman" w:hAnsi="Times New Roman" w:eastAsia="宋体" w:cs="Times New Roman"/>
          <w:spacing w:val="-10"/>
          <w:sz w:val="24"/>
          <w:lang w:val="en-US" w:eastAsia="zh-CN"/>
        </w:rPr>
        <w:t>4</w:t>
      </w:r>
      <w:r>
        <w:rPr>
          <w:rFonts w:hint="eastAsia" w:ascii="Times New Roman" w:hAnsi="Times New Roman" w:eastAsia="宋体" w:cs="Times New Roman"/>
          <w:spacing w:val="-10"/>
          <w:sz w:val="24"/>
          <w:lang w:eastAsia="zh-CN"/>
        </w:rPr>
        <w:t>）</w:t>
      </w:r>
      <w:r>
        <w:rPr>
          <w:rFonts w:hint="eastAsia" w:ascii="Times New Roman" w:hAnsi="Times New Roman" w:eastAsia="宋体" w:cs="Times New Roman"/>
          <w:spacing w:val="-10"/>
          <w:sz w:val="24"/>
        </w:rPr>
        <w:t>企业生产工艺过程与大气环境风险控制水平</w:t>
      </w:r>
    </w:p>
    <w:p w14:paraId="50750719">
      <w:pPr>
        <w:pStyle w:val="13"/>
        <w:spacing w:before="0" w:after="0" w:line="500" w:lineRule="exact"/>
        <w:ind w:left="0" w:right="0" w:firstLine="440" w:firstLineChars="200"/>
        <w:jc w:val="left"/>
        <w:rPr>
          <w:rFonts w:hint="eastAsia" w:eastAsia="宋体"/>
          <w:spacing w:val="-10"/>
        </w:rPr>
      </w:pPr>
      <w:r>
        <w:rPr>
          <w:rFonts w:hint="eastAsia" w:eastAsia="宋体"/>
          <w:spacing w:val="-10"/>
        </w:rPr>
        <w:t>将企业生产工艺过程、水环境风险防控措施及突发水环境事件发生情况各项指标评估分值累加，得出生产工艺过程与大气环境风险控制水平值，按照表</w:t>
      </w:r>
      <w:r>
        <w:rPr>
          <w:rFonts w:hint="eastAsia" w:ascii="Times New Roman" w:eastAsia="宋体"/>
          <w:spacing w:val="-10"/>
        </w:rPr>
        <w:t>7-8</w:t>
      </w:r>
      <w:r>
        <w:rPr>
          <w:rFonts w:hint="eastAsia" w:eastAsia="宋体"/>
          <w:spacing w:val="-10"/>
        </w:rPr>
        <w:t>划分为</w:t>
      </w:r>
      <w:r>
        <w:rPr>
          <w:rFonts w:hint="eastAsia" w:ascii="Times New Roman" w:eastAsia="宋体"/>
          <w:spacing w:val="-10"/>
        </w:rPr>
        <w:t>4</w:t>
      </w:r>
      <w:r>
        <w:rPr>
          <w:rFonts w:hint="eastAsia" w:eastAsia="宋体"/>
          <w:spacing w:val="-10"/>
        </w:rPr>
        <w:t>个类型。</w:t>
      </w:r>
    </w:p>
    <w:p w14:paraId="320F70C6">
      <w:pPr>
        <w:adjustRightInd w:val="0"/>
        <w:snapToGrid w:val="0"/>
        <w:spacing w:line="500" w:lineRule="exact"/>
        <w:jc w:val="center"/>
        <w:rPr>
          <w:rFonts w:hint="default" w:ascii="Times New Roman" w:hAnsi="Times New Roman" w:eastAsia="宋体" w:cs="Times New Roman"/>
          <w:snapToGrid w:val="0"/>
          <w:kern w:val="0"/>
          <w:sz w:val="24"/>
          <w:szCs w:val="24"/>
        </w:rPr>
      </w:pPr>
      <w:r>
        <w:rPr>
          <w:rFonts w:hint="default" w:ascii="Times New Roman" w:hAnsi="Times New Roman" w:eastAsia="宋体" w:cs="Times New Roman"/>
          <w:b/>
          <w:bCs/>
          <w:snapToGrid w:val="0"/>
          <w:kern w:val="0"/>
          <w:sz w:val="24"/>
          <w:szCs w:val="24"/>
        </w:rPr>
        <w:t>表</w:t>
      </w:r>
      <w:r>
        <w:rPr>
          <w:rFonts w:hint="eastAsia" w:ascii="Times New Roman" w:hAnsi="Times New Roman" w:eastAsia="宋体" w:cs="Times New Roman"/>
          <w:b/>
          <w:bCs/>
          <w:snapToGrid w:val="0"/>
          <w:kern w:val="0"/>
          <w:sz w:val="24"/>
          <w:szCs w:val="24"/>
          <w:lang w:val="en-US" w:eastAsia="zh-CN"/>
        </w:rPr>
        <w:t>7-8</w:t>
      </w:r>
      <w:r>
        <w:rPr>
          <w:rFonts w:hint="default" w:ascii="Times New Roman" w:hAnsi="Times New Roman" w:eastAsia="宋体" w:cs="Times New Roman"/>
          <w:b/>
          <w:bCs/>
          <w:snapToGrid w:val="0"/>
          <w:kern w:val="0"/>
          <w:sz w:val="24"/>
          <w:szCs w:val="24"/>
        </w:rPr>
        <w:t>企业生产工艺过程与环境风险控制水平对照表</w:t>
      </w:r>
    </w:p>
    <w:tbl>
      <w:tblPr>
        <w:tblStyle w:val="37"/>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18"/>
        <w:gridCol w:w="4471"/>
      </w:tblGrid>
      <w:tr w14:paraId="1C24FB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585A113B">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生产工艺过程与环境风险控制水平值(M)</w:t>
            </w:r>
          </w:p>
        </w:tc>
        <w:tc>
          <w:tcPr>
            <w:tcW w:w="2459" w:type="pct"/>
            <w:tcBorders>
              <w:tl2br w:val="nil"/>
              <w:tr2bl w:val="nil"/>
            </w:tcBorders>
            <w:vAlign w:val="center"/>
          </w:tcPr>
          <w:p w14:paraId="0BEEB4A8">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生产工艺过程与环境风险及其控制水平</w:t>
            </w:r>
          </w:p>
        </w:tc>
      </w:tr>
      <w:tr w14:paraId="322F6D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1B11169E">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M＜25</w:t>
            </w:r>
          </w:p>
        </w:tc>
        <w:tc>
          <w:tcPr>
            <w:tcW w:w="2459" w:type="pct"/>
            <w:tcBorders>
              <w:tl2br w:val="nil"/>
              <w:tr2bl w:val="nil"/>
            </w:tcBorders>
            <w:shd w:val="clear" w:color="auto" w:fill="FFFFFF" w:themeFill="background1"/>
            <w:vAlign w:val="center"/>
          </w:tcPr>
          <w:p w14:paraId="2A151D91">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M1</w:t>
            </w:r>
          </w:p>
        </w:tc>
      </w:tr>
      <w:tr w14:paraId="72E512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21C6D5BA">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25≤M＜45</w:t>
            </w:r>
          </w:p>
        </w:tc>
        <w:tc>
          <w:tcPr>
            <w:tcW w:w="2459" w:type="pct"/>
            <w:tcBorders>
              <w:tl2br w:val="nil"/>
              <w:tr2bl w:val="nil"/>
            </w:tcBorders>
            <w:shd w:val="clear" w:color="auto" w:fill="auto"/>
            <w:vAlign w:val="center"/>
          </w:tcPr>
          <w:p w14:paraId="6A06E8A0">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w:t>
            </w:r>
          </w:p>
        </w:tc>
      </w:tr>
      <w:tr w14:paraId="56EFED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3D38F20A">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45≤M＜60</w:t>
            </w:r>
          </w:p>
        </w:tc>
        <w:tc>
          <w:tcPr>
            <w:tcW w:w="2459" w:type="pct"/>
            <w:tcBorders>
              <w:tl2br w:val="nil"/>
              <w:tr2bl w:val="nil"/>
            </w:tcBorders>
            <w:vAlign w:val="center"/>
          </w:tcPr>
          <w:p w14:paraId="137D7C34">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M3</w:t>
            </w:r>
          </w:p>
        </w:tc>
      </w:tr>
      <w:tr w14:paraId="207771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0EF67CD5">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M≥60</w:t>
            </w:r>
          </w:p>
        </w:tc>
        <w:tc>
          <w:tcPr>
            <w:tcW w:w="2459" w:type="pct"/>
            <w:tcBorders>
              <w:tl2br w:val="nil"/>
              <w:tr2bl w:val="nil"/>
            </w:tcBorders>
            <w:vAlign w:val="center"/>
          </w:tcPr>
          <w:p w14:paraId="43A2E8BC">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M4</w:t>
            </w:r>
          </w:p>
        </w:tc>
      </w:tr>
    </w:tbl>
    <w:p w14:paraId="451AC685">
      <w:pPr>
        <w:pStyle w:val="13"/>
        <w:spacing w:after="0" w:line="500" w:lineRule="exact"/>
        <w:ind w:left="0" w:right="0" w:firstLine="440" w:firstLineChars="200"/>
        <w:jc w:val="left"/>
        <w:rPr>
          <w:rFonts w:hint="eastAsia" w:eastAsia="宋体"/>
          <w:spacing w:val="-10"/>
        </w:rPr>
      </w:pPr>
      <w:r>
        <w:rPr>
          <w:rFonts w:hint="eastAsia" w:eastAsia="宋体"/>
          <w:spacing w:val="-10"/>
        </w:rPr>
        <w:t>由上文可知，公司环境风险及其控制水平（</w:t>
      </w:r>
      <w:r>
        <w:rPr>
          <w:rFonts w:hint="eastAsia" w:ascii="Times New Roman" w:eastAsia="宋体"/>
          <w:spacing w:val="-10"/>
        </w:rPr>
        <w:t>M</w:t>
      </w:r>
      <w:r>
        <w:rPr>
          <w:rFonts w:hint="eastAsia" w:eastAsia="宋体"/>
          <w:spacing w:val="-10"/>
        </w:rPr>
        <w:t>）现状得分</w:t>
      </w:r>
      <w:r>
        <w:rPr>
          <w:rFonts w:hint="eastAsia" w:eastAsia="宋体" w:cs="Times New Roman"/>
          <w:spacing w:val="-10"/>
          <w:lang w:val="en-US" w:eastAsia="zh-CN"/>
        </w:rPr>
        <w:t>13</w:t>
      </w:r>
      <w:r>
        <w:rPr>
          <w:rFonts w:hint="eastAsia" w:eastAsia="宋体"/>
          <w:spacing w:val="-10"/>
        </w:rPr>
        <w:t>分，企业环境风险及其控制水平为</w:t>
      </w:r>
      <w:r>
        <w:rPr>
          <w:rFonts w:hint="eastAsia" w:ascii="Times New Roman" w:eastAsia="宋体"/>
          <w:spacing w:val="-10"/>
        </w:rPr>
        <w:t>M1</w:t>
      </w:r>
      <w:r>
        <w:rPr>
          <w:rFonts w:hint="eastAsia" w:eastAsia="宋体"/>
          <w:spacing w:val="-10"/>
        </w:rPr>
        <w:t>类水平。</w:t>
      </w:r>
    </w:p>
    <w:p w14:paraId="461026B1">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84" w:name="7.2.3水环境风险受体敏感程度（E）评估"/>
      <w:bookmarkEnd w:id="284"/>
      <w:bookmarkStart w:id="285" w:name="_Toc9044"/>
      <w:bookmarkStart w:id="286" w:name="_Toc4249"/>
      <w:bookmarkStart w:id="287" w:name="_TOC_250013"/>
      <w:r>
        <w:rPr>
          <w:rFonts w:hint="eastAsia" w:ascii="Times New Roman" w:hAnsi="Times New Roman" w:eastAsia="宋体" w:cs="Times New Roman"/>
          <w:color w:val="000000" w:themeColor="text1"/>
          <w14:textFill>
            <w14:solidFill>
              <w14:schemeClr w14:val="tx1"/>
            </w14:solidFill>
          </w14:textFill>
        </w:rPr>
        <w:t>7.</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3水</w:t>
      </w:r>
      <w:r>
        <w:rPr>
          <w:rFonts w:hint="eastAsia" w:ascii="Times New Roman" w:hAnsi="Times New Roman" w:eastAsia="宋体" w:cs="Times New Roman"/>
          <w:color w:val="000000" w:themeColor="text1"/>
          <w14:textFill>
            <w14:solidFill>
              <w14:schemeClr w14:val="tx1"/>
            </w14:solidFill>
          </w14:textFill>
        </w:rPr>
        <w:t>环境风险受体敏感程度（E）评估</w:t>
      </w:r>
      <w:bookmarkEnd w:id="285"/>
      <w:bookmarkEnd w:id="286"/>
    </w:p>
    <w:bookmarkEnd w:id="287"/>
    <w:p w14:paraId="2ABBF2C6">
      <w:pPr>
        <w:pStyle w:val="13"/>
        <w:spacing w:before="0" w:after="0" w:line="500" w:lineRule="exact"/>
        <w:ind w:left="0" w:right="0" w:firstLine="440" w:firstLineChars="200"/>
        <w:jc w:val="left"/>
        <w:rPr>
          <w:rFonts w:hint="eastAsia" w:eastAsia="宋体"/>
          <w:spacing w:val="-10"/>
        </w:rPr>
      </w:pPr>
      <w:r>
        <w:rPr>
          <w:rFonts w:hint="eastAsia" w:eastAsia="宋体"/>
          <w:spacing w:val="-10"/>
        </w:rPr>
        <w:t>按照水环境风险受体敏感程度，同时考虑河流跨界的情况和可能造成土壤污染的情况，将水环境风险受体敏感程度类型划分为类型</w:t>
      </w:r>
      <w:r>
        <w:rPr>
          <w:rFonts w:hint="eastAsia" w:ascii="Times New Roman" w:eastAsia="宋体"/>
          <w:spacing w:val="-10"/>
        </w:rPr>
        <w:t>1</w:t>
      </w:r>
      <w:r>
        <w:rPr>
          <w:rFonts w:hint="eastAsia" w:eastAsia="宋体"/>
          <w:spacing w:val="-10"/>
        </w:rPr>
        <w:t>、类型</w:t>
      </w:r>
      <w:r>
        <w:rPr>
          <w:rFonts w:hint="eastAsia" w:ascii="Times New Roman" w:eastAsia="宋体"/>
          <w:spacing w:val="-10"/>
        </w:rPr>
        <w:t>2</w:t>
      </w:r>
      <w:r>
        <w:rPr>
          <w:rFonts w:hint="eastAsia" w:eastAsia="宋体"/>
          <w:spacing w:val="-10"/>
        </w:rPr>
        <w:t>和类型</w:t>
      </w:r>
      <w:r>
        <w:rPr>
          <w:rFonts w:hint="eastAsia" w:ascii="Times New Roman" w:eastAsia="宋体"/>
          <w:spacing w:val="-10"/>
        </w:rPr>
        <w:t>3</w:t>
      </w:r>
      <w:r>
        <w:rPr>
          <w:rFonts w:hint="eastAsia" w:eastAsia="宋体"/>
          <w:spacing w:val="-10"/>
        </w:rPr>
        <w:t>，分别以</w:t>
      </w:r>
      <w:r>
        <w:rPr>
          <w:rFonts w:hint="eastAsia" w:ascii="Times New Roman" w:eastAsia="宋体"/>
          <w:spacing w:val="-10"/>
        </w:rPr>
        <w:t>E1</w:t>
      </w:r>
      <w:r>
        <w:rPr>
          <w:rFonts w:hint="eastAsia" w:eastAsia="宋体"/>
          <w:spacing w:val="-10"/>
        </w:rPr>
        <w:t>、</w:t>
      </w:r>
      <w:r>
        <w:rPr>
          <w:rFonts w:hint="eastAsia" w:ascii="Times New Roman" w:eastAsia="宋体"/>
          <w:spacing w:val="-10"/>
        </w:rPr>
        <w:t>E2</w:t>
      </w:r>
      <w:r>
        <w:rPr>
          <w:rFonts w:hint="eastAsia" w:eastAsia="宋体"/>
          <w:spacing w:val="-10"/>
        </w:rPr>
        <w:t>和</w:t>
      </w:r>
      <w:r>
        <w:rPr>
          <w:rFonts w:hint="eastAsia" w:ascii="Times New Roman" w:eastAsia="宋体"/>
          <w:spacing w:val="-10"/>
        </w:rPr>
        <w:t>E3</w:t>
      </w:r>
      <w:r>
        <w:rPr>
          <w:rFonts w:hint="eastAsia" w:eastAsia="宋体"/>
          <w:spacing w:val="-10"/>
        </w:rPr>
        <w:t>表示，见表</w:t>
      </w:r>
      <w:r>
        <w:rPr>
          <w:rFonts w:hint="eastAsia" w:ascii="Times New Roman" w:eastAsia="宋体"/>
          <w:spacing w:val="-10"/>
        </w:rPr>
        <w:t>7-9</w:t>
      </w:r>
      <w:r>
        <w:rPr>
          <w:rFonts w:hint="eastAsia" w:eastAsia="宋体"/>
          <w:spacing w:val="-10"/>
        </w:rPr>
        <w:t>。</w:t>
      </w:r>
    </w:p>
    <w:p w14:paraId="56EEC169">
      <w:pPr>
        <w:pStyle w:val="13"/>
        <w:spacing w:after="0" w:line="500" w:lineRule="exact"/>
        <w:ind w:left="0" w:right="0" w:firstLine="440" w:firstLineChars="200"/>
        <w:jc w:val="left"/>
        <w:rPr>
          <w:rFonts w:hint="eastAsia" w:eastAsia="宋体"/>
          <w:spacing w:val="-10"/>
        </w:rPr>
      </w:pPr>
      <w:r>
        <w:rPr>
          <w:rFonts w:hint="eastAsia" w:eastAsia="宋体"/>
          <w:spacing w:val="-10"/>
        </w:rPr>
        <w:t>水环境风险受体敏感程度按类型</w:t>
      </w:r>
      <w:r>
        <w:rPr>
          <w:rFonts w:hint="eastAsia" w:ascii="Times New Roman" w:eastAsia="宋体"/>
          <w:spacing w:val="-10"/>
        </w:rPr>
        <w:t>1</w:t>
      </w:r>
      <w:r>
        <w:rPr>
          <w:rFonts w:hint="eastAsia" w:eastAsia="宋体"/>
          <w:spacing w:val="-10"/>
        </w:rPr>
        <w:t>、类型</w:t>
      </w:r>
      <w:r>
        <w:rPr>
          <w:rFonts w:hint="eastAsia" w:ascii="Times New Roman" w:eastAsia="宋体"/>
          <w:spacing w:val="-10"/>
        </w:rPr>
        <w:t>2</w:t>
      </w:r>
      <w:r>
        <w:rPr>
          <w:rFonts w:hint="eastAsia" w:eastAsia="宋体"/>
          <w:spacing w:val="-10"/>
        </w:rPr>
        <w:t>和类型</w:t>
      </w:r>
      <w:r>
        <w:rPr>
          <w:rFonts w:hint="eastAsia" w:ascii="Times New Roman" w:eastAsia="宋体"/>
          <w:spacing w:val="-10"/>
        </w:rPr>
        <w:t>3</w:t>
      </w:r>
      <w:r>
        <w:rPr>
          <w:rFonts w:hint="eastAsia" w:eastAsia="宋体"/>
          <w:spacing w:val="-10"/>
        </w:rPr>
        <w:t>顺序依次降低。若企业周边存在多种敏感程度类型的水环境风险受体，则按敏感程度高者确定企业水环境风险受体敏感程度类型。</w:t>
      </w:r>
    </w:p>
    <w:p w14:paraId="22ED39A9">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7-9</w:t>
      </w:r>
      <w:r>
        <w:rPr>
          <w:rFonts w:eastAsiaTheme="minorEastAsia"/>
          <w:b/>
          <w:color w:val="000000" w:themeColor="text1"/>
          <w:sz w:val="24"/>
          <w:szCs w:val="24"/>
          <w14:textFill>
            <w14:solidFill>
              <w14:schemeClr w14:val="tx1"/>
            </w14:solidFill>
          </w14:textFill>
        </w:rPr>
        <w:t>水环境风险受体敏感程度类型划分</w:t>
      </w:r>
    </w:p>
    <w:tbl>
      <w:tblPr>
        <w:tblStyle w:val="37"/>
        <w:tblW w:w="501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80"/>
        <w:gridCol w:w="7309"/>
      </w:tblGrid>
      <w:tr w14:paraId="3CFD0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tblHeader/>
        </w:trPr>
        <w:tc>
          <w:tcPr>
            <w:tcW w:w="979" w:type="pct"/>
            <w:vAlign w:val="center"/>
          </w:tcPr>
          <w:p w14:paraId="2B11DEFF">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020" w:type="pct"/>
            <w:vAlign w:val="center"/>
          </w:tcPr>
          <w:p w14:paraId="25743A93">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水环境风险受体</w:t>
            </w:r>
          </w:p>
        </w:tc>
      </w:tr>
      <w:tr w14:paraId="70398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979" w:type="pct"/>
            <w:vAlign w:val="center"/>
          </w:tcPr>
          <w:p w14:paraId="04213E7D">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类型1（E1）</w:t>
            </w:r>
          </w:p>
        </w:tc>
        <w:tc>
          <w:tcPr>
            <w:tcW w:w="4020" w:type="pct"/>
            <w:vAlign w:val="center"/>
          </w:tcPr>
          <w:p w14:paraId="15D39357">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企业雨水排口、清净废水排口、污水排口下游10公里流经范围内有如下一类或多类环境风险受体：集中式地表水、地下饮用水水源保护区（包括一级保护区、二级保护区及准保护区）；农村及分散式饮用水水源保护区；</w:t>
            </w:r>
          </w:p>
          <w:p w14:paraId="0746A3D0">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（2）废水排入受纳水体后24小时流经范围（按受纳河流最大日均流速计算）内涉及跨国界的</w:t>
            </w:r>
          </w:p>
        </w:tc>
      </w:tr>
      <w:tr w14:paraId="42CC7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3" w:hRule="atLeast"/>
        </w:trPr>
        <w:tc>
          <w:tcPr>
            <w:tcW w:w="979" w:type="pct"/>
            <w:shd w:val="clear" w:color="auto" w:fill="auto"/>
            <w:vAlign w:val="center"/>
          </w:tcPr>
          <w:p w14:paraId="1538498E">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类型2（E2）</w:t>
            </w:r>
          </w:p>
        </w:tc>
        <w:tc>
          <w:tcPr>
            <w:tcW w:w="4020" w:type="pct"/>
            <w:shd w:val="clear" w:color="auto" w:fill="auto"/>
            <w:vAlign w:val="center"/>
          </w:tcPr>
          <w:p w14:paraId="1FE90C64">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雨水排口、清净废水排口、污水排口下游10公里流经范围内有生态保护红线划定的或具有水生态服务功能的其他水生态环境敏感区和脆弱区，如国家公园，国家级和省级水产种质资源保护区，水产养殖区，天然渔场，海水浴场，盐场保护区，国家重要湿地，国家级和地方级海洋特别保护区，国家级和地方级海洋自然保护区，生物多样性保护优先区域，国家级和地方级自然保护区，国家级和省级风景名胜区，世界文化和自然遗产地，国家级和省级森林公园，世界、国家和省级地质公园，基本农田保护区，基本草原；</w:t>
            </w:r>
          </w:p>
          <w:p w14:paraId="5F8877F6">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（2）企业雨水排口、清净废水排口、污水排口下游10公里流经范围内涉及跨省界的</w:t>
            </w:r>
          </w:p>
          <w:p w14:paraId="0D4E2068">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（3）企业位于熔岩地貌、泄洪区、泥石流多发等地区</w:t>
            </w:r>
          </w:p>
        </w:tc>
      </w:tr>
      <w:tr w14:paraId="6467D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979" w:type="pct"/>
            <w:vAlign w:val="center"/>
          </w:tcPr>
          <w:p w14:paraId="7DE2EBF9">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类型3（E3）</w:t>
            </w:r>
          </w:p>
        </w:tc>
        <w:tc>
          <w:tcPr>
            <w:tcW w:w="4020" w:type="pct"/>
            <w:vAlign w:val="center"/>
          </w:tcPr>
          <w:p w14:paraId="4FF7A38F">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不涉及类型1和类型2情况的</w:t>
            </w:r>
          </w:p>
        </w:tc>
      </w:tr>
      <w:tr w14:paraId="3327A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000" w:type="pct"/>
            <w:gridSpan w:val="2"/>
            <w:vAlign w:val="center"/>
          </w:tcPr>
          <w:p w14:paraId="1FFB1858">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注：本表中规定的距离范围以到</w:t>
            </w:r>
            <w:r>
              <w:rPr>
                <w:rFonts w:hint="eastAsia" w:ascii="宋体" w:hAnsi="宋体" w:eastAsia="宋体" w:cs="宋体"/>
                <w:sz w:val="21"/>
                <w:szCs w:val="21"/>
              </w:rPr>
              <w:t>各类水环境保护目标或保护区域的边界为准</w:t>
            </w:r>
          </w:p>
        </w:tc>
      </w:tr>
    </w:tbl>
    <w:p w14:paraId="6C34B8AF">
      <w:pPr>
        <w:spacing w:before="0" w:line="500" w:lineRule="exact"/>
        <w:ind w:left="0" w:right="0" w:firstLine="422" w:firstLineChars="200"/>
        <w:jc w:val="left"/>
        <w:rPr>
          <w:rFonts w:hint="default" w:eastAsia="宋体"/>
          <w:b/>
          <w:bCs/>
          <w:sz w:val="21"/>
        </w:rPr>
      </w:pPr>
      <w:r>
        <w:rPr>
          <w:rFonts w:hint="default" w:eastAsia="宋体"/>
          <w:b/>
          <w:bCs/>
          <w:sz w:val="21"/>
        </w:rPr>
        <w:t>注：本表中规定的距离范围以到各类水环境保护目标或保护区域的边界为准</w:t>
      </w:r>
    </w:p>
    <w:p w14:paraId="5061460A">
      <w:pPr>
        <w:pStyle w:val="13"/>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ascii="Times New Roman" w:hAnsi="Times New Roman" w:eastAsia="宋体" w:cs="Times New Roman"/>
          <w:spacing w:val="-10"/>
        </w:rPr>
      </w:pPr>
      <w:r>
        <w:rPr>
          <w:rFonts w:hint="eastAsia" w:eastAsia="宋体" w:cs="Times New Roman"/>
          <w:b w:val="0"/>
          <w:bCs/>
          <w:highlight w:val="none"/>
          <w:lang w:val="en-US" w:eastAsia="zh-CN"/>
        </w:rPr>
        <w:t>公司</w:t>
      </w:r>
      <w:r>
        <w:rPr>
          <w:rFonts w:hint="default" w:ascii="Times New Roman" w:hAnsi="Times New Roman" w:eastAsia="宋体" w:cs="Times New Roman"/>
          <w:highlight w:val="none"/>
        </w:rPr>
        <w:t>雨污水排口下游10公里内</w:t>
      </w:r>
      <w:r>
        <w:rPr>
          <w:rFonts w:hint="default" w:eastAsia="宋体" w:cs="Times New Roman"/>
          <w:highlight w:val="none"/>
          <w:lang w:val="en-US" w:eastAsia="zh-CN"/>
        </w:rPr>
        <w:t>无集中式地表水、地下饮用水水源保护区，农村及分散式饮用水水源保护区</w:t>
      </w:r>
      <w:r>
        <w:rPr>
          <w:rFonts w:hint="eastAsia" w:eastAsia="宋体" w:cs="Times New Roman"/>
          <w:highlight w:val="none"/>
          <w:lang w:val="en-US" w:eastAsia="zh-CN"/>
        </w:rPr>
        <w:t>及生态保护红线划定的或具有水生态服务功能的其他水生态环境敏感区和脆弱区</w:t>
      </w:r>
      <w:r>
        <w:rPr>
          <w:rFonts w:hint="default" w:eastAsia="宋体" w:cs="Times New Roman"/>
          <w:highlight w:val="none"/>
          <w:lang w:val="en-US" w:eastAsia="zh-CN"/>
        </w:rPr>
        <w:t>且废水排入受纳水体后24小时流经范围内未跨国界</w:t>
      </w:r>
      <w:r>
        <w:rPr>
          <w:rFonts w:hint="eastAsia" w:eastAsia="宋体" w:cs="Times New Roman"/>
          <w:highlight w:val="none"/>
          <w:lang w:val="en-US" w:eastAsia="zh-CN"/>
        </w:rPr>
        <w:t>及省界</w:t>
      </w:r>
      <w:r>
        <w:rPr>
          <w:rFonts w:hint="default" w:ascii="Times New Roman" w:hAnsi="Times New Roman" w:eastAsia="宋体" w:cs="Times New Roman"/>
          <w:highlight w:val="none"/>
        </w:rPr>
        <w:t>，因此环境风险受体划分为类型</w:t>
      </w:r>
      <w:r>
        <w:rPr>
          <w:rFonts w:hint="eastAsia" w:eastAsia="宋体" w:cs="Times New Roman"/>
          <w:highlight w:val="none"/>
          <w:lang w:val="en-US" w:eastAsia="zh-CN"/>
        </w:rPr>
        <w:t>3</w:t>
      </w:r>
      <w:r>
        <w:rPr>
          <w:rFonts w:hint="default" w:ascii="Times New Roman" w:hAnsi="Times New Roman" w:eastAsia="宋体" w:cs="Times New Roman"/>
          <w:highlight w:val="none"/>
        </w:rPr>
        <w:t>（E</w:t>
      </w:r>
      <w:r>
        <w:rPr>
          <w:rFonts w:hint="eastAsia" w:eastAsia="宋体" w:cs="Times New Roman"/>
          <w:highlight w:val="none"/>
          <w:lang w:val="en-US" w:eastAsia="zh-CN"/>
        </w:rPr>
        <w:t>3</w:t>
      </w:r>
      <w:r>
        <w:rPr>
          <w:rFonts w:hint="default" w:ascii="Times New Roman" w:hAnsi="Times New Roman" w:eastAsia="宋体" w:cs="Times New Roman"/>
          <w:highlight w:val="none"/>
        </w:rPr>
        <w:t>）</w:t>
      </w:r>
      <w:r>
        <w:rPr>
          <w:rFonts w:hint="eastAsia" w:ascii="Times New Roman" w:hAnsi="Times New Roman" w:eastAsia="宋体" w:cs="Times New Roman"/>
          <w:spacing w:val="-10"/>
        </w:rPr>
        <w:t>。</w:t>
      </w:r>
    </w:p>
    <w:p w14:paraId="6C39869A">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88" w:name="_Toc18805"/>
      <w:bookmarkStart w:id="289" w:name="_Toc28884"/>
      <w:r>
        <w:rPr>
          <w:rFonts w:hint="eastAsia" w:ascii="Times New Roman" w:hAnsi="Times New Roman" w:eastAsia="宋体" w:cs="Times New Roman"/>
          <w:color w:val="000000" w:themeColor="text1"/>
          <w14:textFill>
            <w14:solidFill>
              <w14:schemeClr w14:val="tx1"/>
            </w14:solidFill>
          </w14:textFill>
        </w:rPr>
        <w:t>7.</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突发</w:t>
      </w:r>
      <w:r>
        <w:rPr>
          <w:rFonts w:hint="eastAsia" w:ascii="Times New Roman" w:hAnsi="Times New Roman"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14:textFill>
            <w14:solidFill>
              <w14:schemeClr w14:val="tx1"/>
            </w14:solidFill>
          </w14:textFill>
        </w:rPr>
        <w:t>环境事件风险等级确定</w:t>
      </w:r>
      <w:bookmarkEnd w:id="288"/>
      <w:bookmarkEnd w:id="289"/>
    </w:p>
    <w:p w14:paraId="65053C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根据企业周边水环境风险受体敏感程度（E）、涉气/水风险物质数量与临界量比值（Q）和生产工艺过程与大气/水环境风险控制水平（M），分别确定企业突发大气/水环境事件风险等级。</w:t>
      </w:r>
    </w:p>
    <w:p w14:paraId="5CED562D">
      <w:pPr>
        <w:widowControl/>
        <w:adjustRightInd/>
        <w:snapToGrid/>
        <w:spacing w:line="240" w:lineRule="auto"/>
        <w:ind w:firstLine="0" w:firstLineChars="0"/>
        <w:jc w:val="center"/>
      </w:pPr>
      <w:r>
        <w:rPr>
          <w:rFonts w:hint="default" w:eastAsia="宋体"/>
          <w:b/>
          <w:bCs/>
          <w:lang w:val="en-US" w:eastAsia="zh-CN"/>
        </w:rPr>
        <w:t>表7-1</w:t>
      </w:r>
      <w:r>
        <w:rPr>
          <w:rFonts w:hint="eastAsia" w:eastAsia="宋体"/>
          <w:b/>
          <w:bCs/>
          <w:lang w:val="en-US" w:eastAsia="zh-CN"/>
        </w:rPr>
        <w:t>0</w:t>
      </w:r>
      <w:r>
        <w:rPr>
          <w:rFonts w:hint="default" w:eastAsia="宋体"/>
          <w:b/>
          <w:bCs/>
          <w:lang w:val="en-US" w:eastAsia="zh-CN"/>
        </w:rPr>
        <w:t>企业突发环境事件风险分级矩阵表</w:t>
      </w:r>
    </w:p>
    <w:tbl>
      <w:tblPr>
        <w:tblStyle w:val="37"/>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516"/>
        <w:gridCol w:w="2018"/>
        <w:gridCol w:w="1378"/>
        <w:gridCol w:w="1380"/>
        <w:gridCol w:w="1378"/>
        <w:gridCol w:w="1382"/>
      </w:tblGrid>
      <w:tr w14:paraId="13608F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restart"/>
            <w:tcBorders>
              <w:tl2br w:val="nil"/>
              <w:tr2bl w:val="nil"/>
            </w:tcBorders>
            <w:vAlign w:val="center"/>
          </w:tcPr>
          <w:p w14:paraId="33036C22">
            <w:pPr>
              <w:pStyle w:val="140"/>
              <w:spacing w:before="0" w:line="240" w:lineRule="auto"/>
              <w:ind w:left="0" w:right="0" w:firstLine="0"/>
              <w:jc w:val="center"/>
              <w:rPr>
                <w:b/>
                <w:sz w:val="21"/>
              </w:rPr>
            </w:pPr>
            <w:r>
              <w:rPr>
                <w:b/>
                <w:sz w:val="21"/>
              </w:rPr>
              <w:t>环境风险受体敏感程度</w:t>
            </w:r>
            <w:r>
              <w:rPr>
                <w:b/>
                <w:spacing w:val="-5"/>
                <w:sz w:val="21"/>
              </w:rPr>
              <w:t>（</w:t>
            </w:r>
            <w:r>
              <w:rPr>
                <w:rFonts w:ascii="Times New Roman" w:eastAsia="Times New Roman"/>
                <w:b/>
                <w:spacing w:val="-5"/>
                <w:sz w:val="21"/>
              </w:rPr>
              <w:t>E</w:t>
            </w:r>
            <w:r>
              <w:rPr>
                <w:b/>
                <w:spacing w:val="-5"/>
                <w:sz w:val="21"/>
              </w:rPr>
              <w:t>）</w:t>
            </w:r>
          </w:p>
        </w:tc>
        <w:tc>
          <w:tcPr>
            <w:tcW w:w="1114" w:type="pct"/>
            <w:vMerge w:val="restart"/>
            <w:tcBorders>
              <w:tl2br w:val="nil"/>
              <w:tr2bl w:val="nil"/>
            </w:tcBorders>
            <w:vAlign w:val="center"/>
          </w:tcPr>
          <w:p w14:paraId="4A534F6C">
            <w:pPr>
              <w:pStyle w:val="140"/>
              <w:spacing w:before="0" w:line="240" w:lineRule="auto"/>
              <w:ind w:left="0" w:right="0" w:firstLine="0"/>
              <w:jc w:val="center"/>
              <w:rPr>
                <w:b/>
                <w:sz w:val="21"/>
              </w:rPr>
            </w:pPr>
            <w:r>
              <w:rPr>
                <w:b/>
                <w:sz w:val="21"/>
              </w:rPr>
              <w:t>风险物质数量与临界量比值（</w:t>
            </w:r>
            <w:r>
              <w:rPr>
                <w:rFonts w:ascii="Times New Roman" w:eastAsia="Times New Roman"/>
                <w:b/>
                <w:sz w:val="21"/>
              </w:rPr>
              <w:t>Q</w:t>
            </w:r>
            <w:r>
              <w:rPr>
                <w:b/>
                <w:sz w:val="21"/>
              </w:rPr>
              <w:t>）</w:t>
            </w:r>
          </w:p>
        </w:tc>
        <w:tc>
          <w:tcPr>
            <w:tcW w:w="3047" w:type="pct"/>
            <w:gridSpan w:val="4"/>
            <w:tcBorders>
              <w:tl2br w:val="nil"/>
              <w:tr2bl w:val="nil"/>
            </w:tcBorders>
            <w:vAlign w:val="center"/>
          </w:tcPr>
          <w:p w14:paraId="6A8767CD">
            <w:pPr>
              <w:pStyle w:val="140"/>
              <w:spacing w:before="0"/>
              <w:ind w:left="0"/>
              <w:jc w:val="center"/>
              <w:rPr>
                <w:b/>
                <w:sz w:val="21"/>
              </w:rPr>
            </w:pPr>
            <w:r>
              <w:rPr>
                <w:b/>
                <w:sz w:val="21"/>
              </w:rPr>
              <w:t>生产工艺过程与环境风险控制水平（</w:t>
            </w:r>
            <w:r>
              <w:rPr>
                <w:rFonts w:ascii="Times New Roman" w:eastAsia="Times New Roman"/>
                <w:b/>
                <w:sz w:val="21"/>
              </w:rPr>
              <w:t>M</w:t>
            </w:r>
            <w:r>
              <w:rPr>
                <w:b/>
                <w:sz w:val="21"/>
              </w:rPr>
              <w:t>）</w:t>
            </w:r>
          </w:p>
        </w:tc>
      </w:tr>
      <w:tr w14:paraId="01E19A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41E34DC8">
            <w:pPr>
              <w:jc w:val="center"/>
              <w:rPr>
                <w:sz w:val="2"/>
                <w:szCs w:val="2"/>
              </w:rPr>
            </w:pPr>
          </w:p>
        </w:tc>
        <w:tc>
          <w:tcPr>
            <w:tcW w:w="1114" w:type="pct"/>
            <w:vMerge w:val="continue"/>
            <w:tcBorders>
              <w:tl2br w:val="nil"/>
              <w:tr2bl w:val="nil"/>
            </w:tcBorders>
            <w:vAlign w:val="center"/>
          </w:tcPr>
          <w:p w14:paraId="475DC493">
            <w:pPr>
              <w:jc w:val="center"/>
              <w:rPr>
                <w:sz w:val="2"/>
                <w:szCs w:val="2"/>
              </w:rPr>
            </w:pPr>
          </w:p>
        </w:tc>
        <w:tc>
          <w:tcPr>
            <w:tcW w:w="761" w:type="pct"/>
            <w:tcBorders>
              <w:tl2br w:val="nil"/>
              <w:tr2bl w:val="nil"/>
            </w:tcBorders>
            <w:vAlign w:val="center"/>
          </w:tcPr>
          <w:p w14:paraId="3F34B445">
            <w:pPr>
              <w:pStyle w:val="140"/>
              <w:spacing w:before="0"/>
              <w:ind w:left="0" w:right="0"/>
              <w:rPr>
                <w:b/>
                <w:sz w:val="21"/>
              </w:rPr>
            </w:pPr>
            <w:r>
              <w:rPr>
                <w:rFonts w:ascii="Times New Roman" w:eastAsia="Times New Roman"/>
                <w:b/>
                <w:sz w:val="21"/>
              </w:rPr>
              <w:t>M1</w:t>
            </w:r>
            <w:r>
              <w:rPr>
                <w:b/>
                <w:sz w:val="21"/>
              </w:rPr>
              <w:t>类水平</w:t>
            </w:r>
          </w:p>
        </w:tc>
        <w:tc>
          <w:tcPr>
            <w:tcW w:w="762" w:type="pct"/>
            <w:tcBorders>
              <w:tl2br w:val="nil"/>
              <w:tr2bl w:val="nil"/>
            </w:tcBorders>
            <w:vAlign w:val="center"/>
          </w:tcPr>
          <w:p w14:paraId="04C0C0AA">
            <w:pPr>
              <w:pStyle w:val="140"/>
              <w:spacing w:before="0"/>
              <w:ind w:left="0" w:right="0"/>
              <w:rPr>
                <w:b/>
                <w:sz w:val="21"/>
              </w:rPr>
            </w:pPr>
            <w:r>
              <w:rPr>
                <w:rFonts w:ascii="Times New Roman" w:eastAsia="Times New Roman"/>
                <w:b/>
                <w:sz w:val="21"/>
              </w:rPr>
              <w:t>M2</w:t>
            </w:r>
            <w:r>
              <w:rPr>
                <w:b/>
                <w:sz w:val="21"/>
              </w:rPr>
              <w:t>类水平</w:t>
            </w:r>
          </w:p>
        </w:tc>
        <w:tc>
          <w:tcPr>
            <w:tcW w:w="761" w:type="pct"/>
            <w:tcBorders>
              <w:tl2br w:val="nil"/>
              <w:tr2bl w:val="nil"/>
            </w:tcBorders>
            <w:vAlign w:val="center"/>
          </w:tcPr>
          <w:p w14:paraId="7F5F8E51">
            <w:pPr>
              <w:pStyle w:val="140"/>
              <w:spacing w:before="0"/>
              <w:ind w:left="0" w:right="0"/>
              <w:rPr>
                <w:b/>
                <w:sz w:val="21"/>
              </w:rPr>
            </w:pPr>
            <w:r>
              <w:rPr>
                <w:rFonts w:ascii="Times New Roman" w:eastAsia="Times New Roman"/>
                <w:b/>
                <w:sz w:val="21"/>
              </w:rPr>
              <w:t>M3</w:t>
            </w:r>
            <w:r>
              <w:rPr>
                <w:b/>
                <w:sz w:val="21"/>
              </w:rPr>
              <w:t>类水平</w:t>
            </w:r>
          </w:p>
        </w:tc>
        <w:tc>
          <w:tcPr>
            <w:tcW w:w="762" w:type="pct"/>
            <w:tcBorders>
              <w:tl2br w:val="nil"/>
              <w:tr2bl w:val="nil"/>
            </w:tcBorders>
            <w:vAlign w:val="center"/>
          </w:tcPr>
          <w:p w14:paraId="31A02138">
            <w:pPr>
              <w:pStyle w:val="140"/>
              <w:spacing w:before="0"/>
              <w:ind w:left="0" w:right="0"/>
              <w:rPr>
                <w:b/>
                <w:sz w:val="21"/>
              </w:rPr>
            </w:pPr>
            <w:r>
              <w:rPr>
                <w:rFonts w:ascii="Times New Roman" w:eastAsia="Times New Roman"/>
                <w:b/>
                <w:sz w:val="21"/>
              </w:rPr>
              <w:t>M4</w:t>
            </w:r>
            <w:r>
              <w:rPr>
                <w:b/>
                <w:sz w:val="21"/>
              </w:rPr>
              <w:t>类水平</w:t>
            </w:r>
          </w:p>
        </w:tc>
      </w:tr>
      <w:tr w14:paraId="70C15D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2F240309">
            <w:pPr>
              <w:pStyle w:val="140"/>
              <w:spacing w:before="0"/>
              <w:ind w:left="0"/>
              <w:jc w:val="center"/>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114" w:type="pct"/>
            <w:tcBorders>
              <w:tl2br w:val="nil"/>
              <w:tr2bl w:val="nil"/>
            </w:tcBorders>
            <w:vAlign w:val="center"/>
          </w:tcPr>
          <w:p w14:paraId="0D2ACEBB">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41685BBB">
            <w:pPr>
              <w:pStyle w:val="140"/>
              <w:spacing w:before="0"/>
              <w:ind w:left="0" w:right="0"/>
              <w:rPr>
                <w:sz w:val="21"/>
              </w:rPr>
            </w:pPr>
            <w:r>
              <w:rPr>
                <w:sz w:val="21"/>
              </w:rPr>
              <w:t>较大</w:t>
            </w:r>
          </w:p>
        </w:tc>
        <w:tc>
          <w:tcPr>
            <w:tcW w:w="762" w:type="pct"/>
            <w:tcBorders>
              <w:tl2br w:val="nil"/>
              <w:tr2bl w:val="nil"/>
            </w:tcBorders>
            <w:vAlign w:val="center"/>
          </w:tcPr>
          <w:p w14:paraId="3735DE14">
            <w:pPr>
              <w:pStyle w:val="140"/>
              <w:spacing w:before="0"/>
              <w:ind w:left="0" w:right="0"/>
              <w:rPr>
                <w:sz w:val="21"/>
              </w:rPr>
            </w:pPr>
            <w:r>
              <w:rPr>
                <w:sz w:val="21"/>
              </w:rPr>
              <w:t>较大</w:t>
            </w:r>
          </w:p>
        </w:tc>
        <w:tc>
          <w:tcPr>
            <w:tcW w:w="761" w:type="pct"/>
            <w:tcBorders>
              <w:tl2br w:val="nil"/>
              <w:tr2bl w:val="nil"/>
            </w:tcBorders>
            <w:vAlign w:val="center"/>
          </w:tcPr>
          <w:p w14:paraId="02C62AC0">
            <w:pPr>
              <w:pStyle w:val="140"/>
              <w:spacing w:before="0"/>
              <w:ind w:left="0" w:right="0"/>
              <w:rPr>
                <w:sz w:val="21"/>
              </w:rPr>
            </w:pPr>
            <w:r>
              <w:rPr>
                <w:sz w:val="21"/>
              </w:rPr>
              <w:t>重大</w:t>
            </w:r>
          </w:p>
        </w:tc>
        <w:tc>
          <w:tcPr>
            <w:tcW w:w="762" w:type="pct"/>
            <w:tcBorders>
              <w:tl2br w:val="nil"/>
              <w:tr2bl w:val="nil"/>
            </w:tcBorders>
            <w:vAlign w:val="center"/>
          </w:tcPr>
          <w:p w14:paraId="4AD18D3D">
            <w:pPr>
              <w:pStyle w:val="140"/>
              <w:spacing w:before="0"/>
              <w:ind w:left="0" w:right="0"/>
              <w:rPr>
                <w:sz w:val="21"/>
              </w:rPr>
            </w:pPr>
            <w:r>
              <w:rPr>
                <w:sz w:val="21"/>
              </w:rPr>
              <w:t>重大</w:t>
            </w:r>
          </w:p>
        </w:tc>
      </w:tr>
      <w:tr w14:paraId="5A5B76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59074DDF">
            <w:pPr>
              <w:jc w:val="center"/>
              <w:rPr>
                <w:sz w:val="2"/>
                <w:szCs w:val="2"/>
              </w:rPr>
            </w:pPr>
          </w:p>
        </w:tc>
        <w:tc>
          <w:tcPr>
            <w:tcW w:w="1114" w:type="pct"/>
            <w:tcBorders>
              <w:tl2br w:val="nil"/>
              <w:tr2bl w:val="nil"/>
            </w:tcBorders>
            <w:vAlign w:val="center"/>
          </w:tcPr>
          <w:p w14:paraId="49055383">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661D09C9">
            <w:pPr>
              <w:pStyle w:val="140"/>
              <w:spacing w:before="0"/>
              <w:ind w:left="0" w:right="0"/>
              <w:rPr>
                <w:sz w:val="21"/>
              </w:rPr>
            </w:pPr>
            <w:r>
              <w:rPr>
                <w:sz w:val="21"/>
              </w:rPr>
              <w:t>较大</w:t>
            </w:r>
          </w:p>
        </w:tc>
        <w:tc>
          <w:tcPr>
            <w:tcW w:w="762" w:type="pct"/>
            <w:tcBorders>
              <w:tl2br w:val="nil"/>
              <w:tr2bl w:val="nil"/>
            </w:tcBorders>
            <w:vAlign w:val="center"/>
          </w:tcPr>
          <w:p w14:paraId="02B0E2D6">
            <w:pPr>
              <w:pStyle w:val="140"/>
              <w:spacing w:before="0"/>
              <w:ind w:left="0" w:right="0"/>
              <w:rPr>
                <w:sz w:val="21"/>
              </w:rPr>
            </w:pPr>
            <w:r>
              <w:rPr>
                <w:sz w:val="21"/>
              </w:rPr>
              <w:t>重大</w:t>
            </w:r>
          </w:p>
        </w:tc>
        <w:tc>
          <w:tcPr>
            <w:tcW w:w="761" w:type="pct"/>
            <w:tcBorders>
              <w:tl2br w:val="nil"/>
              <w:tr2bl w:val="nil"/>
            </w:tcBorders>
            <w:vAlign w:val="center"/>
          </w:tcPr>
          <w:p w14:paraId="1AC744D5">
            <w:pPr>
              <w:pStyle w:val="140"/>
              <w:spacing w:before="0"/>
              <w:ind w:left="0" w:right="0"/>
              <w:rPr>
                <w:sz w:val="21"/>
              </w:rPr>
            </w:pPr>
            <w:r>
              <w:rPr>
                <w:sz w:val="21"/>
              </w:rPr>
              <w:t>重大</w:t>
            </w:r>
          </w:p>
        </w:tc>
        <w:tc>
          <w:tcPr>
            <w:tcW w:w="762" w:type="pct"/>
            <w:tcBorders>
              <w:tl2br w:val="nil"/>
              <w:tr2bl w:val="nil"/>
            </w:tcBorders>
            <w:vAlign w:val="center"/>
          </w:tcPr>
          <w:p w14:paraId="620EABD4">
            <w:pPr>
              <w:pStyle w:val="140"/>
              <w:spacing w:before="0"/>
              <w:ind w:left="0" w:right="0"/>
              <w:rPr>
                <w:sz w:val="21"/>
              </w:rPr>
            </w:pPr>
            <w:r>
              <w:rPr>
                <w:sz w:val="21"/>
              </w:rPr>
              <w:t>重大</w:t>
            </w:r>
          </w:p>
        </w:tc>
      </w:tr>
      <w:tr w14:paraId="31F01D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7058780C">
            <w:pPr>
              <w:jc w:val="center"/>
              <w:rPr>
                <w:sz w:val="2"/>
                <w:szCs w:val="2"/>
              </w:rPr>
            </w:pPr>
          </w:p>
        </w:tc>
        <w:tc>
          <w:tcPr>
            <w:tcW w:w="1114" w:type="pct"/>
            <w:tcBorders>
              <w:tl2br w:val="nil"/>
              <w:tr2bl w:val="nil"/>
            </w:tcBorders>
            <w:vAlign w:val="center"/>
          </w:tcPr>
          <w:p w14:paraId="51368A03">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0A9A0184">
            <w:pPr>
              <w:pStyle w:val="140"/>
              <w:spacing w:before="0"/>
              <w:ind w:left="0" w:right="0"/>
              <w:rPr>
                <w:sz w:val="21"/>
              </w:rPr>
            </w:pPr>
            <w:r>
              <w:rPr>
                <w:sz w:val="21"/>
              </w:rPr>
              <w:t>重大</w:t>
            </w:r>
          </w:p>
        </w:tc>
        <w:tc>
          <w:tcPr>
            <w:tcW w:w="762" w:type="pct"/>
            <w:tcBorders>
              <w:tl2br w:val="nil"/>
              <w:tr2bl w:val="nil"/>
            </w:tcBorders>
            <w:vAlign w:val="center"/>
          </w:tcPr>
          <w:p w14:paraId="57808902">
            <w:pPr>
              <w:pStyle w:val="140"/>
              <w:spacing w:before="0"/>
              <w:ind w:left="0" w:right="0"/>
              <w:rPr>
                <w:sz w:val="21"/>
              </w:rPr>
            </w:pPr>
            <w:r>
              <w:rPr>
                <w:sz w:val="21"/>
              </w:rPr>
              <w:t>重大</w:t>
            </w:r>
          </w:p>
        </w:tc>
        <w:tc>
          <w:tcPr>
            <w:tcW w:w="761" w:type="pct"/>
            <w:tcBorders>
              <w:tl2br w:val="nil"/>
              <w:tr2bl w:val="nil"/>
            </w:tcBorders>
            <w:vAlign w:val="center"/>
          </w:tcPr>
          <w:p w14:paraId="1358CC91">
            <w:pPr>
              <w:pStyle w:val="140"/>
              <w:spacing w:before="0"/>
              <w:ind w:left="0" w:right="0"/>
              <w:rPr>
                <w:sz w:val="21"/>
              </w:rPr>
            </w:pPr>
            <w:r>
              <w:rPr>
                <w:sz w:val="21"/>
              </w:rPr>
              <w:t>重大</w:t>
            </w:r>
          </w:p>
        </w:tc>
        <w:tc>
          <w:tcPr>
            <w:tcW w:w="762" w:type="pct"/>
            <w:tcBorders>
              <w:tl2br w:val="nil"/>
              <w:tr2bl w:val="nil"/>
            </w:tcBorders>
            <w:vAlign w:val="center"/>
          </w:tcPr>
          <w:p w14:paraId="52235989">
            <w:pPr>
              <w:pStyle w:val="140"/>
              <w:spacing w:before="0"/>
              <w:ind w:left="0" w:right="0"/>
              <w:rPr>
                <w:sz w:val="21"/>
              </w:rPr>
            </w:pPr>
            <w:r>
              <w:rPr>
                <w:sz w:val="21"/>
              </w:rPr>
              <w:t>重大</w:t>
            </w:r>
          </w:p>
        </w:tc>
      </w:tr>
      <w:tr w14:paraId="04142C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4EFB2B56">
            <w:pPr>
              <w:pStyle w:val="140"/>
              <w:spacing w:before="0"/>
              <w:ind w:left="0"/>
              <w:jc w:val="center"/>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114" w:type="pct"/>
            <w:tcBorders>
              <w:tl2br w:val="nil"/>
              <w:tr2bl w:val="nil"/>
            </w:tcBorders>
            <w:vAlign w:val="center"/>
          </w:tcPr>
          <w:p w14:paraId="10DD621A">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3BDB8CFE">
            <w:pPr>
              <w:pStyle w:val="140"/>
              <w:spacing w:before="0"/>
              <w:ind w:left="0" w:right="0"/>
              <w:rPr>
                <w:sz w:val="21"/>
              </w:rPr>
            </w:pPr>
            <w:r>
              <w:rPr>
                <w:sz w:val="21"/>
              </w:rPr>
              <w:t>一般</w:t>
            </w:r>
          </w:p>
        </w:tc>
        <w:tc>
          <w:tcPr>
            <w:tcW w:w="762" w:type="pct"/>
            <w:tcBorders>
              <w:tl2br w:val="nil"/>
              <w:tr2bl w:val="nil"/>
            </w:tcBorders>
            <w:vAlign w:val="center"/>
          </w:tcPr>
          <w:p w14:paraId="6FFCB025">
            <w:pPr>
              <w:pStyle w:val="140"/>
              <w:spacing w:before="0"/>
              <w:ind w:left="0" w:right="0"/>
              <w:rPr>
                <w:sz w:val="21"/>
              </w:rPr>
            </w:pPr>
            <w:r>
              <w:rPr>
                <w:sz w:val="21"/>
              </w:rPr>
              <w:t>较大</w:t>
            </w:r>
          </w:p>
        </w:tc>
        <w:tc>
          <w:tcPr>
            <w:tcW w:w="761" w:type="pct"/>
            <w:tcBorders>
              <w:tl2br w:val="nil"/>
              <w:tr2bl w:val="nil"/>
            </w:tcBorders>
            <w:vAlign w:val="center"/>
          </w:tcPr>
          <w:p w14:paraId="448C34A2">
            <w:pPr>
              <w:pStyle w:val="140"/>
              <w:spacing w:before="0"/>
              <w:ind w:left="0" w:right="0"/>
              <w:rPr>
                <w:sz w:val="21"/>
              </w:rPr>
            </w:pPr>
            <w:r>
              <w:rPr>
                <w:sz w:val="21"/>
              </w:rPr>
              <w:t>较大</w:t>
            </w:r>
          </w:p>
        </w:tc>
        <w:tc>
          <w:tcPr>
            <w:tcW w:w="762" w:type="pct"/>
            <w:tcBorders>
              <w:tl2br w:val="nil"/>
              <w:tr2bl w:val="nil"/>
            </w:tcBorders>
            <w:vAlign w:val="center"/>
          </w:tcPr>
          <w:p w14:paraId="5CA42AA7">
            <w:pPr>
              <w:pStyle w:val="140"/>
              <w:spacing w:before="0"/>
              <w:ind w:left="0" w:right="0"/>
              <w:rPr>
                <w:sz w:val="21"/>
              </w:rPr>
            </w:pPr>
            <w:r>
              <w:rPr>
                <w:sz w:val="21"/>
              </w:rPr>
              <w:t>重大</w:t>
            </w:r>
          </w:p>
        </w:tc>
      </w:tr>
      <w:tr w14:paraId="6F8741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084772FC">
            <w:pPr>
              <w:jc w:val="center"/>
              <w:rPr>
                <w:sz w:val="2"/>
                <w:szCs w:val="2"/>
              </w:rPr>
            </w:pPr>
          </w:p>
        </w:tc>
        <w:tc>
          <w:tcPr>
            <w:tcW w:w="1114" w:type="pct"/>
            <w:tcBorders>
              <w:tl2br w:val="nil"/>
              <w:tr2bl w:val="nil"/>
            </w:tcBorders>
            <w:vAlign w:val="center"/>
          </w:tcPr>
          <w:p w14:paraId="22C1F0CC">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5EC4E7A7">
            <w:pPr>
              <w:pStyle w:val="140"/>
              <w:spacing w:before="0"/>
              <w:ind w:left="0" w:right="0"/>
              <w:rPr>
                <w:sz w:val="21"/>
              </w:rPr>
            </w:pPr>
            <w:r>
              <w:rPr>
                <w:sz w:val="21"/>
              </w:rPr>
              <w:t>较大</w:t>
            </w:r>
          </w:p>
        </w:tc>
        <w:tc>
          <w:tcPr>
            <w:tcW w:w="762" w:type="pct"/>
            <w:tcBorders>
              <w:tl2br w:val="nil"/>
              <w:tr2bl w:val="nil"/>
            </w:tcBorders>
            <w:vAlign w:val="center"/>
          </w:tcPr>
          <w:p w14:paraId="53D57417">
            <w:pPr>
              <w:pStyle w:val="140"/>
              <w:spacing w:before="0"/>
              <w:ind w:left="0" w:right="0"/>
              <w:rPr>
                <w:sz w:val="21"/>
              </w:rPr>
            </w:pPr>
            <w:r>
              <w:rPr>
                <w:sz w:val="21"/>
              </w:rPr>
              <w:t>较大</w:t>
            </w:r>
          </w:p>
        </w:tc>
        <w:tc>
          <w:tcPr>
            <w:tcW w:w="761" w:type="pct"/>
            <w:tcBorders>
              <w:tl2br w:val="nil"/>
              <w:tr2bl w:val="nil"/>
            </w:tcBorders>
            <w:vAlign w:val="center"/>
          </w:tcPr>
          <w:p w14:paraId="2E464193">
            <w:pPr>
              <w:pStyle w:val="140"/>
              <w:spacing w:before="0"/>
              <w:ind w:left="0" w:right="0"/>
              <w:rPr>
                <w:sz w:val="21"/>
              </w:rPr>
            </w:pPr>
            <w:r>
              <w:rPr>
                <w:sz w:val="21"/>
              </w:rPr>
              <w:t>重大</w:t>
            </w:r>
          </w:p>
        </w:tc>
        <w:tc>
          <w:tcPr>
            <w:tcW w:w="762" w:type="pct"/>
            <w:tcBorders>
              <w:tl2br w:val="nil"/>
              <w:tr2bl w:val="nil"/>
            </w:tcBorders>
            <w:vAlign w:val="center"/>
          </w:tcPr>
          <w:p w14:paraId="0B12169C">
            <w:pPr>
              <w:pStyle w:val="140"/>
              <w:spacing w:before="0"/>
              <w:ind w:left="0" w:right="0"/>
              <w:rPr>
                <w:sz w:val="21"/>
              </w:rPr>
            </w:pPr>
            <w:r>
              <w:rPr>
                <w:sz w:val="21"/>
              </w:rPr>
              <w:t>重大</w:t>
            </w:r>
          </w:p>
        </w:tc>
      </w:tr>
      <w:tr w14:paraId="05DC88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2A8A69C5">
            <w:pPr>
              <w:jc w:val="center"/>
              <w:rPr>
                <w:sz w:val="2"/>
                <w:szCs w:val="2"/>
              </w:rPr>
            </w:pPr>
          </w:p>
        </w:tc>
        <w:tc>
          <w:tcPr>
            <w:tcW w:w="1114" w:type="pct"/>
            <w:tcBorders>
              <w:tl2br w:val="nil"/>
              <w:tr2bl w:val="nil"/>
            </w:tcBorders>
            <w:vAlign w:val="center"/>
          </w:tcPr>
          <w:p w14:paraId="5444E184">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62E3A020">
            <w:pPr>
              <w:pStyle w:val="140"/>
              <w:spacing w:before="0"/>
              <w:ind w:left="0" w:right="0"/>
              <w:rPr>
                <w:sz w:val="21"/>
              </w:rPr>
            </w:pPr>
            <w:r>
              <w:rPr>
                <w:sz w:val="21"/>
              </w:rPr>
              <w:t>较大</w:t>
            </w:r>
          </w:p>
        </w:tc>
        <w:tc>
          <w:tcPr>
            <w:tcW w:w="762" w:type="pct"/>
            <w:tcBorders>
              <w:tl2br w:val="nil"/>
              <w:tr2bl w:val="nil"/>
            </w:tcBorders>
            <w:vAlign w:val="center"/>
          </w:tcPr>
          <w:p w14:paraId="5DE83025">
            <w:pPr>
              <w:pStyle w:val="140"/>
              <w:spacing w:before="0"/>
              <w:ind w:left="0" w:right="0"/>
              <w:rPr>
                <w:sz w:val="21"/>
              </w:rPr>
            </w:pPr>
            <w:r>
              <w:rPr>
                <w:sz w:val="21"/>
              </w:rPr>
              <w:t>重大</w:t>
            </w:r>
          </w:p>
        </w:tc>
        <w:tc>
          <w:tcPr>
            <w:tcW w:w="761" w:type="pct"/>
            <w:tcBorders>
              <w:tl2br w:val="nil"/>
              <w:tr2bl w:val="nil"/>
            </w:tcBorders>
            <w:vAlign w:val="center"/>
          </w:tcPr>
          <w:p w14:paraId="4F5F0BB7">
            <w:pPr>
              <w:pStyle w:val="140"/>
              <w:spacing w:before="0"/>
              <w:ind w:left="0" w:right="0"/>
              <w:rPr>
                <w:sz w:val="21"/>
              </w:rPr>
            </w:pPr>
            <w:r>
              <w:rPr>
                <w:sz w:val="21"/>
              </w:rPr>
              <w:t>重大</w:t>
            </w:r>
          </w:p>
        </w:tc>
        <w:tc>
          <w:tcPr>
            <w:tcW w:w="762" w:type="pct"/>
            <w:tcBorders>
              <w:tl2br w:val="nil"/>
              <w:tr2bl w:val="nil"/>
            </w:tcBorders>
            <w:vAlign w:val="center"/>
          </w:tcPr>
          <w:p w14:paraId="1FC61EFB">
            <w:pPr>
              <w:pStyle w:val="140"/>
              <w:spacing w:before="0"/>
              <w:ind w:left="0" w:right="0"/>
              <w:rPr>
                <w:sz w:val="21"/>
              </w:rPr>
            </w:pPr>
            <w:r>
              <w:rPr>
                <w:sz w:val="21"/>
              </w:rPr>
              <w:t>重大</w:t>
            </w:r>
          </w:p>
        </w:tc>
      </w:tr>
      <w:tr w14:paraId="347777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37" w:type="pct"/>
            <w:vMerge w:val="restart"/>
            <w:tcBorders>
              <w:tl2br w:val="nil"/>
              <w:tr2bl w:val="nil"/>
            </w:tcBorders>
            <w:vAlign w:val="center"/>
          </w:tcPr>
          <w:p w14:paraId="20B61EEB">
            <w:pPr>
              <w:pStyle w:val="140"/>
              <w:spacing w:before="0"/>
              <w:ind w:left="0"/>
              <w:jc w:val="center"/>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114" w:type="pct"/>
            <w:tcBorders>
              <w:tl2br w:val="nil"/>
              <w:tr2bl w:val="nil"/>
            </w:tcBorders>
            <w:vAlign w:val="center"/>
          </w:tcPr>
          <w:p w14:paraId="6A8D081A">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5929D064">
            <w:pPr>
              <w:pStyle w:val="140"/>
              <w:spacing w:before="0"/>
              <w:ind w:left="0" w:right="0"/>
              <w:rPr>
                <w:sz w:val="21"/>
              </w:rPr>
            </w:pPr>
            <w:r>
              <w:rPr>
                <w:sz w:val="21"/>
              </w:rPr>
              <w:t>一般</w:t>
            </w:r>
          </w:p>
        </w:tc>
        <w:tc>
          <w:tcPr>
            <w:tcW w:w="762" w:type="pct"/>
            <w:tcBorders>
              <w:tl2br w:val="nil"/>
              <w:tr2bl w:val="nil"/>
            </w:tcBorders>
            <w:vAlign w:val="center"/>
          </w:tcPr>
          <w:p w14:paraId="02163E37">
            <w:pPr>
              <w:pStyle w:val="140"/>
              <w:spacing w:before="0"/>
              <w:ind w:left="0" w:right="0"/>
              <w:rPr>
                <w:sz w:val="21"/>
              </w:rPr>
            </w:pPr>
            <w:r>
              <w:rPr>
                <w:sz w:val="21"/>
              </w:rPr>
              <w:t>一般</w:t>
            </w:r>
          </w:p>
        </w:tc>
        <w:tc>
          <w:tcPr>
            <w:tcW w:w="761" w:type="pct"/>
            <w:tcBorders>
              <w:tl2br w:val="nil"/>
              <w:tr2bl w:val="nil"/>
            </w:tcBorders>
            <w:vAlign w:val="center"/>
          </w:tcPr>
          <w:p w14:paraId="6896C4B2">
            <w:pPr>
              <w:pStyle w:val="140"/>
              <w:spacing w:before="0"/>
              <w:ind w:left="0" w:right="0"/>
              <w:rPr>
                <w:sz w:val="21"/>
              </w:rPr>
            </w:pPr>
            <w:r>
              <w:rPr>
                <w:sz w:val="21"/>
              </w:rPr>
              <w:t>较大</w:t>
            </w:r>
          </w:p>
        </w:tc>
        <w:tc>
          <w:tcPr>
            <w:tcW w:w="762" w:type="pct"/>
            <w:tcBorders>
              <w:tl2br w:val="nil"/>
              <w:tr2bl w:val="nil"/>
            </w:tcBorders>
            <w:vAlign w:val="center"/>
          </w:tcPr>
          <w:p w14:paraId="1530EFA2">
            <w:pPr>
              <w:pStyle w:val="140"/>
              <w:spacing w:before="0"/>
              <w:ind w:left="0" w:right="0"/>
              <w:rPr>
                <w:sz w:val="21"/>
              </w:rPr>
            </w:pPr>
            <w:r>
              <w:rPr>
                <w:sz w:val="21"/>
              </w:rPr>
              <w:t>较大</w:t>
            </w:r>
          </w:p>
        </w:tc>
      </w:tr>
      <w:tr w14:paraId="45015F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7" w:type="pct"/>
            <w:vMerge w:val="continue"/>
            <w:tcBorders>
              <w:tl2br w:val="nil"/>
              <w:tr2bl w:val="nil"/>
            </w:tcBorders>
            <w:vAlign w:val="center"/>
          </w:tcPr>
          <w:p w14:paraId="12E9AEC6">
            <w:pPr>
              <w:jc w:val="center"/>
              <w:rPr>
                <w:sz w:val="2"/>
                <w:szCs w:val="2"/>
              </w:rPr>
            </w:pPr>
          </w:p>
        </w:tc>
        <w:tc>
          <w:tcPr>
            <w:tcW w:w="1114" w:type="pct"/>
            <w:tcBorders>
              <w:tl2br w:val="nil"/>
              <w:tr2bl w:val="nil"/>
            </w:tcBorders>
            <w:vAlign w:val="center"/>
          </w:tcPr>
          <w:p w14:paraId="0DC07955">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45B0B6BF">
            <w:pPr>
              <w:pStyle w:val="140"/>
              <w:spacing w:before="0"/>
              <w:ind w:left="0" w:right="0"/>
              <w:rPr>
                <w:sz w:val="21"/>
              </w:rPr>
            </w:pPr>
            <w:r>
              <w:rPr>
                <w:sz w:val="21"/>
              </w:rPr>
              <w:t>一般</w:t>
            </w:r>
          </w:p>
        </w:tc>
        <w:tc>
          <w:tcPr>
            <w:tcW w:w="762" w:type="pct"/>
            <w:tcBorders>
              <w:tl2br w:val="nil"/>
              <w:tr2bl w:val="nil"/>
            </w:tcBorders>
            <w:vAlign w:val="center"/>
          </w:tcPr>
          <w:p w14:paraId="5B914620">
            <w:pPr>
              <w:pStyle w:val="140"/>
              <w:spacing w:before="0"/>
              <w:ind w:left="0" w:right="0"/>
              <w:rPr>
                <w:sz w:val="21"/>
              </w:rPr>
            </w:pPr>
            <w:r>
              <w:rPr>
                <w:sz w:val="21"/>
              </w:rPr>
              <w:t>较大</w:t>
            </w:r>
          </w:p>
        </w:tc>
        <w:tc>
          <w:tcPr>
            <w:tcW w:w="761" w:type="pct"/>
            <w:tcBorders>
              <w:tl2br w:val="nil"/>
              <w:tr2bl w:val="nil"/>
            </w:tcBorders>
            <w:vAlign w:val="center"/>
          </w:tcPr>
          <w:p w14:paraId="16583BCE">
            <w:pPr>
              <w:pStyle w:val="140"/>
              <w:spacing w:before="0"/>
              <w:ind w:left="0" w:right="0"/>
              <w:rPr>
                <w:sz w:val="21"/>
              </w:rPr>
            </w:pPr>
            <w:r>
              <w:rPr>
                <w:sz w:val="21"/>
              </w:rPr>
              <w:t>较大</w:t>
            </w:r>
          </w:p>
        </w:tc>
        <w:tc>
          <w:tcPr>
            <w:tcW w:w="762" w:type="pct"/>
            <w:tcBorders>
              <w:tl2br w:val="nil"/>
              <w:tr2bl w:val="nil"/>
            </w:tcBorders>
            <w:vAlign w:val="center"/>
          </w:tcPr>
          <w:p w14:paraId="51E6CBB6">
            <w:pPr>
              <w:pStyle w:val="140"/>
              <w:spacing w:before="0"/>
              <w:ind w:left="0" w:right="0"/>
              <w:rPr>
                <w:sz w:val="21"/>
              </w:rPr>
            </w:pPr>
            <w:r>
              <w:rPr>
                <w:sz w:val="21"/>
              </w:rPr>
              <w:t>重大</w:t>
            </w:r>
          </w:p>
        </w:tc>
      </w:tr>
      <w:tr w14:paraId="329132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09FE4FDF">
            <w:pPr>
              <w:jc w:val="center"/>
              <w:rPr>
                <w:sz w:val="2"/>
                <w:szCs w:val="2"/>
              </w:rPr>
            </w:pPr>
          </w:p>
        </w:tc>
        <w:tc>
          <w:tcPr>
            <w:tcW w:w="1114" w:type="pct"/>
            <w:tcBorders>
              <w:tl2br w:val="nil"/>
              <w:tr2bl w:val="nil"/>
            </w:tcBorders>
            <w:vAlign w:val="center"/>
          </w:tcPr>
          <w:p w14:paraId="55F3AE29">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2801F1AE">
            <w:pPr>
              <w:pStyle w:val="140"/>
              <w:spacing w:before="0"/>
              <w:ind w:left="0" w:right="0"/>
              <w:rPr>
                <w:sz w:val="21"/>
              </w:rPr>
            </w:pPr>
            <w:r>
              <w:rPr>
                <w:sz w:val="21"/>
              </w:rPr>
              <w:t>较大</w:t>
            </w:r>
          </w:p>
        </w:tc>
        <w:tc>
          <w:tcPr>
            <w:tcW w:w="762" w:type="pct"/>
            <w:tcBorders>
              <w:tl2br w:val="nil"/>
              <w:tr2bl w:val="nil"/>
            </w:tcBorders>
            <w:vAlign w:val="center"/>
          </w:tcPr>
          <w:p w14:paraId="416EDB64">
            <w:pPr>
              <w:pStyle w:val="140"/>
              <w:spacing w:before="0"/>
              <w:ind w:left="0" w:right="0"/>
              <w:rPr>
                <w:sz w:val="21"/>
              </w:rPr>
            </w:pPr>
            <w:r>
              <w:rPr>
                <w:sz w:val="21"/>
              </w:rPr>
              <w:t>较大</w:t>
            </w:r>
          </w:p>
        </w:tc>
        <w:tc>
          <w:tcPr>
            <w:tcW w:w="761" w:type="pct"/>
            <w:tcBorders>
              <w:tl2br w:val="nil"/>
              <w:tr2bl w:val="nil"/>
            </w:tcBorders>
            <w:vAlign w:val="center"/>
          </w:tcPr>
          <w:p w14:paraId="6BB4447A">
            <w:pPr>
              <w:pStyle w:val="140"/>
              <w:spacing w:before="0"/>
              <w:ind w:left="0" w:right="0"/>
              <w:rPr>
                <w:sz w:val="21"/>
              </w:rPr>
            </w:pPr>
            <w:r>
              <w:rPr>
                <w:sz w:val="21"/>
              </w:rPr>
              <w:t>重大</w:t>
            </w:r>
          </w:p>
        </w:tc>
        <w:tc>
          <w:tcPr>
            <w:tcW w:w="762" w:type="pct"/>
            <w:tcBorders>
              <w:tl2br w:val="nil"/>
              <w:tr2bl w:val="nil"/>
            </w:tcBorders>
            <w:vAlign w:val="center"/>
          </w:tcPr>
          <w:p w14:paraId="39C51A45">
            <w:pPr>
              <w:pStyle w:val="140"/>
              <w:spacing w:before="0"/>
              <w:ind w:left="0" w:right="0"/>
              <w:rPr>
                <w:sz w:val="21"/>
              </w:rPr>
            </w:pPr>
            <w:r>
              <w:rPr>
                <w:sz w:val="21"/>
              </w:rPr>
              <w:t>重大</w:t>
            </w:r>
          </w:p>
        </w:tc>
      </w:tr>
    </w:tbl>
    <w:p w14:paraId="2D053305">
      <w:pPr>
        <w:widowControl/>
        <w:adjustRightInd/>
        <w:snapToGrid/>
        <w:spacing w:line="240" w:lineRule="auto"/>
        <w:ind w:firstLine="0" w:firstLineChars="0"/>
        <w:jc w:val="center"/>
      </w:pPr>
    </w:p>
    <w:p w14:paraId="4477F988">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90" w:name="_Toc6239"/>
      <w:bookmarkStart w:id="291" w:name="_Toc11255"/>
      <w:bookmarkStart w:id="292" w:name="_Toc402776227"/>
      <w:r>
        <w:rPr>
          <w:rFonts w:hint="eastAsia" w:ascii="Times New Roman" w:hAnsi="Times New Roman" w:eastAsia="宋体" w:cs="Times New Roman"/>
          <w:color w:val="000000" w:themeColor="text1"/>
          <w:lang w:val="en-US" w:eastAsia="zh-CN"/>
          <w14:textFill>
            <w14:solidFill>
              <w14:schemeClr w14:val="tx1"/>
            </w14:solidFill>
          </w14:textFill>
        </w:rPr>
        <w:t>7.</w:t>
      </w:r>
      <w:r>
        <w:rPr>
          <w:rFonts w:hint="eastAsia" w:eastAsia="宋体" w:cs="Times New Roman"/>
          <w:color w:val="000000" w:themeColor="text1"/>
          <w:lang w:val="en-US" w:eastAsia="zh-CN"/>
          <w14:textFill>
            <w14:solidFill>
              <w14:schemeClr w14:val="tx1"/>
            </w14:solidFill>
          </w14:textFill>
        </w:rPr>
        <w:t>2.5</w:t>
      </w:r>
      <w:r>
        <w:rPr>
          <w:rFonts w:hint="eastAsia" w:ascii="Times New Roman" w:hAnsi="Times New Roman" w:eastAsia="宋体" w:cs="Times New Roman"/>
          <w:color w:val="000000" w:themeColor="text1"/>
          <w:lang w:val="en-US" w:eastAsia="zh-CN"/>
          <w14:textFill>
            <w14:solidFill>
              <w14:schemeClr w14:val="tx1"/>
            </w14:solidFill>
          </w14:textFill>
        </w:rPr>
        <w:t>突发</w:t>
      </w:r>
      <w:r>
        <w:rPr>
          <w:rFonts w:hint="eastAsia"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lang w:val="en-US" w:eastAsia="zh-CN"/>
          <w14:textFill>
            <w14:solidFill>
              <w14:schemeClr w14:val="tx1"/>
            </w14:solidFill>
          </w14:textFill>
        </w:rPr>
        <w:t>环境事件风险等级表征</w:t>
      </w:r>
      <w:bookmarkEnd w:id="290"/>
      <w:bookmarkEnd w:id="291"/>
    </w:p>
    <w:p w14:paraId="44152933">
      <w:pPr>
        <w:adjustRightInd w:val="0"/>
        <w:snapToGrid w:val="0"/>
        <w:spacing w:line="500" w:lineRule="exact"/>
        <w:ind w:firstLine="480" w:firstLineChars="200"/>
        <w:rPr>
          <w:rFonts w:hint="default"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企业突发</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环境事件风险等级表征分为两种情况：</w:t>
      </w:r>
    </w:p>
    <w:p w14:paraId="7B81E374">
      <w:pPr>
        <w:adjustRightInd w:val="0"/>
        <w:snapToGrid w:val="0"/>
        <w:spacing w:line="500" w:lineRule="exact"/>
        <w:ind w:firstLine="480" w:firstLineChars="200"/>
        <w:rPr>
          <w:rFonts w:hint="default"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（1）Q＜1，企业突发</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环境事件风险等级表示为“一般</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（Q0）”；</w:t>
      </w:r>
    </w:p>
    <w:p w14:paraId="6E085548">
      <w:pPr>
        <w:adjustRightInd w:val="0"/>
        <w:snapToGrid w:val="0"/>
        <w:spacing w:line="500" w:lineRule="exact"/>
        <w:ind w:firstLine="480" w:firstLineChars="200"/>
        <w:rPr>
          <w:rFonts w:hint="default"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（2）Q≥1，企业突发</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环境事件风险等级表示为“环境风险等级</w:t>
      </w:r>
      <w:r>
        <w:rPr>
          <w:rFonts w:hint="eastAsia" w:eastAsia="宋体"/>
          <w:color w:val="000000" w:themeColor="text1"/>
          <w:lang w:val="en-US" w:eastAsia="zh-CN"/>
          <w14:textFill>
            <w14:solidFill>
              <w14:schemeClr w14:val="tx1"/>
            </w14:solidFill>
          </w14:textFill>
        </w:rPr>
        <w:t>一水</w:t>
      </w:r>
      <w:r>
        <w:rPr>
          <w:rFonts w:hint="default" w:eastAsia="宋体"/>
          <w:color w:val="000000" w:themeColor="text1"/>
          <w:lang w:val="en-US" w:eastAsia="zh-CN"/>
          <w14:textFill>
            <w14:solidFill>
              <w14:schemeClr w14:val="tx1"/>
            </w14:solidFill>
          </w14:textFill>
        </w:rPr>
        <w:t>（Q水平-M类型-E类型）”。</w:t>
      </w:r>
    </w:p>
    <w:p w14:paraId="70333702">
      <w:pPr>
        <w:adjustRightInd w:val="0"/>
        <w:snapToGrid w:val="0"/>
        <w:spacing w:line="500" w:lineRule="exact"/>
        <w:ind w:firstLine="480" w:firstLineChars="200"/>
        <w:rPr>
          <w:rFonts w:hint="default"/>
        </w:rPr>
      </w:pPr>
      <w:r>
        <w:rPr>
          <w:rFonts w:hint="eastAsia" w:eastAsia="宋体" w:cs="Times New Roman"/>
          <w:color w:val="000000" w:themeColor="text1"/>
          <w:lang w:val="en-US" w:eastAsia="zh-CN"/>
          <w14:textFill>
            <w14:solidFill>
              <w14:schemeClr w14:val="tx1"/>
            </w14:solidFill>
          </w14:textFill>
        </w:rPr>
        <w:t>南通孟泉环保新能源有限公司</w:t>
      </w:r>
      <w:r>
        <w:rPr>
          <w:rFonts w:hint="eastAsia" w:eastAsia="宋体" w:cs="Times New Roman"/>
          <w:color w:val="000000" w:themeColor="text1"/>
          <w:lang w:val="en-US" w:eastAsia="zh-CN"/>
          <w14:textFill>
            <w14:solidFill>
              <w14:schemeClr w14:val="tx1"/>
            </w14:solidFill>
          </w14:textFill>
        </w:rPr>
        <w:tab/>
      </w:r>
      <w:r>
        <w:rPr>
          <w:rFonts w:ascii="Times New Roman" w:hAnsi="Times New Roman" w:eastAsia="宋体"/>
          <w:b w:val="0"/>
          <w:color w:val="000000" w:themeColor="text1"/>
          <w:spacing w:val="0"/>
          <w14:textFill>
            <w14:solidFill>
              <w14:schemeClr w14:val="tx1"/>
            </w14:solidFill>
          </w14:textFill>
        </w:rPr>
        <w:t>Q</w:t>
      </w:r>
      <w:r>
        <w:rPr>
          <w:rFonts w:eastAsia="宋体"/>
          <w:b w:val="0"/>
          <w:color w:val="000000" w:themeColor="text1"/>
          <w14:textFill>
            <w14:solidFill>
              <w14:schemeClr w14:val="tx1"/>
            </w14:solidFill>
          </w14:textFill>
        </w:rPr>
        <w:t>＜</w:t>
      </w:r>
      <w:r>
        <w:rPr>
          <w:rFonts w:ascii="Times New Roman" w:hAnsi="Times New Roman" w:eastAsia="宋体"/>
          <w:b w:val="0"/>
          <w:color w:val="000000" w:themeColor="text1"/>
          <w:spacing w:val="0"/>
          <w14:textFill>
            <w14:solidFill>
              <w14:schemeClr w14:val="tx1"/>
            </w14:solidFill>
          </w14:textFill>
        </w:rPr>
        <w:t>1</w:t>
      </w:r>
      <w:r>
        <w:rPr>
          <w:rFonts w:eastAsia="宋体"/>
          <w:color w:val="000000" w:themeColor="text1"/>
          <w:w w:val="100"/>
          <w14:textFill>
            <w14:solidFill>
              <w14:schemeClr w14:val="tx1"/>
            </w14:solidFill>
          </w14:textFill>
        </w:rPr>
        <w:t>（</w:t>
      </w:r>
      <w:r>
        <w:rPr>
          <w:rFonts w:ascii="Times New Roman" w:hAnsi="Times New Roman" w:eastAsia="宋体"/>
          <w:color w:val="000000" w:themeColor="text1"/>
          <w14:textFill>
            <w14:solidFill>
              <w14:schemeClr w14:val="tx1"/>
            </w14:solidFill>
          </w14:textFill>
        </w:rPr>
        <w:t>Q0</w:t>
      </w:r>
      <w:r>
        <w:rPr>
          <w:rFonts w:eastAsia="宋体"/>
          <w:color w:val="000000" w:themeColor="text1"/>
          <w:spacing w:val="0"/>
          <w:w w:val="100"/>
          <w14:textFill>
            <w14:solidFill>
              <w14:schemeClr w14:val="tx1"/>
            </w14:solidFill>
          </w14:textFill>
        </w:rPr>
        <w:t>）</w:t>
      </w:r>
      <w:r>
        <w:rPr>
          <w:rFonts w:hint="default" w:eastAsia="宋体"/>
          <w:color w:val="000000" w:themeColor="text1"/>
          <w:spacing w:val="0"/>
          <w:w w:val="100"/>
          <w:lang w:eastAsia="zh-CN"/>
          <w14:textFill>
            <w14:solidFill>
              <w14:schemeClr w14:val="tx1"/>
            </w14:solidFill>
          </w14:textFill>
        </w:rPr>
        <w:t>，</w:t>
      </w:r>
      <w:r>
        <w:rPr>
          <w:rFonts w:hint="default" w:eastAsia="宋体"/>
          <w:color w:val="000000" w:themeColor="text1"/>
          <w:spacing w:val="0"/>
          <w:w w:val="100"/>
          <w:lang w:val="en-US" w:eastAsia="zh-CN"/>
          <w14:textFill>
            <w14:solidFill>
              <w14:schemeClr w14:val="tx1"/>
            </w14:solidFill>
          </w14:textFill>
        </w:rPr>
        <w:t>因此</w:t>
      </w:r>
      <w:r>
        <w:rPr>
          <w:rFonts w:hint="default" w:eastAsia="宋体" w:cs="Times New Roman"/>
          <w:color w:val="000000" w:themeColor="text1"/>
          <w:lang w:val="en-US" w:eastAsia="zh-CN"/>
          <w14:textFill>
            <w14:solidFill>
              <w14:schemeClr w14:val="tx1"/>
            </w14:solidFill>
          </w14:textFill>
        </w:rPr>
        <w:t>水</w:t>
      </w:r>
      <w:r>
        <w:rPr>
          <w:rFonts w:hint="default" w:ascii="Times New Roman" w:hAnsi="Times New Roman" w:eastAsia="宋体" w:cs="Times New Roman"/>
          <w:color w:val="000000" w:themeColor="text1"/>
          <w:lang w:val="en-US" w:eastAsia="zh-CN"/>
          <w14:textFill>
            <w14:solidFill>
              <w14:schemeClr w14:val="tx1"/>
            </w14:solidFill>
          </w14:textFill>
        </w:rPr>
        <w:t>风险等级</w:t>
      </w:r>
      <w:r>
        <w:rPr>
          <w:rFonts w:hint="eastAsia" w:eastAsia="宋体" w:cs="Times New Roman"/>
          <w:color w:val="000000" w:themeColor="text1"/>
          <w:lang w:val="en-US" w:eastAsia="zh-CN"/>
          <w14:textFill>
            <w14:solidFill>
              <w14:schemeClr w14:val="tx1"/>
            </w14:solidFill>
          </w14:textFill>
        </w:rPr>
        <w:t>表示</w:t>
      </w:r>
      <w:r>
        <w:rPr>
          <w:rFonts w:hint="default" w:ascii="Times New Roman" w:hAnsi="Times New Roman" w:eastAsia="宋体" w:cs="Times New Roman"/>
          <w:color w:val="000000" w:themeColor="text1"/>
          <w:lang w:val="en-US" w:eastAsia="zh-CN"/>
          <w14:textFill>
            <w14:solidFill>
              <w14:schemeClr w14:val="tx1"/>
            </w14:solidFill>
          </w14:textFill>
        </w:rPr>
        <w:t>为</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一般</w:t>
      </w:r>
      <w:r>
        <w:rPr>
          <w:rFonts w:hint="eastAsia" w:eastAsia="宋体" w:cs="Times New Roman"/>
          <w:color w:val="000000" w:themeColor="text1"/>
          <w:lang w:val="en-US" w:eastAsia="zh-CN"/>
          <w14:textFill>
            <w14:solidFill>
              <w14:schemeClr w14:val="tx1"/>
            </w14:solidFill>
          </w14:textFill>
        </w:rPr>
        <w:t>－水</w:t>
      </w:r>
      <w:r>
        <w:rPr>
          <w:rFonts w:hint="default" w:ascii="Times New Roman" w:hAnsi="Times New Roman" w:eastAsia="宋体" w:cs="Times New Roman"/>
          <w:color w:val="000000" w:themeColor="text1"/>
          <w:lang w:val="en-US" w:eastAsia="zh-CN"/>
          <w14:textFill>
            <w14:solidFill>
              <w14:schemeClr w14:val="tx1"/>
            </w14:solidFill>
          </w14:textFill>
        </w:rPr>
        <w:t>（Q0）</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w:t>
      </w:r>
    </w:p>
    <w:bookmarkEnd w:id="292"/>
    <w:p w14:paraId="2CA34675">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93" w:name="_Toc535516089"/>
      <w:bookmarkStart w:id="294" w:name="_Toc16652"/>
      <w:bookmarkStart w:id="295" w:name="_Toc6943"/>
      <w:bookmarkStart w:id="296" w:name="_Toc534722046"/>
      <w:bookmarkStart w:id="297" w:name="_Toc27337"/>
      <w:r>
        <w:rPr>
          <w:rFonts w:hint="eastAsia" w:ascii="Times New Roman" w:hAnsi="Times New Roman" w:eastAsia="宋体" w:cs="Times New Roman"/>
          <w:color w:val="000000" w:themeColor="text1"/>
          <w:sz w:val="24"/>
          <w:szCs w:val="24"/>
          <w14:textFill>
            <w14:solidFill>
              <w14:schemeClr w14:val="tx1"/>
            </w14:solidFill>
          </w14:textFill>
        </w:rPr>
        <w:t>7.</w:t>
      </w:r>
      <w:r>
        <w:rPr>
          <w:rFonts w:hint="eastAsia"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风险等级调整</w:t>
      </w:r>
      <w:bookmarkEnd w:id="293"/>
      <w:bookmarkEnd w:id="294"/>
      <w:bookmarkEnd w:id="295"/>
      <w:bookmarkEnd w:id="296"/>
      <w:bookmarkEnd w:id="297"/>
    </w:p>
    <w:p w14:paraId="7D5B7A2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根据《企业突发环境事件风险分级分</w:t>
      </w:r>
      <w:r>
        <w:rPr>
          <w:rFonts w:hint="default" w:ascii="Times New Roman" w:hAnsi="Times New Roman" w:eastAsia="宋体" w:cs="Times New Roman"/>
          <w:snapToGrid w:val="0"/>
          <w:color w:val="000000" w:themeColor="text1"/>
          <w:kern w:val="0"/>
          <w14:textFill>
            <w14:solidFill>
              <w14:schemeClr w14:val="tx1"/>
            </w14:solidFill>
          </w14:textFill>
        </w:rPr>
        <w:t>级方法》（HJ941-2018）要</w:t>
      </w:r>
      <w:r>
        <w:rPr>
          <w:rFonts w:hint="eastAsia" w:ascii="宋体" w:hAnsi="宋体" w:eastAsia="宋体" w:cs="宋体"/>
          <w:snapToGrid w:val="0"/>
          <w:color w:val="000000" w:themeColor="text1"/>
          <w:kern w:val="0"/>
          <w14:textFill>
            <w14:solidFill>
              <w14:schemeClr w14:val="tx1"/>
            </w14:solidFill>
          </w14:textFill>
        </w:rPr>
        <w:t>求，近三年内因违法排放污染物、非法转移处置危险废物等行为受到环境保护主管部门处罚的企业，在已评定的突发环境事件风险等级基础上调高一级，最高等级为重大。</w:t>
      </w:r>
      <w:r>
        <w:rPr>
          <w:rFonts w:hint="eastAsia" w:ascii="宋体" w:hAnsi="宋体" w:eastAsia="宋体" w:cs="宋体"/>
          <w:color w:val="000000" w:themeColor="text1"/>
          <w14:textFill>
            <w14:solidFill>
              <w14:schemeClr w14:val="tx1"/>
            </w14:solidFill>
          </w14:textFill>
        </w:rPr>
        <w:t>公司近三年内未发生突发大气、水环境事件以及违法违规行为</w:t>
      </w:r>
      <w:r>
        <w:rPr>
          <w:rFonts w:hint="eastAsia" w:ascii="宋体" w:hAnsi="宋体" w:eastAsia="宋体" w:cs="宋体"/>
          <w:snapToGrid w:val="0"/>
          <w:color w:val="000000" w:themeColor="text1"/>
          <w:kern w:val="0"/>
          <w14:textFill>
            <w14:solidFill>
              <w14:schemeClr w14:val="tx1"/>
            </w14:solidFill>
          </w14:textFill>
        </w:rPr>
        <w:t>，故不做调整。</w:t>
      </w:r>
    </w:p>
    <w:p w14:paraId="577BE42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snapToGrid w:val="0"/>
          <w:kern w:val="0"/>
        </w:rPr>
        <w:t>通过上述分析</w:t>
      </w:r>
      <w:r>
        <w:rPr>
          <w:rFonts w:hint="default" w:ascii="Times New Roman" w:hAnsi="Times New Roman" w:eastAsia="宋体" w:cs="Times New Roman"/>
        </w:rPr>
        <w:t>，公司突发环境事件风险等级为：</w:t>
      </w:r>
      <w:bookmarkStart w:id="298" w:name="_Hlk5802374"/>
      <w:r>
        <w:rPr>
          <w:rFonts w:hint="default" w:ascii="Times New Roman" w:hAnsi="Times New Roman" w:eastAsia="宋体" w:cs="Times New Roman"/>
          <w:b/>
        </w:rPr>
        <w:t>一般［一般</w:t>
      </w:r>
      <w:r>
        <w:rPr>
          <w:rFonts w:hint="eastAsia" w:eastAsia="宋体" w:cs="Times New Roman"/>
          <w:b/>
          <w:lang w:eastAsia="zh-CN"/>
        </w:rPr>
        <w:t>－</w:t>
      </w:r>
      <w:r>
        <w:rPr>
          <w:rFonts w:hint="default" w:ascii="Times New Roman" w:hAnsi="Times New Roman" w:eastAsia="宋体" w:cs="Times New Roman"/>
          <w:b/>
        </w:rPr>
        <w:t>大气（Q0）+一般</w:t>
      </w:r>
      <w:r>
        <w:rPr>
          <w:rFonts w:hint="eastAsia" w:eastAsia="宋体" w:cs="Times New Roman"/>
          <w:b/>
          <w:lang w:eastAsia="zh-CN"/>
        </w:rPr>
        <w:t>－</w:t>
      </w:r>
      <w:r>
        <w:rPr>
          <w:rFonts w:hint="default" w:ascii="Times New Roman" w:hAnsi="Times New Roman" w:eastAsia="宋体" w:cs="Times New Roman"/>
          <w:b/>
        </w:rPr>
        <w:t>水（</w:t>
      </w:r>
      <w:r>
        <w:rPr>
          <w:rFonts w:hint="default" w:ascii="Times New Roman" w:hAnsi="Times New Roman" w:eastAsia="宋体" w:cs="Times New Roman"/>
          <w:b/>
          <w:lang w:val="en-US" w:eastAsia="zh-CN"/>
        </w:rPr>
        <w:t>Q</w:t>
      </w:r>
      <w:r>
        <w:rPr>
          <w:rFonts w:hint="eastAsia" w:eastAsia="宋体" w:cs="Times New Roman"/>
          <w:b/>
          <w:lang w:val="en-US" w:eastAsia="zh-CN"/>
        </w:rPr>
        <w:t>0</w:t>
      </w:r>
      <w:r>
        <w:rPr>
          <w:rFonts w:hint="default" w:ascii="Times New Roman" w:hAnsi="Times New Roman" w:eastAsia="宋体" w:cs="Times New Roman"/>
          <w:b/>
        </w:rPr>
        <w:t>）］</w:t>
      </w:r>
      <w:r>
        <w:rPr>
          <w:rFonts w:hint="default" w:ascii="Times New Roman" w:hAnsi="Times New Roman" w:eastAsia="宋体" w:cs="Times New Roman"/>
        </w:rPr>
        <w:t>。</w:t>
      </w:r>
      <w:bookmarkEnd w:id="298"/>
    </w:p>
    <w:p w14:paraId="0AF5BED6">
      <w:pPr>
        <w:adjustRightInd w:val="0"/>
        <w:snapToGrid w:val="0"/>
        <w:spacing w:line="500" w:lineRule="exact"/>
        <w:ind w:firstLine="480" w:firstLineChars="200"/>
        <w:rPr>
          <w:rFonts w:hint="eastAsia" w:ascii="宋体" w:hAnsi="宋体" w:eastAsia="宋体" w:cs="宋体"/>
          <w:lang w:eastAsia="zh-CN"/>
        </w:rPr>
      </w:pPr>
      <w:r>
        <w:rPr>
          <w:rFonts w:hint="default" w:ascii="Times New Roman" w:hAnsi="Times New Roman" w:eastAsia="宋体" w:cs="Times New Roman"/>
          <w:snapToGrid w:val="0"/>
          <w:kern w:val="0"/>
        </w:rPr>
        <w:t>公司经过短期、中期计划的实施后，能进一步提高公司环境风险控制水平，使公司的风险管理更趋于合理化</w:t>
      </w:r>
      <w:r>
        <w:rPr>
          <w:rFonts w:hint="eastAsia" w:ascii="宋体" w:hAnsi="宋体" w:eastAsia="宋体" w:cs="宋体"/>
          <w:snapToGrid w:val="0"/>
          <w:kern w:val="0"/>
        </w:rPr>
        <w:t>。</w:t>
      </w:r>
      <w:bookmarkEnd w:id="1"/>
      <w:bookmarkEnd w:id="2"/>
      <w:bookmarkEnd w:id="246"/>
    </w:p>
    <w:p w14:paraId="63059D4B">
      <w:pPr>
        <w:adjustRightInd w:val="0"/>
        <w:snapToGrid w:val="0"/>
        <w:spacing w:line="500" w:lineRule="exact"/>
        <w:ind w:firstLine="480" w:firstLineChars="200"/>
        <w:rPr>
          <w:rFonts w:hint="eastAsia" w:ascii="宋体" w:hAnsi="宋体" w:eastAsia="宋体" w:cs="宋体"/>
          <w:lang w:eastAsia="zh-CN"/>
        </w:rPr>
      </w:pPr>
    </w:p>
    <w:sectPr>
      <w:footerReference r:id="rId12" w:type="default"/>
      <w:footerReference r:id="rId13" w:type="even"/>
      <w:pgSz w:w="11906" w:h="16838"/>
      <w:pgMar w:top="1440" w:right="1440" w:bottom="1440" w:left="1440" w:header="964"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67A1C">
    <w:pPr>
      <w:pStyle w:val="22"/>
      <w:framePr w:wrap="around" w:vAnchor="text" w:hAnchor="margin" w:xAlign="center" w:y="1"/>
      <w:rPr>
        <w:rFonts w:hint="eastAsia" w:eastAsia="仿宋_GB2312"/>
        <w:lang w:eastAsia="zh-CN"/>
      </w:rPr>
    </w:pPr>
    <w:r>
      <w:fldChar w:fldCharType="begin"/>
    </w:r>
    <w:r>
      <w:rPr>
        <w:rStyle w:val="41"/>
      </w:rPr>
      <w:instrText xml:space="preserve">PAGE  </w:instrText>
    </w:r>
    <w:r>
      <w:fldChar w:fldCharType="end"/>
    </w:r>
  </w:p>
  <w:p w14:paraId="2267D679">
    <w:pPr>
      <w:pStyle w:val="22"/>
      <w:framePr w:wrap="around" w:vAnchor="text" w:hAnchor="margin" w:xAlign="center" w:y="1"/>
      <w:rPr>
        <w:rFonts w:hint="eastAsia" w:eastAsia="仿宋_GB231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112A">
    <w:pPr>
      <w:pStyle w:val="22"/>
      <w:jc w:val="center"/>
    </w:pPr>
    <w:r>
      <w:fldChar w:fldCharType="begin"/>
    </w:r>
    <w:r>
      <w:instrText xml:space="preserve"> PAGE   \* MERGEFORMAT </w:instrText>
    </w:r>
    <w:r>
      <w:fldChar w:fldCharType="separate"/>
    </w:r>
    <w: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E1D1">
    <w:pPr>
      <w:pStyle w:val="1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6F686AA8">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7216;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BvMIoruwEAAHMDAAAOAAAAAAAAAAEAIAAAACkBAABkcnMvZTJvRG9jLnht&#10;bFBLBQYAAAAABgAGAFkBAABWBQAAAAA=&#10;">
              <v:fill on="f" focussize="0,0"/>
              <v:stroke on="f"/>
              <v:imagedata o:title=""/>
              <o:lock v:ext="edit" aspectratio="f"/>
              <v:textbox inset="0mm,0mm,0mm,0mm">
                <w:txbxContent>
                  <w:p w14:paraId="6F686AA8">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9ED0">
    <w:pPr>
      <w:pStyle w:val="1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04078CBF">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4144;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mN7/NoAAAANAQAADwAAAAAAAAABACAAAAAiAAAAZHJzL2Rvd25yZXYueG1sUEsB&#10;AhQAFAAAAAgAh07iQH3Rmhq6AQAAcwMAAA4AAAAAAAAAAQAgAAAAKQEAAGRycy9lMm9Eb2MueG1s&#10;UEsFBgAAAAAGAAYAWQEAAFUFAAAAAA==&#10;">
              <v:fill on="f" focussize="0,0"/>
              <v:stroke on="f"/>
              <v:imagedata o:title=""/>
              <o:lock v:ext="edit" aspectratio="f"/>
              <v:textbox inset="0mm,0mm,0mm,0mm">
                <w:txbxContent>
                  <w:p w14:paraId="04078CBF">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9D852">
    <w:pPr>
      <w:pStyle w:val="1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5172710</wp:posOffset>
              </wp:positionH>
              <wp:positionV relativeFrom="page">
                <wp:posOffset>6774180</wp:posOffset>
              </wp:positionV>
              <wp:extent cx="166370" cy="152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104C9E94">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07.3pt;margin-top:533.4pt;height:12pt;width:13.1pt;mso-position-horizontal-relative:page;mso-position-vertical-relative:page;z-index:-251653120;mso-width-relative:page;mso-height-relative:page;" filled="f" stroked="f" coordsize="21600,21600" o:gfxdata="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jaUPrXAAAADQEAAA8AAAAAAAAAAQAgAAAAIgAAAGRycy9kb3ducmV2LnhtbFBLAQIU&#10;ABQAAAAIAIdO4kAg0YynuwEAAHMDAAAOAAAAAAAAAAEAIAAAACYBAABkcnMvZTJvRG9jLnhtbFBL&#10;BQYAAAAABgAGAFkBAABTBQAAAAA=&#10;">
              <v:fill on="f" focussize="0,0"/>
              <v:stroke on="f"/>
              <v:imagedata o:title=""/>
              <o:lock v:ext="edit" aspectratio="f"/>
              <v:textbox inset="0mm,0mm,0mm,0mm">
                <w:txbxContent>
                  <w:p w14:paraId="104C9E94">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F69C8">
    <w:pPr>
      <w:pStyle w:val="13"/>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ACE0B2E">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1072;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AwWn9CuwEAAHMDAAAOAAAAAAAAAAEAIAAAACkBAABkcnMvZTJvRG9jLnht&#10;bFBLBQYAAAAABgAGAFkBAABWBQAAAAA=&#10;">
              <v:fill on="f" focussize="0,0"/>
              <v:stroke on="f"/>
              <v:imagedata o:title=""/>
              <o:lock v:ext="edit" aspectratio="f"/>
              <v:textbox inset="0mm,0mm,0mm,0mm">
                <w:txbxContent>
                  <w:p w14:paraId="4ACE0B2E">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C34E0">
    <w:pPr>
      <w:pStyle w:val="22"/>
      <w:framePr w:wrap="around" w:vAnchor="text" w:hAnchor="margin" w:xAlign="center" w:y="1"/>
      <w:rPr>
        <w:rFonts w:hint="eastAsia" w:eastAsia="仿宋_GB2312"/>
        <w:lang w:eastAsia="zh-CN"/>
      </w:rPr>
    </w:pPr>
    <w:r>
      <w:fldChar w:fldCharType="begin"/>
    </w:r>
    <w:r>
      <w:rPr>
        <w:rStyle w:val="41"/>
      </w:rPr>
      <w:instrText xml:space="preserve">PAGE  </w:instrText>
    </w:r>
    <w:r>
      <w:fldChar w:fldCharType="end"/>
    </w:r>
  </w:p>
  <w:p w14:paraId="45F43D42">
    <w:pPr>
      <w:pStyle w:val="22"/>
      <w:framePr w:wrap="around" w:vAnchor="text" w:hAnchor="margin" w:xAlign="center" w:y="1"/>
      <w:rPr>
        <w:rFonts w:hint="eastAsia" w:eastAsia="仿宋_GB2312"/>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E842">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DA06">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E9DC1">
    <w:pPr>
      <w:adjustRightInd w:val="0"/>
      <w:snapToGrid w:val="0"/>
      <w:ind w:firstLine="560" w:firstLineChars="200"/>
      <w:jc w:val="left"/>
      <w:rPr>
        <w:sz w:val="28"/>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05C5E">
    <w:pPr>
      <w:pStyle w:val="23"/>
      <w:rPr>
        <w:rFonts w:ascii="仿宋" w:hAnsi="仿宋" w:eastAsia="仿宋"/>
      </w:rPr>
    </w:pPr>
    <w:r>
      <w:rPr>
        <w:rFonts w:hint="eastAsia" w:ascii="仿宋" w:hAnsi="仿宋" w:eastAsia="仿宋"/>
        <w:lang w:eastAsia="zh-CN"/>
      </w:rPr>
      <w:t>南通孟泉环保新能源有限公司</w:t>
    </w:r>
    <w:r>
      <w:rPr>
        <w:rFonts w:hint="eastAsia" w:ascii="仿宋" w:hAnsi="仿宋" w:eastAsia="仿宋"/>
        <w:lang w:val="en-US" w:eastAsia="zh-CN"/>
      </w:rPr>
      <w:t>突发环境事件</w:t>
    </w:r>
    <w:r>
      <w:rPr>
        <w:rFonts w:hint="eastAsia" w:ascii="仿宋" w:hAnsi="仿宋" w:eastAsia="仿宋"/>
      </w:rPr>
      <w:t>风险评估报告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23771"/>
    <w:multiLevelType w:val="multilevel"/>
    <w:tmpl w:val="BE923771"/>
    <w:lvl w:ilvl="0" w:tentative="0">
      <w:start w:val="1"/>
      <w:numFmt w:val="decimal"/>
      <w:lvlText w:val="（%1）"/>
      <w:lvlJc w:val="left"/>
      <w:pPr>
        <w:ind w:left="1378"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2150" w:hanging="601"/>
      </w:pPr>
      <w:rPr>
        <w:rFonts w:hint="default"/>
        <w:lang w:val="zh-CN" w:eastAsia="zh-CN" w:bidi="zh-CN"/>
      </w:rPr>
    </w:lvl>
    <w:lvl w:ilvl="2" w:tentative="0">
      <w:start w:val="0"/>
      <w:numFmt w:val="bullet"/>
      <w:lvlText w:val="•"/>
      <w:lvlJc w:val="left"/>
      <w:pPr>
        <w:ind w:left="2921" w:hanging="601"/>
      </w:pPr>
      <w:rPr>
        <w:rFonts w:hint="default"/>
        <w:lang w:val="zh-CN" w:eastAsia="zh-CN" w:bidi="zh-CN"/>
      </w:rPr>
    </w:lvl>
    <w:lvl w:ilvl="3" w:tentative="0">
      <w:start w:val="0"/>
      <w:numFmt w:val="bullet"/>
      <w:lvlText w:val="•"/>
      <w:lvlJc w:val="left"/>
      <w:pPr>
        <w:ind w:left="3691" w:hanging="601"/>
      </w:pPr>
      <w:rPr>
        <w:rFonts w:hint="default"/>
        <w:lang w:val="zh-CN" w:eastAsia="zh-CN" w:bidi="zh-CN"/>
      </w:rPr>
    </w:lvl>
    <w:lvl w:ilvl="4" w:tentative="0">
      <w:start w:val="0"/>
      <w:numFmt w:val="bullet"/>
      <w:lvlText w:val="•"/>
      <w:lvlJc w:val="left"/>
      <w:pPr>
        <w:ind w:left="4462" w:hanging="601"/>
      </w:pPr>
      <w:rPr>
        <w:rFonts w:hint="default"/>
        <w:lang w:val="zh-CN" w:eastAsia="zh-CN" w:bidi="zh-CN"/>
      </w:rPr>
    </w:lvl>
    <w:lvl w:ilvl="5" w:tentative="0">
      <w:start w:val="0"/>
      <w:numFmt w:val="bullet"/>
      <w:lvlText w:val="•"/>
      <w:lvlJc w:val="left"/>
      <w:pPr>
        <w:ind w:left="5233" w:hanging="601"/>
      </w:pPr>
      <w:rPr>
        <w:rFonts w:hint="default"/>
        <w:lang w:val="zh-CN" w:eastAsia="zh-CN" w:bidi="zh-CN"/>
      </w:rPr>
    </w:lvl>
    <w:lvl w:ilvl="6" w:tentative="0">
      <w:start w:val="0"/>
      <w:numFmt w:val="bullet"/>
      <w:lvlText w:val="•"/>
      <w:lvlJc w:val="left"/>
      <w:pPr>
        <w:ind w:left="6003" w:hanging="601"/>
      </w:pPr>
      <w:rPr>
        <w:rFonts w:hint="default"/>
        <w:lang w:val="zh-CN" w:eastAsia="zh-CN" w:bidi="zh-CN"/>
      </w:rPr>
    </w:lvl>
    <w:lvl w:ilvl="7" w:tentative="0">
      <w:start w:val="0"/>
      <w:numFmt w:val="bullet"/>
      <w:lvlText w:val="•"/>
      <w:lvlJc w:val="left"/>
      <w:pPr>
        <w:ind w:left="677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1">
    <w:nsid w:val="CC07C0A9"/>
    <w:multiLevelType w:val="singleLevel"/>
    <w:tmpl w:val="CC07C0A9"/>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3">
    <w:nsid w:val="594B169E"/>
    <w:multiLevelType w:val="singleLevel"/>
    <w:tmpl w:val="594B169E"/>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jhmZmQ2NzdmOTEyNWVlNjA1MTAwZTIwMjE3OGQifQ=="/>
  </w:docVars>
  <w:rsids>
    <w:rsidRoot w:val="00172A27"/>
    <w:rsid w:val="00000526"/>
    <w:rsid w:val="00001466"/>
    <w:rsid w:val="00001667"/>
    <w:rsid w:val="0000248D"/>
    <w:rsid w:val="00002D1E"/>
    <w:rsid w:val="00002FCB"/>
    <w:rsid w:val="000040F8"/>
    <w:rsid w:val="0000550B"/>
    <w:rsid w:val="0000654A"/>
    <w:rsid w:val="000071F4"/>
    <w:rsid w:val="0000785F"/>
    <w:rsid w:val="00007BA5"/>
    <w:rsid w:val="00007FB8"/>
    <w:rsid w:val="000107B7"/>
    <w:rsid w:val="000109A8"/>
    <w:rsid w:val="00010FA6"/>
    <w:rsid w:val="00011DF7"/>
    <w:rsid w:val="000139EB"/>
    <w:rsid w:val="00014690"/>
    <w:rsid w:val="0001558C"/>
    <w:rsid w:val="00015EFF"/>
    <w:rsid w:val="00016D95"/>
    <w:rsid w:val="0001707E"/>
    <w:rsid w:val="00017ADD"/>
    <w:rsid w:val="00021CBD"/>
    <w:rsid w:val="00022DC0"/>
    <w:rsid w:val="00023794"/>
    <w:rsid w:val="00023A82"/>
    <w:rsid w:val="00025265"/>
    <w:rsid w:val="00025385"/>
    <w:rsid w:val="0002575F"/>
    <w:rsid w:val="00025B11"/>
    <w:rsid w:val="000270DA"/>
    <w:rsid w:val="0002786D"/>
    <w:rsid w:val="0003007D"/>
    <w:rsid w:val="000324BA"/>
    <w:rsid w:val="00033E2D"/>
    <w:rsid w:val="00034C02"/>
    <w:rsid w:val="00035F9A"/>
    <w:rsid w:val="000367CB"/>
    <w:rsid w:val="00036E7A"/>
    <w:rsid w:val="00036EEE"/>
    <w:rsid w:val="000407E7"/>
    <w:rsid w:val="00040DDB"/>
    <w:rsid w:val="00041F5C"/>
    <w:rsid w:val="00041F8A"/>
    <w:rsid w:val="0004232E"/>
    <w:rsid w:val="000438C6"/>
    <w:rsid w:val="00045AAF"/>
    <w:rsid w:val="00046C66"/>
    <w:rsid w:val="00047D65"/>
    <w:rsid w:val="00050683"/>
    <w:rsid w:val="00050B12"/>
    <w:rsid w:val="00050B1E"/>
    <w:rsid w:val="000512BC"/>
    <w:rsid w:val="00052CA5"/>
    <w:rsid w:val="000530DA"/>
    <w:rsid w:val="00053155"/>
    <w:rsid w:val="000540D8"/>
    <w:rsid w:val="00054323"/>
    <w:rsid w:val="0005459C"/>
    <w:rsid w:val="00054F33"/>
    <w:rsid w:val="000563BE"/>
    <w:rsid w:val="00056509"/>
    <w:rsid w:val="000565C3"/>
    <w:rsid w:val="000566AA"/>
    <w:rsid w:val="00057890"/>
    <w:rsid w:val="00057B56"/>
    <w:rsid w:val="0006008D"/>
    <w:rsid w:val="0006086B"/>
    <w:rsid w:val="00061F92"/>
    <w:rsid w:val="00062B49"/>
    <w:rsid w:val="00063CAC"/>
    <w:rsid w:val="000646E8"/>
    <w:rsid w:val="00065423"/>
    <w:rsid w:val="00067AC9"/>
    <w:rsid w:val="00071536"/>
    <w:rsid w:val="0007283E"/>
    <w:rsid w:val="0007314A"/>
    <w:rsid w:val="0007399C"/>
    <w:rsid w:val="00073CED"/>
    <w:rsid w:val="00073D19"/>
    <w:rsid w:val="00073E72"/>
    <w:rsid w:val="00074963"/>
    <w:rsid w:val="00075388"/>
    <w:rsid w:val="000754E8"/>
    <w:rsid w:val="00076F3A"/>
    <w:rsid w:val="000803F0"/>
    <w:rsid w:val="00080B67"/>
    <w:rsid w:val="00080F83"/>
    <w:rsid w:val="000818CA"/>
    <w:rsid w:val="00081A2B"/>
    <w:rsid w:val="00081E65"/>
    <w:rsid w:val="000825CC"/>
    <w:rsid w:val="00083136"/>
    <w:rsid w:val="0008570C"/>
    <w:rsid w:val="00085D70"/>
    <w:rsid w:val="000861C6"/>
    <w:rsid w:val="000867FB"/>
    <w:rsid w:val="00086D03"/>
    <w:rsid w:val="0008746F"/>
    <w:rsid w:val="00090CAA"/>
    <w:rsid w:val="00090F62"/>
    <w:rsid w:val="00091A2F"/>
    <w:rsid w:val="000935CF"/>
    <w:rsid w:val="00093A34"/>
    <w:rsid w:val="000946F6"/>
    <w:rsid w:val="00094C97"/>
    <w:rsid w:val="00094E41"/>
    <w:rsid w:val="000954B5"/>
    <w:rsid w:val="000970BC"/>
    <w:rsid w:val="000A0C46"/>
    <w:rsid w:val="000A0DBE"/>
    <w:rsid w:val="000A0FA8"/>
    <w:rsid w:val="000A2559"/>
    <w:rsid w:val="000A4604"/>
    <w:rsid w:val="000A4664"/>
    <w:rsid w:val="000A4E6F"/>
    <w:rsid w:val="000A5164"/>
    <w:rsid w:val="000A589E"/>
    <w:rsid w:val="000A58DF"/>
    <w:rsid w:val="000A5CE7"/>
    <w:rsid w:val="000A5EBA"/>
    <w:rsid w:val="000A60E1"/>
    <w:rsid w:val="000A6460"/>
    <w:rsid w:val="000A7B56"/>
    <w:rsid w:val="000B00F7"/>
    <w:rsid w:val="000B0136"/>
    <w:rsid w:val="000B0FA3"/>
    <w:rsid w:val="000B1339"/>
    <w:rsid w:val="000B24E5"/>
    <w:rsid w:val="000B4953"/>
    <w:rsid w:val="000B5033"/>
    <w:rsid w:val="000B5425"/>
    <w:rsid w:val="000B6190"/>
    <w:rsid w:val="000B6819"/>
    <w:rsid w:val="000C01F9"/>
    <w:rsid w:val="000C0489"/>
    <w:rsid w:val="000C0D83"/>
    <w:rsid w:val="000C4079"/>
    <w:rsid w:val="000C427A"/>
    <w:rsid w:val="000C4467"/>
    <w:rsid w:val="000C4936"/>
    <w:rsid w:val="000C5ADA"/>
    <w:rsid w:val="000C6387"/>
    <w:rsid w:val="000C6A46"/>
    <w:rsid w:val="000C7C94"/>
    <w:rsid w:val="000D0451"/>
    <w:rsid w:val="000D0CB3"/>
    <w:rsid w:val="000D10D0"/>
    <w:rsid w:val="000D12E4"/>
    <w:rsid w:val="000D19D4"/>
    <w:rsid w:val="000D19DB"/>
    <w:rsid w:val="000D24D9"/>
    <w:rsid w:val="000D2C1C"/>
    <w:rsid w:val="000D2F64"/>
    <w:rsid w:val="000D39F9"/>
    <w:rsid w:val="000D4530"/>
    <w:rsid w:val="000D458B"/>
    <w:rsid w:val="000D4863"/>
    <w:rsid w:val="000D4944"/>
    <w:rsid w:val="000D4CB7"/>
    <w:rsid w:val="000D6ACF"/>
    <w:rsid w:val="000E06A9"/>
    <w:rsid w:val="000E072E"/>
    <w:rsid w:val="000E074F"/>
    <w:rsid w:val="000E15D4"/>
    <w:rsid w:val="000E200D"/>
    <w:rsid w:val="000E28E9"/>
    <w:rsid w:val="000E2A74"/>
    <w:rsid w:val="000E4178"/>
    <w:rsid w:val="000E4EEA"/>
    <w:rsid w:val="000E5604"/>
    <w:rsid w:val="000E5F15"/>
    <w:rsid w:val="000E6490"/>
    <w:rsid w:val="000E64AB"/>
    <w:rsid w:val="000E6CDB"/>
    <w:rsid w:val="000E6F31"/>
    <w:rsid w:val="000E7B21"/>
    <w:rsid w:val="000E7E26"/>
    <w:rsid w:val="000F05C1"/>
    <w:rsid w:val="000F0775"/>
    <w:rsid w:val="000F0B8E"/>
    <w:rsid w:val="000F1526"/>
    <w:rsid w:val="000F25AC"/>
    <w:rsid w:val="000F3F1B"/>
    <w:rsid w:val="000F452E"/>
    <w:rsid w:val="000F6F09"/>
    <w:rsid w:val="000F77A9"/>
    <w:rsid w:val="00100545"/>
    <w:rsid w:val="0010243F"/>
    <w:rsid w:val="00103106"/>
    <w:rsid w:val="0010377B"/>
    <w:rsid w:val="00103F3B"/>
    <w:rsid w:val="00104BF8"/>
    <w:rsid w:val="00106CB2"/>
    <w:rsid w:val="00106FA9"/>
    <w:rsid w:val="001071AE"/>
    <w:rsid w:val="0011252C"/>
    <w:rsid w:val="0011253D"/>
    <w:rsid w:val="001128CC"/>
    <w:rsid w:val="00112C09"/>
    <w:rsid w:val="0011323F"/>
    <w:rsid w:val="0011370C"/>
    <w:rsid w:val="001145AA"/>
    <w:rsid w:val="00115492"/>
    <w:rsid w:val="00116C8C"/>
    <w:rsid w:val="00117C7E"/>
    <w:rsid w:val="001203AB"/>
    <w:rsid w:val="0012178C"/>
    <w:rsid w:val="001217C7"/>
    <w:rsid w:val="001223F2"/>
    <w:rsid w:val="0012484C"/>
    <w:rsid w:val="00126D61"/>
    <w:rsid w:val="0012779C"/>
    <w:rsid w:val="001279E7"/>
    <w:rsid w:val="001304E5"/>
    <w:rsid w:val="001307CE"/>
    <w:rsid w:val="001315B1"/>
    <w:rsid w:val="001335C6"/>
    <w:rsid w:val="0013399A"/>
    <w:rsid w:val="00134A0E"/>
    <w:rsid w:val="001373C0"/>
    <w:rsid w:val="0014095C"/>
    <w:rsid w:val="00140A02"/>
    <w:rsid w:val="00141747"/>
    <w:rsid w:val="00141B37"/>
    <w:rsid w:val="00141E65"/>
    <w:rsid w:val="001429E9"/>
    <w:rsid w:val="00142A1D"/>
    <w:rsid w:val="00142F38"/>
    <w:rsid w:val="00144CCE"/>
    <w:rsid w:val="00145242"/>
    <w:rsid w:val="00145894"/>
    <w:rsid w:val="00146963"/>
    <w:rsid w:val="00147711"/>
    <w:rsid w:val="00150313"/>
    <w:rsid w:val="001505E4"/>
    <w:rsid w:val="00150F13"/>
    <w:rsid w:val="00150F6E"/>
    <w:rsid w:val="00151D1E"/>
    <w:rsid w:val="00153343"/>
    <w:rsid w:val="001534A1"/>
    <w:rsid w:val="00154CD1"/>
    <w:rsid w:val="0015535F"/>
    <w:rsid w:val="00155950"/>
    <w:rsid w:val="00156141"/>
    <w:rsid w:val="0015651D"/>
    <w:rsid w:val="001570FA"/>
    <w:rsid w:val="0015757B"/>
    <w:rsid w:val="001600F8"/>
    <w:rsid w:val="001603E5"/>
    <w:rsid w:val="00161AE8"/>
    <w:rsid w:val="00161D0F"/>
    <w:rsid w:val="001620B2"/>
    <w:rsid w:val="00162CDB"/>
    <w:rsid w:val="00162F3F"/>
    <w:rsid w:val="00165716"/>
    <w:rsid w:val="00166C1F"/>
    <w:rsid w:val="00171018"/>
    <w:rsid w:val="001730C5"/>
    <w:rsid w:val="0017326E"/>
    <w:rsid w:val="001744A2"/>
    <w:rsid w:val="0017466A"/>
    <w:rsid w:val="00174EC3"/>
    <w:rsid w:val="00176345"/>
    <w:rsid w:val="00176BBD"/>
    <w:rsid w:val="0017725B"/>
    <w:rsid w:val="0017731B"/>
    <w:rsid w:val="00177D91"/>
    <w:rsid w:val="001803C3"/>
    <w:rsid w:val="001811C8"/>
    <w:rsid w:val="00181838"/>
    <w:rsid w:val="00182243"/>
    <w:rsid w:val="001825B9"/>
    <w:rsid w:val="00183126"/>
    <w:rsid w:val="0018577A"/>
    <w:rsid w:val="0018586C"/>
    <w:rsid w:val="0018639A"/>
    <w:rsid w:val="001866DB"/>
    <w:rsid w:val="00186991"/>
    <w:rsid w:val="001871E0"/>
    <w:rsid w:val="00187223"/>
    <w:rsid w:val="00191221"/>
    <w:rsid w:val="001919BB"/>
    <w:rsid w:val="001919FF"/>
    <w:rsid w:val="00192839"/>
    <w:rsid w:val="00192A59"/>
    <w:rsid w:val="00193018"/>
    <w:rsid w:val="001933C0"/>
    <w:rsid w:val="00193582"/>
    <w:rsid w:val="00194925"/>
    <w:rsid w:val="00194DC8"/>
    <w:rsid w:val="00194F1D"/>
    <w:rsid w:val="001954DD"/>
    <w:rsid w:val="0019699F"/>
    <w:rsid w:val="00197118"/>
    <w:rsid w:val="001A066F"/>
    <w:rsid w:val="001A0B6C"/>
    <w:rsid w:val="001A2669"/>
    <w:rsid w:val="001A2677"/>
    <w:rsid w:val="001A3595"/>
    <w:rsid w:val="001A38FA"/>
    <w:rsid w:val="001A3BAC"/>
    <w:rsid w:val="001A4EC8"/>
    <w:rsid w:val="001A5238"/>
    <w:rsid w:val="001A62E6"/>
    <w:rsid w:val="001A674E"/>
    <w:rsid w:val="001A6F44"/>
    <w:rsid w:val="001A70A6"/>
    <w:rsid w:val="001A78BA"/>
    <w:rsid w:val="001A7F5A"/>
    <w:rsid w:val="001B08CE"/>
    <w:rsid w:val="001B0E3D"/>
    <w:rsid w:val="001B1506"/>
    <w:rsid w:val="001B1B3B"/>
    <w:rsid w:val="001B1D3E"/>
    <w:rsid w:val="001B1E0A"/>
    <w:rsid w:val="001B24F5"/>
    <w:rsid w:val="001B2BAD"/>
    <w:rsid w:val="001B3797"/>
    <w:rsid w:val="001B3DAF"/>
    <w:rsid w:val="001B46CD"/>
    <w:rsid w:val="001B6472"/>
    <w:rsid w:val="001B6ABC"/>
    <w:rsid w:val="001C017A"/>
    <w:rsid w:val="001C05FC"/>
    <w:rsid w:val="001C06AE"/>
    <w:rsid w:val="001C0896"/>
    <w:rsid w:val="001C0D67"/>
    <w:rsid w:val="001C150D"/>
    <w:rsid w:val="001C1A9B"/>
    <w:rsid w:val="001C2169"/>
    <w:rsid w:val="001C3822"/>
    <w:rsid w:val="001C4115"/>
    <w:rsid w:val="001C4802"/>
    <w:rsid w:val="001C4ECB"/>
    <w:rsid w:val="001C5291"/>
    <w:rsid w:val="001C7600"/>
    <w:rsid w:val="001C7718"/>
    <w:rsid w:val="001C7CEE"/>
    <w:rsid w:val="001D03B1"/>
    <w:rsid w:val="001D0AE6"/>
    <w:rsid w:val="001D1930"/>
    <w:rsid w:val="001D3062"/>
    <w:rsid w:val="001D3846"/>
    <w:rsid w:val="001D43BB"/>
    <w:rsid w:val="001D4737"/>
    <w:rsid w:val="001D55DC"/>
    <w:rsid w:val="001D5F94"/>
    <w:rsid w:val="001D6493"/>
    <w:rsid w:val="001D7218"/>
    <w:rsid w:val="001D73B5"/>
    <w:rsid w:val="001D7754"/>
    <w:rsid w:val="001D7A5D"/>
    <w:rsid w:val="001D7DD3"/>
    <w:rsid w:val="001D7F69"/>
    <w:rsid w:val="001E1B6E"/>
    <w:rsid w:val="001E1B93"/>
    <w:rsid w:val="001E597A"/>
    <w:rsid w:val="001E6211"/>
    <w:rsid w:val="001E6432"/>
    <w:rsid w:val="001E7B00"/>
    <w:rsid w:val="001F1F45"/>
    <w:rsid w:val="001F260F"/>
    <w:rsid w:val="001F2808"/>
    <w:rsid w:val="001F2A75"/>
    <w:rsid w:val="001F3562"/>
    <w:rsid w:val="001F4890"/>
    <w:rsid w:val="001F4AE5"/>
    <w:rsid w:val="001F4FAE"/>
    <w:rsid w:val="001F57AB"/>
    <w:rsid w:val="001F5DA8"/>
    <w:rsid w:val="001F5EA8"/>
    <w:rsid w:val="001F6148"/>
    <w:rsid w:val="001F7438"/>
    <w:rsid w:val="00201526"/>
    <w:rsid w:val="00201539"/>
    <w:rsid w:val="00202ED5"/>
    <w:rsid w:val="002031CF"/>
    <w:rsid w:val="002039F3"/>
    <w:rsid w:val="00203CBE"/>
    <w:rsid w:val="002041A2"/>
    <w:rsid w:val="00204AFF"/>
    <w:rsid w:val="00204D71"/>
    <w:rsid w:val="0020694B"/>
    <w:rsid w:val="00206BC6"/>
    <w:rsid w:val="00207C11"/>
    <w:rsid w:val="00210A5E"/>
    <w:rsid w:val="0021183A"/>
    <w:rsid w:val="00213778"/>
    <w:rsid w:val="00213818"/>
    <w:rsid w:val="002138F1"/>
    <w:rsid w:val="00213B5C"/>
    <w:rsid w:val="002146B0"/>
    <w:rsid w:val="00214AF7"/>
    <w:rsid w:val="00214B25"/>
    <w:rsid w:val="00215831"/>
    <w:rsid w:val="002158B6"/>
    <w:rsid w:val="00216D86"/>
    <w:rsid w:val="00217C64"/>
    <w:rsid w:val="0022049C"/>
    <w:rsid w:val="0022082E"/>
    <w:rsid w:val="0022281E"/>
    <w:rsid w:val="00222E17"/>
    <w:rsid w:val="002233BC"/>
    <w:rsid w:val="002234CD"/>
    <w:rsid w:val="00224242"/>
    <w:rsid w:val="00224364"/>
    <w:rsid w:val="00224A5D"/>
    <w:rsid w:val="00225561"/>
    <w:rsid w:val="002268F9"/>
    <w:rsid w:val="002273FC"/>
    <w:rsid w:val="00230A8E"/>
    <w:rsid w:val="00230B37"/>
    <w:rsid w:val="00230E19"/>
    <w:rsid w:val="002312BF"/>
    <w:rsid w:val="002315F1"/>
    <w:rsid w:val="00231814"/>
    <w:rsid w:val="00231CFD"/>
    <w:rsid w:val="00231FA9"/>
    <w:rsid w:val="00232826"/>
    <w:rsid w:val="00232900"/>
    <w:rsid w:val="002338A3"/>
    <w:rsid w:val="00234AFD"/>
    <w:rsid w:val="00237DCF"/>
    <w:rsid w:val="0024043D"/>
    <w:rsid w:val="00240C5E"/>
    <w:rsid w:val="002412BF"/>
    <w:rsid w:val="0024145D"/>
    <w:rsid w:val="00241CE8"/>
    <w:rsid w:val="00242274"/>
    <w:rsid w:val="002435EE"/>
    <w:rsid w:val="00243684"/>
    <w:rsid w:val="00250424"/>
    <w:rsid w:val="002505CC"/>
    <w:rsid w:val="002507ED"/>
    <w:rsid w:val="00251119"/>
    <w:rsid w:val="002519A9"/>
    <w:rsid w:val="00251B52"/>
    <w:rsid w:val="00251BB8"/>
    <w:rsid w:val="002525A7"/>
    <w:rsid w:val="00254456"/>
    <w:rsid w:val="002546D3"/>
    <w:rsid w:val="002546F9"/>
    <w:rsid w:val="00254CAA"/>
    <w:rsid w:val="002562C8"/>
    <w:rsid w:val="00256492"/>
    <w:rsid w:val="0025734F"/>
    <w:rsid w:val="00257B09"/>
    <w:rsid w:val="00257FE1"/>
    <w:rsid w:val="002600A9"/>
    <w:rsid w:val="00260BED"/>
    <w:rsid w:val="00261105"/>
    <w:rsid w:val="0026198D"/>
    <w:rsid w:val="00262005"/>
    <w:rsid w:val="0026256A"/>
    <w:rsid w:val="00262C58"/>
    <w:rsid w:val="002640A0"/>
    <w:rsid w:val="00264D61"/>
    <w:rsid w:val="00265520"/>
    <w:rsid w:val="002656B5"/>
    <w:rsid w:val="0026608A"/>
    <w:rsid w:val="002664A8"/>
    <w:rsid w:val="00266592"/>
    <w:rsid w:val="00266785"/>
    <w:rsid w:val="002667D9"/>
    <w:rsid w:val="0026733B"/>
    <w:rsid w:val="0026753A"/>
    <w:rsid w:val="00270240"/>
    <w:rsid w:val="002703F7"/>
    <w:rsid w:val="0027089E"/>
    <w:rsid w:val="00270985"/>
    <w:rsid w:val="0027133D"/>
    <w:rsid w:val="002716FD"/>
    <w:rsid w:val="002731EF"/>
    <w:rsid w:val="00273946"/>
    <w:rsid w:val="00273D72"/>
    <w:rsid w:val="00281E92"/>
    <w:rsid w:val="00282022"/>
    <w:rsid w:val="0028402D"/>
    <w:rsid w:val="00284131"/>
    <w:rsid w:val="002877FF"/>
    <w:rsid w:val="002937F0"/>
    <w:rsid w:val="00294F99"/>
    <w:rsid w:val="0029512A"/>
    <w:rsid w:val="00295C86"/>
    <w:rsid w:val="00297B86"/>
    <w:rsid w:val="002A05D1"/>
    <w:rsid w:val="002A0EEC"/>
    <w:rsid w:val="002A1337"/>
    <w:rsid w:val="002A19A4"/>
    <w:rsid w:val="002A2263"/>
    <w:rsid w:val="002A27AD"/>
    <w:rsid w:val="002A3219"/>
    <w:rsid w:val="002A36DC"/>
    <w:rsid w:val="002A65A9"/>
    <w:rsid w:val="002A6C46"/>
    <w:rsid w:val="002A7B95"/>
    <w:rsid w:val="002B0D07"/>
    <w:rsid w:val="002B175D"/>
    <w:rsid w:val="002B25A2"/>
    <w:rsid w:val="002B34FE"/>
    <w:rsid w:val="002B3D67"/>
    <w:rsid w:val="002B46CF"/>
    <w:rsid w:val="002B5102"/>
    <w:rsid w:val="002B59F8"/>
    <w:rsid w:val="002B5EE4"/>
    <w:rsid w:val="002B6460"/>
    <w:rsid w:val="002B6C15"/>
    <w:rsid w:val="002B6FF2"/>
    <w:rsid w:val="002B7B6F"/>
    <w:rsid w:val="002C0107"/>
    <w:rsid w:val="002C0EF2"/>
    <w:rsid w:val="002C166D"/>
    <w:rsid w:val="002C1FD0"/>
    <w:rsid w:val="002C20BF"/>
    <w:rsid w:val="002C2F2F"/>
    <w:rsid w:val="002C3BE1"/>
    <w:rsid w:val="002C47AA"/>
    <w:rsid w:val="002C4A12"/>
    <w:rsid w:val="002C4D74"/>
    <w:rsid w:val="002C5037"/>
    <w:rsid w:val="002C5636"/>
    <w:rsid w:val="002C5963"/>
    <w:rsid w:val="002C5DF9"/>
    <w:rsid w:val="002C6340"/>
    <w:rsid w:val="002C6C12"/>
    <w:rsid w:val="002C7C93"/>
    <w:rsid w:val="002D0EFA"/>
    <w:rsid w:val="002D169C"/>
    <w:rsid w:val="002D1BAF"/>
    <w:rsid w:val="002D235F"/>
    <w:rsid w:val="002D2663"/>
    <w:rsid w:val="002D2FC6"/>
    <w:rsid w:val="002D4A4F"/>
    <w:rsid w:val="002D4CE3"/>
    <w:rsid w:val="002D56D1"/>
    <w:rsid w:val="002D56DB"/>
    <w:rsid w:val="002D7004"/>
    <w:rsid w:val="002D743C"/>
    <w:rsid w:val="002D7BE8"/>
    <w:rsid w:val="002E0FE0"/>
    <w:rsid w:val="002E106C"/>
    <w:rsid w:val="002E163B"/>
    <w:rsid w:val="002E1761"/>
    <w:rsid w:val="002E28C3"/>
    <w:rsid w:val="002E2C43"/>
    <w:rsid w:val="002E3826"/>
    <w:rsid w:val="002E4204"/>
    <w:rsid w:val="002E5517"/>
    <w:rsid w:val="002E5EAB"/>
    <w:rsid w:val="002E60AA"/>
    <w:rsid w:val="002E6800"/>
    <w:rsid w:val="002E6CAB"/>
    <w:rsid w:val="002E70BB"/>
    <w:rsid w:val="002E7FF5"/>
    <w:rsid w:val="002F1DD0"/>
    <w:rsid w:val="002F20B2"/>
    <w:rsid w:val="002F3D68"/>
    <w:rsid w:val="002F464C"/>
    <w:rsid w:val="002F46E6"/>
    <w:rsid w:val="002F4FE5"/>
    <w:rsid w:val="002F5D72"/>
    <w:rsid w:val="002F6CE4"/>
    <w:rsid w:val="003020C9"/>
    <w:rsid w:val="00302FA3"/>
    <w:rsid w:val="00303716"/>
    <w:rsid w:val="00303795"/>
    <w:rsid w:val="00303EAC"/>
    <w:rsid w:val="00303F78"/>
    <w:rsid w:val="0030527D"/>
    <w:rsid w:val="00305B3D"/>
    <w:rsid w:val="00305B9E"/>
    <w:rsid w:val="0030623D"/>
    <w:rsid w:val="00307DBA"/>
    <w:rsid w:val="003103FC"/>
    <w:rsid w:val="00310DF9"/>
    <w:rsid w:val="00311C37"/>
    <w:rsid w:val="00312515"/>
    <w:rsid w:val="003125AD"/>
    <w:rsid w:val="00312B41"/>
    <w:rsid w:val="00313F19"/>
    <w:rsid w:val="00314634"/>
    <w:rsid w:val="00314939"/>
    <w:rsid w:val="003163E2"/>
    <w:rsid w:val="003168D5"/>
    <w:rsid w:val="00316DB2"/>
    <w:rsid w:val="00316F24"/>
    <w:rsid w:val="00317A84"/>
    <w:rsid w:val="003203E2"/>
    <w:rsid w:val="0032117B"/>
    <w:rsid w:val="0032339E"/>
    <w:rsid w:val="00323596"/>
    <w:rsid w:val="0032392C"/>
    <w:rsid w:val="00323E11"/>
    <w:rsid w:val="00323E57"/>
    <w:rsid w:val="003244A9"/>
    <w:rsid w:val="003266ED"/>
    <w:rsid w:val="00326D07"/>
    <w:rsid w:val="00326D0A"/>
    <w:rsid w:val="00327FD1"/>
    <w:rsid w:val="0033005F"/>
    <w:rsid w:val="003308BE"/>
    <w:rsid w:val="00331068"/>
    <w:rsid w:val="0033149B"/>
    <w:rsid w:val="0033195A"/>
    <w:rsid w:val="00331BE0"/>
    <w:rsid w:val="003324A4"/>
    <w:rsid w:val="0033293D"/>
    <w:rsid w:val="00333757"/>
    <w:rsid w:val="003340EA"/>
    <w:rsid w:val="00335BDB"/>
    <w:rsid w:val="00335C33"/>
    <w:rsid w:val="00336115"/>
    <w:rsid w:val="00336269"/>
    <w:rsid w:val="003363A9"/>
    <w:rsid w:val="00336B10"/>
    <w:rsid w:val="00336C29"/>
    <w:rsid w:val="003373D4"/>
    <w:rsid w:val="0033740C"/>
    <w:rsid w:val="00337BB5"/>
    <w:rsid w:val="00337C40"/>
    <w:rsid w:val="00337E00"/>
    <w:rsid w:val="003403F2"/>
    <w:rsid w:val="0034180F"/>
    <w:rsid w:val="00342649"/>
    <w:rsid w:val="00343418"/>
    <w:rsid w:val="003434B8"/>
    <w:rsid w:val="00345323"/>
    <w:rsid w:val="00345822"/>
    <w:rsid w:val="00347954"/>
    <w:rsid w:val="00347E55"/>
    <w:rsid w:val="00347E98"/>
    <w:rsid w:val="00351F44"/>
    <w:rsid w:val="003537A9"/>
    <w:rsid w:val="00355213"/>
    <w:rsid w:val="003553CB"/>
    <w:rsid w:val="00355EDF"/>
    <w:rsid w:val="0035635A"/>
    <w:rsid w:val="00356BCE"/>
    <w:rsid w:val="0035749C"/>
    <w:rsid w:val="00360D19"/>
    <w:rsid w:val="00360FCB"/>
    <w:rsid w:val="0036182F"/>
    <w:rsid w:val="00361D27"/>
    <w:rsid w:val="00362B6B"/>
    <w:rsid w:val="00363562"/>
    <w:rsid w:val="003635C6"/>
    <w:rsid w:val="00364476"/>
    <w:rsid w:val="0036454D"/>
    <w:rsid w:val="00364937"/>
    <w:rsid w:val="00365065"/>
    <w:rsid w:val="003653C4"/>
    <w:rsid w:val="003658AF"/>
    <w:rsid w:val="003668AC"/>
    <w:rsid w:val="00366C44"/>
    <w:rsid w:val="00366EA9"/>
    <w:rsid w:val="003670DD"/>
    <w:rsid w:val="00367BDA"/>
    <w:rsid w:val="00370C7A"/>
    <w:rsid w:val="00370D01"/>
    <w:rsid w:val="0037209A"/>
    <w:rsid w:val="00372661"/>
    <w:rsid w:val="00373251"/>
    <w:rsid w:val="0037343D"/>
    <w:rsid w:val="00373E94"/>
    <w:rsid w:val="0037442D"/>
    <w:rsid w:val="003746D3"/>
    <w:rsid w:val="00374E82"/>
    <w:rsid w:val="00374F23"/>
    <w:rsid w:val="003751B7"/>
    <w:rsid w:val="0037524A"/>
    <w:rsid w:val="003759AE"/>
    <w:rsid w:val="003760A2"/>
    <w:rsid w:val="003761F6"/>
    <w:rsid w:val="00376BE3"/>
    <w:rsid w:val="003770C9"/>
    <w:rsid w:val="003771A0"/>
    <w:rsid w:val="0037774D"/>
    <w:rsid w:val="00377D3D"/>
    <w:rsid w:val="00377E4E"/>
    <w:rsid w:val="00377EFD"/>
    <w:rsid w:val="0038047D"/>
    <w:rsid w:val="00381109"/>
    <w:rsid w:val="003822F8"/>
    <w:rsid w:val="00382559"/>
    <w:rsid w:val="00383949"/>
    <w:rsid w:val="003872D3"/>
    <w:rsid w:val="0038771A"/>
    <w:rsid w:val="00387DA3"/>
    <w:rsid w:val="00390168"/>
    <w:rsid w:val="003908EF"/>
    <w:rsid w:val="00390A6E"/>
    <w:rsid w:val="00390B2E"/>
    <w:rsid w:val="00391FE9"/>
    <w:rsid w:val="00392F7F"/>
    <w:rsid w:val="00393988"/>
    <w:rsid w:val="0039419B"/>
    <w:rsid w:val="003945B5"/>
    <w:rsid w:val="0039479A"/>
    <w:rsid w:val="00394987"/>
    <w:rsid w:val="00394EF6"/>
    <w:rsid w:val="00395D66"/>
    <w:rsid w:val="0039676F"/>
    <w:rsid w:val="003967E7"/>
    <w:rsid w:val="00396E97"/>
    <w:rsid w:val="00397B0B"/>
    <w:rsid w:val="00397DCE"/>
    <w:rsid w:val="00397F23"/>
    <w:rsid w:val="003A1553"/>
    <w:rsid w:val="003A191B"/>
    <w:rsid w:val="003A1925"/>
    <w:rsid w:val="003A1C6F"/>
    <w:rsid w:val="003A22F8"/>
    <w:rsid w:val="003A24A2"/>
    <w:rsid w:val="003A2E34"/>
    <w:rsid w:val="003A3767"/>
    <w:rsid w:val="003A428D"/>
    <w:rsid w:val="003A4427"/>
    <w:rsid w:val="003A463C"/>
    <w:rsid w:val="003A49D2"/>
    <w:rsid w:val="003A5B42"/>
    <w:rsid w:val="003A6AB5"/>
    <w:rsid w:val="003A6C31"/>
    <w:rsid w:val="003A785F"/>
    <w:rsid w:val="003A7B76"/>
    <w:rsid w:val="003B000B"/>
    <w:rsid w:val="003B025F"/>
    <w:rsid w:val="003B094B"/>
    <w:rsid w:val="003B12BA"/>
    <w:rsid w:val="003B21AF"/>
    <w:rsid w:val="003B2D0A"/>
    <w:rsid w:val="003B58E8"/>
    <w:rsid w:val="003B5E27"/>
    <w:rsid w:val="003B5E76"/>
    <w:rsid w:val="003B794C"/>
    <w:rsid w:val="003C086D"/>
    <w:rsid w:val="003C0986"/>
    <w:rsid w:val="003C0A88"/>
    <w:rsid w:val="003C1093"/>
    <w:rsid w:val="003C16BD"/>
    <w:rsid w:val="003C18C6"/>
    <w:rsid w:val="003C1C20"/>
    <w:rsid w:val="003C1E66"/>
    <w:rsid w:val="003C2273"/>
    <w:rsid w:val="003C2346"/>
    <w:rsid w:val="003C2916"/>
    <w:rsid w:val="003C355E"/>
    <w:rsid w:val="003C3BC7"/>
    <w:rsid w:val="003C4333"/>
    <w:rsid w:val="003C59E9"/>
    <w:rsid w:val="003C6A9D"/>
    <w:rsid w:val="003C7397"/>
    <w:rsid w:val="003D04CC"/>
    <w:rsid w:val="003D0564"/>
    <w:rsid w:val="003D060C"/>
    <w:rsid w:val="003D196D"/>
    <w:rsid w:val="003D1E7C"/>
    <w:rsid w:val="003D2A6B"/>
    <w:rsid w:val="003D2BF1"/>
    <w:rsid w:val="003D2C45"/>
    <w:rsid w:val="003D3645"/>
    <w:rsid w:val="003D45C6"/>
    <w:rsid w:val="003D5006"/>
    <w:rsid w:val="003D5725"/>
    <w:rsid w:val="003D5C12"/>
    <w:rsid w:val="003D5F32"/>
    <w:rsid w:val="003D76B8"/>
    <w:rsid w:val="003D775D"/>
    <w:rsid w:val="003E0BAB"/>
    <w:rsid w:val="003E0E72"/>
    <w:rsid w:val="003E195A"/>
    <w:rsid w:val="003E2C47"/>
    <w:rsid w:val="003E355F"/>
    <w:rsid w:val="003E7069"/>
    <w:rsid w:val="003F0143"/>
    <w:rsid w:val="003F0B87"/>
    <w:rsid w:val="003F167D"/>
    <w:rsid w:val="003F265F"/>
    <w:rsid w:val="003F27CA"/>
    <w:rsid w:val="003F2E7A"/>
    <w:rsid w:val="003F2E8B"/>
    <w:rsid w:val="003F30FE"/>
    <w:rsid w:val="003F404C"/>
    <w:rsid w:val="003F5A55"/>
    <w:rsid w:val="003F68F8"/>
    <w:rsid w:val="003F71B2"/>
    <w:rsid w:val="003F76B3"/>
    <w:rsid w:val="00400A83"/>
    <w:rsid w:val="00401B99"/>
    <w:rsid w:val="004023D1"/>
    <w:rsid w:val="0040264D"/>
    <w:rsid w:val="00402D8D"/>
    <w:rsid w:val="00404061"/>
    <w:rsid w:val="004044C6"/>
    <w:rsid w:val="00404F41"/>
    <w:rsid w:val="00406348"/>
    <w:rsid w:val="004077FC"/>
    <w:rsid w:val="0040799C"/>
    <w:rsid w:val="00410111"/>
    <w:rsid w:val="004105AF"/>
    <w:rsid w:val="004114EA"/>
    <w:rsid w:val="004117D5"/>
    <w:rsid w:val="00412A52"/>
    <w:rsid w:val="00413610"/>
    <w:rsid w:val="0041667B"/>
    <w:rsid w:val="00417F57"/>
    <w:rsid w:val="004205FF"/>
    <w:rsid w:val="00420862"/>
    <w:rsid w:val="00421F22"/>
    <w:rsid w:val="0042277B"/>
    <w:rsid w:val="004227AC"/>
    <w:rsid w:val="00423062"/>
    <w:rsid w:val="004231DA"/>
    <w:rsid w:val="004233DA"/>
    <w:rsid w:val="004235E8"/>
    <w:rsid w:val="00425958"/>
    <w:rsid w:val="00425F10"/>
    <w:rsid w:val="00426B23"/>
    <w:rsid w:val="00426FF6"/>
    <w:rsid w:val="004309A7"/>
    <w:rsid w:val="00431304"/>
    <w:rsid w:val="00431F0C"/>
    <w:rsid w:val="004320B5"/>
    <w:rsid w:val="00432689"/>
    <w:rsid w:val="00432CD4"/>
    <w:rsid w:val="00432CF8"/>
    <w:rsid w:val="00432DA5"/>
    <w:rsid w:val="0043473D"/>
    <w:rsid w:val="004347A9"/>
    <w:rsid w:val="00434C72"/>
    <w:rsid w:val="00435AAF"/>
    <w:rsid w:val="00435D23"/>
    <w:rsid w:val="0043612C"/>
    <w:rsid w:val="00436873"/>
    <w:rsid w:val="004404E6"/>
    <w:rsid w:val="0044115E"/>
    <w:rsid w:val="0044193A"/>
    <w:rsid w:val="00443095"/>
    <w:rsid w:val="004432FE"/>
    <w:rsid w:val="004439E9"/>
    <w:rsid w:val="00445C5C"/>
    <w:rsid w:val="00446307"/>
    <w:rsid w:val="0044669A"/>
    <w:rsid w:val="004466B8"/>
    <w:rsid w:val="00447E8F"/>
    <w:rsid w:val="00450027"/>
    <w:rsid w:val="00451479"/>
    <w:rsid w:val="00452062"/>
    <w:rsid w:val="00452B6F"/>
    <w:rsid w:val="004534D7"/>
    <w:rsid w:val="004549C2"/>
    <w:rsid w:val="0045615F"/>
    <w:rsid w:val="00456353"/>
    <w:rsid w:val="00456C3D"/>
    <w:rsid w:val="004572DA"/>
    <w:rsid w:val="004577BD"/>
    <w:rsid w:val="0045796C"/>
    <w:rsid w:val="00457BB0"/>
    <w:rsid w:val="0046078B"/>
    <w:rsid w:val="00460D03"/>
    <w:rsid w:val="004611A6"/>
    <w:rsid w:val="00461E9B"/>
    <w:rsid w:val="004621F3"/>
    <w:rsid w:val="0046249D"/>
    <w:rsid w:val="00462B83"/>
    <w:rsid w:val="00462CF6"/>
    <w:rsid w:val="00462F7E"/>
    <w:rsid w:val="00463558"/>
    <w:rsid w:val="00465ED6"/>
    <w:rsid w:val="0046643B"/>
    <w:rsid w:val="00466D46"/>
    <w:rsid w:val="00466FD8"/>
    <w:rsid w:val="00467505"/>
    <w:rsid w:val="00471669"/>
    <w:rsid w:val="00474014"/>
    <w:rsid w:val="00475591"/>
    <w:rsid w:val="00475F08"/>
    <w:rsid w:val="004764CB"/>
    <w:rsid w:val="00476823"/>
    <w:rsid w:val="00477C40"/>
    <w:rsid w:val="00480A68"/>
    <w:rsid w:val="00480C3C"/>
    <w:rsid w:val="0048131D"/>
    <w:rsid w:val="00481952"/>
    <w:rsid w:val="00481CCD"/>
    <w:rsid w:val="0048349E"/>
    <w:rsid w:val="00483B3F"/>
    <w:rsid w:val="00483F44"/>
    <w:rsid w:val="00484875"/>
    <w:rsid w:val="00484F4D"/>
    <w:rsid w:val="0048501F"/>
    <w:rsid w:val="0048530B"/>
    <w:rsid w:val="00485438"/>
    <w:rsid w:val="0048635D"/>
    <w:rsid w:val="004905F3"/>
    <w:rsid w:val="00490E32"/>
    <w:rsid w:val="004910D6"/>
    <w:rsid w:val="00491570"/>
    <w:rsid w:val="00492EA5"/>
    <w:rsid w:val="00494792"/>
    <w:rsid w:val="00495241"/>
    <w:rsid w:val="00495AF6"/>
    <w:rsid w:val="00496017"/>
    <w:rsid w:val="00497E51"/>
    <w:rsid w:val="004A0882"/>
    <w:rsid w:val="004A1E2D"/>
    <w:rsid w:val="004A2333"/>
    <w:rsid w:val="004A2581"/>
    <w:rsid w:val="004A2A45"/>
    <w:rsid w:val="004A2B92"/>
    <w:rsid w:val="004A2DE0"/>
    <w:rsid w:val="004A337E"/>
    <w:rsid w:val="004A3615"/>
    <w:rsid w:val="004A3D50"/>
    <w:rsid w:val="004A538A"/>
    <w:rsid w:val="004A6200"/>
    <w:rsid w:val="004A666E"/>
    <w:rsid w:val="004B1393"/>
    <w:rsid w:val="004B7155"/>
    <w:rsid w:val="004B728C"/>
    <w:rsid w:val="004B7927"/>
    <w:rsid w:val="004B7F28"/>
    <w:rsid w:val="004C0631"/>
    <w:rsid w:val="004C0ED6"/>
    <w:rsid w:val="004C0FC5"/>
    <w:rsid w:val="004C494D"/>
    <w:rsid w:val="004C4960"/>
    <w:rsid w:val="004C51EA"/>
    <w:rsid w:val="004C5815"/>
    <w:rsid w:val="004C5857"/>
    <w:rsid w:val="004C674D"/>
    <w:rsid w:val="004C6BC2"/>
    <w:rsid w:val="004C6D38"/>
    <w:rsid w:val="004C7469"/>
    <w:rsid w:val="004C7E09"/>
    <w:rsid w:val="004D0634"/>
    <w:rsid w:val="004D0898"/>
    <w:rsid w:val="004D31D1"/>
    <w:rsid w:val="004D34D0"/>
    <w:rsid w:val="004D3601"/>
    <w:rsid w:val="004D466F"/>
    <w:rsid w:val="004D4887"/>
    <w:rsid w:val="004D4EEA"/>
    <w:rsid w:val="004D5515"/>
    <w:rsid w:val="004D63A0"/>
    <w:rsid w:val="004D663C"/>
    <w:rsid w:val="004D6B86"/>
    <w:rsid w:val="004D7365"/>
    <w:rsid w:val="004D7467"/>
    <w:rsid w:val="004E1E1E"/>
    <w:rsid w:val="004E207B"/>
    <w:rsid w:val="004E30E3"/>
    <w:rsid w:val="004E4643"/>
    <w:rsid w:val="004E491D"/>
    <w:rsid w:val="004E54DF"/>
    <w:rsid w:val="004E5671"/>
    <w:rsid w:val="004E6551"/>
    <w:rsid w:val="004E6E28"/>
    <w:rsid w:val="004E79AF"/>
    <w:rsid w:val="004E7A0C"/>
    <w:rsid w:val="004F0683"/>
    <w:rsid w:val="004F0AEE"/>
    <w:rsid w:val="004F0C42"/>
    <w:rsid w:val="004F0CB3"/>
    <w:rsid w:val="004F35F7"/>
    <w:rsid w:val="004F3901"/>
    <w:rsid w:val="004F62B9"/>
    <w:rsid w:val="00500745"/>
    <w:rsid w:val="00500C9E"/>
    <w:rsid w:val="0050104A"/>
    <w:rsid w:val="00501F30"/>
    <w:rsid w:val="00503C24"/>
    <w:rsid w:val="005049FC"/>
    <w:rsid w:val="00505D6B"/>
    <w:rsid w:val="00505D76"/>
    <w:rsid w:val="0050606D"/>
    <w:rsid w:val="005063BB"/>
    <w:rsid w:val="005067C9"/>
    <w:rsid w:val="00506ABA"/>
    <w:rsid w:val="005076C4"/>
    <w:rsid w:val="005078AD"/>
    <w:rsid w:val="005117B6"/>
    <w:rsid w:val="00513AD1"/>
    <w:rsid w:val="00513FFF"/>
    <w:rsid w:val="0051470D"/>
    <w:rsid w:val="005149A3"/>
    <w:rsid w:val="00516E07"/>
    <w:rsid w:val="00517C45"/>
    <w:rsid w:val="00520113"/>
    <w:rsid w:val="00522603"/>
    <w:rsid w:val="00523A9D"/>
    <w:rsid w:val="00523B9A"/>
    <w:rsid w:val="005241EF"/>
    <w:rsid w:val="005254FE"/>
    <w:rsid w:val="00526DFF"/>
    <w:rsid w:val="005276E6"/>
    <w:rsid w:val="00527F19"/>
    <w:rsid w:val="00531352"/>
    <w:rsid w:val="00531A80"/>
    <w:rsid w:val="00534AAA"/>
    <w:rsid w:val="00537DDF"/>
    <w:rsid w:val="00540BE6"/>
    <w:rsid w:val="00541768"/>
    <w:rsid w:val="00542D6B"/>
    <w:rsid w:val="00543CDC"/>
    <w:rsid w:val="005448D2"/>
    <w:rsid w:val="0054528D"/>
    <w:rsid w:val="005454F2"/>
    <w:rsid w:val="0054624C"/>
    <w:rsid w:val="00551742"/>
    <w:rsid w:val="005518D8"/>
    <w:rsid w:val="005525AF"/>
    <w:rsid w:val="00553D16"/>
    <w:rsid w:val="00555106"/>
    <w:rsid w:val="005568E6"/>
    <w:rsid w:val="00560105"/>
    <w:rsid w:val="00560A53"/>
    <w:rsid w:val="00562082"/>
    <w:rsid w:val="00562264"/>
    <w:rsid w:val="005635A3"/>
    <w:rsid w:val="0056491E"/>
    <w:rsid w:val="005649D1"/>
    <w:rsid w:val="0056577A"/>
    <w:rsid w:val="00565E7A"/>
    <w:rsid w:val="005666D1"/>
    <w:rsid w:val="00567FA6"/>
    <w:rsid w:val="00570B1F"/>
    <w:rsid w:val="00570BCB"/>
    <w:rsid w:val="00571DED"/>
    <w:rsid w:val="005726FC"/>
    <w:rsid w:val="005727A0"/>
    <w:rsid w:val="00573D35"/>
    <w:rsid w:val="0057425D"/>
    <w:rsid w:val="005753AF"/>
    <w:rsid w:val="00575874"/>
    <w:rsid w:val="00575D37"/>
    <w:rsid w:val="00577560"/>
    <w:rsid w:val="00580A98"/>
    <w:rsid w:val="00581100"/>
    <w:rsid w:val="00581481"/>
    <w:rsid w:val="005818AE"/>
    <w:rsid w:val="00581DF7"/>
    <w:rsid w:val="00582959"/>
    <w:rsid w:val="0058305C"/>
    <w:rsid w:val="0058349C"/>
    <w:rsid w:val="0058376C"/>
    <w:rsid w:val="00583CE8"/>
    <w:rsid w:val="00584744"/>
    <w:rsid w:val="00584E6B"/>
    <w:rsid w:val="005856E3"/>
    <w:rsid w:val="005863F8"/>
    <w:rsid w:val="005866EA"/>
    <w:rsid w:val="00586BF2"/>
    <w:rsid w:val="005874F5"/>
    <w:rsid w:val="005879F0"/>
    <w:rsid w:val="0059016B"/>
    <w:rsid w:val="005906F8"/>
    <w:rsid w:val="00591598"/>
    <w:rsid w:val="00592407"/>
    <w:rsid w:val="00594549"/>
    <w:rsid w:val="00594707"/>
    <w:rsid w:val="00594750"/>
    <w:rsid w:val="00594F9B"/>
    <w:rsid w:val="005961D5"/>
    <w:rsid w:val="0059643D"/>
    <w:rsid w:val="00596B30"/>
    <w:rsid w:val="00597B37"/>
    <w:rsid w:val="005A1703"/>
    <w:rsid w:val="005A1DDB"/>
    <w:rsid w:val="005A1F01"/>
    <w:rsid w:val="005A21F6"/>
    <w:rsid w:val="005A2BD1"/>
    <w:rsid w:val="005A420C"/>
    <w:rsid w:val="005A4AD2"/>
    <w:rsid w:val="005A643F"/>
    <w:rsid w:val="005A68A2"/>
    <w:rsid w:val="005A6F20"/>
    <w:rsid w:val="005A741C"/>
    <w:rsid w:val="005A7B8B"/>
    <w:rsid w:val="005B0098"/>
    <w:rsid w:val="005B0ACB"/>
    <w:rsid w:val="005B0C3C"/>
    <w:rsid w:val="005B10EF"/>
    <w:rsid w:val="005B19D8"/>
    <w:rsid w:val="005B430E"/>
    <w:rsid w:val="005B497C"/>
    <w:rsid w:val="005B4E30"/>
    <w:rsid w:val="005B6A4D"/>
    <w:rsid w:val="005B6BC6"/>
    <w:rsid w:val="005B7BF6"/>
    <w:rsid w:val="005B7F68"/>
    <w:rsid w:val="005C06CF"/>
    <w:rsid w:val="005C0A4E"/>
    <w:rsid w:val="005C0CFE"/>
    <w:rsid w:val="005C1993"/>
    <w:rsid w:val="005C1A5D"/>
    <w:rsid w:val="005C28DC"/>
    <w:rsid w:val="005C299C"/>
    <w:rsid w:val="005C32A0"/>
    <w:rsid w:val="005C35F3"/>
    <w:rsid w:val="005C415E"/>
    <w:rsid w:val="005C41B1"/>
    <w:rsid w:val="005C45B5"/>
    <w:rsid w:val="005C4AA3"/>
    <w:rsid w:val="005C5230"/>
    <w:rsid w:val="005C5760"/>
    <w:rsid w:val="005C6E39"/>
    <w:rsid w:val="005D09DF"/>
    <w:rsid w:val="005D0A59"/>
    <w:rsid w:val="005D0D76"/>
    <w:rsid w:val="005D3DE1"/>
    <w:rsid w:val="005D4A99"/>
    <w:rsid w:val="005D5E03"/>
    <w:rsid w:val="005D720A"/>
    <w:rsid w:val="005D746B"/>
    <w:rsid w:val="005D7B00"/>
    <w:rsid w:val="005E0FCD"/>
    <w:rsid w:val="005E1144"/>
    <w:rsid w:val="005E16D8"/>
    <w:rsid w:val="005E21B0"/>
    <w:rsid w:val="005E33F9"/>
    <w:rsid w:val="005E43F5"/>
    <w:rsid w:val="005E4570"/>
    <w:rsid w:val="005E4CC8"/>
    <w:rsid w:val="005E57FC"/>
    <w:rsid w:val="005E69FA"/>
    <w:rsid w:val="005E6DF4"/>
    <w:rsid w:val="005E74E8"/>
    <w:rsid w:val="005E7C91"/>
    <w:rsid w:val="005F0CBE"/>
    <w:rsid w:val="005F131E"/>
    <w:rsid w:val="005F2139"/>
    <w:rsid w:val="005F298C"/>
    <w:rsid w:val="005F2FE9"/>
    <w:rsid w:val="005F34BE"/>
    <w:rsid w:val="005F4F00"/>
    <w:rsid w:val="005F5154"/>
    <w:rsid w:val="005F5AFD"/>
    <w:rsid w:val="006008CE"/>
    <w:rsid w:val="00600CEE"/>
    <w:rsid w:val="00600D9D"/>
    <w:rsid w:val="00602713"/>
    <w:rsid w:val="00603A75"/>
    <w:rsid w:val="00603E37"/>
    <w:rsid w:val="00604923"/>
    <w:rsid w:val="0060586B"/>
    <w:rsid w:val="00605A35"/>
    <w:rsid w:val="00605B67"/>
    <w:rsid w:val="00605E30"/>
    <w:rsid w:val="00610CC7"/>
    <w:rsid w:val="00611010"/>
    <w:rsid w:val="0061109D"/>
    <w:rsid w:val="006115E0"/>
    <w:rsid w:val="00612C3E"/>
    <w:rsid w:val="00612D0B"/>
    <w:rsid w:val="00613346"/>
    <w:rsid w:val="00613DFA"/>
    <w:rsid w:val="00614154"/>
    <w:rsid w:val="006145C2"/>
    <w:rsid w:val="00614D4B"/>
    <w:rsid w:val="006156E0"/>
    <w:rsid w:val="00615812"/>
    <w:rsid w:val="0061592D"/>
    <w:rsid w:val="00615A8E"/>
    <w:rsid w:val="006160A0"/>
    <w:rsid w:val="006166CC"/>
    <w:rsid w:val="006166D0"/>
    <w:rsid w:val="00621680"/>
    <w:rsid w:val="006216E8"/>
    <w:rsid w:val="0062198F"/>
    <w:rsid w:val="006222CC"/>
    <w:rsid w:val="00622861"/>
    <w:rsid w:val="0062356E"/>
    <w:rsid w:val="00625335"/>
    <w:rsid w:val="006263E6"/>
    <w:rsid w:val="00626DA3"/>
    <w:rsid w:val="00630EDB"/>
    <w:rsid w:val="00631398"/>
    <w:rsid w:val="006323CA"/>
    <w:rsid w:val="00634F4A"/>
    <w:rsid w:val="00635F66"/>
    <w:rsid w:val="0063628C"/>
    <w:rsid w:val="006362E4"/>
    <w:rsid w:val="00636A60"/>
    <w:rsid w:val="00636B86"/>
    <w:rsid w:val="00636DD3"/>
    <w:rsid w:val="00636E4F"/>
    <w:rsid w:val="006370AD"/>
    <w:rsid w:val="00640742"/>
    <w:rsid w:val="00640EE4"/>
    <w:rsid w:val="006411C4"/>
    <w:rsid w:val="006417D4"/>
    <w:rsid w:val="006418AB"/>
    <w:rsid w:val="00641DA7"/>
    <w:rsid w:val="00641DF7"/>
    <w:rsid w:val="006425D0"/>
    <w:rsid w:val="00642BD6"/>
    <w:rsid w:val="00643B1A"/>
    <w:rsid w:val="00644812"/>
    <w:rsid w:val="00645582"/>
    <w:rsid w:val="00646432"/>
    <w:rsid w:val="00646A8A"/>
    <w:rsid w:val="00647752"/>
    <w:rsid w:val="0065008C"/>
    <w:rsid w:val="00650DA7"/>
    <w:rsid w:val="006513F6"/>
    <w:rsid w:val="00651618"/>
    <w:rsid w:val="006524F6"/>
    <w:rsid w:val="0065264F"/>
    <w:rsid w:val="00652F05"/>
    <w:rsid w:val="00655ACB"/>
    <w:rsid w:val="00655B67"/>
    <w:rsid w:val="00656CB8"/>
    <w:rsid w:val="00656EFD"/>
    <w:rsid w:val="00660040"/>
    <w:rsid w:val="00660E2F"/>
    <w:rsid w:val="00660F62"/>
    <w:rsid w:val="00662E11"/>
    <w:rsid w:val="00663CE2"/>
    <w:rsid w:val="00664471"/>
    <w:rsid w:val="00664CD9"/>
    <w:rsid w:val="00665206"/>
    <w:rsid w:val="00667187"/>
    <w:rsid w:val="00667790"/>
    <w:rsid w:val="006679F9"/>
    <w:rsid w:val="006707CC"/>
    <w:rsid w:val="00670B3F"/>
    <w:rsid w:val="00671137"/>
    <w:rsid w:val="006737EE"/>
    <w:rsid w:val="0067400B"/>
    <w:rsid w:val="00674576"/>
    <w:rsid w:val="00674CDB"/>
    <w:rsid w:val="0067508E"/>
    <w:rsid w:val="00675132"/>
    <w:rsid w:val="006775DE"/>
    <w:rsid w:val="00677A18"/>
    <w:rsid w:val="0068040F"/>
    <w:rsid w:val="006809E3"/>
    <w:rsid w:val="00680F94"/>
    <w:rsid w:val="006813E1"/>
    <w:rsid w:val="00681EDB"/>
    <w:rsid w:val="0068216E"/>
    <w:rsid w:val="006823BE"/>
    <w:rsid w:val="00683564"/>
    <w:rsid w:val="00683CEB"/>
    <w:rsid w:val="00684721"/>
    <w:rsid w:val="0068493E"/>
    <w:rsid w:val="00684E98"/>
    <w:rsid w:val="00686486"/>
    <w:rsid w:val="006865EA"/>
    <w:rsid w:val="006868D4"/>
    <w:rsid w:val="00687C80"/>
    <w:rsid w:val="0069160C"/>
    <w:rsid w:val="00691C1A"/>
    <w:rsid w:val="006921F9"/>
    <w:rsid w:val="0069326B"/>
    <w:rsid w:val="006933C8"/>
    <w:rsid w:val="00694F00"/>
    <w:rsid w:val="00695A93"/>
    <w:rsid w:val="00695C69"/>
    <w:rsid w:val="00696AA8"/>
    <w:rsid w:val="00696BC1"/>
    <w:rsid w:val="00697039"/>
    <w:rsid w:val="006971DE"/>
    <w:rsid w:val="006972AF"/>
    <w:rsid w:val="006974E9"/>
    <w:rsid w:val="006974F1"/>
    <w:rsid w:val="00697DB8"/>
    <w:rsid w:val="006A0DFC"/>
    <w:rsid w:val="006A2AEA"/>
    <w:rsid w:val="006A38BB"/>
    <w:rsid w:val="006A3910"/>
    <w:rsid w:val="006A3974"/>
    <w:rsid w:val="006A5D34"/>
    <w:rsid w:val="006A7439"/>
    <w:rsid w:val="006B0693"/>
    <w:rsid w:val="006B0C88"/>
    <w:rsid w:val="006B101A"/>
    <w:rsid w:val="006B1C27"/>
    <w:rsid w:val="006B205B"/>
    <w:rsid w:val="006B2D85"/>
    <w:rsid w:val="006B38CA"/>
    <w:rsid w:val="006B3F60"/>
    <w:rsid w:val="006B4C19"/>
    <w:rsid w:val="006B4E9A"/>
    <w:rsid w:val="006B54EB"/>
    <w:rsid w:val="006B5790"/>
    <w:rsid w:val="006B5EDC"/>
    <w:rsid w:val="006B63D4"/>
    <w:rsid w:val="006B69B8"/>
    <w:rsid w:val="006B6E43"/>
    <w:rsid w:val="006B7732"/>
    <w:rsid w:val="006B7F4B"/>
    <w:rsid w:val="006C1D46"/>
    <w:rsid w:val="006C2102"/>
    <w:rsid w:val="006C2167"/>
    <w:rsid w:val="006C2924"/>
    <w:rsid w:val="006C3818"/>
    <w:rsid w:val="006C49BB"/>
    <w:rsid w:val="006C4B2C"/>
    <w:rsid w:val="006C58E9"/>
    <w:rsid w:val="006C6982"/>
    <w:rsid w:val="006C69D6"/>
    <w:rsid w:val="006C7BB0"/>
    <w:rsid w:val="006D07F9"/>
    <w:rsid w:val="006D080A"/>
    <w:rsid w:val="006D2FCB"/>
    <w:rsid w:val="006D3124"/>
    <w:rsid w:val="006D3D7A"/>
    <w:rsid w:val="006D4CA2"/>
    <w:rsid w:val="006D7085"/>
    <w:rsid w:val="006E049C"/>
    <w:rsid w:val="006E1CFF"/>
    <w:rsid w:val="006E1D61"/>
    <w:rsid w:val="006E27C0"/>
    <w:rsid w:val="006E27E0"/>
    <w:rsid w:val="006E2A81"/>
    <w:rsid w:val="006E2C40"/>
    <w:rsid w:val="006E2DBB"/>
    <w:rsid w:val="006E324E"/>
    <w:rsid w:val="006E3274"/>
    <w:rsid w:val="006E361B"/>
    <w:rsid w:val="006E3A7F"/>
    <w:rsid w:val="006E446C"/>
    <w:rsid w:val="006E4AA3"/>
    <w:rsid w:val="006E4DE9"/>
    <w:rsid w:val="006E58CE"/>
    <w:rsid w:val="006E5E59"/>
    <w:rsid w:val="006E5EE8"/>
    <w:rsid w:val="006E6456"/>
    <w:rsid w:val="006E7568"/>
    <w:rsid w:val="006F025C"/>
    <w:rsid w:val="006F02C0"/>
    <w:rsid w:val="006F1E01"/>
    <w:rsid w:val="006F243E"/>
    <w:rsid w:val="006F3D4B"/>
    <w:rsid w:val="006F4773"/>
    <w:rsid w:val="006F52E9"/>
    <w:rsid w:val="006F5F20"/>
    <w:rsid w:val="006F60E3"/>
    <w:rsid w:val="006F610E"/>
    <w:rsid w:val="006F6A2A"/>
    <w:rsid w:val="006F7DB1"/>
    <w:rsid w:val="00700075"/>
    <w:rsid w:val="00700A13"/>
    <w:rsid w:val="00701304"/>
    <w:rsid w:val="007031AF"/>
    <w:rsid w:val="007048C9"/>
    <w:rsid w:val="00704C6C"/>
    <w:rsid w:val="00706594"/>
    <w:rsid w:val="0070754B"/>
    <w:rsid w:val="007078FA"/>
    <w:rsid w:val="0071042A"/>
    <w:rsid w:val="00710938"/>
    <w:rsid w:val="00711409"/>
    <w:rsid w:val="007116FD"/>
    <w:rsid w:val="007123ED"/>
    <w:rsid w:val="00714A91"/>
    <w:rsid w:val="00714CD0"/>
    <w:rsid w:val="00714E8E"/>
    <w:rsid w:val="00715D0F"/>
    <w:rsid w:val="00716573"/>
    <w:rsid w:val="00720172"/>
    <w:rsid w:val="007203C9"/>
    <w:rsid w:val="007209A2"/>
    <w:rsid w:val="0072117A"/>
    <w:rsid w:val="00722E62"/>
    <w:rsid w:val="00725666"/>
    <w:rsid w:val="007263F6"/>
    <w:rsid w:val="00726AFD"/>
    <w:rsid w:val="00727030"/>
    <w:rsid w:val="007273C7"/>
    <w:rsid w:val="00730607"/>
    <w:rsid w:val="00730675"/>
    <w:rsid w:val="00730979"/>
    <w:rsid w:val="00730A16"/>
    <w:rsid w:val="00731B28"/>
    <w:rsid w:val="007337B0"/>
    <w:rsid w:val="007352B1"/>
    <w:rsid w:val="00736112"/>
    <w:rsid w:val="00736CFB"/>
    <w:rsid w:val="007401F3"/>
    <w:rsid w:val="00740BB3"/>
    <w:rsid w:val="007417A8"/>
    <w:rsid w:val="0074191C"/>
    <w:rsid w:val="00741CB3"/>
    <w:rsid w:val="007428BD"/>
    <w:rsid w:val="00742A2D"/>
    <w:rsid w:val="00742DC0"/>
    <w:rsid w:val="00742EC0"/>
    <w:rsid w:val="007430F0"/>
    <w:rsid w:val="00743C72"/>
    <w:rsid w:val="00744D5E"/>
    <w:rsid w:val="00744E13"/>
    <w:rsid w:val="007457F2"/>
    <w:rsid w:val="00747DA1"/>
    <w:rsid w:val="00747ECF"/>
    <w:rsid w:val="00747F48"/>
    <w:rsid w:val="00747FC2"/>
    <w:rsid w:val="007503E9"/>
    <w:rsid w:val="00751568"/>
    <w:rsid w:val="00751663"/>
    <w:rsid w:val="0075196E"/>
    <w:rsid w:val="00751E40"/>
    <w:rsid w:val="00751EA9"/>
    <w:rsid w:val="00753075"/>
    <w:rsid w:val="007538B8"/>
    <w:rsid w:val="00754150"/>
    <w:rsid w:val="007544DC"/>
    <w:rsid w:val="007558D9"/>
    <w:rsid w:val="00760029"/>
    <w:rsid w:val="00760F5A"/>
    <w:rsid w:val="007613B4"/>
    <w:rsid w:val="007613E2"/>
    <w:rsid w:val="00761BA3"/>
    <w:rsid w:val="00761FEB"/>
    <w:rsid w:val="00763014"/>
    <w:rsid w:val="00765923"/>
    <w:rsid w:val="00765A98"/>
    <w:rsid w:val="00766066"/>
    <w:rsid w:val="00767249"/>
    <w:rsid w:val="00767807"/>
    <w:rsid w:val="0077023E"/>
    <w:rsid w:val="00771981"/>
    <w:rsid w:val="00772E1F"/>
    <w:rsid w:val="00774D2E"/>
    <w:rsid w:val="00776057"/>
    <w:rsid w:val="00776CAE"/>
    <w:rsid w:val="007773ED"/>
    <w:rsid w:val="00780BF3"/>
    <w:rsid w:val="00780C52"/>
    <w:rsid w:val="00780DCC"/>
    <w:rsid w:val="00780E88"/>
    <w:rsid w:val="00781283"/>
    <w:rsid w:val="00781A3A"/>
    <w:rsid w:val="0078274D"/>
    <w:rsid w:val="00782DB3"/>
    <w:rsid w:val="00783A82"/>
    <w:rsid w:val="00784BD6"/>
    <w:rsid w:val="00785780"/>
    <w:rsid w:val="00785B84"/>
    <w:rsid w:val="007866A4"/>
    <w:rsid w:val="0079533D"/>
    <w:rsid w:val="00795A70"/>
    <w:rsid w:val="00795A90"/>
    <w:rsid w:val="007960EC"/>
    <w:rsid w:val="007961B1"/>
    <w:rsid w:val="00797008"/>
    <w:rsid w:val="007973BC"/>
    <w:rsid w:val="007A12E2"/>
    <w:rsid w:val="007A2A22"/>
    <w:rsid w:val="007A3F9F"/>
    <w:rsid w:val="007A4A2C"/>
    <w:rsid w:val="007A4BDD"/>
    <w:rsid w:val="007A5C91"/>
    <w:rsid w:val="007A5EE0"/>
    <w:rsid w:val="007A68EE"/>
    <w:rsid w:val="007A707E"/>
    <w:rsid w:val="007A73E8"/>
    <w:rsid w:val="007A7D82"/>
    <w:rsid w:val="007A7EA2"/>
    <w:rsid w:val="007B0006"/>
    <w:rsid w:val="007B032A"/>
    <w:rsid w:val="007B0520"/>
    <w:rsid w:val="007B0746"/>
    <w:rsid w:val="007B082D"/>
    <w:rsid w:val="007B0D07"/>
    <w:rsid w:val="007B13ED"/>
    <w:rsid w:val="007B21CB"/>
    <w:rsid w:val="007B23F4"/>
    <w:rsid w:val="007B25BB"/>
    <w:rsid w:val="007B3209"/>
    <w:rsid w:val="007B38F5"/>
    <w:rsid w:val="007B3D9A"/>
    <w:rsid w:val="007B3F99"/>
    <w:rsid w:val="007B46BF"/>
    <w:rsid w:val="007B4718"/>
    <w:rsid w:val="007B4833"/>
    <w:rsid w:val="007B68F6"/>
    <w:rsid w:val="007B7106"/>
    <w:rsid w:val="007B7409"/>
    <w:rsid w:val="007B7967"/>
    <w:rsid w:val="007C1E68"/>
    <w:rsid w:val="007C20F9"/>
    <w:rsid w:val="007C22B3"/>
    <w:rsid w:val="007C265B"/>
    <w:rsid w:val="007C2C04"/>
    <w:rsid w:val="007C2C45"/>
    <w:rsid w:val="007C3571"/>
    <w:rsid w:val="007C3E13"/>
    <w:rsid w:val="007C4085"/>
    <w:rsid w:val="007C44AB"/>
    <w:rsid w:val="007C521A"/>
    <w:rsid w:val="007C5531"/>
    <w:rsid w:val="007C56D0"/>
    <w:rsid w:val="007C5CE3"/>
    <w:rsid w:val="007C6195"/>
    <w:rsid w:val="007C6D21"/>
    <w:rsid w:val="007C75DC"/>
    <w:rsid w:val="007C769B"/>
    <w:rsid w:val="007D02A3"/>
    <w:rsid w:val="007D043B"/>
    <w:rsid w:val="007D3286"/>
    <w:rsid w:val="007D4A8C"/>
    <w:rsid w:val="007D5281"/>
    <w:rsid w:val="007D52C1"/>
    <w:rsid w:val="007D5A46"/>
    <w:rsid w:val="007D70F2"/>
    <w:rsid w:val="007D74AA"/>
    <w:rsid w:val="007E076E"/>
    <w:rsid w:val="007E0B7A"/>
    <w:rsid w:val="007E2DE3"/>
    <w:rsid w:val="007E303B"/>
    <w:rsid w:val="007E3095"/>
    <w:rsid w:val="007E3A6B"/>
    <w:rsid w:val="007E49AF"/>
    <w:rsid w:val="007E530C"/>
    <w:rsid w:val="007E59BC"/>
    <w:rsid w:val="007E5E1B"/>
    <w:rsid w:val="007E60C5"/>
    <w:rsid w:val="007E6846"/>
    <w:rsid w:val="007E71AD"/>
    <w:rsid w:val="007E7802"/>
    <w:rsid w:val="007E7B42"/>
    <w:rsid w:val="007E7D8D"/>
    <w:rsid w:val="007E7DED"/>
    <w:rsid w:val="007F03A1"/>
    <w:rsid w:val="007F0EB9"/>
    <w:rsid w:val="007F1471"/>
    <w:rsid w:val="007F15DC"/>
    <w:rsid w:val="007F253F"/>
    <w:rsid w:val="007F293F"/>
    <w:rsid w:val="007F2D24"/>
    <w:rsid w:val="007F4247"/>
    <w:rsid w:val="007F5ABF"/>
    <w:rsid w:val="007F77F2"/>
    <w:rsid w:val="0080136C"/>
    <w:rsid w:val="00801E30"/>
    <w:rsid w:val="00802E7B"/>
    <w:rsid w:val="008035F3"/>
    <w:rsid w:val="00803FEE"/>
    <w:rsid w:val="008040CF"/>
    <w:rsid w:val="00805338"/>
    <w:rsid w:val="00806F86"/>
    <w:rsid w:val="0080744B"/>
    <w:rsid w:val="008108C4"/>
    <w:rsid w:val="00810AC1"/>
    <w:rsid w:val="00810DAC"/>
    <w:rsid w:val="008113B9"/>
    <w:rsid w:val="00811D99"/>
    <w:rsid w:val="008137A4"/>
    <w:rsid w:val="00813A5B"/>
    <w:rsid w:val="0081570E"/>
    <w:rsid w:val="00815F1F"/>
    <w:rsid w:val="0081654D"/>
    <w:rsid w:val="00820225"/>
    <w:rsid w:val="008206D3"/>
    <w:rsid w:val="00820BCE"/>
    <w:rsid w:val="00821162"/>
    <w:rsid w:val="00821878"/>
    <w:rsid w:val="008219BB"/>
    <w:rsid w:val="00823129"/>
    <w:rsid w:val="008233D4"/>
    <w:rsid w:val="00823CF2"/>
    <w:rsid w:val="00824232"/>
    <w:rsid w:val="00824F8B"/>
    <w:rsid w:val="0082506B"/>
    <w:rsid w:val="00825841"/>
    <w:rsid w:val="0082668F"/>
    <w:rsid w:val="00826A3A"/>
    <w:rsid w:val="008278F7"/>
    <w:rsid w:val="00827B67"/>
    <w:rsid w:val="008316AD"/>
    <w:rsid w:val="00831E29"/>
    <w:rsid w:val="00832251"/>
    <w:rsid w:val="00833058"/>
    <w:rsid w:val="008332F7"/>
    <w:rsid w:val="008341C7"/>
    <w:rsid w:val="0083462F"/>
    <w:rsid w:val="00834D43"/>
    <w:rsid w:val="00836D51"/>
    <w:rsid w:val="0083751F"/>
    <w:rsid w:val="00837873"/>
    <w:rsid w:val="008378F8"/>
    <w:rsid w:val="00840A3B"/>
    <w:rsid w:val="00840C82"/>
    <w:rsid w:val="0084166C"/>
    <w:rsid w:val="00841DDD"/>
    <w:rsid w:val="00842AAE"/>
    <w:rsid w:val="00843E3C"/>
    <w:rsid w:val="008445DE"/>
    <w:rsid w:val="00844DFE"/>
    <w:rsid w:val="00846590"/>
    <w:rsid w:val="00847947"/>
    <w:rsid w:val="00847E49"/>
    <w:rsid w:val="00850C84"/>
    <w:rsid w:val="00853D62"/>
    <w:rsid w:val="008546BD"/>
    <w:rsid w:val="008560AE"/>
    <w:rsid w:val="00862232"/>
    <w:rsid w:val="00862598"/>
    <w:rsid w:val="00862F5E"/>
    <w:rsid w:val="0086392E"/>
    <w:rsid w:val="00863E6C"/>
    <w:rsid w:val="00863EE1"/>
    <w:rsid w:val="00864A4D"/>
    <w:rsid w:val="00865CD0"/>
    <w:rsid w:val="00867757"/>
    <w:rsid w:val="00867826"/>
    <w:rsid w:val="00867C71"/>
    <w:rsid w:val="00870A74"/>
    <w:rsid w:val="00870F8A"/>
    <w:rsid w:val="00871105"/>
    <w:rsid w:val="00872E57"/>
    <w:rsid w:val="00873AA6"/>
    <w:rsid w:val="00873B16"/>
    <w:rsid w:val="00874D2D"/>
    <w:rsid w:val="008760EB"/>
    <w:rsid w:val="00876662"/>
    <w:rsid w:val="00876C4E"/>
    <w:rsid w:val="008771A4"/>
    <w:rsid w:val="008774C7"/>
    <w:rsid w:val="008777D1"/>
    <w:rsid w:val="00880128"/>
    <w:rsid w:val="008819DA"/>
    <w:rsid w:val="00881D23"/>
    <w:rsid w:val="008826C1"/>
    <w:rsid w:val="008827BF"/>
    <w:rsid w:val="00882B13"/>
    <w:rsid w:val="0088361C"/>
    <w:rsid w:val="00883AE2"/>
    <w:rsid w:val="0088401A"/>
    <w:rsid w:val="00885682"/>
    <w:rsid w:val="008857A9"/>
    <w:rsid w:val="00885D7E"/>
    <w:rsid w:val="008862C9"/>
    <w:rsid w:val="00886842"/>
    <w:rsid w:val="00886F1F"/>
    <w:rsid w:val="00890343"/>
    <w:rsid w:val="00890511"/>
    <w:rsid w:val="00890597"/>
    <w:rsid w:val="008914D1"/>
    <w:rsid w:val="008919AC"/>
    <w:rsid w:val="00891D72"/>
    <w:rsid w:val="008921D1"/>
    <w:rsid w:val="0089286D"/>
    <w:rsid w:val="00892921"/>
    <w:rsid w:val="00892D01"/>
    <w:rsid w:val="00892FAF"/>
    <w:rsid w:val="00894332"/>
    <w:rsid w:val="0089488F"/>
    <w:rsid w:val="00894E6C"/>
    <w:rsid w:val="00894E98"/>
    <w:rsid w:val="0089735B"/>
    <w:rsid w:val="00897602"/>
    <w:rsid w:val="00897B80"/>
    <w:rsid w:val="00897F93"/>
    <w:rsid w:val="008A0CA6"/>
    <w:rsid w:val="008A0E40"/>
    <w:rsid w:val="008A1751"/>
    <w:rsid w:val="008A2627"/>
    <w:rsid w:val="008A2671"/>
    <w:rsid w:val="008A28FA"/>
    <w:rsid w:val="008A2B0B"/>
    <w:rsid w:val="008A4A31"/>
    <w:rsid w:val="008A5E2D"/>
    <w:rsid w:val="008A625D"/>
    <w:rsid w:val="008A62AF"/>
    <w:rsid w:val="008A6A0B"/>
    <w:rsid w:val="008A726D"/>
    <w:rsid w:val="008A7E41"/>
    <w:rsid w:val="008B0511"/>
    <w:rsid w:val="008B07BE"/>
    <w:rsid w:val="008B0AFD"/>
    <w:rsid w:val="008B225D"/>
    <w:rsid w:val="008B297C"/>
    <w:rsid w:val="008B2FD5"/>
    <w:rsid w:val="008B3B42"/>
    <w:rsid w:val="008B3FEF"/>
    <w:rsid w:val="008B4237"/>
    <w:rsid w:val="008B4D2C"/>
    <w:rsid w:val="008B56C4"/>
    <w:rsid w:val="008B58C4"/>
    <w:rsid w:val="008B6298"/>
    <w:rsid w:val="008B6DF9"/>
    <w:rsid w:val="008B6F1F"/>
    <w:rsid w:val="008B7458"/>
    <w:rsid w:val="008C05C5"/>
    <w:rsid w:val="008C06B5"/>
    <w:rsid w:val="008C122A"/>
    <w:rsid w:val="008C1DD7"/>
    <w:rsid w:val="008C2458"/>
    <w:rsid w:val="008C24D7"/>
    <w:rsid w:val="008C2FAC"/>
    <w:rsid w:val="008C3D8A"/>
    <w:rsid w:val="008C3DA2"/>
    <w:rsid w:val="008C4B2D"/>
    <w:rsid w:val="008C4B76"/>
    <w:rsid w:val="008C544A"/>
    <w:rsid w:val="008C545A"/>
    <w:rsid w:val="008C60BE"/>
    <w:rsid w:val="008C617E"/>
    <w:rsid w:val="008C63E3"/>
    <w:rsid w:val="008C6D43"/>
    <w:rsid w:val="008C6ECA"/>
    <w:rsid w:val="008C73B0"/>
    <w:rsid w:val="008C77B4"/>
    <w:rsid w:val="008D0973"/>
    <w:rsid w:val="008D0A0C"/>
    <w:rsid w:val="008D2EF2"/>
    <w:rsid w:val="008D3F05"/>
    <w:rsid w:val="008D4163"/>
    <w:rsid w:val="008D594C"/>
    <w:rsid w:val="008D6E26"/>
    <w:rsid w:val="008D7215"/>
    <w:rsid w:val="008D7AE4"/>
    <w:rsid w:val="008E036D"/>
    <w:rsid w:val="008E0F45"/>
    <w:rsid w:val="008E17E6"/>
    <w:rsid w:val="008E1E2F"/>
    <w:rsid w:val="008E2A13"/>
    <w:rsid w:val="008E310B"/>
    <w:rsid w:val="008E3AA3"/>
    <w:rsid w:val="008E41D5"/>
    <w:rsid w:val="008E49C6"/>
    <w:rsid w:val="008E51C8"/>
    <w:rsid w:val="008E60DE"/>
    <w:rsid w:val="008E63EE"/>
    <w:rsid w:val="008E73F3"/>
    <w:rsid w:val="008E7F9B"/>
    <w:rsid w:val="008F0801"/>
    <w:rsid w:val="008F1015"/>
    <w:rsid w:val="008F129C"/>
    <w:rsid w:val="008F2987"/>
    <w:rsid w:val="008F2B81"/>
    <w:rsid w:val="008F328F"/>
    <w:rsid w:val="008F35A0"/>
    <w:rsid w:val="008F3870"/>
    <w:rsid w:val="008F3CDB"/>
    <w:rsid w:val="008F56C8"/>
    <w:rsid w:val="008F69B3"/>
    <w:rsid w:val="008F6E27"/>
    <w:rsid w:val="009000BB"/>
    <w:rsid w:val="00901692"/>
    <w:rsid w:val="00902660"/>
    <w:rsid w:val="009040AC"/>
    <w:rsid w:val="0090603D"/>
    <w:rsid w:val="0090611A"/>
    <w:rsid w:val="009063BE"/>
    <w:rsid w:val="00906BDD"/>
    <w:rsid w:val="0090728F"/>
    <w:rsid w:val="00907380"/>
    <w:rsid w:val="00907951"/>
    <w:rsid w:val="009103FA"/>
    <w:rsid w:val="00911582"/>
    <w:rsid w:val="00912316"/>
    <w:rsid w:val="00912B7E"/>
    <w:rsid w:val="00912BCE"/>
    <w:rsid w:val="00915322"/>
    <w:rsid w:val="009158B3"/>
    <w:rsid w:val="0091624D"/>
    <w:rsid w:val="00917672"/>
    <w:rsid w:val="009208E6"/>
    <w:rsid w:val="0092107F"/>
    <w:rsid w:val="009211DB"/>
    <w:rsid w:val="009226D1"/>
    <w:rsid w:val="009229E9"/>
    <w:rsid w:val="00923C3B"/>
    <w:rsid w:val="0092567B"/>
    <w:rsid w:val="00926B3B"/>
    <w:rsid w:val="00926D5A"/>
    <w:rsid w:val="0092710A"/>
    <w:rsid w:val="009272FF"/>
    <w:rsid w:val="00927A9F"/>
    <w:rsid w:val="00927DC8"/>
    <w:rsid w:val="00930A48"/>
    <w:rsid w:val="0093176E"/>
    <w:rsid w:val="00932B3A"/>
    <w:rsid w:val="00932CED"/>
    <w:rsid w:val="00932F5D"/>
    <w:rsid w:val="009339B8"/>
    <w:rsid w:val="00933CAF"/>
    <w:rsid w:val="00934072"/>
    <w:rsid w:val="00934215"/>
    <w:rsid w:val="00934C01"/>
    <w:rsid w:val="00934E14"/>
    <w:rsid w:val="00934E6D"/>
    <w:rsid w:val="0093539C"/>
    <w:rsid w:val="009359F6"/>
    <w:rsid w:val="00935FA5"/>
    <w:rsid w:val="00936A9E"/>
    <w:rsid w:val="00937055"/>
    <w:rsid w:val="009370C2"/>
    <w:rsid w:val="0093793A"/>
    <w:rsid w:val="0094063A"/>
    <w:rsid w:val="0094089F"/>
    <w:rsid w:val="00940CA5"/>
    <w:rsid w:val="009417A8"/>
    <w:rsid w:val="00941BFA"/>
    <w:rsid w:val="009426A1"/>
    <w:rsid w:val="00942AB3"/>
    <w:rsid w:val="00944E49"/>
    <w:rsid w:val="009455BF"/>
    <w:rsid w:val="009458DA"/>
    <w:rsid w:val="00945F62"/>
    <w:rsid w:val="009460B7"/>
    <w:rsid w:val="009468C1"/>
    <w:rsid w:val="00946BB2"/>
    <w:rsid w:val="00947286"/>
    <w:rsid w:val="00947943"/>
    <w:rsid w:val="00950BC6"/>
    <w:rsid w:val="00950DBA"/>
    <w:rsid w:val="00951C8E"/>
    <w:rsid w:val="00951D19"/>
    <w:rsid w:val="00951D3B"/>
    <w:rsid w:val="00951D4F"/>
    <w:rsid w:val="00951FBE"/>
    <w:rsid w:val="0095210B"/>
    <w:rsid w:val="0095365C"/>
    <w:rsid w:val="00953D52"/>
    <w:rsid w:val="00953F71"/>
    <w:rsid w:val="0095402C"/>
    <w:rsid w:val="00954C47"/>
    <w:rsid w:val="0095585C"/>
    <w:rsid w:val="00956843"/>
    <w:rsid w:val="00957BA0"/>
    <w:rsid w:val="009602AE"/>
    <w:rsid w:val="00960397"/>
    <w:rsid w:val="0096062C"/>
    <w:rsid w:val="00960842"/>
    <w:rsid w:val="00960861"/>
    <w:rsid w:val="0096099F"/>
    <w:rsid w:val="009614B7"/>
    <w:rsid w:val="00961DFE"/>
    <w:rsid w:val="009622D3"/>
    <w:rsid w:val="0096345A"/>
    <w:rsid w:val="009635E8"/>
    <w:rsid w:val="009642D2"/>
    <w:rsid w:val="0096437B"/>
    <w:rsid w:val="0096633E"/>
    <w:rsid w:val="00966962"/>
    <w:rsid w:val="00967353"/>
    <w:rsid w:val="009679CC"/>
    <w:rsid w:val="00967E70"/>
    <w:rsid w:val="00970A4D"/>
    <w:rsid w:val="00971258"/>
    <w:rsid w:val="00972EE5"/>
    <w:rsid w:val="00974131"/>
    <w:rsid w:val="0097530D"/>
    <w:rsid w:val="00975865"/>
    <w:rsid w:val="00975C1A"/>
    <w:rsid w:val="00975DA5"/>
    <w:rsid w:val="009762DE"/>
    <w:rsid w:val="0097774A"/>
    <w:rsid w:val="009777C5"/>
    <w:rsid w:val="00977F22"/>
    <w:rsid w:val="00980383"/>
    <w:rsid w:val="009808F5"/>
    <w:rsid w:val="00980AAB"/>
    <w:rsid w:val="009817D3"/>
    <w:rsid w:val="00981D5A"/>
    <w:rsid w:val="00981F54"/>
    <w:rsid w:val="00982266"/>
    <w:rsid w:val="0098229C"/>
    <w:rsid w:val="009847D2"/>
    <w:rsid w:val="00985490"/>
    <w:rsid w:val="00985EFD"/>
    <w:rsid w:val="009862C9"/>
    <w:rsid w:val="00986530"/>
    <w:rsid w:val="00987D87"/>
    <w:rsid w:val="00990400"/>
    <w:rsid w:val="009909E5"/>
    <w:rsid w:val="00990C8E"/>
    <w:rsid w:val="00990C9A"/>
    <w:rsid w:val="009916A3"/>
    <w:rsid w:val="0099228F"/>
    <w:rsid w:val="009947C9"/>
    <w:rsid w:val="009948B3"/>
    <w:rsid w:val="00994A2F"/>
    <w:rsid w:val="009953E5"/>
    <w:rsid w:val="009953EB"/>
    <w:rsid w:val="00997010"/>
    <w:rsid w:val="009A021F"/>
    <w:rsid w:val="009A0247"/>
    <w:rsid w:val="009A0C46"/>
    <w:rsid w:val="009A0D45"/>
    <w:rsid w:val="009A1161"/>
    <w:rsid w:val="009A1B31"/>
    <w:rsid w:val="009A1E85"/>
    <w:rsid w:val="009A233D"/>
    <w:rsid w:val="009A27F3"/>
    <w:rsid w:val="009A2919"/>
    <w:rsid w:val="009A32F8"/>
    <w:rsid w:val="009A3A5D"/>
    <w:rsid w:val="009A40FC"/>
    <w:rsid w:val="009A4439"/>
    <w:rsid w:val="009A45C0"/>
    <w:rsid w:val="009A6FA8"/>
    <w:rsid w:val="009A723B"/>
    <w:rsid w:val="009A778E"/>
    <w:rsid w:val="009A7938"/>
    <w:rsid w:val="009B1762"/>
    <w:rsid w:val="009B1A48"/>
    <w:rsid w:val="009B2A23"/>
    <w:rsid w:val="009B375E"/>
    <w:rsid w:val="009B45B2"/>
    <w:rsid w:val="009B56C2"/>
    <w:rsid w:val="009B575B"/>
    <w:rsid w:val="009B5B7E"/>
    <w:rsid w:val="009B7464"/>
    <w:rsid w:val="009B783B"/>
    <w:rsid w:val="009B7EC9"/>
    <w:rsid w:val="009C1344"/>
    <w:rsid w:val="009C1947"/>
    <w:rsid w:val="009C19CC"/>
    <w:rsid w:val="009C2907"/>
    <w:rsid w:val="009C4502"/>
    <w:rsid w:val="009C4889"/>
    <w:rsid w:val="009C48E7"/>
    <w:rsid w:val="009C49A0"/>
    <w:rsid w:val="009C4BCB"/>
    <w:rsid w:val="009C518E"/>
    <w:rsid w:val="009C648A"/>
    <w:rsid w:val="009C6B4E"/>
    <w:rsid w:val="009C6FA1"/>
    <w:rsid w:val="009C762B"/>
    <w:rsid w:val="009C7C93"/>
    <w:rsid w:val="009D0FDD"/>
    <w:rsid w:val="009D1EA3"/>
    <w:rsid w:val="009D2CBB"/>
    <w:rsid w:val="009D3413"/>
    <w:rsid w:val="009D3900"/>
    <w:rsid w:val="009D3AE4"/>
    <w:rsid w:val="009D3D5E"/>
    <w:rsid w:val="009D3D7B"/>
    <w:rsid w:val="009D3E7F"/>
    <w:rsid w:val="009D6193"/>
    <w:rsid w:val="009D62C1"/>
    <w:rsid w:val="009D631A"/>
    <w:rsid w:val="009D6DF7"/>
    <w:rsid w:val="009D7E75"/>
    <w:rsid w:val="009E064D"/>
    <w:rsid w:val="009E17D3"/>
    <w:rsid w:val="009E2388"/>
    <w:rsid w:val="009E279D"/>
    <w:rsid w:val="009E28AD"/>
    <w:rsid w:val="009E2926"/>
    <w:rsid w:val="009E29FB"/>
    <w:rsid w:val="009E2A15"/>
    <w:rsid w:val="009E39F0"/>
    <w:rsid w:val="009E47BC"/>
    <w:rsid w:val="009E4F52"/>
    <w:rsid w:val="009E5CFE"/>
    <w:rsid w:val="009E6890"/>
    <w:rsid w:val="009E7DD0"/>
    <w:rsid w:val="009E7E51"/>
    <w:rsid w:val="009F0124"/>
    <w:rsid w:val="009F0470"/>
    <w:rsid w:val="009F0579"/>
    <w:rsid w:val="009F0FEB"/>
    <w:rsid w:val="009F27C6"/>
    <w:rsid w:val="009F3780"/>
    <w:rsid w:val="009F3C41"/>
    <w:rsid w:val="009F51FC"/>
    <w:rsid w:val="009F619E"/>
    <w:rsid w:val="009F6594"/>
    <w:rsid w:val="009F70F0"/>
    <w:rsid w:val="009F7F88"/>
    <w:rsid w:val="00A0053E"/>
    <w:rsid w:val="00A00AF3"/>
    <w:rsid w:val="00A01300"/>
    <w:rsid w:val="00A02691"/>
    <w:rsid w:val="00A03A80"/>
    <w:rsid w:val="00A03BA0"/>
    <w:rsid w:val="00A041AB"/>
    <w:rsid w:val="00A060EB"/>
    <w:rsid w:val="00A07D2E"/>
    <w:rsid w:val="00A10351"/>
    <w:rsid w:val="00A10925"/>
    <w:rsid w:val="00A11599"/>
    <w:rsid w:val="00A121A3"/>
    <w:rsid w:val="00A12FEF"/>
    <w:rsid w:val="00A133AA"/>
    <w:rsid w:val="00A1418F"/>
    <w:rsid w:val="00A14475"/>
    <w:rsid w:val="00A1581A"/>
    <w:rsid w:val="00A15E08"/>
    <w:rsid w:val="00A162E0"/>
    <w:rsid w:val="00A16646"/>
    <w:rsid w:val="00A17057"/>
    <w:rsid w:val="00A17FCC"/>
    <w:rsid w:val="00A225A2"/>
    <w:rsid w:val="00A229B9"/>
    <w:rsid w:val="00A22C67"/>
    <w:rsid w:val="00A22D23"/>
    <w:rsid w:val="00A22EDF"/>
    <w:rsid w:val="00A23DA5"/>
    <w:rsid w:val="00A246EE"/>
    <w:rsid w:val="00A2598F"/>
    <w:rsid w:val="00A2740D"/>
    <w:rsid w:val="00A275DE"/>
    <w:rsid w:val="00A31C3E"/>
    <w:rsid w:val="00A31FEB"/>
    <w:rsid w:val="00A320FF"/>
    <w:rsid w:val="00A32978"/>
    <w:rsid w:val="00A335D0"/>
    <w:rsid w:val="00A33661"/>
    <w:rsid w:val="00A33AEB"/>
    <w:rsid w:val="00A3508F"/>
    <w:rsid w:val="00A355F3"/>
    <w:rsid w:val="00A35753"/>
    <w:rsid w:val="00A357C5"/>
    <w:rsid w:val="00A365BE"/>
    <w:rsid w:val="00A36622"/>
    <w:rsid w:val="00A37B6E"/>
    <w:rsid w:val="00A402CE"/>
    <w:rsid w:val="00A41870"/>
    <w:rsid w:val="00A43862"/>
    <w:rsid w:val="00A43E10"/>
    <w:rsid w:val="00A443A7"/>
    <w:rsid w:val="00A44D58"/>
    <w:rsid w:val="00A45BE2"/>
    <w:rsid w:val="00A45BEB"/>
    <w:rsid w:val="00A466AC"/>
    <w:rsid w:val="00A474FE"/>
    <w:rsid w:val="00A47B60"/>
    <w:rsid w:val="00A513A9"/>
    <w:rsid w:val="00A53457"/>
    <w:rsid w:val="00A537A6"/>
    <w:rsid w:val="00A53D29"/>
    <w:rsid w:val="00A5445D"/>
    <w:rsid w:val="00A54DD9"/>
    <w:rsid w:val="00A55F9B"/>
    <w:rsid w:val="00A56394"/>
    <w:rsid w:val="00A57050"/>
    <w:rsid w:val="00A57963"/>
    <w:rsid w:val="00A608A3"/>
    <w:rsid w:val="00A61AEF"/>
    <w:rsid w:val="00A623EB"/>
    <w:rsid w:val="00A63453"/>
    <w:rsid w:val="00A63DD0"/>
    <w:rsid w:val="00A63F48"/>
    <w:rsid w:val="00A64253"/>
    <w:rsid w:val="00A64676"/>
    <w:rsid w:val="00A6532A"/>
    <w:rsid w:val="00A65562"/>
    <w:rsid w:val="00A65D2C"/>
    <w:rsid w:val="00A664DC"/>
    <w:rsid w:val="00A67E57"/>
    <w:rsid w:val="00A70154"/>
    <w:rsid w:val="00A7054B"/>
    <w:rsid w:val="00A70E3E"/>
    <w:rsid w:val="00A715D4"/>
    <w:rsid w:val="00A72F35"/>
    <w:rsid w:val="00A73328"/>
    <w:rsid w:val="00A736B6"/>
    <w:rsid w:val="00A75134"/>
    <w:rsid w:val="00A775D9"/>
    <w:rsid w:val="00A77CF8"/>
    <w:rsid w:val="00A80386"/>
    <w:rsid w:val="00A8038D"/>
    <w:rsid w:val="00A805F0"/>
    <w:rsid w:val="00A80A76"/>
    <w:rsid w:val="00A815DC"/>
    <w:rsid w:val="00A820EF"/>
    <w:rsid w:val="00A83E6A"/>
    <w:rsid w:val="00A84618"/>
    <w:rsid w:val="00A84AD3"/>
    <w:rsid w:val="00A851F6"/>
    <w:rsid w:val="00A85A8E"/>
    <w:rsid w:val="00A86287"/>
    <w:rsid w:val="00A8668F"/>
    <w:rsid w:val="00A91E64"/>
    <w:rsid w:val="00A92820"/>
    <w:rsid w:val="00A92BA2"/>
    <w:rsid w:val="00A93160"/>
    <w:rsid w:val="00A93ACE"/>
    <w:rsid w:val="00A93CA5"/>
    <w:rsid w:val="00A93DAC"/>
    <w:rsid w:val="00A9413F"/>
    <w:rsid w:val="00A9497D"/>
    <w:rsid w:val="00A94E1A"/>
    <w:rsid w:val="00A95669"/>
    <w:rsid w:val="00A95AA5"/>
    <w:rsid w:val="00A95E67"/>
    <w:rsid w:val="00A965A2"/>
    <w:rsid w:val="00A96989"/>
    <w:rsid w:val="00A96DF4"/>
    <w:rsid w:val="00A96E1B"/>
    <w:rsid w:val="00A97064"/>
    <w:rsid w:val="00A97C4E"/>
    <w:rsid w:val="00AA0988"/>
    <w:rsid w:val="00AA1055"/>
    <w:rsid w:val="00AA15F0"/>
    <w:rsid w:val="00AA1716"/>
    <w:rsid w:val="00AA1D66"/>
    <w:rsid w:val="00AA257D"/>
    <w:rsid w:val="00AA2717"/>
    <w:rsid w:val="00AA2853"/>
    <w:rsid w:val="00AA39BB"/>
    <w:rsid w:val="00AA4637"/>
    <w:rsid w:val="00AA4F13"/>
    <w:rsid w:val="00AA523D"/>
    <w:rsid w:val="00AA5C29"/>
    <w:rsid w:val="00AA6812"/>
    <w:rsid w:val="00AA7518"/>
    <w:rsid w:val="00AB264D"/>
    <w:rsid w:val="00AB314C"/>
    <w:rsid w:val="00AB316D"/>
    <w:rsid w:val="00AB3172"/>
    <w:rsid w:val="00AB375F"/>
    <w:rsid w:val="00AB53AE"/>
    <w:rsid w:val="00AB5CD1"/>
    <w:rsid w:val="00AB5D72"/>
    <w:rsid w:val="00AB6131"/>
    <w:rsid w:val="00AB6B90"/>
    <w:rsid w:val="00AB74B0"/>
    <w:rsid w:val="00AC0C87"/>
    <w:rsid w:val="00AC1626"/>
    <w:rsid w:val="00AC369F"/>
    <w:rsid w:val="00AC3815"/>
    <w:rsid w:val="00AC44BF"/>
    <w:rsid w:val="00AC4854"/>
    <w:rsid w:val="00AC5B7B"/>
    <w:rsid w:val="00AC6459"/>
    <w:rsid w:val="00AC68C7"/>
    <w:rsid w:val="00AC6BB4"/>
    <w:rsid w:val="00AD10FA"/>
    <w:rsid w:val="00AD317E"/>
    <w:rsid w:val="00AD483B"/>
    <w:rsid w:val="00AD4A40"/>
    <w:rsid w:val="00AD5C65"/>
    <w:rsid w:val="00AD7144"/>
    <w:rsid w:val="00AE0452"/>
    <w:rsid w:val="00AE0B8B"/>
    <w:rsid w:val="00AE1217"/>
    <w:rsid w:val="00AE1D33"/>
    <w:rsid w:val="00AE1F4D"/>
    <w:rsid w:val="00AE2384"/>
    <w:rsid w:val="00AE2510"/>
    <w:rsid w:val="00AE25A6"/>
    <w:rsid w:val="00AE2E01"/>
    <w:rsid w:val="00AE35D6"/>
    <w:rsid w:val="00AE3C3F"/>
    <w:rsid w:val="00AE3EEF"/>
    <w:rsid w:val="00AE3F26"/>
    <w:rsid w:val="00AE4A77"/>
    <w:rsid w:val="00AE5EFC"/>
    <w:rsid w:val="00AE633D"/>
    <w:rsid w:val="00AE72AC"/>
    <w:rsid w:val="00AE7C10"/>
    <w:rsid w:val="00AF0122"/>
    <w:rsid w:val="00AF10B5"/>
    <w:rsid w:val="00AF2DB0"/>
    <w:rsid w:val="00AF35C4"/>
    <w:rsid w:val="00AF6F02"/>
    <w:rsid w:val="00AF7632"/>
    <w:rsid w:val="00AF7B79"/>
    <w:rsid w:val="00B001C6"/>
    <w:rsid w:val="00B02A22"/>
    <w:rsid w:val="00B02EAA"/>
    <w:rsid w:val="00B02FC3"/>
    <w:rsid w:val="00B0387C"/>
    <w:rsid w:val="00B03C42"/>
    <w:rsid w:val="00B03E17"/>
    <w:rsid w:val="00B044FC"/>
    <w:rsid w:val="00B0502B"/>
    <w:rsid w:val="00B05D0F"/>
    <w:rsid w:val="00B065A8"/>
    <w:rsid w:val="00B07520"/>
    <w:rsid w:val="00B1195E"/>
    <w:rsid w:val="00B11DED"/>
    <w:rsid w:val="00B11FDE"/>
    <w:rsid w:val="00B12D23"/>
    <w:rsid w:val="00B12D35"/>
    <w:rsid w:val="00B146AA"/>
    <w:rsid w:val="00B15AB7"/>
    <w:rsid w:val="00B16223"/>
    <w:rsid w:val="00B174CC"/>
    <w:rsid w:val="00B179D4"/>
    <w:rsid w:val="00B20EB3"/>
    <w:rsid w:val="00B228EF"/>
    <w:rsid w:val="00B22D6F"/>
    <w:rsid w:val="00B22E59"/>
    <w:rsid w:val="00B23582"/>
    <w:rsid w:val="00B240D7"/>
    <w:rsid w:val="00B25BB9"/>
    <w:rsid w:val="00B2678E"/>
    <w:rsid w:val="00B26EC1"/>
    <w:rsid w:val="00B279C3"/>
    <w:rsid w:val="00B3104E"/>
    <w:rsid w:val="00B3189B"/>
    <w:rsid w:val="00B3199E"/>
    <w:rsid w:val="00B31C6F"/>
    <w:rsid w:val="00B32129"/>
    <w:rsid w:val="00B32D7D"/>
    <w:rsid w:val="00B33290"/>
    <w:rsid w:val="00B3341F"/>
    <w:rsid w:val="00B34C95"/>
    <w:rsid w:val="00B3599D"/>
    <w:rsid w:val="00B3637A"/>
    <w:rsid w:val="00B36B57"/>
    <w:rsid w:val="00B36CA3"/>
    <w:rsid w:val="00B370A4"/>
    <w:rsid w:val="00B37108"/>
    <w:rsid w:val="00B411C2"/>
    <w:rsid w:val="00B41950"/>
    <w:rsid w:val="00B42760"/>
    <w:rsid w:val="00B4278E"/>
    <w:rsid w:val="00B42C9D"/>
    <w:rsid w:val="00B42CF4"/>
    <w:rsid w:val="00B42FF2"/>
    <w:rsid w:val="00B43535"/>
    <w:rsid w:val="00B43A32"/>
    <w:rsid w:val="00B444B9"/>
    <w:rsid w:val="00B45362"/>
    <w:rsid w:val="00B455CF"/>
    <w:rsid w:val="00B45C94"/>
    <w:rsid w:val="00B467B8"/>
    <w:rsid w:val="00B4701B"/>
    <w:rsid w:val="00B47217"/>
    <w:rsid w:val="00B47824"/>
    <w:rsid w:val="00B51BA9"/>
    <w:rsid w:val="00B51DCE"/>
    <w:rsid w:val="00B537A2"/>
    <w:rsid w:val="00B538A2"/>
    <w:rsid w:val="00B538F3"/>
    <w:rsid w:val="00B5590D"/>
    <w:rsid w:val="00B566FC"/>
    <w:rsid w:val="00B56D3D"/>
    <w:rsid w:val="00B57AF0"/>
    <w:rsid w:val="00B57F9B"/>
    <w:rsid w:val="00B603BE"/>
    <w:rsid w:val="00B61482"/>
    <w:rsid w:val="00B61CAC"/>
    <w:rsid w:val="00B626FD"/>
    <w:rsid w:val="00B630C8"/>
    <w:rsid w:val="00B63EA1"/>
    <w:rsid w:val="00B6499C"/>
    <w:rsid w:val="00B65973"/>
    <w:rsid w:val="00B65DFE"/>
    <w:rsid w:val="00B6646B"/>
    <w:rsid w:val="00B671DE"/>
    <w:rsid w:val="00B67A94"/>
    <w:rsid w:val="00B67D4A"/>
    <w:rsid w:val="00B710B4"/>
    <w:rsid w:val="00B71139"/>
    <w:rsid w:val="00B713A4"/>
    <w:rsid w:val="00B71CC1"/>
    <w:rsid w:val="00B73130"/>
    <w:rsid w:val="00B7348E"/>
    <w:rsid w:val="00B73F49"/>
    <w:rsid w:val="00B73FFB"/>
    <w:rsid w:val="00B75BB6"/>
    <w:rsid w:val="00B76231"/>
    <w:rsid w:val="00B77019"/>
    <w:rsid w:val="00B7720D"/>
    <w:rsid w:val="00B77218"/>
    <w:rsid w:val="00B810A0"/>
    <w:rsid w:val="00B85057"/>
    <w:rsid w:val="00B8514F"/>
    <w:rsid w:val="00B85621"/>
    <w:rsid w:val="00B86954"/>
    <w:rsid w:val="00B87FC9"/>
    <w:rsid w:val="00B908EE"/>
    <w:rsid w:val="00B90EDB"/>
    <w:rsid w:val="00B917ED"/>
    <w:rsid w:val="00B9256F"/>
    <w:rsid w:val="00B92D2A"/>
    <w:rsid w:val="00B92F20"/>
    <w:rsid w:val="00B936FB"/>
    <w:rsid w:val="00B9458C"/>
    <w:rsid w:val="00B9484B"/>
    <w:rsid w:val="00B9524B"/>
    <w:rsid w:val="00B9546A"/>
    <w:rsid w:val="00B954FC"/>
    <w:rsid w:val="00B95541"/>
    <w:rsid w:val="00B9584E"/>
    <w:rsid w:val="00B9607D"/>
    <w:rsid w:val="00B96615"/>
    <w:rsid w:val="00B96EC2"/>
    <w:rsid w:val="00B97155"/>
    <w:rsid w:val="00BA18DB"/>
    <w:rsid w:val="00BA1E33"/>
    <w:rsid w:val="00BA2873"/>
    <w:rsid w:val="00BA28EF"/>
    <w:rsid w:val="00BA2B02"/>
    <w:rsid w:val="00BA2B3D"/>
    <w:rsid w:val="00BA55AF"/>
    <w:rsid w:val="00BA58EA"/>
    <w:rsid w:val="00BA61EB"/>
    <w:rsid w:val="00BA623E"/>
    <w:rsid w:val="00BA63A5"/>
    <w:rsid w:val="00BA6CAC"/>
    <w:rsid w:val="00BA760D"/>
    <w:rsid w:val="00BA765C"/>
    <w:rsid w:val="00BB0088"/>
    <w:rsid w:val="00BB0965"/>
    <w:rsid w:val="00BB1B3D"/>
    <w:rsid w:val="00BB1BA5"/>
    <w:rsid w:val="00BB228D"/>
    <w:rsid w:val="00BB29A8"/>
    <w:rsid w:val="00BB386B"/>
    <w:rsid w:val="00BB3FCC"/>
    <w:rsid w:val="00BB52E2"/>
    <w:rsid w:val="00BB5870"/>
    <w:rsid w:val="00BB702B"/>
    <w:rsid w:val="00BC05AC"/>
    <w:rsid w:val="00BC0612"/>
    <w:rsid w:val="00BC0803"/>
    <w:rsid w:val="00BC0D64"/>
    <w:rsid w:val="00BC214F"/>
    <w:rsid w:val="00BC259F"/>
    <w:rsid w:val="00BC2E03"/>
    <w:rsid w:val="00BC47E7"/>
    <w:rsid w:val="00BC4A2C"/>
    <w:rsid w:val="00BC4B73"/>
    <w:rsid w:val="00BC5B1D"/>
    <w:rsid w:val="00BC6E92"/>
    <w:rsid w:val="00BC7FB6"/>
    <w:rsid w:val="00BD008C"/>
    <w:rsid w:val="00BD0B48"/>
    <w:rsid w:val="00BD16C3"/>
    <w:rsid w:val="00BD2289"/>
    <w:rsid w:val="00BD2561"/>
    <w:rsid w:val="00BD39D4"/>
    <w:rsid w:val="00BD3AF2"/>
    <w:rsid w:val="00BD3E61"/>
    <w:rsid w:val="00BD3EB9"/>
    <w:rsid w:val="00BD46CD"/>
    <w:rsid w:val="00BD5726"/>
    <w:rsid w:val="00BD59D0"/>
    <w:rsid w:val="00BD64ED"/>
    <w:rsid w:val="00BD657D"/>
    <w:rsid w:val="00BD68E5"/>
    <w:rsid w:val="00BD720A"/>
    <w:rsid w:val="00BD7801"/>
    <w:rsid w:val="00BD78D2"/>
    <w:rsid w:val="00BD7B6E"/>
    <w:rsid w:val="00BE057E"/>
    <w:rsid w:val="00BE064D"/>
    <w:rsid w:val="00BE09DC"/>
    <w:rsid w:val="00BE2990"/>
    <w:rsid w:val="00BE349D"/>
    <w:rsid w:val="00BE3552"/>
    <w:rsid w:val="00BE3CBD"/>
    <w:rsid w:val="00BE3CE4"/>
    <w:rsid w:val="00BE3F07"/>
    <w:rsid w:val="00BE4044"/>
    <w:rsid w:val="00BE431A"/>
    <w:rsid w:val="00BE449E"/>
    <w:rsid w:val="00BE4CB9"/>
    <w:rsid w:val="00BE510A"/>
    <w:rsid w:val="00BE769B"/>
    <w:rsid w:val="00BF010C"/>
    <w:rsid w:val="00BF282B"/>
    <w:rsid w:val="00BF30A1"/>
    <w:rsid w:val="00BF3727"/>
    <w:rsid w:val="00BF51DE"/>
    <w:rsid w:val="00BF61B4"/>
    <w:rsid w:val="00BF63AC"/>
    <w:rsid w:val="00BF7B6F"/>
    <w:rsid w:val="00C0122F"/>
    <w:rsid w:val="00C02BED"/>
    <w:rsid w:val="00C0422C"/>
    <w:rsid w:val="00C06216"/>
    <w:rsid w:val="00C0662D"/>
    <w:rsid w:val="00C067FA"/>
    <w:rsid w:val="00C0787C"/>
    <w:rsid w:val="00C07BB1"/>
    <w:rsid w:val="00C1048E"/>
    <w:rsid w:val="00C10D00"/>
    <w:rsid w:val="00C10ED6"/>
    <w:rsid w:val="00C116B6"/>
    <w:rsid w:val="00C12516"/>
    <w:rsid w:val="00C125CC"/>
    <w:rsid w:val="00C127DB"/>
    <w:rsid w:val="00C12F09"/>
    <w:rsid w:val="00C1495C"/>
    <w:rsid w:val="00C1599B"/>
    <w:rsid w:val="00C166D6"/>
    <w:rsid w:val="00C20087"/>
    <w:rsid w:val="00C2062B"/>
    <w:rsid w:val="00C20B45"/>
    <w:rsid w:val="00C21109"/>
    <w:rsid w:val="00C21518"/>
    <w:rsid w:val="00C22366"/>
    <w:rsid w:val="00C22724"/>
    <w:rsid w:val="00C233F8"/>
    <w:rsid w:val="00C23D5E"/>
    <w:rsid w:val="00C24033"/>
    <w:rsid w:val="00C24318"/>
    <w:rsid w:val="00C24AFC"/>
    <w:rsid w:val="00C24D11"/>
    <w:rsid w:val="00C2520D"/>
    <w:rsid w:val="00C25810"/>
    <w:rsid w:val="00C25A65"/>
    <w:rsid w:val="00C265CD"/>
    <w:rsid w:val="00C26AFB"/>
    <w:rsid w:val="00C31325"/>
    <w:rsid w:val="00C316EC"/>
    <w:rsid w:val="00C3195B"/>
    <w:rsid w:val="00C32EF3"/>
    <w:rsid w:val="00C33324"/>
    <w:rsid w:val="00C33DA9"/>
    <w:rsid w:val="00C33F5B"/>
    <w:rsid w:val="00C34B8A"/>
    <w:rsid w:val="00C362D7"/>
    <w:rsid w:val="00C36E54"/>
    <w:rsid w:val="00C376A7"/>
    <w:rsid w:val="00C37F30"/>
    <w:rsid w:val="00C4101E"/>
    <w:rsid w:val="00C41581"/>
    <w:rsid w:val="00C43B64"/>
    <w:rsid w:val="00C44142"/>
    <w:rsid w:val="00C453E5"/>
    <w:rsid w:val="00C45756"/>
    <w:rsid w:val="00C467B4"/>
    <w:rsid w:val="00C50244"/>
    <w:rsid w:val="00C50521"/>
    <w:rsid w:val="00C509EC"/>
    <w:rsid w:val="00C51B2A"/>
    <w:rsid w:val="00C51D39"/>
    <w:rsid w:val="00C52971"/>
    <w:rsid w:val="00C53349"/>
    <w:rsid w:val="00C553C9"/>
    <w:rsid w:val="00C555C5"/>
    <w:rsid w:val="00C55EEE"/>
    <w:rsid w:val="00C56D34"/>
    <w:rsid w:val="00C57521"/>
    <w:rsid w:val="00C61E96"/>
    <w:rsid w:val="00C6308A"/>
    <w:rsid w:val="00C6376B"/>
    <w:rsid w:val="00C643CE"/>
    <w:rsid w:val="00C66050"/>
    <w:rsid w:val="00C669CC"/>
    <w:rsid w:val="00C66B95"/>
    <w:rsid w:val="00C66E1D"/>
    <w:rsid w:val="00C70173"/>
    <w:rsid w:val="00C70E43"/>
    <w:rsid w:val="00C7194F"/>
    <w:rsid w:val="00C71C67"/>
    <w:rsid w:val="00C742F1"/>
    <w:rsid w:val="00C75179"/>
    <w:rsid w:val="00C76E29"/>
    <w:rsid w:val="00C77322"/>
    <w:rsid w:val="00C77A1B"/>
    <w:rsid w:val="00C806AD"/>
    <w:rsid w:val="00C80F1E"/>
    <w:rsid w:val="00C81684"/>
    <w:rsid w:val="00C822CA"/>
    <w:rsid w:val="00C831D4"/>
    <w:rsid w:val="00C83881"/>
    <w:rsid w:val="00C8497F"/>
    <w:rsid w:val="00C84A0F"/>
    <w:rsid w:val="00C86707"/>
    <w:rsid w:val="00C86AB0"/>
    <w:rsid w:val="00C87505"/>
    <w:rsid w:val="00C90F3D"/>
    <w:rsid w:val="00C91BB5"/>
    <w:rsid w:val="00C922E0"/>
    <w:rsid w:val="00C92AAE"/>
    <w:rsid w:val="00C9321A"/>
    <w:rsid w:val="00C9380B"/>
    <w:rsid w:val="00C93A7B"/>
    <w:rsid w:val="00C94ABA"/>
    <w:rsid w:val="00C96B0B"/>
    <w:rsid w:val="00CA1E80"/>
    <w:rsid w:val="00CA1FE8"/>
    <w:rsid w:val="00CA2D45"/>
    <w:rsid w:val="00CA3857"/>
    <w:rsid w:val="00CA4304"/>
    <w:rsid w:val="00CA4392"/>
    <w:rsid w:val="00CA50AF"/>
    <w:rsid w:val="00CA56C7"/>
    <w:rsid w:val="00CA61FC"/>
    <w:rsid w:val="00CA66B0"/>
    <w:rsid w:val="00CA6867"/>
    <w:rsid w:val="00CA7250"/>
    <w:rsid w:val="00CA734C"/>
    <w:rsid w:val="00CA75C9"/>
    <w:rsid w:val="00CA75E3"/>
    <w:rsid w:val="00CA7CA4"/>
    <w:rsid w:val="00CB0731"/>
    <w:rsid w:val="00CB0F5A"/>
    <w:rsid w:val="00CB1487"/>
    <w:rsid w:val="00CB1CE5"/>
    <w:rsid w:val="00CB22EE"/>
    <w:rsid w:val="00CB24B0"/>
    <w:rsid w:val="00CB2DD2"/>
    <w:rsid w:val="00CB323F"/>
    <w:rsid w:val="00CB34B6"/>
    <w:rsid w:val="00CB3DF1"/>
    <w:rsid w:val="00CB43C6"/>
    <w:rsid w:val="00CB4951"/>
    <w:rsid w:val="00CB49E9"/>
    <w:rsid w:val="00CB5344"/>
    <w:rsid w:val="00CB5788"/>
    <w:rsid w:val="00CB5BCF"/>
    <w:rsid w:val="00CB67A5"/>
    <w:rsid w:val="00CB6843"/>
    <w:rsid w:val="00CB78F4"/>
    <w:rsid w:val="00CC01AE"/>
    <w:rsid w:val="00CC1297"/>
    <w:rsid w:val="00CC218B"/>
    <w:rsid w:val="00CC24B2"/>
    <w:rsid w:val="00CC2A9F"/>
    <w:rsid w:val="00CC2FCA"/>
    <w:rsid w:val="00CC36FA"/>
    <w:rsid w:val="00CC3A40"/>
    <w:rsid w:val="00CC51CE"/>
    <w:rsid w:val="00CC6623"/>
    <w:rsid w:val="00CC6645"/>
    <w:rsid w:val="00CC7CF2"/>
    <w:rsid w:val="00CD042F"/>
    <w:rsid w:val="00CD1D62"/>
    <w:rsid w:val="00CD2B4D"/>
    <w:rsid w:val="00CD4450"/>
    <w:rsid w:val="00CD5193"/>
    <w:rsid w:val="00CD5B13"/>
    <w:rsid w:val="00CD5DA7"/>
    <w:rsid w:val="00CD5F38"/>
    <w:rsid w:val="00CD7151"/>
    <w:rsid w:val="00CD7F87"/>
    <w:rsid w:val="00CE00B8"/>
    <w:rsid w:val="00CE1443"/>
    <w:rsid w:val="00CE213E"/>
    <w:rsid w:val="00CE21DA"/>
    <w:rsid w:val="00CE38F0"/>
    <w:rsid w:val="00CE41A0"/>
    <w:rsid w:val="00CE4462"/>
    <w:rsid w:val="00CE46F4"/>
    <w:rsid w:val="00CE50C7"/>
    <w:rsid w:val="00CE5995"/>
    <w:rsid w:val="00CE5C04"/>
    <w:rsid w:val="00CE66CB"/>
    <w:rsid w:val="00CE76BA"/>
    <w:rsid w:val="00CE7F8C"/>
    <w:rsid w:val="00CF089D"/>
    <w:rsid w:val="00CF0A5C"/>
    <w:rsid w:val="00CF1570"/>
    <w:rsid w:val="00CF1B31"/>
    <w:rsid w:val="00CF1FE3"/>
    <w:rsid w:val="00CF2D3B"/>
    <w:rsid w:val="00CF41C4"/>
    <w:rsid w:val="00CF44A3"/>
    <w:rsid w:val="00CF514C"/>
    <w:rsid w:val="00CF5457"/>
    <w:rsid w:val="00CF5C7A"/>
    <w:rsid w:val="00CF6723"/>
    <w:rsid w:val="00CF7691"/>
    <w:rsid w:val="00D013C1"/>
    <w:rsid w:val="00D016A9"/>
    <w:rsid w:val="00D01723"/>
    <w:rsid w:val="00D0243F"/>
    <w:rsid w:val="00D02A5F"/>
    <w:rsid w:val="00D02D48"/>
    <w:rsid w:val="00D03772"/>
    <w:rsid w:val="00D03958"/>
    <w:rsid w:val="00D03B83"/>
    <w:rsid w:val="00D03E18"/>
    <w:rsid w:val="00D05535"/>
    <w:rsid w:val="00D06F44"/>
    <w:rsid w:val="00D07DC0"/>
    <w:rsid w:val="00D102B6"/>
    <w:rsid w:val="00D1046D"/>
    <w:rsid w:val="00D14D49"/>
    <w:rsid w:val="00D151F6"/>
    <w:rsid w:val="00D153D4"/>
    <w:rsid w:val="00D17523"/>
    <w:rsid w:val="00D17560"/>
    <w:rsid w:val="00D22A5B"/>
    <w:rsid w:val="00D22C57"/>
    <w:rsid w:val="00D23D43"/>
    <w:rsid w:val="00D24450"/>
    <w:rsid w:val="00D24697"/>
    <w:rsid w:val="00D24E03"/>
    <w:rsid w:val="00D250E0"/>
    <w:rsid w:val="00D25F19"/>
    <w:rsid w:val="00D27B4B"/>
    <w:rsid w:val="00D31A30"/>
    <w:rsid w:val="00D33AF0"/>
    <w:rsid w:val="00D34408"/>
    <w:rsid w:val="00D3554F"/>
    <w:rsid w:val="00D35CC8"/>
    <w:rsid w:val="00D36064"/>
    <w:rsid w:val="00D37168"/>
    <w:rsid w:val="00D3748A"/>
    <w:rsid w:val="00D37A37"/>
    <w:rsid w:val="00D40B92"/>
    <w:rsid w:val="00D420EB"/>
    <w:rsid w:val="00D4324F"/>
    <w:rsid w:val="00D4360C"/>
    <w:rsid w:val="00D4442E"/>
    <w:rsid w:val="00D45118"/>
    <w:rsid w:val="00D4531F"/>
    <w:rsid w:val="00D46125"/>
    <w:rsid w:val="00D4651C"/>
    <w:rsid w:val="00D50977"/>
    <w:rsid w:val="00D510A0"/>
    <w:rsid w:val="00D51EF2"/>
    <w:rsid w:val="00D5219A"/>
    <w:rsid w:val="00D54539"/>
    <w:rsid w:val="00D55DFB"/>
    <w:rsid w:val="00D56313"/>
    <w:rsid w:val="00D56DFF"/>
    <w:rsid w:val="00D57437"/>
    <w:rsid w:val="00D609DC"/>
    <w:rsid w:val="00D61572"/>
    <w:rsid w:val="00D62283"/>
    <w:rsid w:val="00D627EB"/>
    <w:rsid w:val="00D63191"/>
    <w:rsid w:val="00D63C7C"/>
    <w:rsid w:val="00D6404D"/>
    <w:rsid w:val="00D642CD"/>
    <w:rsid w:val="00D65B2B"/>
    <w:rsid w:val="00D70279"/>
    <w:rsid w:val="00D70C2F"/>
    <w:rsid w:val="00D70D58"/>
    <w:rsid w:val="00D71766"/>
    <w:rsid w:val="00D71D0E"/>
    <w:rsid w:val="00D72470"/>
    <w:rsid w:val="00D7281A"/>
    <w:rsid w:val="00D7307B"/>
    <w:rsid w:val="00D734E2"/>
    <w:rsid w:val="00D7385D"/>
    <w:rsid w:val="00D73DFD"/>
    <w:rsid w:val="00D74262"/>
    <w:rsid w:val="00D74AE8"/>
    <w:rsid w:val="00D74B7F"/>
    <w:rsid w:val="00D75883"/>
    <w:rsid w:val="00D765C8"/>
    <w:rsid w:val="00D76A17"/>
    <w:rsid w:val="00D76C2A"/>
    <w:rsid w:val="00D76C7F"/>
    <w:rsid w:val="00D76CA3"/>
    <w:rsid w:val="00D771AD"/>
    <w:rsid w:val="00D80B06"/>
    <w:rsid w:val="00D82349"/>
    <w:rsid w:val="00D82409"/>
    <w:rsid w:val="00D82650"/>
    <w:rsid w:val="00D837BF"/>
    <w:rsid w:val="00D83EF9"/>
    <w:rsid w:val="00D84E21"/>
    <w:rsid w:val="00D85041"/>
    <w:rsid w:val="00D85676"/>
    <w:rsid w:val="00D85927"/>
    <w:rsid w:val="00D85F8D"/>
    <w:rsid w:val="00D86054"/>
    <w:rsid w:val="00D87593"/>
    <w:rsid w:val="00D90D9B"/>
    <w:rsid w:val="00D90F42"/>
    <w:rsid w:val="00D91641"/>
    <w:rsid w:val="00D917AF"/>
    <w:rsid w:val="00D92CDC"/>
    <w:rsid w:val="00D93342"/>
    <w:rsid w:val="00D93E00"/>
    <w:rsid w:val="00D93E3A"/>
    <w:rsid w:val="00D94556"/>
    <w:rsid w:val="00D950A7"/>
    <w:rsid w:val="00D95220"/>
    <w:rsid w:val="00D964B0"/>
    <w:rsid w:val="00DA0343"/>
    <w:rsid w:val="00DA0549"/>
    <w:rsid w:val="00DA09C3"/>
    <w:rsid w:val="00DA10AB"/>
    <w:rsid w:val="00DA13D6"/>
    <w:rsid w:val="00DA1AA5"/>
    <w:rsid w:val="00DA25C3"/>
    <w:rsid w:val="00DA2831"/>
    <w:rsid w:val="00DA36A5"/>
    <w:rsid w:val="00DA42F0"/>
    <w:rsid w:val="00DA4804"/>
    <w:rsid w:val="00DA5EBE"/>
    <w:rsid w:val="00DA632D"/>
    <w:rsid w:val="00DB01E7"/>
    <w:rsid w:val="00DB07AE"/>
    <w:rsid w:val="00DB195D"/>
    <w:rsid w:val="00DB1A6A"/>
    <w:rsid w:val="00DB1B81"/>
    <w:rsid w:val="00DB2875"/>
    <w:rsid w:val="00DB288C"/>
    <w:rsid w:val="00DB3DA6"/>
    <w:rsid w:val="00DB3F01"/>
    <w:rsid w:val="00DB42A9"/>
    <w:rsid w:val="00DB72A0"/>
    <w:rsid w:val="00DC07EA"/>
    <w:rsid w:val="00DC1A10"/>
    <w:rsid w:val="00DC2046"/>
    <w:rsid w:val="00DC2B27"/>
    <w:rsid w:val="00DC3448"/>
    <w:rsid w:val="00DC3490"/>
    <w:rsid w:val="00DC399D"/>
    <w:rsid w:val="00DC3DBD"/>
    <w:rsid w:val="00DC45B4"/>
    <w:rsid w:val="00DC4E85"/>
    <w:rsid w:val="00DC5491"/>
    <w:rsid w:val="00DC5A97"/>
    <w:rsid w:val="00DC7E37"/>
    <w:rsid w:val="00DD05EB"/>
    <w:rsid w:val="00DD0A83"/>
    <w:rsid w:val="00DD1E55"/>
    <w:rsid w:val="00DD249C"/>
    <w:rsid w:val="00DD3DC3"/>
    <w:rsid w:val="00DD419E"/>
    <w:rsid w:val="00DD64A3"/>
    <w:rsid w:val="00DD65B5"/>
    <w:rsid w:val="00DD6BAA"/>
    <w:rsid w:val="00DD6DA2"/>
    <w:rsid w:val="00DD7E23"/>
    <w:rsid w:val="00DE0CC3"/>
    <w:rsid w:val="00DE10AE"/>
    <w:rsid w:val="00DE13CA"/>
    <w:rsid w:val="00DE1A20"/>
    <w:rsid w:val="00DE1ECE"/>
    <w:rsid w:val="00DE2558"/>
    <w:rsid w:val="00DE2880"/>
    <w:rsid w:val="00DE2E09"/>
    <w:rsid w:val="00DE30E8"/>
    <w:rsid w:val="00DE321C"/>
    <w:rsid w:val="00DE457E"/>
    <w:rsid w:val="00DE59D3"/>
    <w:rsid w:val="00DE67F0"/>
    <w:rsid w:val="00DE683D"/>
    <w:rsid w:val="00DE76D1"/>
    <w:rsid w:val="00DE78B2"/>
    <w:rsid w:val="00DE7919"/>
    <w:rsid w:val="00DF031F"/>
    <w:rsid w:val="00DF0C8E"/>
    <w:rsid w:val="00DF1AE1"/>
    <w:rsid w:val="00DF1DCE"/>
    <w:rsid w:val="00DF3036"/>
    <w:rsid w:val="00DF3203"/>
    <w:rsid w:val="00DF325A"/>
    <w:rsid w:val="00DF3640"/>
    <w:rsid w:val="00DF42CC"/>
    <w:rsid w:val="00DF52F7"/>
    <w:rsid w:val="00DF5CB5"/>
    <w:rsid w:val="00DF6178"/>
    <w:rsid w:val="00DF6B20"/>
    <w:rsid w:val="00DF7108"/>
    <w:rsid w:val="00DF7CFE"/>
    <w:rsid w:val="00E00251"/>
    <w:rsid w:val="00E00DDD"/>
    <w:rsid w:val="00E0112A"/>
    <w:rsid w:val="00E02423"/>
    <w:rsid w:val="00E02AC2"/>
    <w:rsid w:val="00E038A7"/>
    <w:rsid w:val="00E03FFC"/>
    <w:rsid w:val="00E048AF"/>
    <w:rsid w:val="00E068AD"/>
    <w:rsid w:val="00E0790F"/>
    <w:rsid w:val="00E10222"/>
    <w:rsid w:val="00E112FB"/>
    <w:rsid w:val="00E147FB"/>
    <w:rsid w:val="00E14BC1"/>
    <w:rsid w:val="00E168E9"/>
    <w:rsid w:val="00E1696A"/>
    <w:rsid w:val="00E16C2D"/>
    <w:rsid w:val="00E17967"/>
    <w:rsid w:val="00E21772"/>
    <w:rsid w:val="00E241C2"/>
    <w:rsid w:val="00E24423"/>
    <w:rsid w:val="00E246ED"/>
    <w:rsid w:val="00E24BED"/>
    <w:rsid w:val="00E25242"/>
    <w:rsid w:val="00E257E6"/>
    <w:rsid w:val="00E25F60"/>
    <w:rsid w:val="00E269D3"/>
    <w:rsid w:val="00E26B1C"/>
    <w:rsid w:val="00E305DF"/>
    <w:rsid w:val="00E30C6C"/>
    <w:rsid w:val="00E30DD9"/>
    <w:rsid w:val="00E311D6"/>
    <w:rsid w:val="00E319E5"/>
    <w:rsid w:val="00E34719"/>
    <w:rsid w:val="00E362E0"/>
    <w:rsid w:val="00E4053E"/>
    <w:rsid w:val="00E40842"/>
    <w:rsid w:val="00E40AAF"/>
    <w:rsid w:val="00E414E7"/>
    <w:rsid w:val="00E417FB"/>
    <w:rsid w:val="00E42496"/>
    <w:rsid w:val="00E42942"/>
    <w:rsid w:val="00E4301B"/>
    <w:rsid w:val="00E43335"/>
    <w:rsid w:val="00E43A22"/>
    <w:rsid w:val="00E43E43"/>
    <w:rsid w:val="00E4450B"/>
    <w:rsid w:val="00E459B1"/>
    <w:rsid w:val="00E45D5C"/>
    <w:rsid w:val="00E470BE"/>
    <w:rsid w:val="00E503E0"/>
    <w:rsid w:val="00E5108E"/>
    <w:rsid w:val="00E5114B"/>
    <w:rsid w:val="00E5399E"/>
    <w:rsid w:val="00E54947"/>
    <w:rsid w:val="00E553D0"/>
    <w:rsid w:val="00E559B8"/>
    <w:rsid w:val="00E55C08"/>
    <w:rsid w:val="00E56140"/>
    <w:rsid w:val="00E56EEE"/>
    <w:rsid w:val="00E57613"/>
    <w:rsid w:val="00E576C3"/>
    <w:rsid w:val="00E57A44"/>
    <w:rsid w:val="00E6114A"/>
    <w:rsid w:val="00E632D9"/>
    <w:rsid w:val="00E64209"/>
    <w:rsid w:val="00E6455E"/>
    <w:rsid w:val="00E645BA"/>
    <w:rsid w:val="00E64907"/>
    <w:rsid w:val="00E64E74"/>
    <w:rsid w:val="00E6517B"/>
    <w:rsid w:val="00E65662"/>
    <w:rsid w:val="00E659EB"/>
    <w:rsid w:val="00E65DB0"/>
    <w:rsid w:val="00E671BC"/>
    <w:rsid w:val="00E67516"/>
    <w:rsid w:val="00E67983"/>
    <w:rsid w:val="00E701BB"/>
    <w:rsid w:val="00E70671"/>
    <w:rsid w:val="00E70D3B"/>
    <w:rsid w:val="00E71283"/>
    <w:rsid w:val="00E722DF"/>
    <w:rsid w:val="00E7446E"/>
    <w:rsid w:val="00E76DA9"/>
    <w:rsid w:val="00E76E93"/>
    <w:rsid w:val="00E7764D"/>
    <w:rsid w:val="00E77676"/>
    <w:rsid w:val="00E77AE5"/>
    <w:rsid w:val="00E803BA"/>
    <w:rsid w:val="00E80A55"/>
    <w:rsid w:val="00E822F2"/>
    <w:rsid w:val="00E8266E"/>
    <w:rsid w:val="00E840E1"/>
    <w:rsid w:val="00E850A2"/>
    <w:rsid w:val="00E850E7"/>
    <w:rsid w:val="00E854A0"/>
    <w:rsid w:val="00E85C04"/>
    <w:rsid w:val="00E86005"/>
    <w:rsid w:val="00E86337"/>
    <w:rsid w:val="00E866A5"/>
    <w:rsid w:val="00E8679F"/>
    <w:rsid w:val="00E87813"/>
    <w:rsid w:val="00E87C8F"/>
    <w:rsid w:val="00E87F98"/>
    <w:rsid w:val="00E9060F"/>
    <w:rsid w:val="00E91B31"/>
    <w:rsid w:val="00E92843"/>
    <w:rsid w:val="00E93761"/>
    <w:rsid w:val="00E945F9"/>
    <w:rsid w:val="00E94B97"/>
    <w:rsid w:val="00E95247"/>
    <w:rsid w:val="00E953C7"/>
    <w:rsid w:val="00E971AB"/>
    <w:rsid w:val="00EA0320"/>
    <w:rsid w:val="00EA0C40"/>
    <w:rsid w:val="00EA0E20"/>
    <w:rsid w:val="00EA0EF4"/>
    <w:rsid w:val="00EA1383"/>
    <w:rsid w:val="00EA167F"/>
    <w:rsid w:val="00EA1752"/>
    <w:rsid w:val="00EA1B5E"/>
    <w:rsid w:val="00EA2461"/>
    <w:rsid w:val="00EA2BC2"/>
    <w:rsid w:val="00EA3093"/>
    <w:rsid w:val="00EA32BE"/>
    <w:rsid w:val="00EA3A80"/>
    <w:rsid w:val="00EA3FD4"/>
    <w:rsid w:val="00EA437E"/>
    <w:rsid w:val="00EA476B"/>
    <w:rsid w:val="00EA4A92"/>
    <w:rsid w:val="00EA5584"/>
    <w:rsid w:val="00EA5B16"/>
    <w:rsid w:val="00EA5BCD"/>
    <w:rsid w:val="00EA72F0"/>
    <w:rsid w:val="00EA76EB"/>
    <w:rsid w:val="00EA770B"/>
    <w:rsid w:val="00EB0A96"/>
    <w:rsid w:val="00EB1226"/>
    <w:rsid w:val="00EB1AF1"/>
    <w:rsid w:val="00EB2D47"/>
    <w:rsid w:val="00EB36DE"/>
    <w:rsid w:val="00EB4033"/>
    <w:rsid w:val="00EB4707"/>
    <w:rsid w:val="00EB485B"/>
    <w:rsid w:val="00EB5EB1"/>
    <w:rsid w:val="00EB6C29"/>
    <w:rsid w:val="00EB7818"/>
    <w:rsid w:val="00EC044D"/>
    <w:rsid w:val="00EC105C"/>
    <w:rsid w:val="00EC1A11"/>
    <w:rsid w:val="00EC3224"/>
    <w:rsid w:val="00EC4E78"/>
    <w:rsid w:val="00EC6FCB"/>
    <w:rsid w:val="00EC6FDE"/>
    <w:rsid w:val="00EC7B22"/>
    <w:rsid w:val="00ED01CF"/>
    <w:rsid w:val="00ED01F4"/>
    <w:rsid w:val="00ED09DB"/>
    <w:rsid w:val="00ED1EBF"/>
    <w:rsid w:val="00ED3896"/>
    <w:rsid w:val="00ED48C2"/>
    <w:rsid w:val="00ED60A4"/>
    <w:rsid w:val="00ED627E"/>
    <w:rsid w:val="00ED6549"/>
    <w:rsid w:val="00ED6A03"/>
    <w:rsid w:val="00ED6F25"/>
    <w:rsid w:val="00ED7A69"/>
    <w:rsid w:val="00EE037A"/>
    <w:rsid w:val="00EE0738"/>
    <w:rsid w:val="00EE0D04"/>
    <w:rsid w:val="00EE11BC"/>
    <w:rsid w:val="00EE1608"/>
    <w:rsid w:val="00EE2A1C"/>
    <w:rsid w:val="00EE2AB8"/>
    <w:rsid w:val="00EE3583"/>
    <w:rsid w:val="00EE3AB5"/>
    <w:rsid w:val="00EE45B3"/>
    <w:rsid w:val="00EE4A20"/>
    <w:rsid w:val="00EE73D2"/>
    <w:rsid w:val="00EF084E"/>
    <w:rsid w:val="00EF0BAF"/>
    <w:rsid w:val="00EF1D32"/>
    <w:rsid w:val="00EF1E5F"/>
    <w:rsid w:val="00EF2391"/>
    <w:rsid w:val="00EF23BF"/>
    <w:rsid w:val="00EF28D2"/>
    <w:rsid w:val="00EF35B3"/>
    <w:rsid w:val="00EF36EF"/>
    <w:rsid w:val="00EF4935"/>
    <w:rsid w:val="00EF4F7F"/>
    <w:rsid w:val="00EF535E"/>
    <w:rsid w:val="00EF5C52"/>
    <w:rsid w:val="00EF5F41"/>
    <w:rsid w:val="00EF603A"/>
    <w:rsid w:val="00EF6A01"/>
    <w:rsid w:val="00EF6B18"/>
    <w:rsid w:val="00EF712D"/>
    <w:rsid w:val="00EF7185"/>
    <w:rsid w:val="00EF734A"/>
    <w:rsid w:val="00EF7F10"/>
    <w:rsid w:val="00EF7F33"/>
    <w:rsid w:val="00F009A6"/>
    <w:rsid w:val="00F00A4E"/>
    <w:rsid w:val="00F02C87"/>
    <w:rsid w:val="00F03921"/>
    <w:rsid w:val="00F04A2D"/>
    <w:rsid w:val="00F05BAA"/>
    <w:rsid w:val="00F05DB7"/>
    <w:rsid w:val="00F06CA8"/>
    <w:rsid w:val="00F06FB7"/>
    <w:rsid w:val="00F07C44"/>
    <w:rsid w:val="00F11CB3"/>
    <w:rsid w:val="00F12213"/>
    <w:rsid w:val="00F1243E"/>
    <w:rsid w:val="00F12628"/>
    <w:rsid w:val="00F13D1F"/>
    <w:rsid w:val="00F14DBE"/>
    <w:rsid w:val="00F15507"/>
    <w:rsid w:val="00F15718"/>
    <w:rsid w:val="00F16303"/>
    <w:rsid w:val="00F17E4B"/>
    <w:rsid w:val="00F2106F"/>
    <w:rsid w:val="00F21235"/>
    <w:rsid w:val="00F21FE6"/>
    <w:rsid w:val="00F22137"/>
    <w:rsid w:val="00F22BAC"/>
    <w:rsid w:val="00F23248"/>
    <w:rsid w:val="00F24D79"/>
    <w:rsid w:val="00F25248"/>
    <w:rsid w:val="00F2585E"/>
    <w:rsid w:val="00F258D7"/>
    <w:rsid w:val="00F25AB2"/>
    <w:rsid w:val="00F275B8"/>
    <w:rsid w:val="00F27966"/>
    <w:rsid w:val="00F279EA"/>
    <w:rsid w:val="00F27A05"/>
    <w:rsid w:val="00F32142"/>
    <w:rsid w:val="00F32167"/>
    <w:rsid w:val="00F32BB4"/>
    <w:rsid w:val="00F32CCD"/>
    <w:rsid w:val="00F34BEB"/>
    <w:rsid w:val="00F35B44"/>
    <w:rsid w:val="00F35EFF"/>
    <w:rsid w:val="00F36E3E"/>
    <w:rsid w:val="00F378FB"/>
    <w:rsid w:val="00F37C68"/>
    <w:rsid w:val="00F4108D"/>
    <w:rsid w:val="00F42D56"/>
    <w:rsid w:val="00F4569E"/>
    <w:rsid w:val="00F45908"/>
    <w:rsid w:val="00F45E38"/>
    <w:rsid w:val="00F463AA"/>
    <w:rsid w:val="00F47C16"/>
    <w:rsid w:val="00F5281D"/>
    <w:rsid w:val="00F531C6"/>
    <w:rsid w:val="00F5563B"/>
    <w:rsid w:val="00F569C6"/>
    <w:rsid w:val="00F5757E"/>
    <w:rsid w:val="00F57873"/>
    <w:rsid w:val="00F608DE"/>
    <w:rsid w:val="00F619F1"/>
    <w:rsid w:val="00F6219F"/>
    <w:rsid w:val="00F629EC"/>
    <w:rsid w:val="00F62A02"/>
    <w:rsid w:val="00F63797"/>
    <w:rsid w:val="00F637E2"/>
    <w:rsid w:val="00F63C1A"/>
    <w:rsid w:val="00F63CD4"/>
    <w:rsid w:val="00F65E5F"/>
    <w:rsid w:val="00F65F18"/>
    <w:rsid w:val="00F679DD"/>
    <w:rsid w:val="00F67AE4"/>
    <w:rsid w:val="00F701E5"/>
    <w:rsid w:val="00F71A43"/>
    <w:rsid w:val="00F72751"/>
    <w:rsid w:val="00F72E22"/>
    <w:rsid w:val="00F72FAC"/>
    <w:rsid w:val="00F7404E"/>
    <w:rsid w:val="00F74C43"/>
    <w:rsid w:val="00F74E48"/>
    <w:rsid w:val="00F74E6A"/>
    <w:rsid w:val="00F770E6"/>
    <w:rsid w:val="00F8049A"/>
    <w:rsid w:val="00F823E6"/>
    <w:rsid w:val="00F82BB5"/>
    <w:rsid w:val="00F83120"/>
    <w:rsid w:val="00F83EB7"/>
    <w:rsid w:val="00F83FD6"/>
    <w:rsid w:val="00F85A9D"/>
    <w:rsid w:val="00F86CA6"/>
    <w:rsid w:val="00F87137"/>
    <w:rsid w:val="00F871B7"/>
    <w:rsid w:val="00F87EE1"/>
    <w:rsid w:val="00F90B2B"/>
    <w:rsid w:val="00F90D2F"/>
    <w:rsid w:val="00F91749"/>
    <w:rsid w:val="00F92ACD"/>
    <w:rsid w:val="00F930B1"/>
    <w:rsid w:val="00F9396B"/>
    <w:rsid w:val="00F939FE"/>
    <w:rsid w:val="00F93B93"/>
    <w:rsid w:val="00F942F0"/>
    <w:rsid w:val="00F945B7"/>
    <w:rsid w:val="00F94827"/>
    <w:rsid w:val="00F966FD"/>
    <w:rsid w:val="00F968AF"/>
    <w:rsid w:val="00F97059"/>
    <w:rsid w:val="00F973EF"/>
    <w:rsid w:val="00F97D36"/>
    <w:rsid w:val="00FA0023"/>
    <w:rsid w:val="00FA04B9"/>
    <w:rsid w:val="00FA10D1"/>
    <w:rsid w:val="00FA2D26"/>
    <w:rsid w:val="00FA348C"/>
    <w:rsid w:val="00FA3D7D"/>
    <w:rsid w:val="00FA3D81"/>
    <w:rsid w:val="00FA44DB"/>
    <w:rsid w:val="00FA4EA7"/>
    <w:rsid w:val="00FA5123"/>
    <w:rsid w:val="00FA6904"/>
    <w:rsid w:val="00FA70EE"/>
    <w:rsid w:val="00FB0192"/>
    <w:rsid w:val="00FB12A8"/>
    <w:rsid w:val="00FB199E"/>
    <w:rsid w:val="00FB3211"/>
    <w:rsid w:val="00FB3CA2"/>
    <w:rsid w:val="00FB3D1A"/>
    <w:rsid w:val="00FB40A0"/>
    <w:rsid w:val="00FB43A4"/>
    <w:rsid w:val="00FB554D"/>
    <w:rsid w:val="00FB5CAA"/>
    <w:rsid w:val="00FB6164"/>
    <w:rsid w:val="00FB66B0"/>
    <w:rsid w:val="00FB77CF"/>
    <w:rsid w:val="00FC0257"/>
    <w:rsid w:val="00FC1411"/>
    <w:rsid w:val="00FC1C51"/>
    <w:rsid w:val="00FC2268"/>
    <w:rsid w:val="00FC3775"/>
    <w:rsid w:val="00FC53E5"/>
    <w:rsid w:val="00FC5CDF"/>
    <w:rsid w:val="00FC5E7A"/>
    <w:rsid w:val="00FD0B23"/>
    <w:rsid w:val="00FD1DAC"/>
    <w:rsid w:val="00FD260A"/>
    <w:rsid w:val="00FD429A"/>
    <w:rsid w:val="00FD4369"/>
    <w:rsid w:val="00FD4884"/>
    <w:rsid w:val="00FD5111"/>
    <w:rsid w:val="00FD52B7"/>
    <w:rsid w:val="00FD561E"/>
    <w:rsid w:val="00FD64FC"/>
    <w:rsid w:val="00FD6999"/>
    <w:rsid w:val="00FD706F"/>
    <w:rsid w:val="00FE010D"/>
    <w:rsid w:val="00FE0702"/>
    <w:rsid w:val="00FE0944"/>
    <w:rsid w:val="00FE1279"/>
    <w:rsid w:val="00FE2926"/>
    <w:rsid w:val="00FE3658"/>
    <w:rsid w:val="00FE5396"/>
    <w:rsid w:val="00FE5EA0"/>
    <w:rsid w:val="00FE6CAB"/>
    <w:rsid w:val="00FF00AA"/>
    <w:rsid w:val="00FF09F0"/>
    <w:rsid w:val="00FF0BB8"/>
    <w:rsid w:val="00FF1069"/>
    <w:rsid w:val="00FF10FC"/>
    <w:rsid w:val="00FF1E3D"/>
    <w:rsid w:val="00FF216F"/>
    <w:rsid w:val="00FF2C63"/>
    <w:rsid w:val="00FF3083"/>
    <w:rsid w:val="00FF394B"/>
    <w:rsid w:val="00FF4E1A"/>
    <w:rsid w:val="00FF4FB1"/>
    <w:rsid w:val="00FF51EB"/>
    <w:rsid w:val="00FF609B"/>
    <w:rsid w:val="00FF63FA"/>
    <w:rsid w:val="00FF744D"/>
    <w:rsid w:val="00FF775D"/>
    <w:rsid w:val="00FF7CF9"/>
    <w:rsid w:val="01135705"/>
    <w:rsid w:val="01390BCC"/>
    <w:rsid w:val="015651CB"/>
    <w:rsid w:val="015C4234"/>
    <w:rsid w:val="01666558"/>
    <w:rsid w:val="01951891"/>
    <w:rsid w:val="0196004B"/>
    <w:rsid w:val="01DE6C1C"/>
    <w:rsid w:val="01F319A2"/>
    <w:rsid w:val="01F44222"/>
    <w:rsid w:val="02010A8E"/>
    <w:rsid w:val="023A4AFE"/>
    <w:rsid w:val="024A3371"/>
    <w:rsid w:val="025342FC"/>
    <w:rsid w:val="027020A3"/>
    <w:rsid w:val="02844EF0"/>
    <w:rsid w:val="02A320BD"/>
    <w:rsid w:val="02A40DDE"/>
    <w:rsid w:val="02A721CC"/>
    <w:rsid w:val="02AE7314"/>
    <w:rsid w:val="02F32FFC"/>
    <w:rsid w:val="02F67A53"/>
    <w:rsid w:val="03015CA8"/>
    <w:rsid w:val="030465D4"/>
    <w:rsid w:val="0306040C"/>
    <w:rsid w:val="031F1E04"/>
    <w:rsid w:val="032478F0"/>
    <w:rsid w:val="03301197"/>
    <w:rsid w:val="034C4F1B"/>
    <w:rsid w:val="036B611E"/>
    <w:rsid w:val="03B460E6"/>
    <w:rsid w:val="03BD711C"/>
    <w:rsid w:val="03E05B99"/>
    <w:rsid w:val="03ED0B73"/>
    <w:rsid w:val="03F826EF"/>
    <w:rsid w:val="040D4647"/>
    <w:rsid w:val="04193F84"/>
    <w:rsid w:val="041C1EA4"/>
    <w:rsid w:val="045D37F5"/>
    <w:rsid w:val="04910518"/>
    <w:rsid w:val="04C22816"/>
    <w:rsid w:val="04E62E18"/>
    <w:rsid w:val="04F507E0"/>
    <w:rsid w:val="04FD3DB2"/>
    <w:rsid w:val="0502151A"/>
    <w:rsid w:val="05125682"/>
    <w:rsid w:val="053E54C2"/>
    <w:rsid w:val="054260F9"/>
    <w:rsid w:val="057335C1"/>
    <w:rsid w:val="058B5B44"/>
    <w:rsid w:val="05B21A86"/>
    <w:rsid w:val="05FF342F"/>
    <w:rsid w:val="060D04D1"/>
    <w:rsid w:val="06144F13"/>
    <w:rsid w:val="06347FAA"/>
    <w:rsid w:val="06840B3B"/>
    <w:rsid w:val="0687353C"/>
    <w:rsid w:val="06A03611"/>
    <w:rsid w:val="06AD3DF6"/>
    <w:rsid w:val="06B548C2"/>
    <w:rsid w:val="06CB77F8"/>
    <w:rsid w:val="06D94A2A"/>
    <w:rsid w:val="07001C9F"/>
    <w:rsid w:val="0731545B"/>
    <w:rsid w:val="07840838"/>
    <w:rsid w:val="07A6120A"/>
    <w:rsid w:val="07B635D8"/>
    <w:rsid w:val="080136D5"/>
    <w:rsid w:val="08073233"/>
    <w:rsid w:val="080A092D"/>
    <w:rsid w:val="08766E28"/>
    <w:rsid w:val="088C4FBB"/>
    <w:rsid w:val="089A2375"/>
    <w:rsid w:val="08AC03F8"/>
    <w:rsid w:val="08D27E05"/>
    <w:rsid w:val="08E26E3A"/>
    <w:rsid w:val="08EF4796"/>
    <w:rsid w:val="08F63846"/>
    <w:rsid w:val="090F4267"/>
    <w:rsid w:val="091308EE"/>
    <w:rsid w:val="09130EA8"/>
    <w:rsid w:val="09440A55"/>
    <w:rsid w:val="096716D2"/>
    <w:rsid w:val="09752731"/>
    <w:rsid w:val="097B1990"/>
    <w:rsid w:val="09BF288E"/>
    <w:rsid w:val="09E607A8"/>
    <w:rsid w:val="09F6675B"/>
    <w:rsid w:val="0A1F04A2"/>
    <w:rsid w:val="0A2967BB"/>
    <w:rsid w:val="0A35663D"/>
    <w:rsid w:val="0A356F09"/>
    <w:rsid w:val="0A3F53B7"/>
    <w:rsid w:val="0A424F95"/>
    <w:rsid w:val="0A427060"/>
    <w:rsid w:val="0A4976CC"/>
    <w:rsid w:val="0A4D06EB"/>
    <w:rsid w:val="0A5019AF"/>
    <w:rsid w:val="0A573B2B"/>
    <w:rsid w:val="0A9D4DDA"/>
    <w:rsid w:val="0AB84854"/>
    <w:rsid w:val="0AB90523"/>
    <w:rsid w:val="0AB97741"/>
    <w:rsid w:val="0ABA7636"/>
    <w:rsid w:val="0ACB4B88"/>
    <w:rsid w:val="0AD37E61"/>
    <w:rsid w:val="0AD506BE"/>
    <w:rsid w:val="0AE8794C"/>
    <w:rsid w:val="0B2A1067"/>
    <w:rsid w:val="0B3D000D"/>
    <w:rsid w:val="0B521208"/>
    <w:rsid w:val="0B847AD1"/>
    <w:rsid w:val="0B997C9E"/>
    <w:rsid w:val="0BA25756"/>
    <w:rsid w:val="0BE0373D"/>
    <w:rsid w:val="0C610511"/>
    <w:rsid w:val="0C6403F1"/>
    <w:rsid w:val="0CBC7E52"/>
    <w:rsid w:val="0CC9509F"/>
    <w:rsid w:val="0CD4732C"/>
    <w:rsid w:val="0D044A13"/>
    <w:rsid w:val="0D1060C8"/>
    <w:rsid w:val="0D163B1B"/>
    <w:rsid w:val="0D2F10B2"/>
    <w:rsid w:val="0D4E5218"/>
    <w:rsid w:val="0D600B32"/>
    <w:rsid w:val="0D652DDF"/>
    <w:rsid w:val="0DA55244"/>
    <w:rsid w:val="0DCF2C91"/>
    <w:rsid w:val="0DE37DAB"/>
    <w:rsid w:val="0DE63D1B"/>
    <w:rsid w:val="0E007773"/>
    <w:rsid w:val="0E05432C"/>
    <w:rsid w:val="0E230A9C"/>
    <w:rsid w:val="0E3916B2"/>
    <w:rsid w:val="0E587898"/>
    <w:rsid w:val="0E624A26"/>
    <w:rsid w:val="0E966CBC"/>
    <w:rsid w:val="0F010813"/>
    <w:rsid w:val="0F5041E1"/>
    <w:rsid w:val="0F5F5DEF"/>
    <w:rsid w:val="0F6578F8"/>
    <w:rsid w:val="0F741646"/>
    <w:rsid w:val="0F762A88"/>
    <w:rsid w:val="0F845151"/>
    <w:rsid w:val="0FA66F21"/>
    <w:rsid w:val="0FC55172"/>
    <w:rsid w:val="0FC84887"/>
    <w:rsid w:val="0FEC2D8E"/>
    <w:rsid w:val="0FF30FEA"/>
    <w:rsid w:val="1001144E"/>
    <w:rsid w:val="10297BF6"/>
    <w:rsid w:val="10496292"/>
    <w:rsid w:val="105A4DF7"/>
    <w:rsid w:val="10E41AA8"/>
    <w:rsid w:val="10E50428"/>
    <w:rsid w:val="10E84CC4"/>
    <w:rsid w:val="10F13271"/>
    <w:rsid w:val="110A4333"/>
    <w:rsid w:val="1118155D"/>
    <w:rsid w:val="11587417"/>
    <w:rsid w:val="117C6CDD"/>
    <w:rsid w:val="119254E8"/>
    <w:rsid w:val="119C3D87"/>
    <w:rsid w:val="11B86C8E"/>
    <w:rsid w:val="11DC2678"/>
    <w:rsid w:val="11F37AAF"/>
    <w:rsid w:val="1231505F"/>
    <w:rsid w:val="12490C1A"/>
    <w:rsid w:val="126A3E6B"/>
    <w:rsid w:val="126C326A"/>
    <w:rsid w:val="12815AEB"/>
    <w:rsid w:val="12C337DE"/>
    <w:rsid w:val="13017C14"/>
    <w:rsid w:val="13083EAD"/>
    <w:rsid w:val="131C3227"/>
    <w:rsid w:val="13215E10"/>
    <w:rsid w:val="13283DEC"/>
    <w:rsid w:val="1338026C"/>
    <w:rsid w:val="13544C3F"/>
    <w:rsid w:val="135F0B15"/>
    <w:rsid w:val="13634DDD"/>
    <w:rsid w:val="13856446"/>
    <w:rsid w:val="1396747A"/>
    <w:rsid w:val="13A3130F"/>
    <w:rsid w:val="13E82F19"/>
    <w:rsid w:val="14010C77"/>
    <w:rsid w:val="140356B0"/>
    <w:rsid w:val="141D30BE"/>
    <w:rsid w:val="14587E57"/>
    <w:rsid w:val="145A2571"/>
    <w:rsid w:val="14741441"/>
    <w:rsid w:val="14BB1C9F"/>
    <w:rsid w:val="15094C5D"/>
    <w:rsid w:val="15316317"/>
    <w:rsid w:val="155906E9"/>
    <w:rsid w:val="155E2E9F"/>
    <w:rsid w:val="156247B4"/>
    <w:rsid w:val="1570752D"/>
    <w:rsid w:val="15770229"/>
    <w:rsid w:val="158826C2"/>
    <w:rsid w:val="15AF273C"/>
    <w:rsid w:val="15B14CD7"/>
    <w:rsid w:val="15D07525"/>
    <w:rsid w:val="15E2544F"/>
    <w:rsid w:val="1600098F"/>
    <w:rsid w:val="160E0B58"/>
    <w:rsid w:val="165A62EF"/>
    <w:rsid w:val="165B5E1A"/>
    <w:rsid w:val="16620A0C"/>
    <w:rsid w:val="16745DD3"/>
    <w:rsid w:val="16846772"/>
    <w:rsid w:val="16DD0CDF"/>
    <w:rsid w:val="16EE4C4E"/>
    <w:rsid w:val="16F10978"/>
    <w:rsid w:val="16FA509C"/>
    <w:rsid w:val="17072B4C"/>
    <w:rsid w:val="170D12AB"/>
    <w:rsid w:val="171A3ED5"/>
    <w:rsid w:val="17205BE7"/>
    <w:rsid w:val="17465AAA"/>
    <w:rsid w:val="17503104"/>
    <w:rsid w:val="17505D4E"/>
    <w:rsid w:val="17783BE3"/>
    <w:rsid w:val="1779628A"/>
    <w:rsid w:val="17815854"/>
    <w:rsid w:val="17925175"/>
    <w:rsid w:val="17C01CAC"/>
    <w:rsid w:val="17E37BDB"/>
    <w:rsid w:val="17EF3F70"/>
    <w:rsid w:val="17F142A9"/>
    <w:rsid w:val="18063F3F"/>
    <w:rsid w:val="180A4E9A"/>
    <w:rsid w:val="180D7251"/>
    <w:rsid w:val="18165E8A"/>
    <w:rsid w:val="188D5D73"/>
    <w:rsid w:val="189169E3"/>
    <w:rsid w:val="18925E68"/>
    <w:rsid w:val="18A66EE8"/>
    <w:rsid w:val="18B164AA"/>
    <w:rsid w:val="18D314AE"/>
    <w:rsid w:val="18D32768"/>
    <w:rsid w:val="190A363B"/>
    <w:rsid w:val="190D75D7"/>
    <w:rsid w:val="19127E89"/>
    <w:rsid w:val="193D60D8"/>
    <w:rsid w:val="195329B1"/>
    <w:rsid w:val="1960212B"/>
    <w:rsid w:val="196E31B2"/>
    <w:rsid w:val="19B060A9"/>
    <w:rsid w:val="19B51C74"/>
    <w:rsid w:val="19B94B48"/>
    <w:rsid w:val="19DA77B2"/>
    <w:rsid w:val="19E6067F"/>
    <w:rsid w:val="1A26411C"/>
    <w:rsid w:val="1A6A1583"/>
    <w:rsid w:val="1A6A6181"/>
    <w:rsid w:val="1A9F6FC9"/>
    <w:rsid w:val="1ADD5F89"/>
    <w:rsid w:val="1AE2457F"/>
    <w:rsid w:val="1AF220BF"/>
    <w:rsid w:val="1B284842"/>
    <w:rsid w:val="1B2D3FA1"/>
    <w:rsid w:val="1B761192"/>
    <w:rsid w:val="1BB644AB"/>
    <w:rsid w:val="1BD64C8E"/>
    <w:rsid w:val="1BE21A22"/>
    <w:rsid w:val="1BEF6945"/>
    <w:rsid w:val="1BF3421B"/>
    <w:rsid w:val="1C314E69"/>
    <w:rsid w:val="1C526C57"/>
    <w:rsid w:val="1C89589E"/>
    <w:rsid w:val="1CAC2742"/>
    <w:rsid w:val="1CB51740"/>
    <w:rsid w:val="1CBA6476"/>
    <w:rsid w:val="1CE263F6"/>
    <w:rsid w:val="1CEB63B0"/>
    <w:rsid w:val="1CF702F6"/>
    <w:rsid w:val="1D00452D"/>
    <w:rsid w:val="1D0C33F7"/>
    <w:rsid w:val="1D301CD2"/>
    <w:rsid w:val="1D3D0078"/>
    <w:rsid w:val="1D5645F1"/>
    <w:rsid w:val="1D6C1236"/>
    <w:rsid w:val="1D7D6E22"/>
    <w:rsid w:val="1D8E222D"/>
    <w:rsid w:val="1D937159"/>
    <w:rsid w:val="1DCB56F0"/>
    <w:rsid w:val="1DCF0410"/>
    <w:rsid w:val="1E132454"/>
    <w:rsid w:val="1E687CCB"/>
    <w:rsid w:val="1E827766"/>
    <w:rsid w:val="1ED33B65"/>
    <w:rsid w:val="1EE91E3A"/>
    <w:rsid w:val="1EFD4A3C"/>
    <w:rsid w:val="1F302632"/>
    <w:rsid w:val="1F5E3452"/>
    <w:rsid w:val="1F627CDB"/>
    <w:rsid w:val="1F6E5430"/>
    <w:rsid w:val="1F813E90"/>
    <w:rsid w:val="1F814CE7"/>
    <w:rsid w:val="1F8877F4"/>
    <w:rsid w:val="1F9E7C4F"/>
    <w:rsid w:val="1FAB150A"/>
    <w:rsid w:val="1FBC46FD"/>
    <w:rsid w:val="1FBD4AD7"/>
    <w:rsid w:val="1FCC3129"/>
    <w:rsid w:val="1FEA11D0"/>
    <w:rsid w:val="202371A4"/>
    <w:rsid w:val="20265D36"/>
    <w:rsid w:val="20316401"/>
    <w:rsid w:val="20596293"/>
    <w:rsid w:val="207634F3"/>
    <w:rsid w:val="207E788B"/>
    <w:rsid w:val="20C77F50"/>
    <w:rsid w:val="20D672A3"/>
    <w:rsid w:val="20EF1DAA"/>
    <w:rsid w:val="20F8426A"/>
    <w:rsid w:val="20FA635E"/>
    <w:rsid w:val="214D78C2"/>
    <w:rsid w:val="21601DC7"/>
    <w:rsid w:val="21825951"/>
    <w:rsid w:val="21D13511"/>
    <w:rsid w:val="21F6317C"/>
    <w:rsid w:val="21FC43D6"/>
    <w:rsid w:val="2216596C"/>
    <w:rsid w:val="22203CFA"/>
    <w:rsid w:val="2232482A"/>
    <w:rsid w:val="22423F2D"/>
    <w:rsid w:val="22DB083E"/>
    <w:rsid w:val="22F24A52"/>
    <w:rsid w:val="22F73287"/>
    <w:rsid w:val="2319221E"/>
    <w:rsid w:val="23382842"/>
    <w:rsid w:val="23447230"/>
    <w:rsid w:val="23493CFD"/>
    <w:rsid w:val="23554AEF"/>
    <w:rsid w:val="237C3E17"/>
    <w:rsid w:val="23947C71"/>
    <w:rsid w:val="23987695"/>
    <w:rsid w:val="23B26825"/>
    <w:rsid w:val="23B30D5C"/>
    <w:rsid w:val="23C16DA8"/>
    <w:rsid w:val="23E541A0"/>
    <w:rsid w:val="23EC6A96"/>
    <w:rsid w:val="243214AC"/>
    <w:rsid w:val="244E1D75"/>
    <w:rsid w:val="248A0D43"/>
    <w:rsid w:val="24C936DE"/>
    <w:rsid w:val="24D2541A"/>
    <w:rsid w:val="24EA1C35"/>
    <w:rsid w:val="24F047B2"/>
    <w:rsid w:val="25076033"/>
    <w:rsid w:val="25273046"/>
    <w:rsid w:val="25295FE1"/>
    <w:rsid w:val="25326E9F"/>
    <w:rsid w:val="253438E4"/>
    <w:rsid w:val="253B6AE0"/>
    <w:rsid w:val="2554693F"/>
    <w:rsid w:val="255B1F82"/>
    <w:rsid w:val="25661D8D"/>
    <w:rsid w:val="25761E8D"/>
    <w:rsid w:val="25770B75"/>
    <w:rsid w:val="257A4861"/>
    <w:rsid w:val="25B82BBC"/>
    <w:rsid w:val="25DF6383"/>
    <w:rsid w:val="261B5D49"/>
    <w:rsid w:val="262D4128"/>
    <w:rsid w:val="26444377"/>
    <w:rsid w:val="264D084B"/>
    <w:rsid w:val="26582017"/>
    <w:rsid w:val="265D2253"/>
    <w:rsid w:val="2670658E"/>
    <w:rsid w:val="26727712"/>
    <w:rsid w:val="26806B74"/>
    <w:rsid w:val="268F36B5"/>
    <w:rsid w:val="26B11F2B"/>
    <w:rsid w:val="26D65E39"/>
    <w:rsid w:val="27040920"/>
    <w:rsid w:val="27201D55"/>
    <w:rsid w:val="27AD4773"/>
    <w:rsid w:val="27C91384"/>
    <w:rsid w:val="2817634E"/>
    <w:rsid w:val="281F3170"/>
    <w:rsid w:val="2839516E"/>
    <w:rsid w:val="28536865"/>
    <w:rsid w:val="289C5AFE"/>
    <w:rsid w:val="28CC3895"/>
    <w:rsid w:val="28D10479"/>
    <w:rsid w:val="28E842AD"/>
    <w:rsid w:val="28ED237F"/>
    <w:rsid w:val="28FE3E6E"/>
    <w:rsid w:val="29117EC5"/>
    <w:rsid w:val="29121A59"/>
    <w:rsid w:val="294A756A"/>
    <w:rsid w:val="296B725B"/>
    <w:rsid w:val="29BB0A8A"/>
    <w:rsid w:val="29CB3010"/>
    <w:rsid w:val="29E037B8"/>
    <w:rsid w:val="2A2121D6"/>
    <w:rsid w:val="2A3A45AD"/>
    <w:rsid w:val="2A540D79"/>
    <w:rsid w:val="2A906A52"/>
    <w:rsid w:val="2AAB41E7"/>
    <w:rsid w:val="2AB12EA9"/>
    <w:rsid w:val="2AB63832"/>
    <w:rsid w:val="2AC06EE5"/>
    <w:rsid w:val="2ADC175C"/>
    <w:rsid w:val="2AEE77EB"/>
    <w:rsid w:val="2AF87143"/>
    <w:rsid w:val="2B001D28"/>
    <w:rsid w:val="2B057FA2"/>
    <w:rsid w:val="2B0A6EE2"/>
    <w:rsid w:val="2B0E2FF3"/>
    <w:rsid w:val="2B1F4CEF"/>
    <w:rsid w:val="2B3F2705"/>
    <w:rsid w:val="2B4033B7"/>
    <w:rsid w:val="2B4C3852"/>
    <w:rsid w:val="2B4E49C8"/>
    <w:rsid w:val="2B717A4A"/>
    <w:rsid w:val="2B890A17"/>
    <w:rsid w:val="2B8E5A5D"/>
    <w:rsid w:val="2B9A0631"/>
    <w:rsid w:val="2BA51A6A"/>
    <w:rsid w:val="2BA967CA"/>
    <w:rsid w:val="2BAD2116"/>
    <w:rsid w:val="2BB24BD2"/>
    <w:rsid w:val="2BC93699"/>
    <w:rsid w:val="2BD036E0"/>
    <w:rsid w:val="2BD47CF4"/>
    <w:rsid w:val="2BDC39E5"/>
    <w:rsid w:val="2BE64890"/>
    <w:rsid w:val="2C1E6B55"/>
    <w:rsid w:val="2C36072E"/>
    <w:rsid w:val="2C376167"/>
    <w:rsid w:val="2C44722F"/>
    <w:rsid w:val="2C974BF3"/>
    <w:rsid w:val="2CAD724B"/>
    <w:rsid w:val="2CFE4FF5"/>
    <w:rsid w:val="2CFF170E"/>
    <w:rsid w:val="2D0205FD"/>
    <w:rsid w:val="2D052134"/>
    <w:rsid w:val="2D0F0695"/>
    <w:rsid w:val="2D111B87"/>
    <w:rsid w:val="2D167DF1"/>
    <w:rsid w:val="2D52454B"/>
    <w:rsid w:val="2D686B24"/>
    <w:rsid w:val="2D8728DE"/>
    <w:rsid w:val="2DA4532F"/>
    <w:rsid w:val="2DBC7251"/>
    <w:rsid w:val="2DBF4931"/>
    <w:rsid w:val="2DF424CA"/>
    <w:rsid w:val="2DFC4B6C"/>
    <w:rsid w:val="2DFC5C0B"/>
    <w:rsid w:val="2E0E2C84"/>
    <w:rsid w:val="2E556993"/>
    <w:rsid w:val="2E59454D"/>
    <w:rsid w:val="2E8B30FF"/>
    <w:rsid w:val="2EAB2BF5"/>
    <w:rsid w:val="2EAD2E4C"/>
    <w:rsid w:val="2EBA6F40"/>
    <w:rsid w:val="2EC24664"/>
    <w:rsid w:val="2EEA2C98"/>
    <w:rsid w:val="2EF02780"/>
    <w:rsid w:val="2F051999"/>
    <w:rsid w:val="2F0543B1"/>
    <w:rsid w:val="2F066B65"/>
    <w:rsid w:val="2F186318"/>
    <w:rsid w:val="2F2347D9"/>
    <w:rsid w:val="2F332883"/>
    <w:rsid w:val="2F3A598B"/>
    <w:rsid w:val="2F3F1261"/>
    <w:rsid w:val="2F554CA2"/>
    <w:rsid w:val="2F596F0E"/>
    <w:rsid w:val="2F7505A7"/>
    <w:rsid w:val="2F861641"/>
    <w:rsid w:val="2FD55BB1"/>
    <w:rsid w:val="30020D67"/>
    <w:rsid w:val="300800B8"/>
    <w:rsid w:val="30225FF8"/>
    <w:rsid w:val="30327F7C"/>
    <w:rsid w:val="303A5CBE"/>
    <w:rsid w:val="304A074B"/>
    <w:rsid w:val="305019D6"/>
    <w:rsid w:val="306929CC"/>
    <w:rsid w:val="307D56A8"/>
    <w:rsid w:val="30BF5C4B"/>
    <w:rsid w:val="30C07829"/>
    <w:rsid w:val="30C67684"/>
    <w:rsid w:val="30CE6CD3"/>
    <w:rsid w:val="30F566E1"/>
    <w:rsid w:val="3122767C"/>
    <w:rsid w:val="31286FBC"/>
    <w:rsid w:val="3137341C"/>
    <w:rsid w:val="314F2144"/>
    <w:rsid w:val="31501496"/>
    <w:rsid w:val="315E2A05"/>
    <w:rsid w:val="316664D7"/>
    <w:rsid w:val="316B7CCB"/>
    <w:rsid w:val="316D2FA8"/>
    <w:rsid w:val="31DB0C31"/>
    <w:rsid w:val="324C57A9"/>
    <w:rsid w:val="325E0BE8"/>
    <w:rsid w:val="32614C75"/>
    <w:rsid w:val="32815CBA"/>
    <w:rsid w:val="32951F6D"/>
    <w:rsid w:val="32A6032C"/>
    <w:rsid w:val="32AC17D7"/>
    <w:rsid w:val="32C26BEC"/>
    <w:rsid w:val="33121F64"/>
    <w:rsid w:val="33143EED"/>
    <w:rsid w:val="33487206"/>
    <w:rsid w:val="33746E64"/>
    <w:rsid w:val="337C4435"/>
    <w:rsid w:val="33880EEF"/>
    <w:rsid w:val="33C32C8F"/>
    <w:rsid w:val="33C75BC6"/>
    <w:rsid w:val="33F42EE9"/>
    <w:rsid w:val="33F74503"/>
    <w:rsid w:val="341772D9"/>
    <w:rsid w:val="342D47F7"/>
    <w:rsid w:val="342D5ABF"/>
    <w:rsid w:val="343A01EC"/>
    <w:rsid w:val="343F6199"/>
    <w:rsid w:val="34843873"/>
    <w:rsid w:val="34B06097"/>
    <w:rsid w:val="34D25746"/>
    <w:rsid w:val="3546112B"/>
    <w:rsid w:val="35501D28"/>
    <w:rsid w:val="35915CA4"/>
    <w:rsid w:val="35A342E5"/>
    <w:rsid w:val="35C0683A"/>
    <w:rsid w:val="35D435F2"/>
    <w:rsid w:val="35EC1514"/>
    <w:rsid w:val="363E0752"/>
    <w:rsid w:val="364361AA"/>
    <w:rsid w:val="3645702F"/>
    <w:rsid w:val="36585E53"/>
    <w:rsid w:val="366F6D31"/>
    <w:rsid w:val="36871C73"/>
    <w:rsid w:val="37016216"/>
    <w:rsid w:val="37055AD0"/>
    <w:rsid w:val="37121810"/>
    <w:rsid w:val="37144761"/>
    <w:rsid w:val="371E410C"/>
    <w:rsid w:val="3735522D"/>
    <w:rsid w:val="374F3DD7"/>
    <w:rsid w:val="375F706D"/>
    <w:rsid w:val="376932B2"/>
    <w:rsid w:val="376F0CE2"/>
    <w:rsid w:val="3781684D"/>
    <w:rsid w:val="37844799"/>
    <w:rsid w:val="37905FFF"/>
    <w:rsid w:val="37AC4983"/>
    <w:rsid w:val="37AF432A"/>
    <w:rsid w:val="37B31F85"/>
    <w:rsid w:val="37E65331"/>
    <w:rsid w:val="38104301"/>
    <w:rsid w:val="3860298E"/>
    <w:rsid w:val="38863971"/>
    <w:rsid w:val="38923D3A"/>
    <w:rsid w:val="389D1318"/>
    <w:rsid w:val="38A504D3"/>
    <w:rsid w:val="38E5618A"/>
    <w:rsid w:val="38FB43DD"/>
    <w:rsid w:val="391F0993"/>
    <w:rsid w:val="39467F6B"/>
    <w:rsid w:val="394A4223"/>
    <w:rsid w:val="397D3717"/>
    <w:rsid w:val="39812B32"/>
    <w:rsid w:val="39B33F02"/>
    <w:rsid w:val="39CA4D5D"/>
    <w:rsid w:val="39D16A0A"/>
    <w:rsid w:val="39DC0EE3"/>
    <w:rsid w:val="3A06607F"/>
    <w:rsid w:val="3A0D6B07"/>
    <w:rsid w:val="3A1A1B7E"/>
    <w:rsid w:val="3A307DFC"/>
    <w:rsid w:val="3A4B1045"/>
    <w:rsid w:val="3A746C63"/>
    <w:rsid w:val="3A764D56"/>
    <w:rsid w:val="3A7D15F0"/>
    <w:rsid w:val="3ABB3D95"/>
    <w:rsid w:val="3AC16F61"/>
    <w:rsid w:val="3AEC0481"/>
    <w:rsid w:val="3AF50C27"/>
    <w:rsid w:val="3AFB35FA"/>
    <w:rsid w:val="3B383BC4"/>
    <w:rsid w:val="3B3865EE"/>
    <w:rsid w:val="3B3918BC"/>
    <w:rsid w:val="3B54246C"/>
    <w:rsid w:val="3BA52A51"/>
    <w:rsid w:val="3BB056E6"/>
    <w:rsid w:val="3BC5559F"/>
    <w:rsid w:val="3BCF0513"/>
    <w:rsid w:val="3BD03C0A"/>
    <w:rsid w:val="3BEB0215"/>
    <w:rsid w:val="3C0B3935"/>
    <w:rsid w:val="3C2639EF"/>
    <w:rsid w:val="3C395671"/>
    <w:rsid w:val="3C3976F6"/>
    <w:rsid w:val="3C3E4D7A"/>
    <w:rsid w:val="3C53257C"/>
    <w:rsid w:val="3C6C64DA"/>
    <w:rsid w:val="3C723DB5"/>
    <w:rsid w:val="3C8D0566"/>
    <w:rsid w:val="3CBE720A"/>
    <w:rsid w:val="3CBF3D1B"/>
    <w:rsid w:val="3CE14232"/>
    <w:rsid w:val="3CE300AA"/>
    <w:rsid w:val="3CFF0F0A"/>
    <w:rsid w:val="3D364D81"/>
    <w:rsid w:val="3D374A0B"/>
    <w:rsid w:val="3D572BF0"/>
    <w:rsid w:val="3D5F56B5"/>
    <w:rsid w:val="3DA83D0A"/>
    <w:rsid w:val="3DD20B6C"/>
    <w:rsid w:val="3DDD4B2B"/>
    <w:rsid w:val="3DE11D43"/>
    <w:rsid w:val="3E0A46F6"/>
    <w:rsid w:val="3E110C94"/>
    <w:rsid w:val="3E2231DF"/>
    <w:rsid w:val="3E2717D1"/>
    <w:rsid w:val="3E3914AB"/>
    <w:rsid w:val="3E47171B"/>
    <w:rsid w:val="3E62523C"/>
    <w:rsid w:val="3E6560C0"/>
    <w:rsid w:val="3E790550"/>
    <w:rsid w:val="3E933053"/>
    <w:rsid w:val="3EB34B10"/>
    <w:rsid w:val="3EB97E84"/>
    <w:rsid w:val="3EC10D7D"/>
    <w:rsid w:val="3EC373DD"/>
    <w:rsid w:val="3EC66B2E"/>
    <w:rsid w:val="3ECB3B4A"/>
    <w:rsid w:val="3EEA65C3"/>
    <w:rsid w:val="3F0804FF"/>
    <w:rsid w:val="3F137F44"/>
    <w:rsid w:val="3F1C7AA1"/>
    <w:rsid w:val="3F253896"/>
    <w:rsid w:val="3F4F2A01"/>
    <w:rsid w:val="3F94017C"/>
    <w:rsid w:val="3FAB729B"/>
    <w:rsid w:val="3FC879D5"/>
    <w:rsid w:val="3FC928A4"/>
    <w:rsid w:val="3FFB0D98"/>
    <w:rsid w:val="3FFE0267"/>
    <w:rsid w:val="402C4DF9"/>
    <w:rsid w:val="402D5DB3"/>
    <w:rsid w:val="40427BD5"/>
    <w:rsid w:val="40553718"/>
    <w:rsid w:val="40553BBD"/>
    <w:rsid w:val="407F77F4"/>
    <w:rsid w:val="40932C0F"/>
    <w:rsid w:val="409723EF"/>
    <w:rsid w:val="40AB43D5"/>
    <w:rsid w:val="40C854ED"/>
    <w:rsid w:val="40C92324"/>
    <w:rsid w:val="40E37B40"/>
    <w:rsid w:val="40F50ED0"/>
    <w:rsid w:val="40FF4477"/>
    <w:rsid w:val="412E6E5A"/>
    <w:rsid w:val="413F001C"/>
    <w:rsid w:val="4154495F"/>
    <w:rsid w:val="415C0B59"/>
    <w:rsid w:val="41834159"/>
    <w:rsid w:val="418A72E4"/>
    <w:rsid w:val="41A907FD"/>
    <w:rsid w:val="41C458B1"/>
    <w:rsid w:val="41D34D41"/>
    <w:rsid w:val="42167845"/>
    <w:rsid w:val="42341EC6"/>
    <w:rsid w:val="4234324C"/>
    <w:rsid w:val="423C7F07"/>
    <w:rsid w:val="42652706"/>
    <w:rsid w:val="42672BE1"/>
    <w:rsid w:val="4287046B"/>
    <w:rsid w:val="42AA6321"/>
    <w:rsid w:val="42BA4D90"/>
    <w:rsid w:val="42C149A3"/>
    <w:rsid w:val="42E172A2"/>
    <w:rsid w:val="42EA799C"/>
    <w:rsid w:val="431E58A5"/>
    <w:rsid w:val="432B7898"/>
    <w:rsid w:val="433E1001"/>
    <w:rsid w:val="434D5B39"/>
    <w:rsid w:val="43656B48"/>
    <w:rsid w:val="43780CB2"/>
    <w:rsid w:val="439B1895"/>
    <w:rsid w:val="439E195A"/>
    <w:rsid w:val="43A763AF"/>
    <w:rsid w:val="43B637EA"/>
    <w:rsid w:val="43CB3A74"/>
    <w:rsid w:val="43EA3450"/>
    <w:rsid w:val="43F3642E"/>
    <w:rsid w:val="44001119"/>
    <w:rsid w:val="445F7654"/>
    <w:rsid w:val="447F6556"/>
    <w:rsid w:val="449F1494"/>
    <w:rsid w:val="44AC3DE0"/>
    <w:rsid w:val="44CA7D5F"/>
    <w:rsid w:val="45111DC2"/>
    <w:rsid w:val="451820F7"/>
    <w:rsid w:val="452303E7"/>
    <w:rsid w:val="45332881"/>
    <w:rsid w:val="45AD136E"/>
    <w:rsid w:val="45B217F4"/>
    <w:rsid w:val="460E66D2"/>
    <w:rsid w:val="461B516D"/>
    <w:rsid w:val="462C31F9"/>
    <w:rsid w:val="4633108F"/>
    <w:rsid w:val="463915B4"/>
    <w:rsid w:val="464E6DE6"/>
    <w:rsid w:val="46676552"/>
    <w:rsid w:val="469E2915"/>
    <w:rsid w:val="46B73022"/>
    <w:rsid w:val="46DC6ABE"/>
    <w:rsid w:val="46F338EC"/>
    <w:rsid w:val="470B449A"/>
    <w:rsid w:val="47152470"/>
    <w:rsid w:val="471D2263"/>
    <w:rsid w:val="47317D83"/>
    <w:rsid w:val="4733491E"/>
    <w:rsid w:val="47340FA9"/>
    <w:rsid w:val="473D0EC0"/>
    <w:rsid w:val="47450A06"/>
    <w:rsid w:val="47507E13"/>
    <w:rsid w:val="47565211"/>
    <w:rsid w:val="475D477B"/>
    <w:rsid w:val="47A32D6E"/>
    <w:rsid w:val="47A529DC"/>
    <w:rsid w:val="47B4010D"/>
    <w:rsid w:val="47BA0320"/>
    <w:rsid w:val="47C37714"/>
    <w:rsid w:val="47CE47C7"/>
    <w:rsid w:val="47DB2908"/>
    <w:rsid w:val="47DE2F16"/>
    <w:rsid w:val="47E20C13"/>
    <w:rsid w:val="47E56984"/>
    <w:rsid w:val="47EB405B"/>
    <w:rsid w:val="47EC7E63"/>
    <w:rsid w:val="480422F5"/>
    <w:rsid w:val="483A1316"/>
    <w:rsid w:val="48583952"/>
    <w:rsid w:val="48815B5A"/>
    <w:rsid w:val="489D2B6A"/>
    <w:rsid w:val="48AF1A2C"/>
    <w:rsid w:val="48C02F86"/>
    <w:rsid w:val="48C742DC"/>
    <w:rsid w:val="48C926EA"/>
    <w:rsid w:val="48DA1AF1"/>
    <w:rsid w:val="493966A3"/>
    <w:rsid w:val="49573279"/>
    <w:rsid w:val="495E5E4C"/>
    <w:rsid w:val="49BE68A4"/>
    <w:rsid w:val="49CA3159"/>
    <w:rsid w:val="49E54E4D"/>
    <w:rsid w:val="4A567E57"/>
    <w:rsid w:val="4A573A86"/>
    <w:rsid w:val="4A8F4985"/>
    <w:rsid w:val="4AAB71D8"/>
    <w:rsid w:val="4ABA3692"/>
    <w:rsid w:val="4ABE09B1"/>
    <w:rsid w:val="4AC64C9B"/>
    <w:rsid w:val="4B000CAC"/>
    <w:rsid w:val="4B022A13"/>
    <w:rsid w:val="4B2B05A4"/>
    <w:rsid w:val="4B353CB6"/>
    <w:rsid w:val="4B467083"/>
    <w:rsid w:val="4B651038"/>
    <w:rsid w:val="4B681907"/>
    <w:rsid w:val="4B6B75E9"/>
    <w:rsid w:val="4B7E47FB"/>
    <w:rsid w:val="4B7E4935"/>
    <w:rsid w:val="4B8054BF"/>
    <w:rsid w:val="4B885624"/>
    <w:rsid w:val="4BA86FA1"/>
    <w:rsid w:val="4BB70DBC"/>
    <w:rsid w:val="4BC92FA9"/>
    <w:rsid w:val="4BD7705A"/>
    <w:rsid w:val="4BE83D28"/>
    <w:rsid w:val="4C3F2C68"/>
    <w:rsid w:val="4C78193D"/>
    <w:rsid w:val="4C8229F4"/>
    <w:rsid w:val="4CA76AC5"/>
    <w:rsid w:val="4CF10FC1"/>
    <w:rsid w:val="4CF82CB6"/>
    <w:rsid w:val="4D124768"/>
    <w:rsid w:val="4D264F17"/>
    <w:rsid w:val="4D2B0086"/>
    <w:rsid w:val="4D2E4497"/>
    <w:rsid w:val="4D4F6924"/>
    <w:rsid w:val="4D6A60AC"/>
    <w:rsid w:val="4DC32AA3"/>
    <w:rsid w:val="4E0803D6"/>
    <w:rsid w:val="4E0B07C7"/>
    <w:rsid w:val="4E2D23E1"/>
    <w:rsid w:val="4E490F71"/>
    <w:rsid w:val="4E904B1F"/>
    <w:rsid w:val="4E9C6DB8"/>
    <w:rsid w:val="4EC23EAE"/>
    <w:rsid w:val="4F192B86"/>
    <w:rsid w:val="4F1E3B41"/>
    <w:rsid w:val="4F1F0560"/>
    <w:rsid w:val="4F543C53"/>
    <w:rsid w:val="4F8B35E0"/>
    <w:rsid w:val="4F9E734F"/>
    <w:rsid w:val="4FA61BE4"/>
    <w:rsid w:val="4FD67DC7"/>
    <w:rsid w:val="500269F8"/>
    <w:rsid w:val="50267B2F"/>
    <w:rsid w:val="503009B9"/>
    <w:rsid w:val="503B2047"/>
    <w:rsid w:val="505D17E0"/>
    <w:rsid w:val="50974C0C"/>
    <w:rsid w:val="50981A6E"/>
    <w:rsid w:val="509E7747"/>
    <w:rsid w:val="50A711A6"/>
    <w:rsid w:val="50A82BEE"/>
    <w:rsid w:val="50B53652"/>
    <w:rsid w:val="50B57780"/>
    <w:rsid w:val="50C51293"/>
    <w:rsid w:val="50CE4F37"/>
    <w:rsid w:val="50E23D3A"/>
    <w:rsid w:val="512A2805"/>
    <w:rsid w:val="51340528"/>
    <w:rsid w:val="51533E8D"/>
    <w:rsid w:val="517133B1"/>
    <w:rsid w:val="51743E58"/>
    <w:rsid w:val="51D5580D"/>
    <w:rsid w:val="521B7772"/>
    <w:rsid w:val="52251994"/>
    <w:rsid w:val="5233351C"/>
    <w:rsid w:val="52560348"/>
    <w:rsid w:val="52632802"/>
    <w:rsid w:val="527B077E"/>
    <w:rsid w:val="52AE24B8"/>
    <w:rsid w:val="52E3483D"/>
    <w:rsid w:val="531C02C3"/>
    <w:rsid w:val="531C21C9"/>
    <w:rsid w:val="532E28B8"/>
    <w:rsid w:val="533471AB"/>
    <w:rsid w:val="536B671A"/>
    <w:rsid w:val="53896791"/>
    <w:rsid w:val="53A01641"/>
    <w:rsid w:val="53A47420"/>
    <w:rsid w:val="53B5288A"/>
    <w:rsid w:val="53BA18F2"/>
    <w:rsid w:val="53D732AC"/>
    <w:rsid w:val="54013224"/>
    <w:rsid w:val="540378ED"/>
    <w:rsid w:val="54082164"/>
    <w:rsid w:val="54396A35"/>
    <w:rsid w:val="543C34A3"/>
    <w:rsid w:val="54493A26"/>
    <w:rsid w:val="54495D99"/>
    <w:rsid w:val="545E6E35"/>
    <w:rsid w:val="54822EB0"/>
    <w:rsid w:val="54933E92"/>
    <w:rsid w:val="54B11725"/>
    <w:rsid w:val="54B45976"/>
    <w:rsid w:val="54C8391A"/>
    <w:rsid w:val="5507301C"/>
    <w:rsid w:val="5512548F"/>
    <w:rsid w:val="554A6AC3"/>
    <w:rsid w:val="554C0C46"/>
    <w:rsid w:val="55831706"/>
    <w:rsid w:val="55896CEB"/>
    <w:rsid w:val="55A241E9"/>
    <w:rsid w:val="55AB0A8B"/>
    <w:rsid w:val="55E34263"/>
    <w:rsid w:val="55E77811"/>
    <w:rsid w:val="5646016B"/>
    <w:rsid w:val="565A207E"/>
    <w:rsid w:val="566B1EEC"/>
    <w:rsid w:val="566C6470"/>
    <w:rsid w:val="56904833"/>
    <w:rsid w:val="56B47A9C"/>
    <w:rsid w:val="56C03C97"/>
    <w:rsid w:val="56D64074"/>
    <w:rsid w:val="56DB0CD7"/>
    <w:rsid w:val="56DE503C"/>
    <w:rsid w:val="5708640C"/>
    <w:rsid w:val="5712053B"/>
    <w:rsid w:val="574079C4"/>
    <w:rsid w:val="574B0EE7"/>
    <w:rsid w:val="57603878"/>
    <w:rsid w:val="576F318D"/>
    <w:rsid w:val="57832510"/>
    <w:rsid w:val="57851087"/>
    <w:rsid w:val="57CC6606"/>
    <w:rsid w:val="58075C53"/>
    <w:rsid w:val="5838442C"/>
    <w:rsid w:val="58694A68"/>
    <w:rsid w:val="58736030"/>
    <w:rsid w:val="5886515C"/>
    <w:rsid w:val="588A06AC"/>
    <w:rsid w:val="588A0DE3"/>
    <w:rsid w:val="5899246A"/>
    <w:rsid w:val="58A27144"/>
    <w:rsid w:val="58AA10CF"/>
    <w:rsid w:val="58CC23A5"/>
    <w:rsid w:val="58E078FA"/>
    <w:rsid w:val="58F5045B"/>
    <w:rsid w:val="58FB7812"/>
    <w:rsid w:val="592B4FF1"/>
    <w:rsid w:val="595521F6"/>
    <w:rsid w:val="596E01EF"/>
    <w:rsid w:val="59AF293C"/>
    <w:rsid w:val="59B02104"/>
    <w:rsid w:val="59C029AB"/>
    <w:rsid w:val="59C53DC0"/>
    <w:rsid w:val="59CA28B4"/>
    <w:rsid w:val="5A012E6F"/>
    <w:rsid w:val="5A042931"/>
    <w:rsid w:val="5A154996"/>
    <w:rsid w:val="5A21340C"/>
    <w:rsid w:val="5A24049E"/>
    <w:rsid w:val="5A4E57AF"/>
    <w:rsid w:val="5A50477F"/>
    <w:rsid w:val="5A542A36"/>
    <w:rsid w:val="5A696F62"/>
    <w:rsid w:val="5B1519A6"/>
    <w:rsid w:val="5B173022"/>
    <w:rsid w:val="5B2A102F"/>
    <w:rsid w:val="5B380D01"/>
    <w:rsid w:val="5B3C35EA"/>
    <w:rsid w:val="5B4218D9"/>
    <w:rsid w:val="5B6078C9"/>
    <w:rsid w:val="5B761406"/>
    <w:rsid w:val="5B963C33"/>
    <w:rsid w:val="5BA71510"/>
    <w:rsid w:val="5BC61520"/>
    <w:rsid w:val="5BCF63CA"/>
    <w:rsid w:val="5C084598"/>
    <w:rsid w:val="5C1271C4"/>
    <w:rsid w:val="5C144FF2"/>
    <w:rsid w:val="5C23541B"/>
    <w:rsid w:val="5C4872F9"/>
    <w:rsid w:val="5C4E5D1A"/>
    <w:rsid w:val="5C5141BF"/>
    <w:rsid w:val="5C665E30"/>
    <w:rsid w:val="5C74248A"/>
    <w:rsid w:val="5C7D7C2D"/>
    <w:rsid w:val="5C8C4A3B"/>
    <w:rsid w:val="5CA42D69"/>
    <w:rsid w:val="5CAC5F4C"/>
    <w:rsid w:val="5CC04FCD"/>
    <w:rsid w:val="5CE6733E"/>
    <w:rsid w:val="5CF04AD8"/>
    <w:rsid w:val="5D021CBF"/>
    <w:rsid w:val="5D1A63CA"/>
    <w:rsid w:val="5D1E1174"/>
    <w:rsid w:val="5D262EA1"/>
    <w:rsid w:val="5D386854"/>
    <w:rsid w:val="5D4A0968"/>
    <w:rsid w:val="5D636E8D"/>
    <w:rsid w:val="5D652CD9"/>
    <w:rsid w:val="5DB828D3"/>
    <w:rsid w:val="5DD67928"/>
    <w:rsid w:val="5DE145FD"/>
    <w:rsid w:val="5E1B0B4B"/>
    <w:rsid w:val="5E287980"/>
    <w:rsid w:val="5E4B3709"/>
    <w:rsid w:val="5E525231"/>
    <w:rsid w:val="5E611ED0"/>
    <w:rsid w:val="5E8472FE"/>
    <w:rsid w:val="5ED5144F"/>
    <w:rsid w:val="5EE56320"/>
    <w:rsid w:val="5EEC0607"/>
    <w:rsid w:val="5EF96D08"/>
    <w:rsid w:val="5F266950"/>
    <w:rsid w:val="5F282AC1"/>
    <w:rsid w:val="5F4139E5"/>
    <w:rsid w:val="5F4B3119"/>
    <w:rsid w:val="5F6B51A4"/>
    <w:rsid w:val="5F7A5E4D"/>
    <w:rsid w:val="5F8E34E5"/>
    <w:rsid w:val="5FB3346D"/>
    <w:rsid w:val="5FE76F6C"/>
    <w:rsid w:val="5FF00D08"/>
    <w:rsid w:val="60066A9A"/>
    <w:rsid w:val="60185F91"/>
    <w:rsid w:val="60A64894"/>
    <w:rsid w:val="60D3730C"/>
    <w:rsid w:val="60E102C1"/>
    <w:rsid w:val="61067614"/>
    <w:rsid w:val="61101775"/>
    <w:rsid w:val="61262D0F"/>
    <w:rsid w:val="61280BDB"/>
    <w:rsid w:val="61291238"/>
    <w:rsid w:val="613520D4"/>
    <w:rsid w:val="616426A1"/>
    <w:rsid w:val="61803737"/>
    <w:rsid w:val="61AC794F"/>
    <w:rsid w:val="61BA1757"/>
    <w:rsid w:val="61C15914"/>
    <w:rsid w:val="61F424AA"/>
    <w:rsid w:val="622C5B89"/>
    <w:rsid w:val="62715800"/>
    <w:rsid w:val="627B35CE"/>
    <w:rsid w:val="629E4E86"/>
    <w:rsid w:val="62A17DFA"/>
    <w:rsid w:val="62C82302"/>
    <w:rsid w:val="62E13641"/>
    <w:rsid w:val="62EC6198"/>
    <w:rsid w:val="630436AD"/>
    <w:rsid w:val="634E2D1B"/>
    <w:rsid w:val="63566A2B"/>
    <w:rsid w:val="636B4B11"/>
    <w:rsid w:val="637C5F97"/>
    <w:rsid w:val="638124D2"/>
    <w:rsid w:val="63A252D2"/>
    <w:rsid w:val="63A66DE8"/>
    <w:rsid w:val="63BE647A"/>
    <w:rsid w:val="63FA19B1"/>
    <w:rsid w:val="6403539E"/>
    <w:rsid w:val="64043A7E"/>
    <w:rsid w:val="642304BF"/>
    <w:rsid w:val="64252C77"/>
    <w:rsid w:val="64253428"/>
    <w:rsid w:val="64474FAC"/>
    <w:rsid w:val="646E14B1"/>
    <w:rsid w:val="647913D5"/>
    <w:rsid w:val="648C1BAD"/>
    <w:rsid w:val="649E258C"/>
    <w:rsid w:val="64BD34E5"/>
    <w:rsid w:val="64CE2822"/>
    <w:rsid w:val="65044496"/>
    <w:rsid w:val="6522763F"/>
    <w:rsid w:val="653B067B"/>
    <w:rsid w:val="65464CEE"/>
    <w:rsid w:val="6548619E"/>
    <w:rsid w:val="65582C42"/>
    <w:rsid w:val="656F125D"/>
    <w:rsid w:val="657905F9"/>
    <w:rsid w:val="65C47395"/>
    <w:rsid w:val="65D210E9"/>
    <w:rsid w:val="65F318BA"/>
    <w:rsid w:val="661F26C9"/>
    <w:rsid w:val="6620249E"/>
    <w:rsid w:val="66273FCF"/>
    <w:rsid w:val="662D2B8F"/>
    <w:rsid w:val="663B4E40"/>
    <w:rsid w:val="664A5D68"/>
    <w:rsid w:val="666C76FE"/>
    <w:rsid w:val="6678612C"/>
    <w:rsid w:val="66832D2C"/>
    <w:rsid w:val="66891537"/>
    <w:rsid w:val="669805A7"/>
    <w:rsid w:val="66CF7EB2"/>
    <w:rsid w:val="67823458"/>
    <w:rsid w:val="6788680F"/>
    <w:rsid w:val="67CC59D6"/>
    <w:rsid w:val="67E46633"/>
    <w:rsid w:val="67F143E8"/>
    <w:rsid w:val="68015BF8"/>
    <w:rsid w:val="68176E77"/>
    <w:rsid w:val="68295DE1"/>
    <w:rsid w:val="6837097A"/>
    <w:rsid w:val="685776E6"/>
    <w:rsid w:val="685974EC"/>
    <w:rsid w:val="68966840"/>
    <w:rsid w:val="68AD4F28"/>
    <w:rsid w:val="68BA3B7B"/>
    <w:rsid w:val="68D523A0"/>
    <w:rsid w:val="68DF29EB"/>
    <w:rsid w:val="691D1214"/>
    <w:rsid w:val="69702F6D"/>
    <w:rsid w:val="69AB5C05"/>
    <w:rsid w:val="69C908E1"/>
    <w:rsid w:val="69D86E8B"/>
    <w:rsid w:val="69DD1C9D"/>
    <w:rsid w:val="69F92A6F"/>
    <w:rsid w:val="6A072B7C"/>
    <w:rsid w:val="6A3F070D"/>
    <w:rsid w:val="6A4B7F5F"/>
    <w:rsid w:val="6A541948"/>
    <w:rsid w:val="6A797AD4"/>
    <w:rsid w:val="6A97297F"/>
    <w:rsid w:val="6A9935E9"/>
    <w:rsid w:val="6AAA7CC8"/>
    <w:rsid w:val="6ACF0B94"/>
    <w:rsid w:val="6AD101E9"/>
    <w:rsid w:val="6B1804B8"/>
    <w:rsid w:val="6B3D6358"/>
    <w:rsid w:val="6B4B64EA"/>
    <w:rsid w:val="6B5F7C7C"/>
    <w:rsid w:val="6B61569E"/>
    <w:rsid w:val="6B7E7510"/>
    <w:rsid w:val="6BFB73F1"/>
    <w:rsid w:val="6BFE1CB3"/>
    <w:rsid w:val="6C027255"/>
    <w:rsid w:val="6C151BCA"/>
    <w:rsid w:val="6C1A6F6B"/>
    <w:rsid w:val="6C1E310D"/>
    <w:rsid w:val="6C2D3BD7"/>
    <w:rsid w:val="6C5F56A8"/>
    <w:rsid w:val="6C6120A9"/>
    <w:rsid w:val="6C8B0467"/>
    <w:rsid w:val="6C962C00"/>
    <w:rsid w:val="6CE728BF"/>
    <w:rsid w:val="6D061E2A"/>
    <w:rsid w:val="6D186E37"/>
    <w:rsid w:val="6D1D1013"/>
    <w:rsid w:val="6D2E67BF"/>
    <w:rsid w:val="6D483774"/>
    <w:rsid w:val="6D5F6AF1"/>
    <w:rsid w:val="6D6830E8"/>
    <w:rsid w:val="6D707BA9"/>
    <w:rsid w:val="6D9E77AA"/>
    <w:rsid w:val="6DD578B5"/>
    <w:rsid w:val="6DDC6247"/>
    <w:rsid w:val="6E15327B"/>
    <w:rsid w:val="6E165CD3"/>
    <w:rsid w:val="6E172307"/>
    <w:rsid w:val="6E61763F"/>
    <w:rsid w:val="6E6E472E"/>
    <w:rsid w:val="6E7066F8"/>
    <w:rsid w:val="6E743036"/>
    <w:rsid w:val="6E85777F"/>
    <w:rsid w:val="6EAC686C"/>
    <w:rsid w:val="6ED153FA"/>
    <w:rsid w:val="6EE5616F"/>
    <w:rsid w:val="6F230A1B"/>
    <w:rsid w:val="6F54305B"/>
    <w:rsid w:val="6F6523C6"/>
    <w:rsid w:val="6F837DD6"/>
    <w:rsid w:val="6F8947A5"/>
    <w:rsid w:val="6F8D0647"/>
    <w:rsid w:val="6FE237AB"/>
    <w:rsid w:val="704D5F28"/>
    <w:rsid w:val="705D4357"/>
    <w:rsid w:val="706A1F82"/>
    <w:rsid w:val="706C53D5"/>
    <w:rsid w:val="70C45466"/>
    <w:rsid w:val="70CA7CFB"/>
    <w:rsid w:val="70DF0681"/>
    <w:rsid w:val="710469C6"/>
    <w:rsid w:val="710D0D68"/>
    <w:rsid w:val="71190F3E"/>
    <w:rsid w:val="713F1B87"/>
    <w:rsid w:val="7140267B"/>
    <w:rsid w:val="71634D02"/>
    <w:rsid w:val="71A71F1F"/>
    <w:rsid w:val="72092685"/>
    <w:rsid w:val="725D51E5"/>
    <w:rsid w:val="72853A81"/>
    <w:rsid w:val="72B4341C"/>
    <w:rsid w:val="72BB0D0C"/>
    <w:rsid w:val="72F9009A"/>
    <w:rsid w:val="73134194"/>
    <w:rsid w:val="732A685E"/>
    <w:rsid w:val="7358323E"/>
    <w:rsid w:val="735838D0"/>
    <w:rsid w:val="737319BE"/>
    <w:rsid w:val="73833B4D"/>
    <w:rsid w:val="73A76797"/>
    <w:rsid w:val="73AD22F8"/>
    <w:rsid w:val="73D51CD9"/>
    <w:rsid w:val="73DF088B"/>
    <w:rsid w:val="73E3796C"/>
    <w:rsid w:val="73EC3B7D"/>
    <w:rsid w:val="740976D0"/>
    <w:rsid w:val="74251108"/>
    <w:rsid w:val="74777A6A"/>
    <w:rsid w:val="747A44A0"/>
    <w:rsid w:val="74CD034B"/>
    <w:rsid w:val="74E85D51"/>
    <w:rsid w:val="74E96A98"/>
    <w:rsid w:val="75002292"/>
    <w:rsid w:val="75111D43"/>
    <w:rsid w:val="751579F6"/>
    <w:rsid w:val="75330B7C"/>
    <w:rsid w:val="753462A4"/>
    <w:rsid w:val="753A73E9"/>
    <w:rsid w:val="753C13D3"/>
    <w:rsid w:val="755E792B"/>
    <w:rsid w:val="75644ADD"/>
    <w:rsid w:val="75701E2F"/>
    <w:rsid w:val="758D59FD"/>
    <w:rsid w:val="75932CCC"/>
    <w:rsid w:val="759467DB"/>
    <w:rsid w:val="75A63893"/>
    <w:rsid w:val="75D73501"/>
    <w:rsid w:val="75FD6817"/>
    <w:rsid w:val="76206054"/>
    <w:rsid w:val="762E2976"/>
    <w:rsid w:val="764A5060"/>
    <w:rsid w:val="765448FD"/>
    <w:rsid w:val="76666500"/>
    <w:rsid w:val="766A3833"/>
    <w:rsid w:val="76752674"/>
    <w:rsid w:val="76A03F37"/>
    <w:rsid w:val="76EE541F"/>
    <w:rsid w:val="76FB7B7D"/>
    <w:rsid w:val="7771498F"/>
    <w:rsid w:val="7774530C"/>
    <w:rsid w:val="777534EF"/>
    <w:rsid w:val="777C5714"/>
    <w:rsid w:val="7782228E"/>
    <w:rsid w:val="77856090"/>
    <w:rsid w:val="77B34464"/>
    <w:rsid w:val="77BA58D3"/>
    <w:rsid w:val="77C45E43"/>
    <w:rsid w:val="77CE00AF"/>
    <w:rsid w:val="77F34723"/>
    <w:rsid w:val="78122A81"/>
    <w:rsid w:val="78224A42"/>
    <w:rsid w:val="78293DC0"/>
    <w:rsid w:val="782E6F80"/>
    <w:rsid w:val="78573BA6"/>
    <w:rsid w:val="78D35541"/>
    <w:rsid w:val="78F21606"/>
    <w:rsid w:val="79140A19"/>
    <w:rsid w:val="794433FE"/>
    <w:rsid w:val="794F159E"/>
    <w:rsid w:val="79567023"/>
    <w:rsid w:val="795D4D79"/>
    <w:rsid w:val="79752E91"/>
    <w:rsid w:val="797734EB"/>
    <w:rsid w:val="799B00AD"/>
    <w:rsid w:val="79BB5611"/>
    <w:rsid w:val="79CE43D6"/>
    <w:rsid w:val="79DB6F73"/>
    <w:rsid w:val="7A325CD7"/>
    <w:rsid w:val="7A3857E5"/>
    <w:rsid w:val="7A5639E9"/>
    <w:rsid w:val="7A761036"/>
    <w:rsid w:val="7A841815"/>
    <w:rsid w:val="7AB14D32"/>
    <w:rsid w:val="7ABF584C"/>
    <w:rsid w:val="7AE82A2B"/>
    <w:rsid w:val="7AF0448B"/>
    <w:rsid w:val="7B05641A"/>
    <w:rsid w:val="7B143565"/>
    <w:rsid w:val="7B1534E2"/>
    <w:rsid w:val="7B191EC6"/>
    <w:rsid w:val="7B202F7E"/>
    <w:rsid w:val="7B24078B"/>
    <w:rsid w:val="7B4B71EC"/>
    <w:rsid w:val="7B5344E4"/>
    <w:rsid w:val="7B553073"/>
    <w:rsid w:val="7BA140DD"/>
    <w:rsid w:val="7BB64ADB"/>
    <w:rsid w:val="7BB82A8D"/>
    <w:rsid w:val="7BD66CE1"/>
    <w:rsid w:val="7BDA7BBE"/>
    <w:rsid w:val="7BF2699E"/>
    <w:rsid w:val="7C2B3097"/>
    <w:rsid w:val="7C6E5087"/>
    <w:rsid w:val="7C73640D"/>
    <w:rsid w:val="7C925305"/>
    <w:rsid w:val="7CA213E1"/>
    <w:rsid w:val="7CA86964"/>
    <w:rsid w:val="7CCA7D32"/>
    <w:rsid w:val="7CEF35A8"/>
    <w:rsid w:val="7CF43304"/>
    <w:rsid w:val="7D030107"/>
    <w:rsid w:val="7D174F1A"/>
    <w:rsid w:val="7D334B54"/>
    <w:rsid w:val="7D631915"/>
    <w:rsid w:val="7D681564"/>
    <w:rsid w:val="7D854F5D"/>
    <w:rsid w:val="7D894D45"/>
    <w:rsid w:val="7DB639FC"/>
    <w:rsid w:val="7DE76108"/>
    <w:rsid w:val="7E115459"/>
    <w:rsid w:val="7E2B6A66"/>
    <w:rsid w:val="7EA90CE6"/>
    <w:rsid w:val="7EAA7A04"/>
    <w:rsid w:val="7EDD6453"/>
    <w:rsid w:val="7EE44685"/>
    <w:rsid w:val="7EEF04B2"/>
    <w:rsid w:val="7F037C9F"/>
    <w:rsid w:val="7F0A20F8"/>
    <w:rsid w:val="7F1255AA"/>
    <w:rsid w:val="7F333AC8"/>
    <w:rsid w:val="7F652269"/>
    <w:rsid w:val="7F695BC7"/>
    <w:rsid w:val="7F735654"/>
    <w:rsid w:val="7F7E134B"/>
    <w:rsid w:val="7F926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nhideWhenUsed="0" w:uiPriority="99" w:semiHidden="0"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47"/>
    <w:autoRedefine/>
    <w:qFormat/>
    <w:uiPriority w:val="0"/>
    <w:pPr>
      <w:keepNext/>
      <w:keepLines/>
      <w:spacing w:line="360" w:lineRule="auto"/>
      <w:outlineLvl w:val="0"/>
    </w:pPr>
    <w:rPr>
      <w:b/>
      <w:bCs/>
      <w:kern w:val="44"/>
      <w:sz w:val="32"/>
      <w:szCs w:val="44"/>
    </w:rPr>
  </w:style>
  <w:style w:type="paragraph" w:styleId="3">
    <w:name w:val="heading 2"/>
    <w:basedOn w:val="1"/>
    <w:next w:val="4"/>
    <w:link w:val="48"/>
    <w:autoRedefine/>
    <w:qFormat/>
    <w:uiPriority w:val="0"/>
    <w:pPr>
      <w:keepNext/>
      <w:keepLines/>
      <w:spacing w:line="360" w:lineRule="auto"/>
      <w:outlineLvl w:val="1"/>
    </w:pPr>
    <w:rPr>
      <w:b/>
      <w:bCs/>
      <w:sz w:val="28"/>
      <w:szCs w:val="32"/>
    </w:rPr>
  </w:style>
  <w:style w:type="paragraph" w:styleId="5">
    <w:name w:val="heading 3"/>
    <w:basedOn w:val="1"/>
    <w:next w:val="1"/>
    <w:link w:val="49"/>
    <w:autoRedefine/>
    <w:qFormat/>
    <w:uiPriority w:val="99"/>
    <w:pPr>
      <w:keepNext/>
      <w:keepLines/>
      <w:spacing w:line="360" w:lineRule="auto"/>
      <w:outlineLvl w:val="2"/>
    </w:pPr>
    <w:rPr>
      <w:b/>
      <w:bCs/>
      <w:szCs w:val="32"/>
    </w:rPr>
  </w:style>
  <w:style w:type="paragraph" w:styleId="6">
    <w:name w:val="heading 4"/>
    <w:basedOn w:val="1"/>
    <w:next w:val="1"/>
    <w:link w:val="50"/>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80"/>
    <w:autoRedefine/>
    <w:qFormat/>
    <w:uiPriority w:val="0"/>
    <w:pPr>
      <w:ind w:firstLine="420" w:firstLineChars="200"/>
    </w:pPr>
  </w:style>
  <w:style w:type="paragraph" w:styleId="7">
    <w:name w:val="toc 7"/>
    <w:basedOn w:val="1"/>
    <w:next w:val="1"/>
    <w:autoRedefine/>
    <w:semiHidden/>
    <w:qFormat/>
    <w:uiPriority w:val="0"/>
    <w:pPr>
      <w:ind w:left="1440"/>
      <w:jc w:val="left"/>
    </w:pPr>
    <w:rPr>
      <w:rFonts w:asciiTheme="minorHAnsi" w:hAnsiTheme="minorHAnsi" w:cstheme="minorHAnsi"/>
      <w:sz w:val="18"/>
      <w:szCs w:val="18"/>
    </w:rPr>
  </w:style>
  <w:style w:type="paragraph" w:styleId="8">
    <w:name w:val="caption"/>
    <w:basedOn w:val="1"/>
    <w:next w:val="1"/>
    <w:link w:val="76"/>
    <w:autoRedefine/>
    <w:qFormat/>
    <w:uiPriority w:val="99"/>
    <w:pPr>
      <w:keepNext/>
      <w:widowControl/>
      <w:adjustRightInd w:val="0"/>
      <w:snapToGrid w:val="0"/>
      <w:jc w:val="center"/>
    </w:pPr>
    <w:rPr>
      <w:rFonts w:ascii="仿宋_GB2312"/>
      <w:b/>
      <w:kern w:val="0"/>
      <w:sz w:val="28"/>
      <w:szCs w:val="28"/>
    </w:rPr>
  </w:style>
  <w:style w:type="paragraph" w:styleId="9">
    <w:name w:val="List Bullet"/>
    <w:basedOn w:val="1"/>
    <w:autoRedefine/>
    <w:semiHidden/>
    <w:unhideWhenUsed/>
    <w:qFormat/>
    <w:uiPriority w:val="0"/>
    <w:pPr>
      <w:numPr>
        <w:ilvl w:val="0"/>
        <w:numId w:val="1"/>
      </w:numPr>
      <w:contextualSpacing/>
    </w:pPr>
  </w:style>
  <w:style w:type="paragraph" w:styleId="10">
    <w:name w:val="Document Map"/>
    <w:basedOn w:val="1"/>
    <w:link w:val="53"/>
    <w:autoRedefine/>
    <w:semiHidden/>
    <w:qFormat/>
    <w:uiPriority w:val="0"/>
    <w:pPr>
      <w:shd w:val="clear" w:color="auto" w:fill="000080"/>
    </w:pPr>
  </w:style>
  <w:style w:type="paragraph" w:styleId="11">
    <w:name w:val="toa heading"/>
    <w:basedOn w:val="1"/>
    <w:next w:val="1"/>
    <w:autoRedefine/>
    <w:semiHidden/>
    <w:unhideWhenUsed/>
    <w:qFormat/>
    <w:uiPriority w:val="99"/>
    <w:pPr>
      <w:spacing w:before="120"/>
    </w:pPr>
    <w:rPr>
      <w:rFonts w:asciiTheme="majorHAnsi" w:hAnsiTheme="majorHAnsi" w:eastAsiaTheme="majorEastAsia" w:cstheme="majorBidi"/>
    </w:rPr>
  </w:style>
  <w:style w:type="paragraph" w:styleId="12">
    <w:name w:val="annotation text"/>
    <w:basedOn w:val="1"/>
    <w:link w:val="51"/>
    <w:autoRedefine/>
    <w:unhideWhenUsed/>
    <w:qFormat/>
    <w:uiPriority w:val="99"/>
    <w:pPr>
      <w:jc w:val="left"/>
    </w:pPr>
  </w:style>
  <w:style w:type="paragraph" w:styleId="13">
    <w:name w:val="Body Text"/>
    <w:basedOn w:val="1"/>
    <w:next w:val="1"/>
    <w:link w:val="54"/>
    <w:autoRedefine/>
    <w:qFormat/>
    <w:uiPriority w:val="0"/>
    <w:pPr>
      <w:spacing w:after="120"/>
    </w:pPr>
  </w:style>
  <w:style w:type="paragraph" w:styleId="14">
    <w:name w:val="Body Text Indent"/>
    <w:basedOn w:val="1"/>
    <w:link w:val="55"/>
    <w:autoRedefine/>
    <w:qFormat/>
    <w:uiPriority w:val="0"/>
    <w:pPr>
      <w:spacing w:after="120"/>
      <w:ind w:left="420" w:leftChars="200"/>
    </w:pPr>
  </w:style>
  <w:style w:type="paragraph" w:styleId="15">
    <w:name w:val="toc 5"/>
    <w:basedOn w:val="1"/>
    <w:next w:val="1"/>
    <w:autoRedefine/>
    <w:semiHidden/>
    <w:qFormat/>
    <w:uiPriority w:val="0"/>
    <w:pPr>
      <w:ind w:left="960"/>
      <w:jc w:val="left"/>
    </w:pPr>
    <w:rPr>
      <w:rFonts w:asciiTheme="minorHAnsi" w:hAnsiTheme="minorHAnsi" w:cstheme="minorHAnsi"/>
      <w:sz w:val="18"/>
      <w:szCs w:val="18"/>
    </w:rPr>
  </w:style>
  <w:style w:type="paragraph" w:styleId="16">
    <w:name w:val="toc 3"/>
    <w:basedOn w:val="1"/>
    <w:next w:val="1"/>
    <w:autoRedefine/>
    <w:qFormat/>
    <w:uiPriority w:val="39"/>
    <w:pPr>
      <w:ind w:left="480"/>
      <w:jc w:val="left"/>
    </w:pPr>
    <w:rPr>
      <w:rFonts w:asciiTheme="minorHAnsi" w:hAnsiTheme="minorHAnsi" w:cstheme="minorHAnsi"/>
      <w:i/>
      <w:iCs/>
      <w:sz w:val="20"/>
      <w:szCs w:val="20"/>
    </w:rPr>
  </w:style>
  <w:style w:type="paragraph" w:styleId="17">
    <w:name w:val="Plain Text"/>
    <w:basedOn w:val="1"/>
    <w:link w:val="56"/>
    <w:autoRedefine/>
    <w:qFormat/>
    <w:uiPriority w:val="0"/>
    <w:rPr>
      <w:rFonts w:ascii="宋体" w:hAnsi="Courier New" w:cs="Courier New"/>
      <w:szCs w:val="21"/>
    </w:rPr>
  </w:style>
  <w:style w:type="paragraph" w:styleId="18">
    <w:name w:val="toc 8"/>
    <w:basedOn w:val="1"/>
    <w:next w:val="1"/>
    <w:autoRedefine/>
    <w:semiHidden/>
    <w:qFormat/>
    <w:uiPriority w:val="0"/>
    <w:pPr>
      <w:ind w:left="1680"/>
      <w:jc w:val="left"/>
    </w:pPr>
    <w:rPr>
      <w:rFonts w:asciiTheme="minorHAnsi" w:hAnsiTheme="minorHAnsi" w:cstheme="minorHAnsi"/>
      <w:sz w:val="18"/>
      <w:szCs w:val="18"/>
    </w:rPr>
  </w:style>
  <w:style w:type="paragraph" w:styleId="19">
    <w:name w:val="Date"/>
    <w:basedOn w:val="1"/>
    <w:next w:val="1"/>
    <w:link w:val="57"/>
    <w:autoRedefine/>
    <w:qFormat/>
    <w:uiPriority w:val="0"/>
    <w:pPr>
      <w:ind w:left="100" w:leftChars="2500"/>
    </w:pPr>
    <w:rPr>
      <w:szCs w:val="20"/>
    </w:rPr>
  </w:style>
  <w:style w:type="paragraph" w:styleId="20">
    <w:name w:val="Body Text Indent 2"/>
    <w:basedOn w:val="1"/>
    <w:link w:val="58"/>
    <w:autoRedefine/>
    <w:qFormat/>
    <w:uiPriority w:val="0"/>
    <w:pPr>
      <w:spacing w:after="120" w:line="480" w:lineRule="auto"/>
      <w:ind w:left="420" w:leftChars="200"/>
    </w:pPr>
  </w:style>
  <w:style w:type="paragraph" w:styleId="21">
    <w:name w:val="Balloon Text"/>
    <w:basedOn w:val="1"/>
    <w:link w:val="59"/>
    <w:autoRedefine/>
    <w:unhideWhenUsed/>
    <w:qFormat/>
    <w:uiPriority w:val="99"/>
    <w:rPr>
      <w:rFonts w:ascii="Calibri" w:hAnsi="Calibri"/>
      <w:sz w:val="18"/>
      <w:szCs w:val="18"/>
    </w:rPr>
  </w:style>
  <w:style w:type="paragraph" w:styleId="22">
    <w:name w:val="footer"/>
    <w:basedOn w:val="1"/>
    <w:link w:val="60"/>
    <w:autoRedefine/>
    <w:qFormat/>
    <w:uiPriority w:val="99"/>
    <w:pPr>
      <w:tabs>
        <w:tab w:val="center" w:pos="4153"/>
        <w:tab w:val="right" w:pos="8306"/>
      </w:tabs>
      <w:snapToGrid w:val="0"/>
      <w:jc w:val="left"/>
    </w:pPr>
    <w:rPr>
      <w:sz w:val="18"/>
      <w:szCs w:val="18"/>
    </w:rPr>
  </w:style>
  <w:style w:type="paragraph" w:styleId="23">
    <w:name w:val="header"/>
    <w:basedOn w:val="1"/>
    <w:link w:val="61"/>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5">
    <w:name w:val="toc 4"/>
    <w:basedOn w:val="1"/>
    <w:next w:val="1"/>
    <w:autoRedefine/>
    <w:semiHidden/>
    <w:qFormat/>
    <w:uiPriority w:val="0"/>
    <w:pPr>
      <w:ind w:left="720"/>
      <w:jc w:val="left"/>
    </w:pPr>
    <w:rPr>
      <w:rFonts w:asciiTheme="minorHAnsi" w:hAnsiTheme="minorHAnsi" w:cstheme="minorHAnsi"/>
      <w:sz w:val="18"/>
      <w:szCs w:val="18"/>
    </w:rPr>
  </w:style>
  <w:style w:type="paragraph" w:styleId="26">
    <w:name w:val="List"/>
    <w:basedOn w:val="1"/>
    <w:link w:val="121"/>
    <w:autoRedefine/>
    <w:qFormat/>
    <w:uiPriority w:val="99"/>
    <w:pPr>
      <w:ind w:left="200" w:hanging="200" w:hangingChars="200"/>
    </w:pPr>
  </w:style>
  <w:style w:type="paragraph" w:styleId="27">
    <w:name w:val="footnote text"/>
    <w:basedOn w:val="1"/>
    <w:link w:val="62"/>
    <w:autoRedefine/>
    <w:semiHidden/>
    <w:qFormat/>
    <w:uiPriority w:val="0"/>
    <w:pPr>
      <w:snapToGrid w:val="0"/>
      <w:jc w:val="left"/>
    </w:pPr>
    <w:rPr>
      <w:sz w:val="18"/>
      <w:szCs w:val="18"/>
    </w:rPr>
  </w:style>
  <w:style w:type="paragraph" w:styleId="28">
    <w:name w:val="toc 6"/>
    <w:basedOn w:val="1"/>
    <w:next w:val="1"/>
    <w:autoRedefine/>
    <w:semiHidden/>
    <w:qFormat/>
    <w:uiPriority w:val="0"/>
    <w:pPr>
      <w:ind w:left="1200"/>
      <w:jc w:val="left"/>
    </w:pPr>
    <w:rPr>
      <w:rFonts w:asciiTheme="minorHAnsi" w:hAnsiTheme="minorHAnsi" w:cstheme="minorHAnsi"/>
      <w:sz w:val="18"/>
      <w:szCs w:val="18"/>
    </w:rPr>
  </w:style>
  <w:style w:type="paragraph" w:styleId="29">
    <w:name w:val="Body Text Indent 3"/>
    <w:basedOn w:val="1"/>
    <w:link w:val="63"/>
    <w:autoRedefine/>
    <w:qFormat/>
    <w:uiPriority w:val="0"/>
    <w:pPr>
      <w:widowControl/>
      <w:spacing w:before="100" w:beforeAutospacing="1" w:after="100" w:afterAutospacing="1"/>
      <w:jc w:val="left"/>
    </w:pPr>
    <w:rPr>
      <w:rFonts w:ascii="宋体" w:hAnsi="宋体" w:cs="宋体"/>
      <w:kern w:val="0"/>
    </w:rPr>
  </w:style>
  <w:style w:type="paragraph" w:styleId="30">
    <w:name w:val="toc 2"/>
    <w:basedOn w:val="1"/>
    <w:next w:val="1"/>
    <w:autoRedefine/>
    <w:qFormat/>
    <w:uiPriority w:val="39"/>
    <w:pPr>
      <w:ind w:left="240"/>
      <w:jc w:val="left"/>
    </w:pPr>
    <w:rPr>
      <w:rFonts w:asciiTheme="minorHAnsi" w:hAnsiTheme="minorHAnsi" w:cstheme="minorHAnsi"/>
      <w:smallCaps/>
      <w:sz w:val="20"/>
      <w:szCs w:val="20"/>
    </w:rPr>
  </w:style>
  <w:style w:type="paragraph" w:styleId="31">
    <w:name w:val="toc 9"/>
    <w:basedOn w:val="1"/>
    <w:next w:val="1"/>
    <w:autoRedefine/>
    <w:semiHidden/>
    <w:qFormat/>
    <w:uiPriority w:val="0"/>
    <w:pPr>
      <w:ind w:left="1920"/>
      <w:jc w:val="left"/>
    </w:pPr>
    <w:rPr>
      <w:rFonts w:asciiTheme="minorHAnsi" w:hAnsiTheme="minorHAnsi" w:cstheme="minorHAnsi"/>
      <w:sz w:val="18"/>
      <w:szCs w:val="18"/>
    </w:rPr>
  </w:style>
  <w:style w:type="paragraph" w:styleId="32">
    <w:name w:val="HTML Preformatted"/>
    <w:basedOn w:val="1"/>
    <w:link w:val="6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33">
    <w:name w:val="Normal (Web)"/>
    <w:basedOn w:val="1"/>
    <w:link w:val="88"/>
    <w:autoRedefine/>
    <w:qFormat/>
    <w:uiPriority w:val="34"/>
    <w:pPr>
      <w:widowControl/>
      <w:spacing w:before="100" w:beforeAutospacing="1" w:after="100" w:afterAutospacing="1"/>
      <w:jc w:val="left"/>
    </w:pPr>
    <w:rPr>
      <w:rFonts w:ascii="宋体" w:hAnsi="宋体"/>
      <w:kern w:val="0"/>
    </w:rPr>
  </w:style>
  <w:style w:type="paragraph" w:styleId="34">
    <w:name w:val="Title"/>
    <w:basedOn w:val="1"/>
    <w:next w:val="1"/>
    <w:link w:val="15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35">
    <w:name w:val="annotation subject"/>
    <w:basedOn w:val="12"/>
    <w:next w:val="12"/>
    <w:link w:val="52"/>
    <w:autoRedefine/>
    <w:qFormat/>
    <w:uiPriority w:val="0"/>
    <w:rPr>
      <w:b/>
      <w:bCs/>
    </w:rPr>
  </w:style>
  <w:style w:type="paragraph" w:styleId="36">
    <w:name w:val="Body Text First Indent"/>
    <w:basedOn w:val="13"/>
    <w:link w:val="173"/>
    <w:autoRedefine/>
    <w:semiHidden/>
    <w:unhideWhenUsed/>
    <w:qFormat/>
    <w:uiPriority w:val="0"/>
    <w:pPr>
      <w:ind w:firstLine="420" w:firstLineChars="100"/>
    </w:pPr>
    <w:rPr>
      <w:kern w:val="0"/>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22"/>
    <w:rPr>
      <w:b/>
      <w:bCs/>
    </w:rPr>
  </w:style>
  <w:style w:type="character" w:styleId="41">
    <w:name w:val="page number"/>
    <w:basedOn w:val="39"/>
    <w:autoRedefine/>
    <w:qFormat/>
    <w:uiPriority w:val="0"/>
  </w:style>
  <w:style w:type="character" w:styleId="42">
    <w:name w:val="FollowedHyperlink"/>
    <w:basedOn w:val="39"/>
    <w:autoRedefine/>
    <w:semiHidden/>
    <w:unhideWhenUsed/>
    <w:qFormat/>
    <w:uiPriority w:val="0"/>
    <w:rPr>
      <w:color w:val="800080"/>
      <w:u w:val="single"/>
    </w:rPr>
  </w:style>
  <w:style w:type="character" w:styleId="43">
    <w:name w:val="Hyperlink"/>
    <w:basedOn w:val="39"/>
    <w:autoRedefine/>
    <w:qFormat/>
    <w:uiPriority w:val="99"/>
    <w:rPr>
      <w:color w:val="0000FF"/>
      <w:u w:val="single"/>
    </w:rPr>
  </w:style>
  <w:style w:type="character" w:styleId="44">
    <w:name w:val="annotation reference"/>
    <w:basedOn w:val="39"/>
    <w:autoRedefine/>
    <w:qFormat/>
    <w:uiPriority w:val="0"/>
    <w:rPr>
      <w:sz w:val="21"/>
      <w:szCs w:val="21"/>
    </w:rPr>
  </w:style>
  <w:style w:type="character" w:styleId="45">
    <w:name w:val="footnote reference"/>
    <w:basedOn w:val="39"/>
    <w:autoRedefine/>
    <w:semiHidden/>
    <w:qFormat/>
    <w:uiPriority w:val="0"/>
    <w:rPr>
      <w:vertAlign w:val="superscript"/>
    </w:rPr>
  </w:style>
  <w:style w:type="paragraph" w:customStyle="1" w:styleId="46">
    <w:name w:val="样式2"/>
    <w:basedOn w:val="1"/>
    <w:autoRedefine/>
    <w:qFormat/>
    <w:uiPriority w:val="34"/>
    <w:pPr>
      <w:tabs>
        <w:tab w:val="left" w:pos="432"/>
      </w:tabs>
      <w:spacing w:before="50" w:after="50" w:line="440" w:lineRule="exact"/>
    </w:pPr>
    <w:rPr>
      <w:rFonts w:eastAsia="黑体"/>
    </w:rPr>
  </w:style>
  <w:style w:type="character" w:customStyle="1" w:styleId="47">
    <w:name w:val="标题 1 Char"/>
    <w:basedOn w:val="39"/>
    <w:link w:val="2"/>
    <w:autoRedefine/>
    <w:qFormat/>
    <w:uiPriority w:val="0"/>
    <w:rPr>
      <w:rFonts w:ascii="Times New Roman" w:hAnsi="Times New Roman" w:eastAsia="仿宋_GB2312" w:cs="Times New Roman"/>
      <w:b/>
      <w:bCs/>
      <w:kern w:val="44"/>
      <w:sz w:val="32"/>
      <w:szCs w:val="44"/>
    </w:rPr>
  </w:style>
  <w:style w:type="character" w:customStyle="1" w:styleId="48">
    <w:name w:val="标题 2 Char"/>
    <w:basedOn w:val="39"/>
    <w:link w:val="3"/>
    <w:autoRedefine/>
    <w:qFormat/>
    <w:uiPriority w:val="0"/>
    <w:rPr>
      <w:rFonts w:ascii="Times New Roman" w:hAnsi="Times New Roman" w:eastAsia="仿宋_GB2312" w:cs="Times New Roman"/>
      <w:b/>
      <w:bCs/>
      <w:sz w:val="28"/>
      <w:szCs w:val="32"/>
    </w:rPr>
  </w:style>
  <w:style w:type="character" w:customStyle="1" w:styleId="49">
    <w:name w:val="标题 3 Char"/>
    <w:basedOn w:val="39"/>
    <w:link w:val="5"/>
    <w:autoRedefine/>
    <w:qFormat/>
    <w:uiPriority w:val="99"/>
    <w:rPr>
      <w:rFonts w:ascii="Times New Roman" w:hAnsi="Times New Roman" w:eastAsia="仿宋_GB2312" w:cs="Times New Roman"/>
      <w:b/>
      <w:bCs/>
      <w:sz w:val="24"/>
      <w:szCs w:val="32"/>
    </w:rPr>
  </w:style>
  <w:style w:type="character" w:customStyle="1" w:styleId="50">
    <w:name w:val="标题 4 Char"/>
    <w:basedOn w:val="39"/>
    <w:link w:val="6"/>
    <w:autoRedefine/>
    <w:qFormat/>
    <w:uiPriority w:val="0"/>
    <w:rPr>
      <w:rFonts w:ascii="Arial" w:hAnsi="Arial" w:eastAsia="黑体" w:cs="Times New Roman"/>
      <w:b/>
      <w:bCs/>
      <w:sz w:val="28"/>
      <w:szCs w:val="28"/>
    </w:rPr>
  </w:style>
  <w:style w:type="character" w:customStyle="1" w:styleId="51">
    <w:name w:val="批注文字 Char"/>
    <w:basedOn w:val="39"/>
    <w:link w:val="12"/>
    <w:autoRedefine/>
    <w:qFormat/>
    <w:uiPriority w:val="99"/>
    <w:rPr>
      <w:rFonts w:ascii="Times New Roman" w:hAnsi="Times New Roman" w:eastAsia="仿宋_GB2312" w:cs="Times New Roman"/>
      <w:sz w:val="24"/>
      <w:szCs w:val="24"/>
    </w:rPr>
  </w:style>
  <w:style w:type="character" w:customStyle="1" w:styleId="52">
    <w:name w:val="批注主题 Char"/>
    <w:basedOn w:val="51"/>
    <w:link w:val="35"/>
    <w:autoRedefine/>
    <w:qFormat/>
    <w:uiPriority w:val="0"/>
    <w:rPr>
      <w:rFonts w:ascii="Times New Roman" w:hAnsi="Times New Roman" w:eastAsia="仿宋_GB2312" w:cs="Times New Roman"/>
      <w:b/>
      <w:bCs/>
      <w:sz w:val="24"/>
      <w:szCs w:val="24"/>
    </w:rPr>
  </w:style>
  <w:style w:type="character" w:customStyle="1" w:styleId="53">
    <w:name w:val="文档结构图 Char"/>
    <w:basedOn w:val="39"/>
    <w:link w:val="10"/>
    <w:autoRedefine/>
    <w:semiHidden/>
    <w:qFormat/>
    <w:uiPriority w:val="0"/>
    <w:rPr>
      <w:rFonts w:ascii="Times New Roman" w:hAnsi="Times New Roman" w:eastAsia="仿宋_GB2312" w:cs="Times New Roman"/>
      <w:sz w:val="24"/>
      <w:szCs w:val="24"/>
      <w:shd w:val="clear" w:color="auto" w:fill="000080"/>
    </w:rPr>
  </w:style>
  <w:style w:type="character" w:customStyle="1" w:styleId="54">
    <w:name w:val="正文文本 Char"/>
    <w:basedOn w:val="39"/>
    <w:link w:val="13"/>
    <w:autoRedefine/>
    <w:qFormat/>
    <w:uiPriority w:val="0"/>
    <w:rPr>
      <w:rFonts w:ascii="Times New Roman" w:hAnsi="Times New Roman" w:eastAsia="仿宋_GB2312" w:cs="Times New Roman"/>
      <w:sz w:val="24"/>
      <w:szCs w:val="24"/>
    </w:rPr>
  </w:style>
  <w:style w:type="character" w:customStyle="1" w:styleId="55">
    <w:name w:val="正文文本缩进 Char"/>
    <w:basedOn w:val="39"/>
    <w:link w:val="14"/>
    <w:autoRedefine/>
    <w:qFormat/>
    <w:uiPriority w:val="0"/>
    <w:rPr>
      <w:rFonts w:ascii="Times New Roman" w:hAnsi="Times New Roman" w:eastAsia="仿宋_GB2312" w:cs="Times New Roman"/>
      <w:sz w:val="24"/>
      <w:szCs w:val="24"/>
    </w:rPr>
  </w:style>
  <w:style w:type="character" w:customStyle="1" w:styleId="56">
    <w:name w:val="纯文本 Char"/>
    <w:basedOn w:val="39"/>
    <w:link w:val="17"/>
    <w:autoRedefine/>
    <w:qFormat/>
    <w:uiPriority w:val="0"/>
    <w:rPr>
      <w:rFonts w:ascii="宋体" w:hAnsi="Courier New" w:eastAsia="仿宋_GB2312" w:cs="Courier New"/>
      <w:sz w:val="24"/>
      <w:szCs w:val="21"/>
    </w:rPr>
  </w:style>
  <w:style w:type="character" w:customStyle="1" w:styleId="57">
    <w:name w:val="日期 Char"/>
    <w:basedOn w:val="39"/>
    <w:link w:val="19"/>
    <w:autoRedefine/>
    <w:qFormat/>
    <w:uiPriority w:val="0"/>
    <w:rPr>
      <w:rFonts w:ascii="Times New Roman" w:hAnsi="Times New Roman" w:eastAsia="仿宋_GB2312" w:cs="Times New Roman"/>
      <w:sz w:val="24"/>
      <w:szCs w:val="20"/>
    </w:rPr>
  </w:style>
  <w:style w:type="character" w:customStyle="1" w:styleId="58">
    <w:name w:val="正文文本缩进 2 Char"/>
    <w:basedOn w:val="39"/>
    <w:link w:val="20"/>
    <w:autoRedefine/>
    <w:qFormat/>
    <w:uiPriority w:val="0"/>
    <w:rPr>
      <w:rFonts w:ascii="Times New Roman" w:hAnsi="Times New Roman" w:eastAsia="仿宋_GB2312" w:cs="Times New Roman"/>
      <w:sz w:val="24"/>
      <w:szCs w:val="24"/>
    </w:rPr>
  </w:style>
  <w:style w:type="character" w:customStyle="1" w:styleId="59">
    <w:name w:val="批注框文本 Char"/>
    <w:basedOn w:val="39"/>
    <w:link w:val="21"/>
    <w:autoRedefine/>
    <w:qFormat/>
    <w:uiPriority w:val="99"/>
    <w:rPr>
      <w:rFonts w:ascii="Calibri" w:hAnsi="Calibri" w:eastAsia="仿宋_GB2312" w:cs="Times New Roman"/>
      <w:sz w:val="18"/>
      <w:szCs w:val="18"/>
    </w:rPr>
  </w:style>
  <w:style w:type="character" w:customStyle="1" w:styleId="60">
    <w:name w:val="页脚 Char"/>
    <w:basedOn w:val="39"/>
    <w:link w:val="22"/>
    <w:autoRedefine/>
    <w:qFormat/>
    <w:uiPriority w:val="99"/>
    <w:rPr>
      <w:rFonts w:ascii="Times New Roman" w:hAnsi="Times New Roman" w:eastAsia="仿宋_GB2312" w:cs="Times New Roman"/>
      <w:sz w:val="18"/>
      <w:szCs w:val="18"/>
    </w:rPr>
  </w:style>
  <w:style w:type="character" w:customStyle="1" w:styleId="61">
    <w:name w:val="页眉 Char"/>
    <w:basedOn w:val="39"/>
    <w:link w:val="23"/>
    <w:autoRedefine/>
    <w:qFormat/>
    <w:uiPriority w:val="99"/>
    <w:rPr>
      <w:rFonts w:ascii="Times New Roman" w:hAnsi="Times New Roman" w:eastAsia="仿宋_GB2312" w:cs="Times New Roman"/>
      <w:sz w:val="18"/>
      <w:szCs w:val="18"/>
    </w:rPr>
  </w:style>
  <w:style w:type="character" w:customStyle="1" w:styleId="62">
    <w:name w:val="脚注文本 Char"/>
    <w:basedOn w:val="39"/>
    <w:link w:val="27"/>
    <w:autoRedefine/>
    <w:semiHidden/>
    <w:qFormat/>
    <w:uiPriority w:val="0"/>
    <w:rPr>
      <w:rFonts w:ascii="Times New Roman" w:hAnsi="Times New Roman" w:eastAsia="仿宋_GB2312" w:cs="Times New Roman"/>
      <w:sz w:val="18"/>
      <w:szCs w:val="18"/>
    </w:rPr>
  </w:style>
  <w:style w:type="character" w:customStyle="1" w:styleId="63">
    <w:name w:val="正文文本缩进 3 Char"/>
    <w:basedOn w:val="39"/>
    <w:link w:val="29"/>
    <w:autoRedefine/>
    <w:qFormat/>
    <w:uiPriority w:val="0"/>
    <w:rPr>
      <w:rFonts w:ascii="宋体" w:hAnsi="宋体" w:eastAsia="仿宋_GB2312" w:cs="宋体"/>
      <w:kern w:val="0"/>
      <w:sz w:val="24"/>
      <w:szCs w:val="24"/>
    </w:rPr>
  </w:style>
  <w:style w:type="character" w:customStyle="1" w:styleId="64">
    <w:name w:val="HTML 预设格式 Char"/>
    <w:basedOn w:val="39"/>
    <w:link w:val="32"/>
    <w:autoRedefine/>
    <w:qFormat/>
    <w:uiPriority w:val="99"/>
    <w:rPr>
      <w:rFonts w:ascii="宋体" w:hAnsi="宋体" w:eastAsia="宋体" w:cs="宋体"/>
      <w:kern w:val="0"/>
      <w:sz w:val="24"/>
      <w:szCs w:val="24"/>
    </w:rPr>
  </w:style>
  <w:style w:type="character" w:customStyle="1" w:styleId="65">
    <w:name w:val="apple-style-span"/>
    <w:basedOn w:val="39"/>
    <w:autoRedefine/>
    <w:qFormat/>
    <w:uiPriority w:val="0"/>
  </w:style>
  <w:style w:type="character" w:customStyle="1" w:styleId="66">
    <w:name w:val="font2001"/>
    <w:basedOn w:val="39"/>
    <w:autoRedefine/>
    <w:qFormat/>
    <w:uiPriority w:val="0"/>
    <w:rPr>
      <w:color w:val="000000"/>
      <w:sz w:val="20"/>
      <w:szCs w:val="20"/>
    </w:rPr>
  </w:style>
  <w:style w:type="character" w:customStyle="1" w:styleId="67">
    <w:name w:val="表格文字 Char"/>
    <w:basedOn w:val="39"/>
    <w:link w:val="68"/>
    <w:autoRedefine/>
    <w:qFormat/>
    <w:locked/>
    <w:uiPriority w:val="0"/>
    <w:rPr>
      <w:rFonts w:ascii="仿宋_GB2312" w:hAnsi="Arial Black" w:eastAsia="仿宋_GB2312"/>
      <w:kern w:val="44"/>
      <w:sz w:val="24"/>
    </w:rPr>
  </w:style>
  <w:style w:type="paragraph" w:customStyle="1" w:styleId="68">
    <w:name w:val="表格文字"/>
    <w:basedOn w:val="1"/>
    <w:link w:val="67"/>
    <w:autoRedefine/>
    <w:qFormat/>
    <w:uiPriority w:val="0"/>
    <w:pPr>
      <w:adjustRightInd w:val="0"/>
      <w:snapToGrid w:val="0"/>
      <w:jc w:val="center"/>
    </w:pPr>
    <w:rPr>
      <w:rFonts w:ascii="仿宋_GB2312" w:hAnsi="Arial Black" w:cstheme="minorBidi"/>
      <w:kern w:val="44"/>
      <w:szCs w:val="22"/>
    </w:rPr>
  </w:style>
  <w:style w:type="character" w:customStyle="1" w:styleId="69">
    <w:name w:val="正文缩进1"/>
    <w:basedOn w:val="39"/>
    <w:autoRedefine/>
    <w:qFormat/>
    <w:uiPriority w:val="0"/>
    <w:rPr>
      <w:rFonts w:eastAsia="宋体"/>
      <w:kern w:val="2"/>
      <w:sz w:val="24"/>
      <w:lang w:val="en-US" w:eastAsia="zh-CN" w:bidi="ar-SA"/>
    </w:rPr>
  </w:style>
  <w:style w:type="character" w:customStyle="1" w:styleId="70">
    <w:name w:val="p9l1"/>
    <w:basedOn w:val="39"/>
    <w:autoRedefine/>
    <w:qFormat/>
    <w:uiPriority w:val="0"/>
    <w:rPr>
      <w:sz w:val="18"/>
      <w:szCs w:val="18"/>
      <w:u w:val="none"/>
    </w:rPr>
  </w:style>
  <w:style w:type="character" w:customStyle="1" w:styleId="71">
    <w:name w:val="text1"/>
    <w:basedOn w:val="39"/>
    <w:autoRedefine/>
    <w:qFormat/>
    <w:uiPriority w:val="0"/>
    <w:rPr>
      <w:rFonts w:hint="default" w:ascii="ˎ̥" w:hAnsi="ˎ̥"/>
      <w:sz w:val="21"/>
      <w:szCs w:val="21"/>
    </w:rPr>
  </w:style>
  <w:style w:type="character" w:customStyle="1" w:styleId="72">
    <w:name w:val="表格的文字 Char"/>
    <w:basedOn w:val="73"/>
    <w:link w:val="75"/>
    <w:autoRedefine/>
    <w:qFormat/>
    <w:uiPriority w:val="0"/>
    <w:rPr>
      <w:rFonts w:ascii="仿宋_GB2312" w:hAnsi="宋体" w:eastAsia="仿宋_GB2312" w:cs="宋体"/>
      <w:bCs/>
      <w:sz w:val="24"/>
      <w:szCs w:val="24"/>
    </w:rPr>
  </w:style>
  <w:style w:type="character" w:customStyle="1" w:styleId="73">
    <w:name w:val="图表文字 Char"/>
    <w:link w:val="74"/>
    <w:autoRedefine/>
    <w:qFormat/>
    <w:uiPriority w:val="0"/>
    <w:rPr>
      <w:rFonts w:ascii="仿宋_GB2312" w:hAnsi="宋体" w:eastAsia="仿宋_GB2312" w:cs="宋体"/>
      <w:sz w:val="24"/>
      <w:szCs w:val="24"/>
    </w:rPr>
  </w:style>
  <w:style w:type="paragraph" w:customStyle="1" w:styleId="74">
    <w:name w:val="图表文字"/>
    <w:basedOn w:val="1"/>
    <w:link w:val="73"/>
    <w:autoRedefine/>
    <w:qFormat/>
    <w:uiPriority w:val="0"/>
    <w:pPr>
      <w:widowControl/>
      <w:jc w:val="center"/>
    </w:pPr>
    <w:rPr>
      <w:rFonts w:ascii="仿宋_GB2312" w:hAnsi="宋体" w:cs="宋体"/>
    </w:rPr>
  </w:style>
  <w:style w:type="paragraph" w:customStyle="1" w:styleId="75">
    <w:name w:val="表格的文字"/>
    <w:basedOn w:val="74"/>
    <w:link w:val="72"/>
    <w:autoRedefine/>
    <w:qFormat/>
    <w:uiPriority w:val="0"/>
    <w:pPr>
      <w:widowControl w:val="0"/>
      <w:spacing w:line="300" w:lineRule="exact"/>
    </w:pPr>
    <w:rPr>
      <w:bCs/>
      <w:sz w:val="21"/>
    </w:rPr>
  </w:style>
  <w:style w:type="character" w:customStyle="1" w:styleId="76">
    <w:name w:val="题注 Char"/>
    <w:link w:val="8"/>
    <w:autoRedefine/>
    <w:qFormat/>
    <w:uiPriority w:val="99"/>
    <w:rPr>
      <w:rFonts w:ascii="仿宋_GB2312" w:hAnsi="Times New Roman" w:eastAsia="仿宋_GB2312" w:cs="Times New Roman"/>
      <w:b/>
      <w:kern w:val="0"/>
      <w:sz w:val="28"/>
      <w:szCs w:val="28"/>
    </w:rPr>
  </w:style>
  <w:style w:type="character" w:customStyle="1" w:styleId="77">
    <w:name w:val="表标题 Char"/>
    <w:basedOn w:val="39"/>
    <w:link w:val="78"/>
    <w:autoRedefine/>
    <w:qFormat/>
    <w:locked/>
    <w:uiPriority w:val="0"/>
    <w:rPr>
      <w:rFonts w:ascii="仿宋_GB2312" w:eastAsia="仿宋_GB2312"/>
      <w:b/>
      <w:bCs/>
      <w:sz w:val="24"/>
      <w:szCs w:val="24"/>
    </w:rPr>
  </w:style>
  <w:style w:type="paragraph" w:customStyle="1" w:styleId="78">
    <w:name w:val="表标题"/>
    <w:basedOn w:val="1"/>
    <w:link w:val="77"/>
    <w:autoRedefine/>
    <w:qFormat/>
    <w:uiPriority w:val="0"/>
    <w:pPr>
      <w:spacing w:line="500" w:lineRule="exact"/>
      <w:ind w:firstLine="482" w:firstLineChars="200"/>
      <w:jc w:val="center"/>
    </w:pPr>
    <w:rPr>
      <w:rFonts w:ascii="仿宋_GB2312" w:hAnsiTheme="minorHAnsi" w:cstheme="minorBidi"/>
      <w:b/>
      <w:bCs/>
    </w:rPr>
  </w:style>
  <w:style w:type="character" w:customStyle="1" w:styleId="79">
    <w:name w:val="keyword"/>
    <w:basedOn w:val="39"/>
    <w:autoRedefine/>
    <w:qFormat/>
    <w:uiPriority w:val="0"/>
  </w:style>
  <w:style w:type="character" w:customStyle="1" w:styleId="80">
    <w:name w:val="正文缩进 Char"/>
    <w:basedOn w:val="39"/>
    <w:link w:val="4"/>
    <w:autoRedefine/>
    <w:qFormat/>
    <w:uiPriority w:val="0"/>
    <w:rPr>
      <w:rFonts w:ascii="Times New Roman" w:hAnsi="Times New Roman" w:eastAsia="仿宋_GB2312" w:cs="Times New Roman"/>
      <w:sz w:val="24"/>
      <w:szCs w:val="24"/>
    </w:rPr>
  </w:style>
  <w:style w:type="paragraph" w:customStyle="1" w:styleId="81">
    <w:name w:val="XYF1"/>
    <w:basedOn w:val="1"/>
    <w:autoRedefine/>
    <w:qFormat/>
    <w:uiPriority w:val="34"/>
    <w:pPr>
      <w:tabs>
        <w:tab w:val="left" w:pos="1080"/>
      </w:tabs>
      <w:spacing w:line="440" w:lineRule="exact"/>
      <w:ind w:firstLine="195" w:firstLineChars="195"/>
    </w:pPr>
  </w:style>
  <w:style w:type="paragraph" w:customStyle="1" w:styleId="82">
    <w:name w:val="图文框"/>
    <w:basedOn w:val="1"/>
    <w:autoRedefine/>
    <w:qFormat/>
    <w:uiPriority w:val="34"/>
    <w:pPr>
      <w:jc w:val="center"/>
    </w:pPr>
    <w:rPr>
      <w:szCs w:val="21"/>
    </w:rPr>
  </w:style>
  <w:style w:type="paragraph" w:customStyle="1" w:styleId="83">
    <w:name w:val="文本123"/>
    <w:basedOn w:val="4"/>
    <w:autoRedefine/>
    <w:qFormat/>
    <w:uiPriority w:val="34"/>
    <w:pPr>
      <w:tabs>
        <w:tab w:val="left" w:pos="360"/>
      </w:tabs>
      <w:snapToGrid w:val="0"/>
      <w:spacing w:beforeLines="20" w:line="480" w:lineRule="exact"/>
      <w:ind w:firstLine="0" w:firstLineChars="0"/>
      <w:outlineLvl w:val="7"/>
    </w:pPr>
  </w:style>
  <w:style w:type="paragraph" w:customStyle="1" w:styleId="84">
    <w:name w:val="xl25"/>
    <w:basedOn w:val="1"/>
    <w:autoRedefine/>
    <w:qFormat/>
    <w:uiPriority w:val="34"/>
    <w:pPr>
      <w:widowControl/>
      <w:pBdr>
        <w:left w:val="single" w:color="auto" w:sz="4" w:space="0"/>
        <w:right w:val="single" w:color="auto" w:sz="4" w:space="0"/>
      </w:pBdr>
      <w:spacing w:before="100" w:after="100"/>
      <w:jc w:val="center"/>
    </w:pPr>
    <w:rPr>
      <w:kern w:val="0"/>
      <w:szCs w:val="20"/>
    </w:rPr>
  </w:style>
  <w:style w:type="paragraph" w:customStyle="1" w:styleId="85">
    <w:name w:val="样式 (符号) 宋体 首行缩进:  0.93 厘米 段前: 6 磅 段后: 6 磅 行距: 固定值 18 磅1"/>
    <w:basedOn w:val="1"/>
    <w:autoRedefine/>
    <w:qFormat/>
    <w:uiPriority w:val="34"/>
    <w:pPr>
      <w:spacing w:before="160" w:after="160" w:line="320" w:lineRule="exact"/>
      <w:ind w:firstLine="527"/>
    </w:pPr>
    <w:rPr>
      <w:rFonts w:hAnsi="宋体"/>
      <w:szCs w:val="20"/>
    </w:rPr>
  </w:style>
  <w:style w:type="paragraph" w:customStyle="1" w:styleId="86">
    <w:name w:val="Char1"/>
    <w:basedOn w:val="1"/>
    <w:autoRedefine/>
    <w:qFormat/>
    <w:uiPriority w:val="34"/>
    <w:pPr>
      <w:snapToGrid w:val="0"/>
      <w:spacing w:line="360" w:lineRule="auto"/>
      <w:ind w:firstLine="200" w:firstLineChars="200"/>
    </w:pPr>
  </w:style>
  <w:style w:type="paragraph" w:customStyle="1" w:styleId="87">
    <w:name w:val="样式 列表"/>
    <w:basedOn w:val="26"/>
    <w:autoRedefine/>
    <w:qFormat/>
    <w:uiPriority w:val="34"/>
    <w:pPr>
      <w:spacing w:line="280" w:lineRule="exact"/>
      <w:ind w:left="0" w:firstLine="0" w:firstLineChars="0"/>
      <w:jc w:val="center"/>
    </w:pPr>
    <w:rPr>
      <w:rFonts w:eastAsia="方正仿宋_GBK" w:cs="宋体"/>
      <w:szCs w:val="20"/>
    </w:rPr>
  </w:style>
  <w:style w:type="character" w:customStyle="1" w:styleId="88">
    <w:name w:val="普通(网站) Char"/>
    <w:basedOn w:val="39"/>
    <w:link w:val="33"/>
    <w:autoRedefine/>
    <w:qFormat/>
    <w:locked/>
    <w:uiPriority w:val="34"/>
    <w:rPr>
      <w:rFonts w:ascii="宋体" w:hAnsi="宋体" w:eastAsia="仿宋_GB2312" w:cs="Times New Roman"/>
      <w:kern w:val="0"/>
      <w:sz w:val="24"/>
      <w:szCs w:val="24"/>
    </w:rPr>
  </w:style>
  <w:style w:type="paragraph" w:customStyle="1" w:styleId="89">
    <w:name w:val="Char"/>
    <w:basedOn w:val="1"/>
    <w:autoRedefine/>
    <w:qFormat/>
    <w:uiPriority w:val="34"/>
  </w:style>
  <w:style w:type="paragraph" w:customStyle="1" w:styleId="90">
    <w:name w:val="章标题"/>
    <w:next w:val="1"/>
    <w:autoRedefine/>
    <w:qFormat/>
    <w:uiPriority w:val="34"/>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91">
    <w:name w:val="简单回函地址"/>
    <w:basedOn w:val="1"/>
    <w:autoRedefine/>
    <w:qFormat/>
    <w:uiPriority w:val="34"/>
  </w:style>
  <w:style w:type="paragraph" w:customStyle="1" w:styleId="92">
    <w:name w:val="Char Char Char Char Char Char Char Char Char Char Char Char Char"/>
    <w:basedOn w:val="1"/>
    <w:autoRedefine/>
    <w:qFormat/>
    <w:uiPriority w:val="0"/>
    <w:rPr>
      <w:rFonts w:ascii="Tahoma" w:hAnsi="Tahoma"/>
      <w:szCs w:val="20"/>
    </w:rPr>
  </w:style>
  <w:style w:type="paragraph" w:customStyle="1" w:styleId="93">
    <w:name w:val="样式1"/>
    <w:basedOn w:val="1"/>
    <w:autoRedefine/>
    <w:qFormat/>
    <w:uiPriority w:val="34"/>
    <w:rPr>
      <w:szCs w:val="20"/>
    </w:rPr>
  </w:style>
  <w:style w:type="paragraph" w:customStyle="1" w:styleId="94">
    <w:name w:val="xl45"/>
    <w:basedOn w:val="1"/>
    <w:autoRedefine/>
    <w:qFormat/>
    <w:uiPriority w:val="34"/>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95">
    <w:name w:val="xl26"/>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Arial Unicode MS"/>
      <w:kern w:val="0"/>
    </w:rPr>
  </w:style>
  <w:style w:type="paragraph" w:customStyle="1" w:styleId="96">
    <w:name w:val="xl42"/>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97">
    <w:name w:val="字元"/>
    <w:basedOn w:val="1"/>
    <w:autoRedefine/>
    <w:qFormat/>
    <w:uiPriority w:val="34"/>
  </w:style>
  <w:style w:type="paragraph" w:customStyle="1" w:styleId="98">
    <w:name w:val="图标题"/>
    <w:basedOn w:val="1"/>
    <w:autoRedefine/>
    <w:qFormat/>
    <w:uiPriority w:val="34"/>
    <w:pPr>
      <w:widowControl/>
      <w:spacing w:line="300" w:lineRule="exact"/>
    </w:pPr>
    <w:rPr>
      <w:rFonts w:ascii="仿宋_GB2312" w:hAnsi="宋体" w:cs="宋体"/>
      <w:b/>
      <w:bCs/>
      <w:kern w:val="0"/>
    </w:rPr>
  </w:style>
  <w:style w:type="paragraph" w:customStyle="1" w:styleId="99">
    <w:name w:val="xl27"/>
    <w:basedOn w:val="1"/>
    <w:autoRedefine/>
    <w:qFormat/>
    <w:uiPriority w:val="34"/>
    <w:pPr>
      <w:widowControl/>
      <w:pBdr>
        <w:bottom w:val="single" w:color="auto" w:sz="12" w:space="0"/>
      </w:pBdr>
      <w:spacing w:before="100" w:after="100"/>
      <w:jc w:val="center"/>
    </w:pPr>
    <w:rPr>
      <w:rFonts w:ascii="宋体" w:hAnsi="宋体"/>
      <w:kern w:val="0"/>
      <w:szCs w:val="20"/>
    </w:rPr>
  </w:style>
  <w:style w:type="paragraph" w:customStyle="1" w:styleId="100">
    <w:name w:val="Default"/>
    <w:autoRedefine/>
    <w:qFormat/>
    <w:uiPriority w:val="34"/>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Char Char Char Char"/>
    <w:basedOn w:val="10"/>
    <w:autoRedefine/>
    <w:qFormat/>
    <w:uiPriority w:val="34"/>
    <w:pPr>
      <w:widowControl/>
      <w:adjustRightInd w:val="0"/>
      <w:snapToGrid w:val="0"/>
      <w:spacing w:line="360" w:lineRule="auto"/>
      <w:jc w:val="left"/>
    </w:pPr>
    <w:rPr>
      <w:rFonts w:ascii="Tahoma" w:hAnsi="Tahoma" w:cs="宋体"/>
      <w:kern w:val="0"/>
    </w:rPr>
  </w:style>
  <w:style w:type="paragraph" w:customStyle="1" w:styleId="102">
    <w:name w:val="6"/>
    <w:basedOn w:val="1"/>
    <w:next w:val="17"/>
    <w:autoRedefine/>
    <w:qFormat/>
    <w:uiPriority w:val="34"/>
    <w:rPr>
      <w:rFonts w:ascii="宋体" w:hAnsi="Courier New"/>
      <w:szCs w:val="20"/>
    </w:rPr>
  </w:style>
  <w:style w:type="paragraph" w:customStyle="1" w:styleId="103">
    <w:name w:val="Char Char1 Char Char Char Char Char Char Char"/>
    <w:basedOn w:val="1"/>
    <w:next w:val="1"/>
    <w:autoRedefine/>
    <w:qFormat/>
    <w:uiPriority w:val="34"/>
    <w:pPr>
      <w:spacing w:line="360" w:lineRule="auto"/>
      <w:ind w:firstLine="200" w:firstLineChars="200"/>
    </w:pPr>
  </w:style>
  <w:style w:type="paragraph" w:customStyle="1" w:styleId="104">
    <w:name w:val="环正文"/>
    <w:basedOn w:val="1"/>
    <w:link w:val="105"/>
    <w:autoRedefine/>
    <w:qFormat/>
    <w:uiPriority w:val="0"/>
    <w:pPr>
      <w:widowControl/>
      <w:suppressAutoHyphens/>
      <w:autoSpaceDE w:val="0"/>
      <w:autoSpaceDN w:val="0"/>
      <w:adjustRightInd w:val="0"/>
      <w:snapToGrid w:val="0"/>
      <w:spacing w:line="590" w:lineRule="atLeast"/>
      <w:ind w:firstLine="524" w:firstLineChars="187"/>
      <w:textAlignment w:val="baseline"/>
    </w:pPr>
    <w:rPr>
      <w:rFonts w:ascii="宋体" w:hAnsi="宋体"/>
      <w:snapToGrid w:val="0"/>
      <w:color w:val="000000"/>
      <w:kern w:val="0"/>
      <w:sz w:val="32"/>
      <w:szCs w:val="28"/>
    </w:rPr>
  </w:style>
  <w:style w:type="character" w:customStyle="1" w:styleId="105">
    <w:name w:val="环正文 Char1"/>
    <w:basedOn w:val="39"/>
    <w:link w:val="104"/>
    <w:autoRedefine/>
    <w:qFormat/>
    <w:uiPriority w:val="0"/>
    <w:rPr>
      <w:rFonts w:ascii="宋体" w:hAnsi="宋体" w:eastAsia="仿宋_GB2312" w:cs="Times New Roman"/>
      <w:snapToGrid w:val="0"/>
      <w:color w:val="000000"/>
      <w:kern w:val="0"/>
      <w:sz w:val="32"/>
      <w:szCs w:val="28"/>
    </w:rPr>
  </w:style>
  <w:style w:type="paragraph" w:customStyle="1" w:styleId="106">
    <w:name w:val="文字"/>
    <w:basedOn w:val="1"/>
    <w:link w:val="107"/>
    <w:autoRedefine/>
    <w:qFormat/>
    <w:uiPriority w:val="0"/>
    <w:pPr>
      <w:spacing w:line="360" w:lineRule="auto"/>
      <w:ind w:firstLine="200" w:firstLineChars="200"/>
    </w:pPr>
  </w:style>
  <w:style w:type="character" w:customStyle="1" w:styleId="107">
    <w:name w:val="文字 Char"/>
    <w:basedOn w:val="39"/>
    <w:link w:val="106"/>
    <w:autoRedefine/>
    <w:qFormat/>
    <w:uiPriority w:val="0"/>
    <w:rPr>
      <w:rFonts w:ascii="Times New Roman" w:hAnsi="Times New Roman" w:eastAsia="仿宋_GB2312" w:cs="Times New Roman"/>
      <w:sz w:val="24"/>
      <w:szCs w:val="24"/>
    </w:rPr>
  </w:style>
  <w:style w:type="paragraph" w:customStyle="1" w:styleId="108">
    <w:name w:val="正文格式"/>
    <w:basedOn w:val="1"/>
    <w:autoRedefine/>
    <w:qFormat/>
    <w:uiPriority w:val="34"/>
    <w:pPr>
      <w:ind w:firstLine="560" w:firstLineChars="200"/>
    </w:pPr>
    <w:rPr>
      <w:rFonts w:eastAsia="楷体_GB2312"/>
      <w:sz w:val="28"/>
    </w:rPr>
  </w:style>
  <w:style w:type="paragraph" w:customStyle="1" w:styleId="109">
    <w:name w:val="p0"/>
    <w:basedOn w:val="1"/>
    <w:autoRedefine/>
    <w:qFormat/>
    <w:uiPriority w:val="34"/>
    <w:pPr>
      <w:widowControl/>
    </w:pPr>
    <w:rPr>
      <w:rFonts w:ascii="Tahoma" w:hAnsi="Tahoma" w:cs="Tahoma"/>
      <w:kern w:val="0"/>
      <w:szCs w:val="21"/>
    </w:rPr>
  </w:style>
  <w:style w:type="paragraph" w:customStyle="1" w:styleId="110">
    <w:name w:val="默认段落字体 Para Char Char Char Char Char Char Char Char Char Char Char Char Char"/>
    <w:basedOn w:val="1"/>
    <w:autoRedefine/>
    <w:qFormat/>
    <w:uiPriority w:val="34"/>
  </w:style>
  <w:style w:type="paragraph" w:customStyle="1" w:styleId="111">
    <w:name w:val="xl92"/>
    <w:basedOn w:val="1"/>
    <w:autoRedefine/>
    <w:qFormat/>
    <w:uiPriority w:val="34"/>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Cs w:val="20"/>
    </w:rPr>
  </w:style>
  <w:style w:type="paragraph" w:customStyle="1" w:styleId="112">
    <w:name w:val="默认段落字体 Para Char Char Char Char"/>
    <w:basedOn w:val="1"/>
    <w:autoRedefine/>
    <w:qFormat/>
    <w:uiPriority w:val="0"/>
  </w:style>
  <w:style w:type="character" w:customStyle="1" w:styleId="113">
    <w:name w:val="Char Char12"/>
    <w:basedOn w:val="39"/>
    <w:autoRedefine/>
    <w:qFormat/>
    <w:uiPriority w:val="0"/>
    <w:rPr>
      <w:rFonts w:eastAsia="方正仿宋_GBK"/>
      <w:snapToGrid w:val="0"/>
      <w:sz w:val="32"/>
      <w:lang w:val="en-US" w:eastAsia="zh-CN" w:bidi="ar-SA"/>
    </w:rPr>
  </w:style>
  <w:style w:type="paragraph" w:customStyle="1" w:styleId="114">
    <w:name w:val="二级无标题条"/>
    <w:basedOn w:val="1"/>
    <w:autoRedefine/>
    <w:qFormat/>
    <w:uiPriority w:val="34"/>
  </w:style>
  <w:style w:type="paragraph" w:customStyle="1" w:styleId="115">
    <w:name w:val="表头"/>
    <w:basedOn w:val="1"/>
    <w:autoRedefine/>
    <w:qFormat/>
    <w:uiPriority w:val="34"/>
    <w:pPr>
      <w:adjustRightInd w:val="0"/>
      <w:spacing w:line="320" w:lineRule="atLeast"/>
      <w:jc w:val="center"/>
      <w:textAlignment w:val="baseline"/>
    </w:pPr>
    <w:rPr>
      <w:rFonts w:eastAsia="黑体"/>
      <w:spacing w:val="-10"/>
      <w:kern w:val="0"/>
      <w:szCs w:val="20"/>
    </w:rPr>
  </w:style>
  <w:style w:type="paragraph" w:customStyle="1" w:styleId="116">
    <w:name w:val="表格文字-5号-中"/>
    <w:basedOn w:val="1"/>
    <w:autoRedefine/>
    <w:qFormat/>
    <w:uiPriority w:val="34"/>
    <w:pPr>
      <w:snapToGrid w:val="0"/>
      <w:spacing w:line="400" w:lineRule="exact"/>
      <w:jc w:val="center"/>
    </w:pPr>
    <w:rPr>
      <w:kern w:val="0"/>
      <w:szCs w:val="21"/>
    </w:rPr>
  </w:style>
  <w:style w:type="paragraph" w:customStyle="1" w:styleId="117">
    <w:name w:val="Char Char1 Char Char Char1 Char"/>
    <w:basedOn w:val="1"/>
    <w:autoRedefine/>
    <w:qFormat/>
    <w:uiPriority w:val="34"/>
    <w:pPr>
      <w:widowControl/>
      <w:adjustRightInd w:val="0"/>
      <w:spacing w:line="360" w:lineRule="auto"/>
      <w:jc w:val="left"/>
    </w:pPr>
    <w:rPr>
      <w:rFonts w:ascii="宋体" w:hAnsi="宋体" w:cs="宋体"/>
      <w:kern w:val="0"/>
    </w:rPr>
  </w:style>
  <w:style w:type="character" w:customStyle="1" w:styleId="118">
    <w:name w:val="apple-converted-space"/>
    <w:basedOn w:val="39"/>
    <w:autoRedefine/>
    <w:qFormat/>
    <w:uiPriority w:val="0"/>
  </w:style>
  <w:style w:type="paragraph" w:customStyle="1" w:styleId="119">
    <w:name w:val="1 Char"/>
    <w:basedOn w:val="1"/>
    <w:autoRedefine/>
    <w:qFormat/>
    <w:uiPriority w:val="34"/>
  </w:style>
  <w:style w:type="paragraph" w:customStyle="1" w:styleId="120">
    <w:name w:val="xl28"/>
    <w:basedOn w:val="1"/>
    <w:autoRedefine/>
    <w:qFormat/>
    <w:uiPriority w:val="34"/>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kern w:val="0"/>
    </w:rPr>
  </w:style>
  <w:style w:type="character" w:customStyle="1" w:styleId="121">
    <w:name w:val="列表 Char"/>
    <w:link w:val="26"/>
    <w:autoRedefine/>
    <w:qFormat/>
    <w:uiPriority w:val="99"/>
    <w:rPr>
      <w:rFonts w:ascii="Times New Roman" w:hAnsi="Times New Roman" w:eastAsia="仿宋_GB2312" w:cs="Times New Roman"/>
      <w:sz w:val="24"/>
      <w:szCs w:val="24"/>
    </w:rPr>
  </w:style>
  <w:style w:type="paragraph" w:customStyle="1" w:styleId="122">
    <w:name w:val="样式 题注 + 首行缩进:  2 字符"/>
    <w:basedOn w:val="8"/>
    <w:autoRedefine/>
    <w:qFormat/>
    <w:uiPriority w:val="34"/>
    <w:pPr>
      <w:keepNext w:val="0"/>
      <w:widowControl w:val="0"/>
      <w:adjustRightInd/>
      <w:snapToGrid/>
      <w:spacing w:line="520" w:lineRule="exact"/>
    </w:pPr>
    <w:rPr>
      <w:rFonts w:ascii="Arial" w:hAnsi="Arial" w:eastAsia="黑体"/>
      <w:b w:val="0"/>
      <w:kern w:val="2"/>
      <w:sz w:val="24"/>
      <w:szCs w:val="20"/>
    </w:rPr>
  </w:style>
  <w:style w:type="paragraph" w:customStyle="1" w:styleId="123">
    <w:name w:val="报告书表格"/>
    <w:basedOn w:val="1"/>
    <w:link w:val="124"/>
    <w:autoRedefine/>
    <w:qFormat/>
    <w:uiPriority w:val="0"/>
    <w:pPr>
      <w:adjustRightInd w:val="0"/>
      <w:spacing w:line="400" w:lineRule="exact"/>
      <w:jc w:val="center"/>
      <w:textAlignment w:val="baseline"/>
    </w:pPr>
    <w:rPr>
      <w:kern w:val="0"/>
      <w:szCs w:val="20"/>
    </w:rPr>
  </w:style>
  <w:style w:type="character" w:customStyle="1" w:styleId="124">
    <w:name w:val="报告书表格 Char"/>
    <w:link w:val="123"/>
    <w:autoRedefine/>
    <w:qFormat/>
    <w:uiPriority w:val="0"/>
    <w:rPr>
      <w:rFonts w:ascii="Times New Roman" w:hAnsi="Times New Roman" w:eastAsia="仿宋_GB2312" w:cs="Times New Roman"/>
      <w:kern w:val="0"/>
      <w:sz w:val="24"/>
      <w:szCs w:val="20"/>
    </w:rPr>
  </w:style>
  <w:style w:type="paragraph" w:customStyle="1" w:styleId="125">
    <w:name w:val="样式4"/>
    <w:basedOn w:val="6"/>
    <w:next w:val="6"/>
    <w:autoRedefine/>
    <w:qFormat/>
    <w:uiPriority w:val="0"/>
    <w:pPr>
      <w:keepNext w:val="0"/>
      <w:keepLines w:val="0"/>
      <w:spacing w:before="0" w:after="0" w:line="360" w:lineRule="auto"/>
      <w:ind w:firstLine="200" w:firstLineChars="200"/>
      <w:jc w:val="left"/>
    </w:pPr>
    <w:rPr>
      <w:rFonts w:ascii="黑体" w:hAnsi="宋体"/>
      <w:b w:val="0"/>
    </w:rPr>
  </w:style>
  <w:style w:type="paragraph" w:customStyle="1" w:styleId="126">
    <w:name w:val="列出段落1"/>
    <w:autoRedefine/>
    <w:qFormat/>
    <w:uiPriority w:val="0"/>
    <w:pPr>
      <w:ind w:left="720"/>
    </w:pPr>
    <w:rPr>
      <w:rFonts w:ascii="Times New Roman" w:hAnsi="Times New Roman" w:eastAsia="宋体" w:cs="Times New Roman"/>
      <w:lang w:val="en-US" w:eastAsia="zh-CN" w:bidi="ar-SA"/>
    </w:rPr>
  </w:style>
  <w:style w:type="paragraph" w:customStyle="1" w:styleId="127">
    <w:name w:val="正文文本 21"/>
    <w:basedOn w:val="1"/>
    <w:autoRedefine/>
    <w:qFormat/>
    <w:uiPriority w:val="99"/>
    <w:pPr>
      <w:adjustRightInd w:val="0"/>
      <w:spacing w:after="120"/>
      <w:ind w:left="420"/>
      <w:textAlignment w:val="baseline"/>
    </w:pPr>
    <w:rPr>
      <w:rFonts w:hint="eastAsia" w:ascii="宋体" w:hAnsi="宋体" w:eastAsia="宋体"/>
      <w:szCs w:val="20"/>
    </w:rPr>
  </w:style>
  <w:style w:type="paragraph" w:customStyle="1" w:styleId="128">
    <w:name w:val="Table count"/>
    <w:autoRedefine/>
    <w:qFormat/>
    <w:uiPriority w:val="34"/>
    <w:pPr>
      <w:spacing w:before="86" w:after="86"/>
      <w:jc w:val="center"/>
    </w:pPr>
    <w:rPr>
      <w:rFonts w:ascii="Times New Roman" w:hAnsi="Times New Roman" w:eastAsia="宋体" w:cs="Times New Roman"/>
      <w:color w:val="000080"/>
      <w:lang w:val="en-US" w:eastAsia="en-US" w:bidi="ar-SA"/>
    </w:rPr>
  </w:style>
  <w:style w:type="character" w:customStyle="1" w:styleId="129">
    <w:name w:val="bititle"/>
    <w:basedOn w:val="39"/>
    <w:autoRedefine/>
    <w:qFormat/>
    <w:uiPriority w:val="0"/>
  </w:style>
  <w:style w:type="paragraph" w:customStyle="1" w:styleId="130">
    <w:name w:val="reader-word-layer"/>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31">
    <w:name w:val="小表格"/>
    <w:basedOn w:val="1"/>
    <w:autoRedefine/>
    <w:qFormat/>
    <w:uiPriority w:val="34"/>
    <w:pPr>
      <w:widowControl/>
      <w:autoSpaceDE w:val="0"/>
      <w:autoSpaceDN w:val="0"/>
      <w:adjustRightInd w:val="0"/>
      <w:snapToGrid w:val="0"/>
      <w:spacing w:after="200"/>
      <w:jc w:val="center"/>
    </w:pPr>
    <w:rPr>
      <w:rFonts w:hint="eastAsia" w:ascii="Tahoma" w:hAnsi="Tahoma" w:eastAsia="微软雅黑"/>
      <w:kern w:val="0"/>
      <w:sz w:val="22"/>
      <w:szCs w:val="20"/>
    </w:rPr>
  </w:style>
  <w:style w:type="paragraph" w:customStyle="1" w:styleId="132">
    <w:name w:val="正文5"/>
    <w:basedOn w:val="1"/>
    <w:link w:val="133"/>
    <w:autoRedefine/>
    <w:qFormat/>
    <w:uiPriority w:val="0"/>
    <w:pPr>
      <w:widowControl/>
      <w:adjustRightInd w:val="0"/>
      <w:snapToGrid w:val="0"/>
      <w:spacing w:after="200"/>
      <w:jc w:val="left"/>
    </w:pPr>
    <w:rPr>
      <w:rFonts w:eastAsia="宋体"/>
      <w:kern w:val="0"/>
      <w:sz w:val="22"/>
      <w:szCs w:val="22"/>
    </w:rPr>
  </w:style>
  <w:style w:type="character" w:customStyle="1" w:styleId="133">
    <w:name w:val="正文5 Char"/>
    <w:basedOn w:val="39"/>
    <w:link w:val="132"/>
    <w:autoRedefine/>
    <w:qFormat/>
    <w:uiPriority w:val="0"/>
    <w:rPr>
      <w:rFonts w:ascii="Times New Roman" w:hAnsi="Times New Roman" w:eastAsia="宋体" w:cs="Times New Roman"/>
      <w:kern w:val="0"/>
      <w:sz w:val="22"/>
    </w:rPr>
  </w:style>
  <w:style w:type="paragraph" w:customStyle="1" w:styleId="13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样式 标题 3 + 四号"/>
    <w:basedOn w:val="5"/>
    <w:autoRedefine/>
    <w:qFormat/>
    <w:uiPriority w:val="34"/>
    <w:pPr>
      <w:keepNext w:val="0"/>
      <w:keepLines w:val="0"/>
      <w:widowControl/>
      <w:tabs>
        <w:tab w:val="left" w:pos="5415"/>
      </w:tabs>
      <w:autoSpaceDE w:val="0"/>
      <w:autoSpaceDN w:val="0"/>
      <w:adjustRightInd w:val="0"/>
      <w:snapToGrid w:val="0"/>
      <w:spacing w:after="200" w:line="240" w:lineRule="auto"/>
      <w:jc w:val="left"/>
      <w:outlineLvl w:val="9"/>
    </w:pPr>
    <w:rPr>
      <w:rFonts w:eastAsia="宋体"/>
      <w:b w:val="0"/>
      <w:kern w:val="0"/>
      <w:sz w:val="21"/>
      <w:szCs w:val="21"/>
    </w:rPr>
  </w:style>
  <w:style w:type="character" w:customStyle="1" w:styleId="136">
    <w:name w:val="正文 小五 Char"/>
    <w:basedOn w:val="39"/>
    <w:link w:val="137"/>
    <w:autoRedefine/>
    <w:qFormat/>
    <w:uiPriority w:val="0"/>
    <w:rPr>
      <w:rFonts w:ascii="宋体" w:hAnsi="宋体"/>
      <w:spacing w:val="-6"/>
      <w:sz w:val="18"/>
      <w:szCs w:val="18"/>
    </w:rPr>
  </w:style>
  <w:style w:type="paragraph" w:customStyle="1" w:styleId="137">
    <w:name w:val="正文 小五"/>
    <w:basedOn w:val="1"/>
    <w:link w:val="136"/>
    <w:autoRedefine/>
    <w:qFormat/>
    <w:uiPriority w:val="0"/>
    <w:pPr>
      <w:spacing w:line="270" w:lineRule="exact"/>
      <w:jc w:val="left"/>
    </w:pPr>
    <w:rPr>
      <w:rFonts w:ascii="宋体" w:hAnsi="宋体" w:eastAsiaTheme="minorEastAsia" w:cstheme="minorBidi"/>
      <w:spacing w:val="-6"/>
      <w:sz w:val="18"/>
      <w:szCs w:val="18"/>
    </w:rPr>
  </w:style>
  <w:style w:type="paragraph" w:customStyle="1" w:styleId="138">
    <w:name w:val="txt"/>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39">
    <w:name w:val="表格文字2"/>
    <w:basedOn w:val="1"/>
    <w:autoRedefine/>
    <w:qFormat/>
    <w:uiPriority w:val="34"/>
    <w:pPr>
      <w:tabs>
        <w:tab w:val="left" w:pos="277"/>
        <w:tab w:val="left" w:pos="600"/>
        <w:tab w:val="left" w:pos="780"/>
        <w:tab w:val="left" w:pos="2517"/>
      </w:tabs>
      <w:adjustRightInd w:val="0"/>
      <w:snapToGrid w:val="0"/>
      <w:jc w:val="center"/>
      <w:textAlignment w:val="baseline"/>
    </w:pPr>
    <w:rPr>
      <w:rFonts w:eastAsia="宋体"/>
      <w:kern w:val="0"/>
      <w:sz w:val="21"/>
      <w:szCs w:val="21"/>
    </w:rPr>
  </w:style>
  <w:style w:type="paragraph" w:customStyle="1" w:styleId="140">
    <w:name w:val="Table Paragraph"/>
    <w:basedOn w:val="1"/>
    <w:autoRedefine/>
    <w:qFormat/>
    <w:uiPriority w:val="0"/>
    <w:pPr>
      <w:jc w:val="center"/>
    </w:pPr>
    <w:rPr>
      <w:rFonts w:ascii="宋体" w:hAnsi="宋体" w:eastAsia="宋体" w:cs="宋体"/>
    </w:rPr>
  </w:style>
  <w:style w:type="paragraph" w:customStyle="1" w:styleId="141">
    <w:name w:val="首行缩进"/>
    <w:basedOn w:val="1"/>
    <w:autoRedefine/>
    <w:qFormat/>
    <w:uiPriority w:val="34"/>
    <w:pPr>
      <w:adjustRightInd w:val="0"/>
      <w:snapToGrid w:val="0"/>
      <w:spacing w:line="360" w:lineRule="auto"/>
      <w:ind w:firstLine="480" w:firstLineChars="200"/>
      <w:jc w:val="left"/>
    </w:pPr>
    <w:rPr>
      <w:rFonts w:eastAsiaTheme="minorEastAsia"/>
      <w:szCs w:val="22"/>
    </w:rPr>
  </w:style>
  <w:style w:type="paragraph" w:customStyle="1" w:styleId="142">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3">
    <w:name w:val="列出段落2"/>
    <w:basedOn w:val="1"/>
    <w:autoRedefine/>
    <w:unhideWhenUsed/>
    <w:qFormat/>
    <w:uiPriority w:val="99"/>
    <w:pPr>
      <w:ind w:firstLine="420" w:firstLineChars="200"/>
    </w:pPr>
  </w:style>
  <w:style w:type="paragraph" w:customStyle="1" w:styleId="144">
    <w:name w:val="_Style 1"/>
    <w:basedOn w:val="1"/>
    <w:autoRedefine/>
    <w:qFormat/>
    <w:uiPriority w:val="34"/>
    <w:pPr>
      <w:spacing w:before="100" w:beforeAutospacing="1"/>
      <w:ind w:firstLine="420" w:firstLineChars="200"/>
    </w:pPr>
    <w:rPr>
      <w:sz w:val="28"/>
      <w:szCs w:val="28"/>
    </w:rPr>
  </w:style>
  <w:style w:type="paragraph" w:customStyle="1" w:styleId="145">
    <w:name w:val="正文首行缩进 2 New"/>
    <w:basedOn w:val="14"/>
    <w:autoRedefine/>
    <w:qFormat/>
    <w:uiPriority w:val="34"/>
    <w:pPr>
      <w:autoSpaceDE w:val="0"/>
      <w:autoSpaceDN w:val="0"/>
      <w:adjustRightInd w:val="0"/>
      <w:snapToGrid w:val="0"/>
      <w:spacing w:after="0" w:line="360" w:lineRule="auto"/>
      <w:ind w:left="0" w:leftChars="0" w:firstLine="420"/>
      <w:jc w:val="left"/>
      <w:textAlignment w:val="baseline"/>
    </w:pPr>
    <w:rPr>
      <w:rFonts w:ascii="宋体" w:hAnsi="Calibri" w:eastAsia="宋体"/>
      <w:kern w:val="0"/>
    </w:rPr>
  </w:style>
  <w:style w:type="paragraph" w:customStyle="1" w:styleId="146">
    <w:name w:val="表题"/>
    <w:basedOn w:val="26"/>
    <w:autoRedefine/>
    <w:qFormat/>
    <w:uiPriority w:val="34"/>
    <w:pPr>
      <w:ind w:left="0" w:firstLine="0" w:firstLineChars="0"/>
      <w:jc w:val="center"/>
    </w:pPr>
    <w:rPr>
      <w:rFonts w:ascii="Calibri" w:hAnsi="Calibri" w:eastAsia="宋体"/>
      <w:b/>
      <w:bCs/>
      <w:color w:val="000000"/>
      <w:kern w:val="0"/>
      <w:sz w:val="21"/>
      <w:szCs w:val="21"/>
    </w:rPr>
  </w:style>
  <w:style w:type="paragraph" w:customStyle="1" w:styleId="147">
    <w:name w:val="表文字"/>
    <w:basedOn w:val="1"/>
    <w:autoRedefine/>
    <w:qFormat/>
    <w:uiPriority w:val="34"/>
    <w:pPr>
      <w:widowControl/>
      <w:jc w:val="center"/>
    </w:pPr>
    <w:rPr>
      <w:rFonts w:ascii="Calibri" w:hAnsi="Calibri" w:eastAsia="宋体"/>
      <w:kern w:val="0"/>
      <w:sz w:val="21"/>
      <w:szCs w:val="21"/>
    </w:rPr>
  </w:style>
  <w:style w:type="character" w:customStyle="1" w:styleId="148">
    <w:name w:val="10"/>
    <w:basedOn w:val="39"/>
    <w:autoRedefine/>
    <w:qFormat/>
    <w:uiPriority w:val="0"/>
    <w:rPr>
      <w:rFonts w:hint="default" w:ascii="Calibri" w:hAnsi="Calibri" w:cs="Calibri"/>
    </w:rPr>
  </w:style>
  <w:style w:type="character" w:customStyle="1" w:styleId="149">
    <w:name w:val="15"/>
    <w:basedOn w:val="39"/>
    <w:autoRedefine/>
    <w:qFormat/>
    <w:uiPriority w:val="0"/>
    <w:rPr>
      <w:rFonts w:hint="default" w:ascii="Calibri" w:hAnsi="Calibri" w:cs="Calibri"/>
    </w:rPr>
  </w:style>
  <w:style w:type="paragraph" w:customStyle="1" w:styleId="150">
    <w:name w:val="表  格"/>
    <w:basedOn w:val="1"/>
    <w:link w:val="151"/>
    <w:autoRedefine/>
    <w:qFormat/>
    <w:uiPriority w:val="0"/>
    <w:pPr>
      <w:adjustRightInd w:val="0"/>
      <w:snapToGrid w:val="0"/>
      <w:jc w:val="center"/>
    </w:pPr>
    <w:rPr>
      <w:rFonts w:ascii="宋体" w:hAnsi="宋体" w:eastAsia="宋体"/>
      <w:color w:val="000000"/>
      <w:kern w:val="0"/>
    </w:rPr>
  </w:style>
  <w:style w:type="character" w:customStyle="1" w:styleId="151">
    <w:name w:val="表  格 Char"/>
    <w:link w:val="150"/>
    <w:autoRedefine/>
    <w:qFormat/>
    <w:uiPriority w:val="0"/>
    <w:rPr>
      <w:rFonts w:ascii="宋体" w:hAnsi="宋体" w:eastAsia="宋体" w:cs="Times New Roman"/>
      <w:color w:val="000000"/>
      <w:kern w:val="0"/>
      <w:sz w:val="24"/>
      <w:szCs w:val="24"/>
    </w:rPr>
  </w:style>
  <w:style w:type="character" w:customStyle="1" w:styleId="152">
    <w:name w:val="标题 Char"/>
    <w:basedOn w:val="39"/>
    <w:link w:val="34"/>
    <w:autoRedefine/>
    <w:qFormat/>
    <w:uiPriority w:val="0"/>
    <w:rPr>
      <w:rFonts w:eastAsia="宋体" w:asciiTheme="majorHAnsi" w:hAnsiTheme="majorHAnsi" w:cstheme="majorBidi"/>
      <w:b/>
      <w:bCs/>
      <w:sz w:val="32"/>
      <w:szCs w:val="32"/>
    </w:rPr>
  </w:style>
  <w:style w:type="paragraph" w:styleId="153">
    <w:name w:val="List Paragraph"/>
    <w:basedOn w:val="1"/>
    <w:autoRedefine/>
    <w:qFormat/>
    <w:uiPriority w:val="1"/>
    <w:pPr>
      <w:ind w:firstLine="420" w:firstLineChars="200"/>
    </w:pPr>
  </w:style>
  <w:style w:type="character" w:customStyle="1" w:styleId="154">
    <w:name w:val="表格内容 Char"/>
    <w:link w:val="155"/>
    <w:autoRedefine/>
    <w:qFormat/>
    <w:uiPriority w:val="0"/>
    <w:rPr>
      <w:rFonts w:ascii="宋体" w:hAnsi="宋体"/>
      <w:color w:val="000000"/>
      <w:szCs w:val="21"/>
    </w:rPr>
  </w:style>
  <w:style w:type="paragraph" w:customStyle="1" w:styleId="155">
    <w:name w:val="表格内容"/>
    <w:basedOn w:val="1"/>
    <w:link w:val="154"/>
    <w:autoRedefine/>
    <w:qFormat/>
    <w:uiPriority w:val="0"/>
    <w:pPr>
      <w:spacing w:line="280" w:lineRule="exact"/>
      <w:jc w:val="center"/>
    </w:pPr>
    <w:rPr>
      <w:rFonts w:ascii="宋体" w:hAnsi="宋体" w:eastAsiaTheme="minorEastAsia" w:cstheme="minorBidi"/>
      <w:color w:val="000000"/>
      <w:sz w:val="21"/>
      <w:szCs w:val="21"/>
    </w:rPr>
  </w:style>
  <w:style w:type="character" w:customStyle="1" w:styleId="156">
    <w:name w:val="样式 正文 Char"/>
    <w:link w:val="157"/>
    <w:autoRedefine/>
    <w:qFormat/>
    <w:uiPriority w:val="0"/>
    <w:rPr>
      <w:rFonts w:ascii="Times New Roman" w:hAnsi="Times New Roman" w:eastAsia="宋体" w:cs="Times New Roman"/>
      <w:sz w:val="28"/>
      <w:szCs w:val="20"/>
    </w:rPr>
  </w:style>
  <w:style w:type="paragraph" w:customStyle="1" w:styleId="157">
    <w:name w:val="样式 正文"/>
    <w:basedOn w:val="1"/>
    <w:link w:val="156"/>
    <w:autoRedefine/>
    <w:qFormat/>
    <w:uiPriority w:val="0"/>
    <w:pPr>
      <w:spacing w:line="520" w:lineRule="exact"/>
      <w:ind w:firstLine="560"/>
    </w:pPr>
    <w:rPr>
      <w:rFonts w:eastAsia="宋体"/>
      <w:sz w:val="28"/>
      <w:szCs w:val="20"/>
    </w:rPr>
  </w:style>
  <w:style w:type="paragraph" w:customStyle="1" w:styleId="158">
    <w:name w:val="表图1"/>
    <w:basedOn w:val="1"/>
    <w:autoRedefine/>
    <w:qFormat/>
    <w:uiPriority w:val="0"/>
    <w:pPr>
      <w:spacing w:line="360" w:lineRule="exact"/>
      <w:jc w:val="center"/>
    </w:pPr>
    <w:rPr>
      <w:sz w:val="21"/>
    </w:rPr>
  </w:style>
  <w:style w:type="paragraph" w:customStyle="1" w:styleId="159">
    <w:name w:val="Char Char1 Char Char Char Char"/>
    <w:basedOn w:val="1"/>
    <w:autoRedefine/>
    <w:qFormat/>
    <w:uiPriority w:val="0"/>
    <w:rPr>
      <w:rFonts w:eastAsia="宋体"/>
      <w:sz w:val="21"/>
      <w:szCs w:val="20"/>
    </w:rPr>
  </w:style>
  <w:style w:type="paragraph" w:customStyle="1" w:styleId="160">
    <w:name w:val="Char Char1 Char Char Char Char1"/>
    <w:basedOn w:val="1"/>
    <w:autoRedefine/>
    <w:qFormat/>
    <w:uiPriority w:val="0"/>
    <w:rPr>
      <w:rFonts w:eastAsia="宋体"/>
      <w:sz w:val="21"/>
      <w:szCs w:val="20"/>
    </w:rPr>
  </w:style>
  <w:style w:type="character" w:customStyle="1" w:styleId="161">
    <w:name w:val="样式8 Char"/>
    <w:basedOn w:val="39"/>
    <w:link w:val="162"/>
    <w:autoRedefine/>
    <w:qFormat/>
    <w:uiPriority w:val="0"/>
    <w:rPr>
      <w:rFonts w:eastAsia="楷体_GB2312"/>
      <w:b/>
      <w:bCs/>
      <w:sz w:val="24"/>
      <w:szCs w:val="28"/>
    </w:rPr>
  </w:style>
  <w:style w:type="paragraph" w:customStyle="1" w:styleId="162">
    <w:name w:val="样式8"/>
    <w:basedOn w:val="46"/>
    <w:link w:val="161"/>
    <w:autoRedefine/>
    <w:qFormat/>
    <w:uiPriority w:val="0"/>
    <w:pPr>
      <w:tabs>
        <w:tab w:val="clear" w:pos="432"/>
      </w:tabs>
      <w:spacing w:before="0" w:after="0" w:line="560" w:lineRule="exact"/>
      <w:ind w:firstLine="482" w:firstLineChars="200"/>
    </w:pPr>
    <w:rPr>
      <w:rFonts w:eastAsia="楷体_GB2312" w:asciiTheme="minorHAnsi" w:hAnsiTheme="minorHAnsi" w:cstheme="minorBidi"/>
      <w:b/>
      <w:bCs/>
      <w:szCs w:val="28"/>
    </w:rPr>
  </w:style>
  <w:style w:type="character" w:customStyle="1" w:styleId="163">
    <w:name w:val="search_content1"/>
    <w:autoRedefine/>
    <w:qFormat/>
    <w:uiPriority w:val="0"/>
    <w:rPr>
      <w:sz w:val="20"/>
      <w:szCs w:val="20"/>
    </w:rPr>
  </w:style>
  <w:style w:type="paragraph" w:customStyle="1" w:styleId="164">
    <w:name w:val="msolistparagraph"/>
    <w:basedOn w:val="1"/>
    <w:autoRedefine/>
    <w:qFormat/>
    <w:uiPriority w:val="0"/>
    <w:pPr>
      <w:ind w:firstLine="420" w:firstLineChars="200"/>
    </w:pPr>
    <w:rPr>
      <w:rFonts w:ascii="Calibri" w:hAnsi="Calibri" w:eastAsia="宋体"/>
      <w:sz w:val="21"/>
      <w:szCs w:val="22"/>
    </w:rPr>
  </w:style>
  <w:style w:type="paragraph" w:customStyle="1" w:styleId="165">
    <w:name w:val="Char Char1 Char Char Char Char2"/>
    <w:basedOn w:val="1"/>
    <w:autoRedefine/>
    <w:qFormat/>
    <w:uiPriority w:val="0"/>
    <w:rPr>
      <w:rFonts w:eastAsia="宋体"/>
      <w:sz w:val="21"/>
      <w:szCs w:val="20"/>
    </w:rPr>
  </w:style>
  <w:style w:type="character" w:customStyle="1" w:styleId="166">
    <w:name w:val="正文文本缩进 Char1"/>
    <w:link w:val="167"/>
    <w:autoRedefine/>
    <w:qFormat/>
    <w:locked/>
    <w:uiPriority w:val="0"/>
    <w:rPr>
      <w:rFonts w:ascii="仿宋_GB2312" w:hAnsi="宋体" w:eastAsia="仿宋_GB2312"/>
      <w:sz w:val="24"/>
    </w:rPr>
  </w:style>
  <w:style w:type="paragraph" w:customStyle="1" w:styleId="167">
    <w:name w:val="正文文本缩进1"/>
    <w:basedOn w:val="1"/>
    <w:link w:val="166"/>
    <w:autoRedefine/>
    <w:qFormat/>
    <w:uiPriority w:val="0"/>
    <w:pPr>
      <w:widowControl/>
      <w:spacing w:line="360" w:lineRule="auto"/>
      <w:ind w:firstLine="560"/>
      <w:jc w:val="left"/>
    </w:pPr>
    <w:rPr>
      <w:rFonts w:ascii="仿宋_GB2312" w:hAnsi="宋体" w:cstheme="minorBidi"/>
      <w:szCs w:val="22"/>
    </w:rPr>
  </w:style>
  <w:style w:type="character" w:customStyle="1" w:styleId="168">
    <w:name w:val="表格文字 Char Char"/>
    <w:autoRedefine/>
    <w:qFormat/>
    <w:locked/>
    <w:uiPriority w:val="0"/>
    <w:rPr>
      <w:rFonts w:ascii="仿宋_GB2312" w:hAnsi="Arial Black" w:eastAsia="仿宋_GB2312"/>
      <w:kern w:val="44"/>
      <w:sz w:val="24"/>
    </w:rPr>
  </w:style>
  <w:style w:type="paragraph" w:customStyle="1" w:styleId="169">
    <w:name w:val="表中"/>
    <w:autoRedefine/>
    <w:qFormat/>
    <w:uiPriority w:val="0"/>
    <w:pPr>
      <w:adjustRightInd w:val="0"/>
      <w:snapToGrid w:val="0"/>
      <w:jc w:val="center"/>
    </w:pPr>
    <w:rPr>
      <w:rFonts w:ascii="Times New Roman" w:hAnsi="Times New Roman" w:eastAsia="宋体" w:cs="Times New Roman"/>
      <w:kern w:val="44"/>
      <w:sz w:val="18"/>
      <w:lang w:val="en-US" w:eastAsia="zh-CN" w:bidi="ar-SA"/>
    </w:rPr>
  </w:style>
  <w:style w:type="character" w:customStyle="1" w:styleId="170">
    <w:name w:val="font01"/>
    <w:basedOn w:val="39"/>
    <w:autoRedefine/>
    <w:qFormat/>
    <w:uiPriority w:val="0"/>
    <w:rPr>
      <w:rFonts w:hint="eastAsia" w:ascii="宋体" w:hAnsi="宋体" w:eastAsia="宋体"/>
      <w:color w:val="000000"/>
      <w:sz w:val="24"/>
      <w:szCs w:val="24"/>
      <w:u w:val="none"/>
    </w:rPr>
  </w:style>
  <w:style w:type="character" w:styleId="171">
    <w:name w:val="Placeholder Text"/>
    <w:basedOn w:val="39"/>
    <w:autoRedefine/>
    <w:semiHidden/>
    <w:qFormat/>
    <w:uiPriority w:val="99"/>
    <w:rPr>
      <w:color w:val="808080"/>
    </w:rPr>
  </w:style>
  <w:style w:type="character" w:customStyle="1" w:styleId="172">
    <w:name w:val="正文文本 Char1"/>
    <w:basedOn w:val="39"/>
    <w:autoRedefine/>
    <w:semiHidden/>
    <w:qFormat/>
    <w:uiPriority w:val="99"/>
    <w:rPr>
      <w:rFonts w:ascii="Times New Roman" w:hAnsi="Times New Roman" w:eastAsia="仿宋_GB2312" w:cs="Times New Roman"/>
      <w:kern w:val="2"/>
      <w:sz w:val="24"/>
      <w:szCs w:val="24"/>
    </w:rPr>
  </w:style>
  <w:style w:type="character" w:customStyle="1" w:styleId="173">
    <w:name w:val="正文首行缩进 Char"/>
    <w:basedOn w:val="54"/>
    <w:link w:val="36"/>
    <w:autoRedefine/>
    <w:semiHidden/>
    <w:qFormat/>
    <w:locked/>
    <w:uiPriority w:val="0"/>
    <w:rPr>
      <w:rFonts w:ascii="Times New Roman" w:hAnsi="Times New Roman" w:eastAsia="仿宋_GB2312" w:cs="Times New Roman"/>
      <w:sz w:val="24"/>
      <w:szCs w:val="24"/>
    </w:rPr>
  </w:style>
  <w:style w:type="character" w:customStyle="1" w:styleId="174">
    <w:name w:val="批注文字 Char1"/>
    <w:basedOn w:val="39"/>
    <w:autoRedefine/>
    <w:semiHidden/>
    <w:qFormat/>
    <w:uiPriority w:val="99"/>
    <w:rPr>
      <w:rFonts w:ascii="Times New Roman" w:hAnsi="Times New Roman" w:eastAsia="仿宋_GB2312" w:cs="Times New Roman"/>
      <w:kern w:val="2"/>
      <w:sz w:val="24"/>
      <w:szCs w:val="24"/>
    </w:rPr>
  </w:style>
  <w:style w:type="character" w:customStyle="1" w:styleId="175">
    <w:name w:val="普通(网站) Char2"/>
    <w:basedOn w:val="39"/>
    <w:autoRedefine/>
    <w:semiHidden/>
    <w:qFormat/>
    <w:locked/>
    <w:uiPriority w:val="99"/>
    <w:rPr>
      <w:rFonts w:ascii="Calibri" w:hAnsi="Calibri" w:eastAsia="仿宋_GB2312" w:cs="Times New Roman"/>
      <w:kern w:val="2"/>
      <w:sz w:val="18"/>
      <w:szCs w:val="18"/>
    </w:rPr>
  </w:style>
  <w:style w:type="character" w:customStyle="1" w:styleId="176">
    <w:name w:val="文档结构图 Char1"/>
    <w:basedOn w:val="39"/>
    <w:autoRedefine/>
    <w:semiHidden/>
    <w:qFormat/>
    <w:uiPriority w:val="0"/>
    <w:rPr>
      <w:rFonts w:ascii="宋体" w:hAnsi="Times New Roman" w:eastAsia="宋体" w:cs="Times New Roman"/>
      <w:kern w:val="2"/>
      <w:sz w:val="18"/>
      <w:szCs w:val="18"/>
    </w:rPr>
  </w:style>
  <w:style w:type="character" w:customStyle="1" w:styleId="177">
    <w:name w:val="纯文本 Char1"/>
    <w:basedOn w:val="39"/>
    <w:autoRedefine/>
    <w:semiHidden/>
    <w:qFormat/>
    <w:uiPriority w:val="0"/>
    <w:rPr>
      <w:rFonts w:ascii="宋体" w:hAnsi="Courier New" w:eastAsia="宋体" w:cs="Courier New"/>
      <w:kern w:val="2"/>
      <w:sz w:val="21"/>
      <w:szCs w:val="21"/>
    </w:rPr>
  </w:style>
  <w:style w:type="character" w:customStyle="1" w:styleId="178">
    <w:name w:val="表格 Char"/>
    <w:link w:val="179"/>
    <w:autoRedefine/>
    <w:qFormat/>
    <w:locked/>
    <w:uiPriority w:val="0"/>
    <w:rPr>
      <w:rFonts w:ascii="宋体" w:hAnsi="宋体" w:eastAsia="宋体" w:cs="Times New Roman"/>
      <w:sz w:val="21"/>
    </w:rPr>
  </w:style>
  <w:style w:type="paragraph" w:customStyle="1" w:styleId="179">
    <w:name w:val="表格"/>
    <w:basedOn w:val="1"/>
    <w:link w:val="178"/>
    <w:autoRedefine/>
    <w:qFormat/>
    <w:uiPriority w:val="0"/>
    <w:pPr>
      <w:widowControl/>
      <w:snapToGrid w:val="0"/>
      <w:spacing w:line="280" w:lineRule="atLeast"/>
      <w:jc w:val="center"/>
    </w:pPr>
    <w:rPr>
      <w:rFonts w:ascii="宋体" w:hAnsi="宋体" w:eastAsia="宋体"/>
      <w:kern w:val="0"/>
      <w:sz w:val="21"/>
      <w:szCs w:val="20"/>
    </w:rPr>
  </w:style>
  <w:style w:type="paragraph" w:customStyle="1" w:styleId="180">
    <w:name w:val="标题 5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181">
    <w:name w:val="xl24"/>
    <w:basedOn w:val="1"/>
    <w:autoRedefine/>
    <w:qFormat/>
    <w:uiPriority w:val="34"/>
    <w:pPr>
      <w:widowControl/>
      <w:pBdr>
        <w:left w:val="single" w:color="auto" w:sz="4" w:space="0"/>
        <w:bottom w:val="single" w:color="auto" w:sz="4" w:space="0"/>
        <w:right w:val="single" w:color="auto" w:sz="4" w:space="0"/>
      </w:pBdr>
      <w:adjustRightInd w:val="0"/>
      <w:snapToGrid w:val="0"/>
      <w:spacing w:before="100" w:beforeAutospacing="1" w:after="100" w:afterAutospacing="1"/>
      <w:ind w:firstLine="200" w:firstLineChars="200"/>
      <w:jc w:val="center"/>
    </w:pPr>
    <w:rPr>
      <w:rFonts w:ascii="宋体" w:hAnsi="宋体" w:eastAsiaTheme="minorEastAsia"/>
      <w:kern w:val="0"/>
      <w:szCs w:val="22"/>
    </w:rPr>
  </w:style>
  <w:style w:type="paragraph" w:customStyle="1" w:styleId="182">
    <w:name w:val="样式 标题 3标题 3 Char标题 3 Char Char Char Char Char Char Char Char C...4"/>
    <w:basedOn w:val="5"/>
    <w:autoRedefine/>
    <w:qFormat/>
    <w:uiPriority w:val="34"/>
    <w:pPr>
      <w:tabs>
        <w:tab w:val="left" w:pos="720"/>
      </w:tabs>
      <w:adjustRightInd w:val="0"/>
      <w:snapToGrid w:val="0"/>
      <w:ind w:left="720" w:hanging="720" w:firstLineChars="200"/>
      <w:jc w:val="left"/>
    </w:pPr>
    <w:rPr>
      <w:rFonts w:ascii="宋体" w:hAnsi="宋体" w:eastAsiaTheme="minorEastAsia"/>
      <w:b w:val="0"/>
      <w:bCs w:val="0"/>
      <w:kern w:val="0"/>
    </w:rPr>
  </w:style>
  <w:style w:type="paragraph" w:customStyle="1" w:styleId="183">
    <w:name w:val="小四表文左齐"/>
    <w:basedOn w:val="1"/>
    <w:autoRedefine/>
    <w:qFormat/>
    <w:uiPriority w:val="34"/>
    <w:pPr>
      <w:adjustRightInd w:val="0"/>
      <w:snapToGrid w:val="0"/>
      <w:ind w:firstLine="200" w:firstLineChars="200"/>
      <w:jc w:val="center"/>
    </w:pPr>
    <w:rPr>
      <w:rFonts w:ascii="仿宋_GB2312" w:hAnsi="宋体" w:eastAsiaTheme="minorEastAsia"/>
      <w:sz w:val="28"/>
      <w:szCs w:val="22"/>
    </w:rPr>
  </w:style>
  <w:style w:type="paragraph" w:customStyle="1" w:styleId="184">
    <w:name w:val="TOC 标题1"/>
    <w:basedOn w:val="2"/>
    <w:next w:val="1"/>
    <w:autoRedefine/>
    <w:qFormat/>
    <w:uiPriority w:val="39"/>
    <w:pPr>
      <w:adjustRightInd w:val="0"/>
      <w:snapToGrid w:val="0"/>
      <w:spacing w:beforeLines="200" w:line="240" w:lineRule="auto"/>
      <w:ind w:firstLine="200" w:firstLineChars="200"/>
      <w:jc w:val="center"/>
      <w:outlineLvl w:val="9"/>
    </w:pPr>
    <w:rPr>
      <w:rFonts w:eastAsiaTheme="minorEastAsia"/>
    </w:rPr>
  </w:style>
  <w:style w:type="paragraph" w:customStyle="1" w:styleId="185">
    <w:name w:val="样式6"/>
    <w:basedOn w:val="5"/>
    <w:autoRedefine/>
    <w:qFormat/>
    <w:uiPriority w:val="34"/>
    <w:pPr>
      <w:adjustRightInd w:val="0"/>
      <w:snapToGrid w:val="0"/>
      <w:spacing w:line="240" w:lineRule="auto"/>
      <w:ind w:firstLine="200" w:firstLineChars="200"/>
      <w:jc w:val="left"/>
    </w:pPr>
    <w:rPr>
      <w:rFonts w:eastAsiaTheme="minorEastAsia"/>
      <w:sz w:val="28"/>
      <w:szCs w:val="28"/>
    </w:rPr>
  </w:style>
  <w:style w:type="paragraph" w:customStyle="1" w:styleId="186">
    <w:name w:val="样式7"/>
    <w:basedOn w:val="5"/>
    <w:autoRedefine/>
    <w:qFormat/>
    <w:uiPriority w:val="34"/>
    <w:pPr>
      <w:adjustRightInd w:val="0"/>
      <w:snapToGrid w:val="0"/>
      <w:spacing w:line="240" w:lineRule="auto"/>
      <w:ind w:firstLine="200" w:firstLineChars="200"/>
      <w:jc w:val="left"/>
    </w:pPr>
    <w:rPr>
      <w:rFonts w:eastAsiaTheme="minorEastAsia"/>
      <w:sz w:val="28"/>
    </w:rPr>
  </w:style>
  <w:style w:type="paragraph" w:customStyle="1" w:styleId="187">
    <w:name w:val="图框"/>
    <w:basedOn w:val="1"/>
    <w:autoRedefine/>
    <w:qFormat/>
    <w:uiPriority w:val="34"/>
    <w:pPr>
      <w:adjustRightInd w:val="0"/>
      <w:snapToGrid w:val="0"/>
      <w:spacing w:line="240" w:lineRule="atLeast"/>
      <w:ind w:firstLine="200" w:firstLineChars="200"/>
      <w:jc w:val="center"/>
    </w:pPr>
    <w:rPr>
      <w:rFonts w:eastAsiaTheme="minorEastAsia"/>
      <w:bCs/>
      <w:sz w:val="28"/>
      <w:szCs w:val="22"/>
    </w:rPr>
  </w:style>
  <w:style w:type="character" w:customStyle="1" w:styleId="188">
    <w:name w:val="正  文 Char"/>
    <w:link w:val="189"/>
    <w:autoRedefine/>
    <w:qFormat/>
    <w:locked/>
    <w:uiPriority w:val="0"/>
    <w:rPr>
      <w:rFonts w:ascii="Times New Roman" w:hAnsi="Times New Roman" w:cs="Times New Roman"/>
      <w:b/>
      <w:color w:val="000000"/>
      <w:sz w:val="32"/>
      <w:szCs w:val="32"/>
    </w:rPr>
  </w:style>
  <w:style w:type="paragraph" w:customStyle="1" w:styleId="189">
    <w:name w:val="正  文"/>
    <w:basedOn w:val="1"/>
    <w:link w:val="188"/>
    <w:autoRedefine/>
    <w:qFormat/>
    <w:uiPriority w:val="0"/>
    <w:pPr>
      <w:widowControl/>
      <w:adjustRightInd w:val="0"/>
      <w:snapToGrid w:val="0"/>
      <w:spacing w:beforeLines="200"/>
      <w:jc w:val="center"/>
      <w:outlineLvl w:val="0"/>
    </w:pPr>
    <w:rPr>
      <w:rFonts w:eastAsiaTheme="minorEastAsia"/>
      <w:b/>
      <w:color w:val="000000"/>
      <w:kern w:val="0"/>
      <w:sz w:val="32"/>
      <w:szCs w:val="32"/>
    </w:rPr>
  </w:style>
  <w:style w:type="paragraph" w:customStyle="1" w:styleId="190">
    <w:name w:val="标题1，"/>
    <w:basedOn w:val="5"/>
    <w:autoRedefine/>
    <w:qFormat/>
    <w:uiPriority w:val="34"/>
    <w:pPr>
      <w:adjustRightInd w:val="0"/>
      <w:snapToGrid w:val="0"/>
      <w:spacing w:before="100" w:beforeAutospacing="1" w:after="100" w:afterAutospacing="1" w:line="240" w:lineRule="auto"/>
      <w:jc w:val="left"/>
      <w:outlineLvl w:val="0"/>
    </w:pPr>
    <w:rPr>
      <w:rFonts w:eastAsiaTheme="minorEastAsia"/>
      <w:sz w:val="28"/>
    </w:rPr>
  </w:style>
  <w:style w:type="paragraph" w:customStyle="1" w:styleId="191">
    <w:name w:val="标题 2，"/>
    <w:basedOn w:val="3"/>
    <w:autoRedefine/>
    <w:qFormat/>
    <w:uiPriority w:val="34"/>
    <w:pPr>
      <w:adjustRightInd w:val="0"/>
      <w:snapToGrid w:val="0"/>
      <w:spacing w:beforeLines="50" w:line="240" w:lineRule="auto"/>
      <w:jc w:val="left"/>
    </w:pPr>
    <w:rPr>
      <w:rFonts w:eastAsiaTheme="minorEastAsia"/>
    </w:rPr>
  </w:style>
  <w:style w:type="paragraph" w:customStyle="1" w:styleId="192">
    <w:name w:val="标题 3，"/>
    <w:basedOn w:val="5"/>
    <w:autoRedefine/>
    <w:qFormat/>
    <w:uiPriority w:val="34"/>
    <w:pPr>
      <w:adjustRightInd w:val="0"/>
      <w:snapToGrid w:val="0"/>
      <w:spacing w:line="240" w:lineRule="auto"/>
      <w:ind w:firstLine="200" w:firstLineChars="200"/>
      <w:jc w:val="left"/>
    </w:pPr>
    <w:rPr>
      <w:rFonts w:eastAsiaTheme="minorEastAsia"/>
      <w:sz w:val="28"/>
    </w:rPr>
  </w:style>
  <w:style w:type="character" w:customStyle="1" w:styleId="193">
    <w:name w:val="表格内文字 Char"/>
    <w:basedOn w:val="39"/>
    <w:link w:val="194"/>
    <w:autoRedefine/>
    <w:qFormat/>
    <w:locked/>
    <w:uiPriority w:val="0"/>
    <w:rPr>
      <w:rFonts w:ascii="Times New Roman" w:hAnsi="Times New Roman" w:cs="Times New Roman"/>
      <w:kern w:val="2"/>
      <w:sz w:val="24"/>
      <w:szCs w:val="24"/>
    </w:rPr>
  </w:style>
  <w:style w:type="paragraph" w:customStyle="1" w:styleId="194">
    <w:name w:val="表格内文字"/>
    <w:basedOn w:val="1"/>
    <w:next w:val="1"/>
    <w:link w:val="193"/>
    <w:autoRedefine/>
    <w:qFormat/>
    <w:uiPriority w:val="0"/>
    <w:pPr>
      <w:tabs>
        <w:tab w:val="left" w:pos="0"/>
      </w:tabs>
      <w:adjustRightInd w:val="0"/>
      <w:snapToGrid w:val="0"/>
      <w:jc w:val="center"/>
    </w:pPr>
    <w:rPr>
      <w:rFonts w:eastAsiaTheme="minorEastAsia"/>
    </w:rPr>
  </w:style>
  <w:style w:type="paragraph" w:customStyle="1" w:styleId="195">
    <w:name w:val="样式 正文 首行缩进:  2 字符 + 首行缩进:  2 字符"/>
    <w:basedOn w:val="1"/>
    <w:autoRedefine/>
    <w:qFormat/>
    <w:uiPriority w:val="34"/>
    <w:pPr>
      <w:adjustRightInd w:val="0"/>
      <w:snapToGrid w:val="0"/>
      <w:ind w:firstLine="562" w:firstLineChars="200"/>
      <w:jc w:val="center"/>
    </w:pPr>
    <w:rPr>
      <w:rFonts w:ascii="仿宋_GB2312" w:eastAsiaTheme="minorEastAsia"/>
      <w:b/>
      <w:color w:val="000000"/>
      <w:sz w:val="28"/>
      <w:szCs w:val="28"/>
    </w:rPr>
  </w:style>
  <w:style w:type="character" w:customStyle="1" w:styleId="196">
    <w:name w:val="表  头 Char"/>
    <w:basedOn w:val="39"/>
    <w:link w:val="197"/>
    <w:autoRedefine/>
    <w:qFormat/>
    <w:locked/>
    <w:uiPriority w:val="0"/>
    <w:rPr>
      <w:rFonts w:ascii="黑体" w:hAnsi="宋体" w:eastAsia="黑体" w:cs="宋体"/>
      <w:b/>
      <w:color w:val="000000"/>
      <w:sz w:val="24"/>
    </w:rPr>
  </w:style>
  <w:style w:type="paragraph" w:customStyle="1" w:styleId="197">
    <w:name w:val="表  头"/>
    <w:basedOn w:val="1"/>
    <w:link w:val="196"/>
    <w:autoRedefine/>
    <w:qFormat/>
    <w:uiPriority w:val="0"/>
    <w:pPr>
      <w:widowControl/>
      <w:adjustRightInd w:val="0"/>
      <w:snapToGrid w:val="0"/>
      <w:spacing w:line="360" w:lineRule="auto"/>
      <w:jc w:val="center"/>
    </w:pPr>
    <w:rPr>
      <w:rFonts w:ascii="黑体" w:hAnsi="宋体" w:eastAsia="黑体" w:cs="宋体"/>
      <w:b/>
      <w:color w:val="000000"/>
      <w:kern w:val="0"/>
      <w:szCs w:val="20"/>
    </w:rPr>
  </w:style>
  <w:style w:type="character" w:customStyle="1" w:styleId="198">
    <w:name w:val="1正文 Char"/>
    <w:link w:val="199"/>
    <w:autoRedefine/>
    <w:qFormat/>
    <w:locked/>
    <w:uiPriority w:val="0"/>
    <w:rPr>
      <w:rFonts w:ascii="Times New Roman" w:hAnsi="Times New Roman" w:eastAsia="宋体" w:cs="Times New Roman"/>
      <w:kern w:val="2"/>
      <w:sz w:val="24"/>
    </w:rPr>
  </w:style>
  <w:style w:type="paragraph" w:customStyle="1" w:styleId="199">
    <w:name w:val="1正文"/>
    <w:basedOn w:val="17"/>
    <w:link w:val="198"/>
    <w:autoRedefine/>
    <w:qFormat/>
    <w:uiPriority w:val="0"/>
    <w:pPr>
      <w:spacing w:line="560" w:lineRule="exact"/>
      <w:ind w:firstLine="480" w:firstLineChars="200"/>
    </w:pPr>
    <w:rPr>
      <w:rFonts w:ascii="Times New Roman" w:hAnsi="Times New Roman" w:eastAsia="宋体" w:cs="Times New Roman"/>
      <w:szCs w:val="20"/>
    </w:rPr>
  </w:style>
  <w:style w:type="paragraph" w:customStyle="1" w:styleId="200">
    <w:name w:val="标题 31"/>
    <w:basedOn w:val="1"/>
    <w:next w:val="1"/>
    <w:autoRedefine/>
    <w:qFormat/>
    <w:uiPriority w:val="34"/>
    <w:pPr>
      <w:keepNext/>
      <w:keepLines/>
      <w:adjustRightInd w:val="0"/>
      <w:snapToGrid w:val="0"/>
      <w:spacing w:before="260" w:after="260" w:line="416" w:lineRule="atLeast"/>
      <w:outlineLvl w:val="2"/>
    </w:pPr>
    <w:rPr>
      <w:b/>
      <w:bCs/>
      <w:kern w:val="0"/>
      <w:sz w:val="32"/>
      <w:szCs w:val="32"/>
    </w:rPr>
  </w:style>
  <w:style w:type="paragraph" w:customStyle="1" w:styleId="201">
    <w:name w:val="xl67"/>
    <w:basedOn w:val="1"/>
    <w:autoRedefine/>
    <w:qFormat/>
    <w:uiPriority w:val="34"/>
    <w:pPr>
      <w:widowControl/>
      <w:pBdr>
        <w:left w:val="single" w:color="auto" w:sz="4" w:space="0"/>
      </w:pBdr>
      <w:spacing w:before="100" w:beforeAutospacing="1" w:after="100" w:afterAutospacing="1"/>
      <w:jc w:val="center"/>
    </w:pPr>
    <w:rPr>
      <w:rFonts w:ascii="仿宋_GB2312" w:hAnsi="宋体"/>
      <w:kern w:val="0"/>
    </w:rPr>
  </w:style>
  <w:style w:type="paragraph" w:customStyle="1" w:styleId="202">
    <w:name w:val="文本框"/>
    <w:basedOn w:val="1"/>
    <w:autoRedefine/>
    <w:qFormat/>
    <w:uiPriority w:val="34"/>
    <w:pPr>
      <w:adjustRightInd w:val="0"/>
      <w:snapToGrid w:val="0"/>
      <w:spacing w:line="300" w:lineRule="exact"/>
      <w:jc w:val="center"/>
    </w:pPr>
    <w:rPr>
      <w:rFonts w:eastAsia="宋体"/>
    </w:rPr>
  </w:style>
  <w:style w:type="paragraph" w:customStyle="1" w:styleId="203">
    <w:name w:val="标题 51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204">
    <w:name w:val="修订1"/>
    <w:autoRedefine/>
    <w:semiHidden/>
    <w:qFormat/>
    <w:uiPriority w:val="99"/>
    <w:rPr>
      <w:rFonts w:ascii="Times New Roman" w:hAnsi="Times New Roman" w:eastAsia="仿宋_GB2312" w:cs="Times New Roman"/>
      <w:kern w:val="2"/>
      <w:sz w:val="24"/>
      <w:szCs w:val="24"/>
      <w:lang w:val="en-US" w:eastAsia="zh-CN" w:bidi="ar-SA"/>
    </w:rPr>
  </w:style>
  <w:style w:type="paragraph" w:customStyle="1" w:styleId="205">
    <w:name w:val="Char9"/>
    <w:basedOn w:val="1"/>
    <w:autoRedefine/>
    <w:qFormat/>
    <w:uiPriority w:val="34"/>
    <w:pPr>
      <w:adjustRightInd w:val="0"/>
      <w:snapToGrid w:val="0"/>
      <w:spacing w:line="360" w:lineRule="auto"/>
      <w:ind w:firstLine="200" w:firstLineChars="200"/>
    </w:pPr>
    <w:rPr>
      <w:rFonts w:ascii="宋体" w:hAnsi="宋体" w:eastAsia="宋体" w:cs="宋体"/>
    </w:rPr>
  </w:style>
  <w:style w:type="character" w:customStyle="1" w:styleId="206">
    <w:name w:val="1表格 Char"/>
    <w:link w:val="207"/>
    <w:autoRedefine/>
    <w:qFormat/>
    <w:locked/>
    <w:uiPriority w:val="0"/>
    <w:rPr>
      <w:rFonts w:ascii="Times New Roman" w:hAnsi="Times New Roman" w:eastAsia="宋体" w:cs="宋体"/>
      <w:spacing w:val="4"/>
      <w:szCs w:val="24"/>
    </w:rPr>
  </w:style>
  <w:style w:type="paragraph" w:customStyle="1" w:styleId="207">
    <w:name w:val="1表格"/>
    <w:basedOn w:val="1"/>
    <w:link w:val="206"/>
    <w:autoRedefine/>
    <w:qFormat/>
    <w:uiPriority w:val="0"/>
    <w:pPr>
      <w:adjustRightInd w:val="0"/>
      <w:snapToGrid w:val="0"/>
      <w:jc w:val="center"/>
    </w:pPr>
    <w:rPr>
      <w:rFonts w:eastAsia="宋体" w:cs="宋体"/>
      <w:spacing w:val="4"/>
      <w:kern w:val="0"/>
      <w:sz w:val="20"/>
    </w:rPr>
  </w:style>
  <w:style w:type="character" w:customStyle="1" w:styleId="208">
    <w:name w:val="批注主题 Char1"/>
    <w:basedOn w:val="174"/>
    <w:autoRedefine/>
    <w:semiHidden/>
    <w:qFormat/>
    <w:uiPriority w:val="0"/>
    <w:rPr>
      <w:rFonts w:ascii="Times New Roman" w:hAnsi="Times New Roman" w:eastAsia="仿宋_GB2312" w:cs="Times New Roman"/>
      <w:b/>
      <w:bCs/>
      <w:kern w:val="2"/>
      <w:sz w:val="24"/>
      <w:szCs w:val="24"/>
    </w:rPr>
  </w:style>
  <w:style w:type="character" w:customStyle="1" w:styleId="209">
    <w:name w:val="正文首行缩进 Char1"/>
    <w:basedOn w:val="54"/>
    <w:autoRedefine/>
    <w:semiHidden/>
    <w:qFormat/>
    <w:uiPriority w:val="0"/>
    <w:rPr>
      <w:rFonts w:ascii="Times New Roman" w:hAnsi="Times New Roman" w:eastAsia="仿宋_GB2312" w:cs="Times New Roman"/>
      <w:kern w:val="2"/>
      <w:sz w:val="24"/>
      <w:szCs w:val="24"/>
    </w:rPr>
  </w:style>
  <w:style w:type="character" w:customStyle="1" w:styleId="210">
    <w:name w:val="日期 Char1"/>
    <w:basedOn w:val="39"/>
    <w:autoRedefine/>
    <w:semiHidden/>
    <w:qFormat/>
    <w:uiPriority w:val="0"/>
    <w:rPr>
      <w:rFonts w:ascii="Times New Roman" w:hAnsi="Times New Roman" w:eastAsia="仿宋_GB2312" w:cs="Times New Roman"/>
      <w:kern w:val="2"/>
      <w:sz w:val="24"/>
      <w:szCs w:val="24"/>
    </w:rPr>
  </w:style>
  <w:style w:type="character" w:customStyle="1" w:styleId="211">
    <w:name w:val="正文文本缩进 2 Char1"/>
    <w:basedOn w:val="39"/>
    <w:autoRedefine/>
    <w:semiHidden/>
    <w:qFormat/>
    <w:uiPriority w:val="0"/>
    <w:rPr>
      <w:rFonts w:ascii="Times New Roman" w:hAnsi="Times New Roman" w:eastAsia="仿宋_GB2312" w:cs="Times New Roman"/>
      <w:kern w:val="2"/>
      <w:sz w:val="24"/>
      <w:szCs w:val="24"/>
    </w:rPr>
  </w:style>
  <w:style w:type="character" w:customStyle="1" w:styleId="212">
    <w:name w:val="批注框文本 Char1"/>
    <w:basedOn w:val="39"/>
    <w:autoRedefine/>
    <w:semiHidden/>
    <w:qFormat/>
    <w:uiPriority w:val="99"/>
    <w:rPr>
      <w:rFonts w:hint="eastAsia" w:ascii="仿宋_GB2312" w:hAnsi="仿宋_GB2312" w:eastAsia="仿宋_GB2312" w:cs="Times New Roman"/>
      <w:kern w:val="2"/>
      <w:sz w:val="18"/>
      <w:szCs w:val="18"/>
    </w:rPr>
  </w:style>
  <w:style w:type="character" w:customStyle="1" w:styleId="213">
    <w:name w:val="页脚 Char1"/>
    <w:basedOn w:val="39"/>
    <w:autoRedefine/>
    <w:semiHidden/>
    <w:qFormat/>
    <w:uiPriority w:val="99"/>
    <w:rPr>
      <w:rFonts w:ascii="Times New Roman" w:hAnsi="Times New Roman" w:eastAsia="仿宋_GB2312" w:cs="Times New Roman"/>
      <w:kern w:val="2"/>
      <w:sz w:val="18"/>
      <w:szCs w:val="18"/>
    </w:rPr>
  </w:style>
  <w:style w:type="character" w:customStyle="1" w:styleId="214">
    <w:name w:val="页眉 Char1"/>
    <w:basedOn w:val="39"/>
    <w:autoRedefine/>
    <w:semiHidden/>
    <w:qFormat/>
    <w:uiPriority w:val="99"/>
    <w:rPr>
      <w:rFonts w:ascii="Times New Roman" w:hAnsi="Times New Roman" w:eastAsia="仿宋_GB2312" w:cs="Times New Roman"/>
      <w:kern w:val="2"/>
      <w:sz w:val="18"/>
      <w:szCs w:val="18"/>
    </w:rPr>
  </w:style>
  <w:style w:type="character" w:customStyle="1" w:styleId="215">
    <w:name w:val="脚注文本 Char1"/>
    <w:basedOn w:val="39"/>
    <w:autoRedefine/>
    <w:semiHidden/>
    <w:qFormat/>
    <w:uiPriority w:val="0"/>
    <w:rPr>
      <w:rFonts w:ascii="Times New Roman" w:hAnsi="Times New Roman" w:eastAsia="仿宋_GB2312" w:cs="Times New Roman"/>
      <w:kern w:val="2"/>
      <w:sz w:val="18"/>
      <w:szCs w:val="18"/>
    </w:rPr>
  </w:style>
  <w:style w:type="character" w:customStyle="1" w:styleId="216">
    <w:name w:val="正文文本缩进 3 Char1"/>
    <w:basedOn w:val="39"/>
    <w:autoRedefine/>
    <w:semiHidden/>
    <w:qFormat/>
    <w:uiPriority w:val="0"/>
    <w:rPr>
      <w:rFonts w:ascii="Times New Roman" w:hAnsi="Times New Roman" w:eastAsia="仿宋_GB2312" w:cs="Times New Roman"/>
      <w:kern w:val="2"/>
      <w:sz w:val="16"/>
      <w:szCs w:val="16"/>
    </w:rPr>
  </w:style>
  <w:style w:type="character" w:customStyle="1" w:styleId="217">
    <w:name w:val="标题 Char1"/>
    <w:basedOn w:val="39"/>
    <w:autoRedefine/>
    <w:qFormat/>
    <w:uiPriority w:val="0"/>
    <w:rPr>
      <w:rFonts w:eastAsia="宋体" w:asciiTheme="majorHAnsi" w:hAnsiTheme="majorHAnsi" w:cstheme="majorBidi"/>
      <w:b/>
      <w:bCs/>
      <w:kern w:val="2"/>
      <w:sz w:val="32"/>
      <w:szCs w:val="32"/>
    </w:rPr>
  </w:style>
  <w:style w:type="character" w:customStyle="1" w:styleId="218">
    <w:name w:val="正文缩进 Char1"/>
    <w:basedOn w:val="39"/>
    <w:autoRedefine/>
    <w:qFormat/>
    <w:uiPriority w:val="0"/>
    <w:rPr>
      <w:rFonts w:hint="eastAsia" w:ascii="楷体" w:hAnsi="Times New Roman" w:eastAsia="楷体" w:cs="Times New Roman"/>
      <w:sz w:val="28"/>
      <w:szCs w:val="24"/>
    </w:rPr>
  </w:style>
  <w:style w:type="character" w:customStyle="1" w:styleId="219">
    <w:name w:val="Char Char"/>
    <w:autoRedefine/>
    <w:qFormat/>
    <w:uiPriority w:val="0"/>
    <w:rPr>
      <w:rFonts w:hint="eastAsia" w:ascii="仿宋_GB2312" w:hAnsi="仿宋_GB2312" w:eastAsia="仿宋_GB2312"/>
      <w:kern w:val="2"/>
      <w:sz w:val="18"/>
      <w:szCs w:val="18"/>
    </w:rPr>
  </w:style>
  <w:style w:type="character" w:customStyle="1" w:styleId="220">
    <w:name w:val="infodetail1"/>
    <w:basedOn w:val="39"/>
    <w:autoRedefine/>
    <w:qFormat/>
    <w:uiPriority w:val="0"/>
    <w:rPr>
      <w:rFonts w:hint="default" w:ascii="ˎ̥" w:hAnsi="ˎ̥"/>
      <w:color w:val="000000"/>
      <w:sz w:val="24"/>
      <w:szCs w:val="24"/>
      <w:u w:val="none"/>
    </w:rPr>
  </w:style>
  <w:style w:type="character" w:customStyle="1" w:styleId="221">
    <w:name w:val="c-gap-right2"/>
    <w:basedOn w:val="39"/>
    <w:autoRedefine/>
    <w:qFormat/>
    <w:uiPriority w:val="0"/>
  </w:style>
  <w:style w:type="character" w:customStyle="1" w:styleId="222">
    <w:name w:val="m_21"/>
    <w:basedOn w:val="39"/>
    <w:autoRedefine/>
    <w:qFormat/>
    <w:uiPriority w:val="0"/>
  </w:style>
  <w:style w:type="character" w:customStyle="1" w:styleId="223">
    <w:name w:val="m_25"/>
    <w:basedOn w:val="39"/>
    <w:autoRedefine/>
    <w:qFormat/>
    <w:uiPriority w:val="0"/>
  </w:style>
  <w:style w:type="character" w:customStyle="1" w:styleId="224">
    <w:name w:val="m_18"/>
    <w:basedOn w:val="39"/>
    <w:autoRedefine/>
    <w:qFormat/>
    <w:uiPriority w:val="0"/>
  </w:style>
  <w:style w:type="character" w:customStyle="1" w:styleId="225">
    <w:name w:val="m_20"/>
    <w:basedOn w:val="39"/>
    <w:autoRedefine/>
    <w:qFormat/>
    <w:uiPriority w:val="0"/>
  </w:style>
  <w:style w:type="character" w:customStyle="1" w:styleId="226">
    <w:name w:val="m_17"/>
    <w:basedOn w:val="39"/>
    <w:autoRedefine/>
    <w:qFormat/>
    <w:uiPriority w:val="0"/>
  </w:style>
  <w:style w:type="character" w:customStyle="1" w:styleId="227">
    <w:name w:val="m_27"/>
    <w:basedOn w:val="39"/>
    <w:autoRedefine/>
    <w:qFormat/>
    <w:uiPriority w:val="0"/>
  </w:style>
  <w:style w:type="character" w:customStyle="1" w:styleId="228">
    <w:name w:val="m_4"/>
    <w:basedOn w:val="39"/>
    <w:autoRedefine/>
    <w:qFormat/>
    <w:uiPriority w:val="0"/>
  </w:style>
  <w:style w:type="character" w:customStyle="1" w:styleId="229">
    <w:name w:val="m_47"/>
    <w:basedOn w:val="39"/>
    <w:autoRedefine/>
    <w:qFormat/>
    <w:uiPriority w:val="0"/>
  </w:style>
  <w:style w:type="character" w:customStyle="1" w:styleId="230">
    <w:name w:val="m_12"/>
    <w:basedOn w:val="39"/>
    <w:autoRedefine/>
    <w:qFormat/>
    <w:uiPriority w:val="0"/>
  </w:style>
  <w:style w:type="character" w:customStyle="1" w:styleId="231">
    <w:name w:val="m_43"/>
    <w:basedOn w:val="39"/>
    <w:autoRedefine/>
    <w:qFormat/>
    <w:uiPriority w:val="0"/>
  </w:style>
  <w:style w:type="character" w:customStyle="1" w:styleId="232">
    <w:name w:val="m_15"/>
    <w:basedOn w:val="39"/>
    <w:autoRedefine/>
    <w:qFormat/>
    <w:uiPriority w:val="0"/>
  </w:style>
  <w:style w:type="character" w:customStyle="1" w:styleId="233">
    <w:name w:val="m_40"/>
    <w:basedOn w:val="39"/>
    <w:autoRedefine/>
    <w:qFormat/>
    <w:uiPriority w:val="0"/>
  </w:style>
  <w:style w:type="character" w:customStyle="1" w:styleId="234">
    <w:name w:val="m_37"/>
    <w:basedOn w:val="39"/>
    <w:autoRedefine/>
    <w:qFormat/>
    <w:uiPriority w:val="0"/>
  </w:style>
  <w:style w:type="character" w:customStyle="1" w:styleId="235">
    <w:name w:val="标题 2 Char8"/>
    <w:autoRedefine/>
    <w:qFormat/>
    <w:uiPriority w:val="0"/>
    <w:rPr>
      <w:rFonts w:hint="default" w:ascii="Arial" w:hAnsi="Arial" w:eastAsia="黑体" w:cs="Arial"/>
      <w:b/>
      <w:bCs/>
      <w:kern w:val="2"/>
      <w:sz w:val="32"/>
      <w:szCs w:val="32"/>
      <w:lang w:val="en-US" w:eastAsia="zh-CN" w:bidi="ar-SA"/>
    </w:rPr>
  </w:style>
  <w:style w:type="character" w:customStyle="1" w:styleId="236">
    <w:name w:val="f241"/>
    <w:basedOn w:val="39"/>
    <w:autoRedefine/>
    <w:qFormat/>
    <w:uiPriority w:val="0"/>
    <w:rPr>
      <w:spacing w:val="288"/>
      <w:sz w:val="29"/>
      <w:szCs w:val="29"/>
    </w:rPr>
  </w:style>
  <w:style w:type="character" w:customStyle="1" w:styleId="237">
    <w:name w:val="占位符文本1"/>
    <w:basedOn w:val="39"/>
    <w:autoRedefine/>
    <w:qFormat/>
    <w:uiPriority w:val="99"/>
    <w:rPr>
      <w:color w:val="808080"/>
    </w:rPr>
  </w:style>
  <w:style w:type="character" w:customStyle="1" w:styleId="238">
    <w:name w:val="font21"/>
    <w:basedOn w:val="39"/>
    <w:autoRedefine/>
    <w:qFormat/>
    <w:uiPriority w:val="0"/>
    <w:rPr>
      <w:rFonts w:hint="eastAsia" w:ascii="仿宋" w:hAnsi="仿宋" w:eastAsia="仿宋"/>
      <w:color w:val="000000"/>
      <w:sz w:val="24"/>
      <w:szCs w:val="24"/>
      <w:u w:val="none"/>
    </w:rPr>
  </w:style>
  <w:style w:type="character" w:customStyle="1" w:styleId="239">
    <w:name w:val="font11"/>
    <w:basedOn w:val="39"/>
    <w:autoRedefine/>
    <w:qFormat/>
    <w:uiPriority w:val="0"/>
    <w:rPr>
      <w:rFonts w:hint="default" w:ascii="Times New Roman" w:hAnsi="Times New Roman" w:cs="Times New Roman"/>
      <w:color w:val="000000"/>
      <w:sz w:val="24"/>
      <w:szCs w:val="24"/>
      <w:u w:val="none"/>
    </w:rPr>
  </w:style>
  <w:style w:type="character" w:customStyle="1" w:styleId="240">
    <w:name w:val="font31"/>
    <w:basedOn w:val="39"/>
    <w:autoRedefine/>
    <w:qFormat/>
    <w:uiPriority w:val="0"/>
    <w:rPr>
      <w:rFonts w:hint="default" w:ascii="Arial" w:hAnsi="Arial" w:cs="Arial"/>
      <w:color w:val="000000"/>
      <w:sz w:val="24"/>
      <w:szCs w:val="24"/>
      <w:u w:val="none"/>
    </w:rPr>
  </w:style>
  <w:style w:type="character" w:customStyle="1" w:styleId="241">
    <w:name w:val="font41"/>
    <w:basedOn w:val="39"/>
    <w:autoRedefine/>
    <w:qFormat/>
    <w:uiPriority w:val="0"/>
    <w:rPr>
      <w:rFonts w:hint="eastAsia" w:ascii="宋体" w:hAnsi="宋体" w:eastAsia="宋体"/>
      <w:color w:val="000000"/>
      <w:sz w:val="24"/>
      <w:szCs w:val="24"/>
      <w:u w:val="none"/>
    </w:rPr>
  </w:style>
  <w:style w:type="character" w:customStyle="1" w:styleId="242">
    <w:name w:val="普通(网站) Char1"/>
    <w:basedOn w:val="39"/>
    <w:autoRedefine/>
    <w:semiHidden/>
    <w:qFormat/>
    <w:locked/>
    <w:uiPriority w:val="99"/>
    <w:rPr>
      <w:rFonts w:hint="default" w:ascii="Calibri" w:hAnsi="Calibri" w:eastAsia="仿宋_GB2312" w:cs="Times New Roman"/>
      <w:kern w:val="2"/>
      <w:sz w:val="18"/>
      <w:szCs w:val="18"/>
    </w:rPr>
  </w:style>
  <w:style w:type="table" w:customStyle="1" w:styleId="243">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244">
    <w:name w:val="Char Char Char1 Char Char Char Char Char Char Char Char Char Char Char Char Char Char Char Char Char Char Char"/>
    <w:basedOn w:val="1"/>
    <w:autoRedefine/>
    <w:qFormat/>
    <w:uiPriority w:val="0"/>
    <w:rPr>
      <w:rFonts w:eastAsia="宋体"/>
      <w:sz w:val="21"/>
      <w:szCs w:val="21"/>
    </w:rPr>
  </w:style>
  <w:style w:type="paragraph" w:customStyle="1" w:styleId="245">
    <w:name w:val="Char3"/>
    <w:basedOn w:val="1"/>
    <w:autoRedefine/>
    <w:qFormat/>
    <w:uiPriority w:val="0"/>
    <w:pPr>
      <w:spacing w:line="240" w:lineRule="exact"/>
      <w:ind w:firstLine="200" w:firstLineChars="200"/>
    </w:pPr>
    <w:rPr>
      <w:rFonts w:eastAsia="宋体"/>
      <w:sz w:val="28"/>
      <w:szCs w:val="28"/>
    </w:rPr>
  </w:style>
  <w:style w:type="paragraph" w:customStyle="1" w:styleId="246">
    <w:name w:val="正文2"/>
    <w:autoRedefine/>
    <w:qFormat/>
    <w:uiPriority w:val="0"/>
    <w:pPr>
      <w:jc w:val="both"/>
    </w:pPr>
    <w:rPr>
      <w:rFonts w:ascii="Calibri" w:hAnsi="Calibri" w:eastAsia="宋体" w:cs="宋体"/>
      <w:kern w:val="2"/>
      <w:sz w:val="21"/>
      <w:szCs w:val="21"/>
      <w:lang w:val="en-US" w:eastAsia="zh-CN" w:bidi="ar-SA"/>
    </w:rPr>
  </w:style>
  <w:style w:type="paragraph" w:customStyle="1" w:styleId="247">
    <w:name w:val="报告表格"/>
    <w:basedOn w:val="1"/>
    <w:autoRedefine/>
    <w:qFormat/>
    <w:uiPriority w:val="0"/>
    <w:pPr>
      <w:autoSpaceDE w:val="0"/>
      <w:autoSpaceDN w:val="0"/>
      <w:adjustRightInd w:val="0"/>
      <w:spacing w:before="40" w:after="40"/>
      <w:jc w:val="center"/>
    </w:pPr>
    <w:rPr>
      <w:rFonts w:eastAsia="宋体"/>
      <w:kern w:val="0"/>
      <w:sz w:val="21"/>
      <w:szCs w:val="20"/>
    </w:rPr>
  </w:style>
  <w:style w:type="paragraph" w:customStyle="1" w:styleId="248">
    <w:name w:val="正文 段落3级"/>
    <w:autoRedefine/>
    <w:qFormat/>
    <w:uiPriority w:val="0"/>
    <w:pPr>
      <w:keepNext/>
      <w:keepLines/>
      <w:tabs>
        <w:tab w:val="left" w:pos="7230"/>
      </w:tabs>
      <w:spacing w:beforeLines="50" w:afterLines="50" w:line="500" w:lineRule="exact"/>
      <w:outlineLvl w:val="2"/>
    </w:pPr>
    <w:rPr>
      <w:rFonts w:ascii="Times New Roman" w:hAnsi="Times New Roman" w:eastAsia="仿宋_GB2312" w:cs="Times New Roman"/>
      <w:b/>
      <w:bCs/>
      <w:kern w:val="2"/>
      <w:sz w:val="28"/>
      <w:szCs w:val="32"/>
      <w:lang w:val="en-US" w:eastAsia="zh-CN" w:bidi="ar-SA"/>
    </w:rPr>
  </w:style>
  <w:style w:type="paragraph" w:customStyle="1" w:styleId="249">
    <w:name w:val="正文 段落4级"/>
    <w:basedOn w:val="1"/>
    <w:autoRedefine/>
    <w:qFormat/>
    <w:uiPriority w:val="0"/>
    <w:pPr>
      <w:widowControl/>
      <w:spacing w:line="500" w:lineRule="exact"/>
      <w:jc w:val="left"/>
      <w:outlineLvl w:val="3"/>
    </w:pPr>
    <w:rPr>
      <w:b/>
      <w:bCs/>
      <w:szCs w:val="28"/>
    </w:rPr>
  </w:style>
  <w:style w:type="paragraph" w:customStyle="1" w:styleId="250">
    <w:name w:val="表蕊居中"/>
    <w:basedOn w:val="1"/>
    <w:autoRedefine/>
    <w:qFormat/>
    <w:uiPriority w:val="0"/>
    <w:pPr>
      <w:spacing w:line="300" w:lineRule="exact"/>
      <w:jc w:val="center"/>
    </w:pPr>
    <w:rPr>
      <w:bCs/>
      <w:color w:val="000000"/>
      <w:szCs w:val="21"/>
    </w:rPr>
  </w:style>
  <w:style w:type="paragraph" w:customStyle="1" w:styleId="251">
    <w:name w:val="小四表格"/>
    <w:basedOn w:val="1"/>
    <w:autoRedefine/>
    <w:qFormat/>
    <w:uiPriority w:val="0"/>
    <w:pPr>
      <w:keepNext/>
      <w:autoSpaceDE w:val="0"/>
      <w:autoSpaceDN w:val="0"/>
      <w:adjustRightInd w:val="0"/>
      <w:spacing w:line="480" w:lineRule="atLeast"/>
      <w:jc w:val="center"/>
    </w:pPr>
    <w:rPr>
      <w:rFonts w:eastAsia="宋体"/>
      <w:color w:val="000000"/>
      <w:szCs w:val="20"/>
    </w:rPr>
  </w:style>
  <w:style w:type="paragraph" w:customStyle="1" w:styleId="252">
    <w:name w:val="正文 文本"/>
    <w:autoRedefine/>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253">
    <w:name w:val="正文lcc"/>
    <w:basedOn w:val="1"/>
    <w:autoRedefine/>
    <w:qFormat/>
    <w:uiPriority w:val="0"/>
    <w:pPr>
      <w:spacing w:line="360" w:lineRule="auto"/>
      <w:ind w:firstLine="560" w:firstLineChars="200"/>
    </w:pPr>
    <w:rPr>
      <w:rFonts w:ascii="仿宋" w:hAnsi="仿宋" w:eastAsia="仿宋" w:cs="宋体"/>
      <w:kern w:val="0"/>
      <w:sz w:val="24"/>
      <w:szCs w:val="24"/>
    </w:rPr>
  </w:style>
  <w:style w:type="paragraph" w:customStyle="1" w:styleId="254">
    <w:name w:val="Other|1"/>
    <w:basedOn w:val="1"/>
    <w:autoRedefine/>
    <w:qFormat/>
    <w:uiPriority w:val="0"/>
    <w:pPr>
      <w:widowControl w:val="0"/>
      <w:shd w:val="clear" w:color="auto" w:fill="auto"/>
      <w:spacing w:after="140" w:line="382" w:lineRule="auto"/>
      <w:ind w:firstLine="400"/>
    </w:pPr>
    <w:rPr>
      <w:rFonts w:ascii="宋体" w:hAnsi="宋体" w:eastAsia="宋体" w:cs="宋体"/>
      <w:sz w:val="26"/>
      <w:szCs w:val="26"/>
      <w:u w:val="none"/>
      <w:shd w:val="clear" w:color="auto" w:fill="auto"/>
      <w:lang w:val="zh-TW" w:eastAsia="zh-TW" w:bidi="zh-TW"/>
    </w:rPr>
  </w:style>
  <w:style w:type="paragraph" w:customStyle="1" w:styleId="255">
    <w:name w:val="Table Text"/>
    <w:basedOn w:val="1"/>
    <w:autoRedefine/>
    <w:semiHidden/>
    <w:qFormat/>
    <w:uiPriority w:val="0"/>
    <w:rPr>
      <w:rFonts w:ascii="宋体" w:hAnsi="宋体" w:eastAsia="宋体" w:cs="宋体"/>
      <w:sz w:val="24"/>
      <w:szCs w:val="24"/>
      <w:lang w:val="en-US" w:eastAsia="en-US" w:bidi="ar-SA"/>
    </w:rPr>
  </w:style>
  <w:style w:type="paragraph" w:customStyle="1" w:styleId="256">
    <w:name w:val="表内表"/>
    <w:basedOn w:val="1"/>
    <w:qFormat/>
    <w:uiPriority w:val="0"/>
    <w:pPr>
      <w:spacing w:line="240" w:lineRule="atLeast"/>
      <w:jc w:val="center"/>
    </w:pPr>
    <w:rPr>
      <w:bCs/>
      <w:szCs w:val="21"/>
    </w:rPr>
  </w:style>
  <w:style w:type="paragraph" w:customStyle="1" w:styleId="257">
    <w:name w:val="样1"/>
    <w:basedOn w:val="1"/>
    <w:qFormat/>
    <w:uiPriority w:val="0"/>
    <w:pPr>
      <w:autoSpaceDE w:val="0"/>
      <w:autoSpaceDN w:val="0"/>
      <w:adjustRightInd w:val="0"/>
      <w:snapToGrid w:val="0"/>
      <w:spacing w:line="460" w:lineRule="exact"/>
      <w:ind w:firstLine="422" w:firstLineChars="200"/>
      <w:jc w:val="left"/>
    </w:pPr>
    <w:rPr>
      <w:rFonts w:eastAsia="仿宋"/>
      <w:bCs/>
      <w:color w:val="00000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png"/><Relationship Id="rId21" Type="http://schemas.openxmlformats.org/officeDocument/2006/relationships/image" Target="media/image5.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1.bin"/><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9396</Words>
  <Characters>10844</Characters>
  <Lines>392</Lines>
  <Paragraphs>110</Paragraphs>
  <TotalTime>1</TotalTime>
  <ScaleCrop>false</ScaleCrop>
  <LinksUpToDate>false</LinksUpToDate>
  <CharactersWithSpaces>10935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2018-07-20T05:37:00Z</dcterms:created>
  <dc:creator>Microsoft</dc:creator>
  <cp:lastModifiedBy>耶耶耶嗝儿</cp:lastModifiedBy>
  <cp:lastPrinted>2021-01-08T10:46:00Z</cp:lastPrinted>
  <dcterms:modified xsi:type="dcterms:W3CDTF">2025-08-11T07:55:05Z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6773A775A6F14747B9F6C0983252DDA6</vt:lpwstr>
  </property>
  <property fmtid="{D5CDD505-2E9C-101B-9397-08002B2CF9AE}" pid="4" name="KSOSaveFontToCloudKey">
    <vt:lpwstr>438787626_cloud</vt:lpwstr>
  </property>
  <property fmtid="{D5CDD505-2E9C-101B-9397-08002B2CF9AE}" pid="5" name="KSOTemplateDocerSaveRecord">
    <vt:lpwstr>eyJoZGlkIjoiNGYxMDNkYzFkNDNlZDg1MDI3NzM3OTU5MzA3YjIxOWIiLCJ1c2VySWQiOiIxNjI5NDE2NjU3In0=</vt:lpwstr>
  </property>
</Properties>
</file>